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0"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20" w:type="dxa"/>
            <w:vAlign w:val="bottom"/>
            <w:gridSpan w:val="3"/>
          </w:tcPr>
          <w:p>
            <w:pPr>
              <w:jc w:val="center"/>
              <w:ind w:right="2560"/>
              <w:spacing w:after="0"/>
              <w:rPr>
                <w:sz w:val="20"/>
                <w:szCs w:val="20"/>
                <w:color w:val="auto"/>
              </w:rPr>
            </w:pPr>
            <w:r>
              <w:rPr>
                <w:rFonts w:ascii="Arial" w:cs="Arial" w:eastAsia="Arial" w:hAnsi="Arial"/>
                <w:sz w:val="16"/>
                <w:szCs w:val="16"/>
                <w:color w:val="auto"/>
              </w:rPr>
              <w:t>Indiana</w:t>
            </w:r>
          </w:p>
        </w:tc>
        <w:tc>
          <w:tcPr>
            <w:tcW w:w="4140" w:type="dxa"/>
            <w:vAlign w:val="bottom"/>
            <w:gridSpan w:val="2"/>
          </w:tcPr>
          <w:p>
            <w:pPr>
              <w:jc w:val="center"/>
              <w:ind w:left="1207"/>
              <w:spacing w:after="0"/>
              <w:rPr>
                <w:sz w:val="20"/>
                <w:szCs w:val="20"/>
                <w:color w:val="auto"/>
              </w:rPr>
            </w:pPr>
            <w:r>
              <w:rPr>
                <w:rFonts w:ascii="Arial" w:cs="Arial" w:eastAsia="Arial" w:hAnsi="Arial"/>
                <w:sz w:val="16"/>
                <w:szCs w:val="16"/>
                <w:color w:val="auto"/>
              </w:rPr>
              <w:t>35-0470950</w:t>
            </w:r>
          </w:p>
        </w:tc>
      </w:tr>
      <w:tr>
        <w:trPr>
          <w:trHeight w:val="257"/>
        </w:trPr>
        <w:tc>
          <w:tcPr>
            <w:tcW w:w="1280" w:type="dxa"/>
            <w:vAlign w:val="bottom"/>
          </w:tcPr>
          <w:p>
            <w:pPr>
              <w:spacing w:after="0"/>
              <w:rPr>
                <w:sz w:val="22"/>
                <w:szCs w:val="22"/>
                <w:color w:val="auto"/>
              </w:rPr>
            </w:pPr>
          </w:p>
        </w:tc>
        <w:tc>
          <w:tcPr>
            <w:tcW w:w="4520" w:type="dxa"/>
            <w:vAlign w:val="bottom"/>
            <w:gridSpan w:val="4"/>
          </w:tcPr>
          <w:p>
            <w:pPr>
              <w:jc w:val="center"/>
              <w:ind w:right="1660"/>
              <w:spacing w:after="0"/>
              <w:rPr>
                <w:sz w:val="20"/>
                <w:szCs w:val="20"/>
                <w:color w:val="auto"/>
              </w:rPr>
            </w:pPr>
            <w:r>
              <w:rPr>
                <w:rFonts w:ascii="Arial" w:cs="Arial" w:eastAsia="Arial" w:hAnsi="Arial"/>
                <w:sz w:val="16"/>
                <w:szCs w:val="16"/>
                <w:color w:val="auto"/>
              </w:rPr>
              <w:t>(State or other jurisdiction of</w:t>
            </w:r>
          </w:p>
        </w:tc>
        <w:tc>
          <w:tcPr>
            <w:tcW w:w="980" w:type="dxa"/>
            <w:vAlign w:val="bottom"/>
          </w:tcPr>
          <w:p>
            <w:pPr>
              <w:spacing w:after="0"/>
              <w:rPr>
                <w:sz w:val="22"/>
                <w:szCs w:val="22"/>
                <w:color w:val="auto"/>
              </w:rPr>
            </w:pPr>
          </w:p>
        </w:tc>
        <w:tc>
          <w:tcPr>
            <w:tcW w:w="3160" w:type="dxa"/>
            <w:vAlign w:val="bottom"/>
          </w:tcPr>
          <w:p>
            <w:pPr>
              <w:jc w:val="center"/>
              <w:ind w:left="219"/>
              <w:spacing w:after="0"/>
              <w:rPr>
                <w:sz w:val="20"/>
                <w:szCs w:val="20"/>
                <w:color w:val="auto"/>
              </w:rPr>
            </w:pPr>
            <w:r>
              <w:rPr>
                <w:rFonts w:ascii="Arial" w:cs="Arial" w:eastAsia="Arial" w:hAnsi="Arial"/>
                <w:sz w:val="16"/>
                <w:szCs w:val="16"/>
                <w:color w:val="auto"/>
              </w:rPr>
              <w:t>(I.R.S. Employer</w:t>
            </w:r>
          </w:p>
        </w:tc>
      </w:tr>
      <w:tr>
        <w:trPr>
          <w:trHeight w:val="257"/>
        </w:trPr>
        <w:tc>
          <w:tcPr>
            <w:tcW w:w="1280" w:type="dxa"/>
            <w:vAlign w:val="bottom"/>
          </w:tcPr>
          <w:p>
            <w:pPr>
              <w:spacing w:after="0"/>
              <w:rPr>
                <w:sz w:val="22"/>
                <w:szCs w:val="22"/>
                <w:color w:val="auto"/>
              </w:rPr>
            </w:pPr>
          </w:p>
        </w:tc>
        <w:tc>
          <w:tcPr>
            <w:tcW w:w="4520" w:type="dxa"/>
            <w:vAlign w:val="bottom"/>
            <w:gridSpan w:val="4"/>
          </w:tcPr>
          <w:p>
            <w:pPr>
              <w:jc w:val="center"/>
              <w:ind w:right="1660"/>
              <w:spacing w:after="0"/>
              <w:rPr>
                <w:sz w:val="20"/>
                <w:szCs w:val="20"/>
                <w:color w:val="auto"/>
              </w:rPr>
            </w:pPr>
            <w:r>
              <w:rPr>
                <w:rFonts w:ascii="Arial" w:cs="Arial" w:eastAsia="Arial" w:hAnsi="Arial"/>
                <w:sz w:val="16"/>
                <w:szCs w:val="16"/>
                <w:color w:val="auto"/>
              </w:rPr>
              <w:t>incorporation or organization)</w:t>
            </w:r>
          </w:p>
        </w:tc>
        <w:tc>
          <w:tcPr>
            <w:tcW w:w="980" w:type="dxa"/>
            <w:vAlign w:val="bottom"/>
          </w:tcPr>
          <w:p>
            <w:pPr>
              <w:spacing w:after="0"/>
              <w:rPr>
                <w:sz w:val="22"/>
                <w:szCs w:val="22"/>
                <w:color w:val="auto"/>
              </w:rPr>
            </w:pPr>
          </w:p>
        </w:tc>
        <w:tc>
          <w:tcPr>
            <w:tcW w:w="3160" w:type="dxa"/>
            <w:vAlign w:val="bottom"/>
          </w:tcPr>
          <w:p>
            <w:pPr>
              <w:jc w:val="center"/>
              <w:ind w:left="219"/>
              <w:spacing w:after="0"/>
              <w:rPr>
                <w:sz w:val="20"/>
                <w:szCs w:val="20"/>
                <w:color w:val="auto"/>
              </w:rPr>
            </w:pPr>
            <w:r>
              <w:rPr>
                <w:rFonts w:ascii="Arial" w:cs="Arial" w:eastAsia="Arial" w:hAnsi="Arial"/>
                <w:sz w:val="16"/>
                <w:szCs w:val="16"/>
                <w:color w:val="auto"/>
              </w:rPr>
              <w:t>Identification No.)</w:t>
            </w:r>
          </w:p>
        </w:tc>
      </w:tr>
      <w:tr>
        <w:trPr>
          <w:trHeight w:val="386"/>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60" w:type="dxa"/>
            <w:vAlign w:val="bottom"/>
            <w:gridSpan w:val="5"/>
          </w:tcPr>
          <w:p>
            <w:pPr>
              <w:jc w:val="center"/>
              <w:ind w:right="919"/>
              <w:spacing w:after="0"/>
              <w:rPr>
                <w:sz w:val="20"/>
                <w:szCs w:val="20"/>
                <w:color w:val="auto"/>
              </w:rPr>
            </w:pPr>
            <w:r>
              <w:rPr>
                <w:rFonts w:ascii="Arial" w:cs="Arial" w:eastAsia="Arial" w:hAnsi="Arial"/>
                <w:sz w:val="16"/>
                <w:szCs w:val="16"/>
                <w:color w:val="auto"/>
              </w:rPr>
              <w:t>Lilly Corporate Center, Indianapolis, Indiana 46285</w:t>
            </w:r>
          </w:p>
        </w:tc>
      </w:tr>
      <w:tr>
        <w:trPr>
          <w:trHeight w:val="195"/>
        </w:trPr>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180" w:type="dxa"/>
            <w:vAlign w:val="bottom"/>
            <w:gridSpan w:val="4"/>
          </w:tcPr>
          <w:p>
            <w:pPr>
              <w:jc w:val="center"/>
              <w:ind w:right="2499"/>
              <w:spacing w:after="0"/>
              <w:rPr>
                <w:sz w:val="20"/>
                <w:szCs w:val="20"/>
                <w:color w:val="auto"/>
              </w:rPr>
            </w:pPr>
            <w:r>
              <w:rPr>
                <w:rFonts w:ascii="Arial" w:cs="Arial" w:eastAsia="Arial" w:hAnsi="Arial"/>
                <w:sz w:val="16"/>
                <w:szCs w:val="16"/>
                <w:color w:val="auto"/>
              </w:rPr>
              <w:t>(Address of principal executive offices)</w:t>
            </w:r>
          </w:p>
        </w:tc>
      </w:tr>
      <w:tr>
        <w:trPr>
          <w:trHeight w:val="243"/>
        </w:trPr>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760" w:type="dxa"/>
            <w:vAlign w:val="bottom"/>
            <w:gridSpan w:val="5"/>
          </w:tcPr>
          <w:p>
            <w:pPr>
              <w:jc w:val="center"/>
              <w:ind w:right="919"/>
              <w:spacing w:after="0"/>
              <w:rPr>
                <w:sz w:val="20"/>
                <w:szCs w:val="20"/>
                <w:color w:val="auto"/>
              </w:rPr>
            </w:pPr>
            <w:r>
              <w:rPr>
                <w:rFonts w:ascii="Arial" w:cs="Arial" w:eastAsia="Arial" w:hAnsi="Arial"/>
                <w:sz w:val="16"/>
                <w:szCs w:val="16"/>
                <w:color w:val="auto"/>
              </w:rPr>
              <w:t>Registrant’s telephone number, including area code (317) 276-2000</w:t>
            </w:r>
          </w:p>
        </w:tc>
      </w:tr>
      <w:tr>
        <w:trPr>
          <w:trHeight w:val="243"/>
        </w:trPr>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760" w:type="dxa"/>
            <w:vAlign w:val="bottom"/>
            <w:gridSpan w:val="5"/>
          </w:tcPr>
          <w:p>
            <w:pPr>
              <w:jc w:val="center"/>
              <w:ind w:right="899"/>
              <w:spacing w:after="0"/>
              <w:rPr>
                <w:sz w:val="20"/>
                <w:szCs w:val="20"/>
                <w:color w:val="auto"/>
              </w:rPr>
            </w:pPr>
            <w:r>
              <w:rPr>
                <w:rFonts w:ascii="Arial" w:cs="Arial" w:eastAsia="Arial" w:hAnsi="Arial"/>
                <w:sz w:val="16"/>
                <w:szCs w:val="16"/>
                <w:b w:val="1"/>
                <w:bCs w:val="1"/>
                <w:color w:val="auto"/>
              </w:rPr>
              <w:t>Securities registered pursuant to Section 12(b) of the Exchange Act:</w:t>
            </w:r>
          </w:p>
        </w:tc>
      </w:tr>
      <w:tr>
        <w:trPr>
          <w:trHeight w:val="343"/>
        </w:trPr>
        <w:tc>
          <w:tcPr>
            <w:tcW w:w="128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900" w:type="dxa"/>
            <w:vAlign w:val="bottom"/>
          </w:tcPr>
          <w:p>
            <w:pPr>
              <w:spacing w:after="0"/>
              <w:rPr>
                <w:sz w:val="24"/>
                <w:szCs w:val="24"/>
                <w:color w:val="auto"/>
              </w:rPr>
            </w:pPr>
          </w:p>
        </w:tc>
        <w:tc>
          <w:tcPr>
            <w:tcW w:w="3620" w:type="dxa"/>
            <w:vAlign w:val="bottom"/>
            <w:gridSpan w:val="3"/>
          </w:tcPr>
          <w:p>
            <w:pPr>
              <w:ind w:left="1580"/>
              <w:spacing w:after="0"/>
              <w:rPr>
                <w:sz w:val="20"/>
                <w:szCs w:val="20"/>
                <w:color w:val="auto"/>
              </w:rPr>
            </w:pPr>
            <w:r>
              <w:rPr>
                <w:rFonts w:ascii="Arial" w:cs="Arial" w:eastAsia="Arial" w:hAnsi="Arial"/>
                <w:sz w:val="14"/>
                <w:szCs w:val="14"/>
                <w:b w:val="1"/>
                <w:bCs w:val="1"/>
                <w:color w:val="auto"/>
              </w:rPr>
              <w:t>Trading Symbol</w:t>
            </w:r>
          </w:p>
        </w:tc>
        <w:tc>
          <w:tcPr>
            <w:tcW w:w="4140" w:type="dxa"/>
            <w:vAlign w:val="bottom"/>
            <w:gridSpan w:val="2"/>
          </w:tcPr>
          <w:p>
            <w:pPr>
              <w:ind w:left="9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25"/>
        </w:trPr>
        <w:tc>
          <w:tcPr>
            <w:tcW w:w="218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620" w:type="dxa"/>
            <w:vAlign w:val="bottom"/>
            <w:gridSpan w:val="3"/>
          </w:tcPr>
          <w:p>
            <w:pPr>
              <w:ind w:left="1580"/>
              <w:spacing w:after="0"/>
              <w:rPr>
                <w:sz w:val="20"/>
                <w:szCs w:val="20"/>
                <w:color w:val="auto"/>
              </w:rPr>
            </w:pPr>
            <w:r>
              <w:rPr>
                <w:rFonts w:ascii="Arial" w:cs="Arial" w:eastAsia="Arial" w:hAnsi="Arial"/>
                <w:sz w:val="14"/>
                <w:szCs w:val="14"/>
                <w:color w:val="auto"/>
              </w:rPr>
              <w:t>LLY</w:t>
            </w:r>
          </w:p>
        </w:tc>
        <w:tc>
          <w:tcPr>
            <w:tcW w:w="4140" w:type="dxa"/>
            <w:vAlign w:val="bottom"/>
            <w:gridSpan w:val="2"/>
          </w:tcPr>
          <w:p>
            <w:pPr>
              <w:ind w:left="980"/>
              <w:spacing w:after="0"/>
              <w:rPr>
                <w:sz w:val="20"/>
                <w:szCs w:val="20"/>
                <w:color w:val="auto"/>
              </w:rPr>
            </w:pPr>
            <w:r>
              <w:rPr>
                <w:rFonts w:ascii="Arial" w:cs="Arial" w:eastAsia="Arial" w:hAnsi="Arial"/>
                <w:sz w:val="14"/>
                <w:szCs w:val="14"/>
                <w:color w:val="auto"/>
              </w:rPr>
              <w:t>New York Stock Exchange</w:t>
            </w:r>
          </w:p>
        </w:tc>
      </w:tr>
      <w:tr>
        <w:trPr>
          <w:trHeight w:val="216"/>
        </w:trPr>
        <w:tc>
          <w:tcPr>
            <w:tcW w:w="2180" w:type="dxa"/>
            <w:vAlign w:val="bottom"/>
            <w:gridSpan w:val="2"/>
          </w:tcPr>
          <w:p>
            <w:pPr>
              <w:spacing w:after="0"/>
              <w:rPr>
                <w:sz w:val="20"/>
                <w:szCs w:val="20"/>
                <w:color w:val="auto"/>
              </w:rPr>
            </w:pPr>
            <w:r>
              <w:rPr>
                <w:rFonts w:ascii="Arial" w:cs="Arial" w:eastAsia="Arial" w:hAnsi="Arial"/>
                <w:sz w:val="14"/>
                <w:szCs w:val="14"/>
                <w:color w:val="auto"/>
              </w:rPr>
              <w:t>1.000% Notes due 2022</w:t>
            </w:r>
          </w:p>
        </w:tc>
        <w:tc>
          <w:tcPr>
            <w:tcW w:w="3620" w:type="dxa"/>
            <w:vAlign w:val="bottom"/>
            <w:gridSpan w:val="3"/>
          </w:tcPr>
          <w:p>
            <w:pPr>
              <w:ind w:left="1580"/>
              <w:spacing w:after="0"/>
              <w:rPr>
                <w:sz w:val="20"/>
                <w:szCs w:val="20"/>
                <w:color w:val="auto"/>
              </w:rPr>
            </w:pPr>
            <w:r>
              <w:rPr>
                <w:rFonts w:ascii="Arial" w:cs="Arial" w:eastAsia="Arial" w:hAnsi="Arial"/>
                <w:sz w:val="14"/>
                <w:szCs w:val="14"/>
                <w:color w:val="auto"/>
              </w:rPr>
              <w:t>LLY22</w:t>
            </w:r>
          </w:p>
        </w:tc>
        <w:tc>
          <w:tcPr>
            <w:tcW w:w="4140" w:type="dxa"/>
            <w:vAlign w:val="bottom"/>
            <w:gridSpan w:val="2"/>
          </w:tcPr>
          <w:p>
            <w:pPr>
              <w:ind w:left="980"/>
              <w:spacing w:after="0"/>
              <w:rPr>
                <w:sz w:val="20"/>
                <w:szCs w:val="20"/>
                <w:color w:val="auto"/>
              </w:rPr>
            </w:pPr>
            <w:r>
              <w:rPr>
                <w:rFonts w:ascii="Arial" w:cs="Arial" w:eastAsia="Arial" w:hAnsi="Arial"/>
                <w:sz w:val="14"/>
                <w:szCs w:val="14"/>
                <w:color w:val="auto"/>
              </w:rPr>
              <w:t>New York Stock Exchange</w:t>
            </w:r>
          </w:p>
        </w:tc>
      </w:tr>
      <w:tr>
        <w:trPr>
          <w:trHeight w:val="216"/>
        </w:trPr>
        <w:tc>
          <w:tcPr>
            <w:tcW w:w="218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3620" w:type="dxa"/>
            <w:vAlign w:val="bottom"/>
            <w:gridSpan w:val="3"/>
          </w:tcPr>
          <w:p>
            <w:pPr>
              <w:ind w:left="1580"/>
              <w:spacing w:after="0"/>
              <w:rPr>
                <w:sz w:val="20"/>
                <w:szCs w:val="20"/>
                <w:color w:val="auto"/>
              </w:rPr>
            </w:pPr>
            <w:r>
              <w:rPr>
                <w:rFonts w:ascii="Arial" w:cs="Arial" w:eastAsia="Arial" w:hAnsi="Arial"/>
                <w:sz w:val="14"/>
                <w:szCs w:val="14"/>
                <w:color w:val="auto"/>
              </w:rPr>
              <w:t>LLY25</w:t>
            </w:r>
          </w:p>
        </w:tc>
        <w:tc>
          <w:tcPr>
            <w:tcW w:w="4140" w:type="dxa"/>
            <w:vAlign w:val="bottom"/>
            <w:gridSpan w:val="2"/>
          </w:tcPr>
          <w:p>
            <w:pPr>
              <w:ind w:left="980"/>
              <w:spacing w:after="0"/>
              <w:rPr>
                <w:sz w:val="20"/>
                <w:szCs w:val="20"/>
                <w:color w:val="auto"/>
              </w:rPr>
            </w:pPr>
            <w:r>
              <w:rPr>
                <w:rFonts w:ascii="Arial" w:cs="Arial" w:eastAsia="Arial" w:hAnsi="Arial"/>
                <w:sz w:val="14"/>
                <w:szCs w:val="14"/>
                <w:color w:val="auto"/>
              </w:rPr>
              <w:t>New York Stock Exchange</w:t>
            </w:r>
          </w:p>
        </w:tc>
      </w:tr>
      <w:tr>
        <w:trPr>
          <w:trHeight w:val="216"/>
        </w:trPr>
        <w:tc>
          <w:tcPr>
            <w:tcW w:w="218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3620" w:type="dxa"/>
            <w:vAlign w:val="bottom"/>
            <w:gridSpan w:val="3"/>
          </w:tcPr>
          <w:p>
            <w:pPr>
              <w:ind w:left="1580"/>
              <w:spacing w:after="0"/>
              <w:rPr>
                <w:sz w:val="20"/>
                <w:szCs w:val="20"/>
                <w:color w:val="auto"/>
              </w:rPr>
            </w:pPr>
            <w:r>
              <w:rPr>
                <w:rFonts w:ascii="Arial" w:cs="Arial" w:eastAsia="Arial" w:hAnsi="Arial"/>
                <w:sz w:val="14"/>
                <w:szCs w:val="14"/>
                <w:color w:val="auto"/>
              </w:rPr>
              <w:t>LLY26</w:t>
            </w:r>
          </w:p>
        </w:tc>
        <w:tc>
          <w:tcPr>
            <w:tcW w:w="4140" w:type="dxa"/>
            <w:vAlign w:val="bottom"/>
            <w:gridSpan w:val="2"/>
          </w:tcPr>
          <w:p>
            <w:pPr>
              <w:ind w:left="980"/>
              <w:spacing w:after="0"/>
              <w:rPr>
                <w:sz w:val="20"/>
                <w:szCs w:val="20"/>
                <w:color w:val="auto"/>
              </w:rPr>
            </w:pPr>
            <w:r>
              <w:rPr>
                <w:rFonts w:ascii="Arial" w:cs="Arial" w:eastAsia="Arial" w:hAnsi="Arial"/>
                <w:sz w:val="14"/>
                <w:szCs w:val="14"/>
                <w:color w:val="auto"/>
              </w:rPr>
              <w:t>New York Stock Exchange</w:t>
            </w:r>
          </w:p>
        </w:tc>
      </w:tr>
      <w:tr>
        <w:trPr>
          <w:trHeight w:val="216"/>
        </w:trPr>
        <w:tc>
          <w:tcPr>
            <w:tcW w:w="218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3620" w:type="dxa"/>
            <w:vAlign w:val="bottom"/>
            <w:gridSpan w:val="3"/>
          </w:tcPr>
          <w:p>
            <w:pPr>
              <w:ind w:left="1580"/>
              <w:spacing w:after="0"/>
              <w:rPr>
                <w:sz w:val="20"/>
                <w:szCs w:val="20"/>
                <w:color w:val="auto"/>
              </w:rPr>
            </w:pPr>
            <w:r>
              <w:rPr>
                <w:rFonts w:ascii="Arial" w:cs="Arial" w:eastAsia="Arial" w:hAnsi="Arial"/>
                <w:sz w:val="14"/>
                <w:szCs w:val="14"/>
                <w:color w:val="auto"/>
              </w:rPr>
              <w:t>LLY30</w:t>
            </w:r>
          </w:p>
        </w:tc>
        <w:tc>
          <w:tcPr>
            <w:tcW w:w="4140" w:type="dxa"/>
            <w:vAlign w:val="bottom"/>
            <w:gridSpan w:val="2"/>
          </w:tcPr>
          <w:p>
            <w:pPr>
              <w:ind w:left="980"/>
              <w:spacing w:after="0"/>
              <w:rPr>
                <w:sz w:val="20"/>
                <w:szCs w:val="20"/>
                <w:color w:val="auto"/>
              </w:rPr>
            </w:pPr>
            <w:r>
              <w:rPr>
                <w:rFonts w:ascii="Arial" w:cs="Arial" w:eastAsia="Arial" w:hAnsi="Arial"/>
                <w:sz w:val="14"/>
                <w:szCs w:val="14"/>
                <w:color w:val="auto"/>
              </w:rPr>
              <w:t>New York Stock Exchange</w:t>
            </w:r>
          </w:p>
        </w:tc>
      </w:tr>
      <w:tr>
        <w:trPr>
          <w:trHeight w:val="216"/>
        </w:trPr>
        <w:tc>
          <w:tcPr>
            <w:tcW w:w="218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3620" w:type="dxa"/>
            <w:vAlign w:val="bottom"/>
            <w:gridSpan w:val="3"/>
          </w:tcPr>
          <w:p>
            <w:pPr>
              <w:ind w:left="1580"/>
              <w:spacing w:after="0"/>
              <w:rPr>
                <w:sz w:val="20"/>
                <w:szCs w:val="20"/>
                <w:color w:val="auto"/>
              </w:rPr>
            </w:pPr>
            <w:r>
              <w:rPr>
                <w:rFonts w:ascii="Arial" w:cs="Arial" w:eastAsia="Arial" w:hAnsi="Arial"/>
                <w:sz w:val="14"/>
                <w:szCs w:val="14"/>
                <w:color w:val="auto"/>
              </w:rPr>
              <w:t>LLY31</w:t>
            </w:r>
          </w:p>
        </w:tc>
        <w:tc>
          <w:tcPr>
            <w:tcW w:w="4140" w:type="dxa"/>
            <w:vAlign w:val="bottom"/>
            <w:gridSpan w:val="2"/>
          </w:tcPr>
          <w:p>
            <w:pPr>
              <w:ind w:left="980"/>
              <w:spacing w:after="0"/>
              <w:rPr>
                <w:sz w:val="20"/>
                <w:szCs w:val="20"/>
                <w:color w:val="auto"/>
              </w:rPr>
            </w:pPr>
            <w:r>
              <w:rPr>
                <w:rFonts w:ascii="Arial" w:cs="Arial" w:eastAsia="Arial" w:hAnsi="Arial"/>
                <w:sz w:val="14"/>
                <w:szCs w:val="14"/>
                <w:color w:val="auto"/>
              </w:rPr>
              <w:t>New York Stock Exchange</w:t>
            </w:r>
          </w:p>
        </w:tc>
      </w:tr>
      <w:tr>
        <w:trPr>
          <w:trHeight w:val="216"/>
        </w:trPr>
        <w:tc>
          <w:tcPr>
            <w:tcW w:w="218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3620" w:type="dxa"/>
            <w:vAlign w:val="bottom"/>
            <w:gridSpan w:val="3"/>
          </w:tcPr>
          <w:p>
            <w:pPr>
              <w:ind w:left="1580"/>
              <w:spacing w:after="0"/>
              <w:rPr>
                <w:sz w:val="20"/>
                <w:szCs w:val="20"/>
                <w:color w:val="auto"/>
              </w:rPr>
            </w:pPr>
            <w:r>
              <w:rPr>
                <w:rFonts w:ascii="Arial" w:cs="Arial" w:eastAsia="Arial" w:hAnsi="Arial"/>
                <w:sz w:val="14"/>
                <w:szCs w:val="14"/>
                <w:color w:val="auto"/>
              </w:rPr>
              <w:t>LLY36</w:t>
            </w:r>
          </w:p>
        </w:tc>
        <w:tc>
          <w:tcPr>
            <w:tcW w:w="4140" w:type="dxa"/>
            <w:vAlign w:val="bottom"/>
            <w:gridSpan w:val="2"/>
          </w:tcPr>
          <w:p>
            <w:pPr>
              <w:ind w:left="980"/>
              <w:spacing w:after="0"/>
              <w:rPr>
                <w:sz w:val="20"/>
                <w:szCs w:val="20"/>
                <w:color w:val="auto"/>
              </w:rPr>
            </w:pPr>
            <w:r>
              <w:rPr>
                <w:rFonts w:ascii="Arial" w:cs="Arial" w:eastAsia="Arial" w:hAnsi="Arial"/>
                <w:sz w:val="14"/>
                <w:szCs w:val="14"/>
                <w:color w:val="auto"/>
              </w:rPr>
              <w:t>New York Stock Exchange</w:t>
            </w:r>
          </w:p>
        </w:tc>
      </w:tr>
      <w:tr>
        <w:trPr>
          <w:trHeight w:val="216"/>
        </w:trPr>
        <w:tc>
          <w:tcPr>
            <w:tcW w:w="218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3620" w:type="dxa"/>
            <w:vAlign w:val="bottom"/>
            <w:gridSpan w:val="3"/>
          </w:tcPr>
          <w:p>
            <w:pPr>
              <w:ind w:left="1580"/>
              <w:spacing w:after="0"/>
              <w:rPr>
                <w:sz w:val="20"/>
                <w:szCs w:val="20"/>
                <w:color w:val="auto"/>
              </w:rPr>
            </w:pPr>
            <w:r>
              <w:rPr>
                <w:rFonts w:ascii="Arial" w:cs="Arial" w:eastAsia="Arial" w:hAnsi="Arial"/>
                <w:sz w:val="14"/>
                <w:szCs w:val="14"/>
                <w:color w:val="auto"/>
              </w:rPr>
              <w:t>LLY49A</w:t>
            </w:r>
          </w:p>
        </w:tc>
        <w:tc>
          <w:tcPr>
            <w:tcW w:w="4140" w:type="dxa"/>
            <w:vAlign w:val="bottom"/>
            <w:gridSpan w:val="2"/>
          </w:tcPr>
          <w:p>
            <w:pPr>
              <w:ind w:left="980"/>
              <w:spacing w:after="0"/>
              <w:rPr>
                <w:sz w:val="20"/>
                <w:szCs w:val="20"/>
                <w:color w:val="auto"/>
              </w:rPr>
            </w:pPr>
            <w:r>
              <w:rPr>
                <w:rFonts w:ascii="Arial" w:cs="Arial" w:eastAsia="Arial" w:hAnsi="Arial"/>
                <w:sz w:val="14"/>
                <w:szCs w:val="14"/>
                <w:color w:val="auto"/>
              </w:rPr>
              <w:t>New York Stock Exchange</w:t>
            </w:r>
          </w:p>
        </w:tc>
      </w:tr>
    </w:tbl>
    <w:p>
      <w:pPr>
        <w:spacing w:after="0" w:line="95" w:lineRule="exact"/>
        <w:rPr>
          <w:sz w:val="24"/>
          <w:szCs w:val="24"/>
          <w:color w:val="auto"/>
        </w:rPr>
      </w:pPr>
    </w:p>
    <w:p>
      <w:pPr>
        <w:ind w:right="38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1" w:lineRule="exact"/>
        <w:rPr>
          <w:sz w:val="24"/>
          <w:szCs w:val="24"/>
          <w:color w:val="auto"/>
        </w:rPr>
      </w:pPr>
    </w:p>
    <w:p>
      <w:pPr>
        <w:ind w:right="36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1"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660" w:type="dxa"/>
        <w:tblCellMar>
          <w:top w:w="0" w:type="dxa"/>
          <w:left w:w="0" w:type="dxa"/>
          <w:bottom w:w="0" w:type="dxa"/>
          <w:right w:w="0" w:type="dxa"/>
        </w:tblCellMar>
      </w:tblPr>
      <w:tr>
        <w:trPr>
          <w:trHeight w:val="264"/>
        </w:trPr>
        <w:tc>
          <w:tcPr>
            <w:tcW w:w="5040" w:type="dxa"/>
            <w:vAlign w:val="bottom"/>
          </w:tcPr>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504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5040" w:type="dxa"/>
            <w:vAlign w:val="bottom"/>
          </w:tcPr>
          <w:p>
            <w:pPr>
              <w:spacing w:after="0"/>
              <w:rPr>
                <w:sz w:val="22"/>
                <w:szCs w:val="22"/>
                <w:color w:val="auto"/>
              </w:rPr>
            </w:pP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July 27, 2020:</w:t>
      </w:r>
    </w:p>
    <w:p>
      <w:pPr>
        <w:spacing w:after="0" w:line="156" w:lineRule="exact"/>
        <w:rPr>
          <w:sz w:val="24"/>
          <w:szCs w:val="24"/>
          <w:color w:val="auto"/>
        </w:rPr>
      </w:pPr>
    </w:p>
    <w:p>
      <w:pPr>
        <w:ind w:left="2580"/>
        <w:spacing w:after="0"/>
        <w:tabs>
          <w:tab w:leader="none" w:pos="7560" w:val="left"/>
        </w:tabs>
        <w:rPr>
          <w:sz w:val="20"/>
          <w:szCs w:val="20"/>
          <w:color w:val="auto"/>
        </w:rPr>
      </w:pPr>
      <w:r>
        <w:rPr>
          <w:rFonts w:ascii="Arial" w:cs="Arial" w:eastAsia="Arial" w:hAnsi="Arial"/>
          <w:sz w:val="14"/>
          <w:szCs w:val="14"/>
          <w:color w:val="auto"/>
        </w:rPr>
        <w:t>Class</w:t>
      </w:r>
      <w:r>
        <w:rPr>
          <w:sz w:val="20"/>
          <w:szCs w:val="20"/>
          <w:color w:val="auto"/>
        </w:rPr>
        <w:tab/>
      </w:r>
      <w:r>
        <w:rPr>
          <w:rFonts w:ascii="Arial" w:cs="Arial" w:eastAsia="Arial" w:hAnsi="Arial"/>
          <w:sz w:val="14"/>
          <w:szCs w:val="14"/>
          <w:color w:val="auto"/>
        </w:rPr>
        <w:t>Number of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70" w:right="359" w:bottom="1440" w:gutter="0" w:footer="0" w:header="0"/>
        </w:sectPr>
      </w:pPr>
    </w:p>
    <w:p>
      <w:pPr>
        <w:spacing w:after="0" w:line="63" w:lineRule="exact"/>
        <w:rPr>
          <w:sz w:val="24"/>
          <w:szCs w:val="24"/>
          <w:color w:val="auto"/>
        </w:rPr>
      </w:pPr>
    </w:p>
    <w:p>
      <w:pPr>
        <w:ind w:left="2400"/>
        <w:spacing w:after="0"/>
        <w:tabs>
          <w:tab w:leader="none" w:pos="10040" w:val="left"/>
        </w:tabs>
        <w:rPr>
          <w:sz w:val="20"/>
          <w:szCs w:val="20"/>
          <w:color w:val="auto"/>
        </w:rPr>
      </w:pPr>
      <w:r>
        <w:rPr>
          <w:rFonts w:ascii="Arial" w:cs="Arial" w:eastAsia="Arial" w:hAnsi="Arial"/>
          <w:sz w:val="17"/>
          <w:szCs w:val="17"/>
          <w:color w:val="auto"/>
        </w:rPr>
        <w:t>Common</w:t>
      </w:r>
      <w:r>
        <w:rPr>
          <w:sz w:val="20"/>
          <w:szCs w:val="20"/>
          <w:color w:val="auto"/>
        </w:rPr>
        <w:tab/>
      </w:r>
      <w:r>
        <w:rPr>
          <w:rFonts w:ascii="Arial" w:cs="Arial" w:eastAsia="Arial" w:hAnsi="Arial"/>
          <w:sz w:val="17"/>
          <w:szCs w:val="17"/>
          <w:color w:val="auto"/>
        </w:rPr>
        <w:t>956,470,372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750570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125095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70" w:right="35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100" w:type="dxa"/>
            <w:vAlign w:val="bottom"/>
          </w:tcPr>
          <w:p>
            <w:pPr>
              <w:spacing w:after="0"/>
              <w:rPr>
                <w:sz w:val="17"/>
                <w:szCs w:val="17"/>
                <w:color w:val="auto"/>
              </w:rPr>
            </w:pPr>
          </w:p>
        </w:tc>
      </w:tr>
      <w:tr>
        <w:trPr>
          <w:trHeight w:val="264"/>
        </w:trPr>
        <w:tc>
          <w:tcPr>
            <w:tcW w:w="276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Financial Information</w:t>
              </w:r>
            </w:hyperlink>
          </w:p>
        </w:tc>
        <w:tc>
          <w:tcPr>
            <w:tcW w:w="7700" w:type="dxa"/>
            <w:vAlign w:val="bottom"/>
          </w:tcPr>
          <w:p>
            <w:pPr>
              <w:spacing w:after="0"/>
              <w:rPr>
                <w:sz w:val="22"/>
                <w:szCs w:val="22"/>
                <w:color w:val="auto"/>
              </w:rPr>
            </w:pPr>
          </w:p>
        </w:tc>
        <w:tc>
          <w:tcPr>
            <w:tcW w:w="680" w:type="dxa"/>
            <w:vAlign w:val="bottom"/>
            <w:gridSpan w:val="2"/>
          </w:tcPr>
          <w:p>
            <w:pPr>
              <w:jc w:val="center"/>
              <w:ind w:left="130"/>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100" w:type="dxa"/>
            <w:vAlign w:val="bottom"/>
          </w:tcPr>
          <w:p>
            <w:pPr>
              <w:spacing w:after="0"/>
              <w:rPr>
                <w:sz w:val="22"/>
                <w:szCs w:val="22"/>
                <w:color w:val="auto"/>
              </w:rPr>
            </w:pPr>
          </w:p>
        </w:tc>
      </w:tr>
      <w:tr>
        <w:trPr>
          <w:trHeight w:val="499"/>
        </w:trPr>
        <w:tc>
          <w:tcPr>
            <w:tcW w:w="27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770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680" w:type="dxa"/>
            <w:vAlign w:val="bottom"/>
            <w:gridSpan w:val="2"/>
          </w:tcPr>
          <w:p>
            <w:pPr>
              <w:jc w:val="center"/>
              <w:ind w:left="13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4</w:t>
              </w:r>
            </w:hyperlink>
          </w:p>
        </w:tc>
        <w:tc>
          <w:tcPr>
            <w:tcW w:w="100" w:type="dxa"/>
            <w:vAlign w:val="bottom"/>
          </w:tcPr>
          <w:p>
            <w:pPr>
              <w:spacing w:after="0"/>
              <w:rPr>
                <w:sz w:val="24"/>
                <w:szCs w:val="24"/>
                <w:color w:val="auto"/>
              </w:rPr>
            </w:pPr>
          </w:p>
        </w:tc>
      </w:tr>
      <w:tr>
        <w:trPr>
          <w:trHeight w:val="229"/>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Condensed Statements of Operations</w:t>
              </w:r>
            </w:hyperlink>
          </w:p>
        </w:tc>
        <w:tc>
          <w:tcPr>
            <w:tcW w:w="680" w:type="dxa"/>
            <w:vAlign w:val="bottom"/>
            <w:gridSpan w:val="2"/>
          </w:tcPr>
          <w:p>
            <w:pPr>
              <w:jc w:val="center"/>
              <w:ind w:left="13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4</w:t>
              </w:r>
            </w:hyperlink>
          </w:p>
        </w:tc>
        <w:tc>
          <w:tcPr>
            <w:tcW w:w="10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Condensed Statements of Comprehensive Income (Loss)</w:t>
              </w:r>
            </w:hyperlink>
          </w:p>
        </w:tc>
        <w:tc>
          <w:tcPr>
            <w:tcW w:w="680" w:type="dxa"/>
            <w:vAlign w:val="bottom"/>
            <w:gridSpan w:val="2"/>
          </w:tcPr>
          <w:p>
            <w:pPr>
              <w:jc w:val="center"/>
              <w:ind w:left="13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c>
          <w:tcPr>
            <w:tcW w:w="10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Condensed Balance Sheets</w:t>
              </w:r>
            </w:hyperlink>
          </w:p>
        </w:tc>
        <w:tc>
          <w:tcPr>
            <w:tcW w:w="680" w:type="dxa"/>
            <w:vAlign w:val="bottom"/>
            <w:gridSpan w:val="2"/>
          </w:tcPr>
          <w:p>
            <w:pPr>
              <w:jc w:val="center"/>
              <w:ind w:left="13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6</w:t>
              </w:r>
            </w:hyperlink>
          </w:p>
        </w:tc>
        <w:tc>
          <w:tcPr>
            <w:tcW w:w="10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Condensed Statements of Equity</w:t>
              </w:r>
            </w:hyperlink>
          </w:p>
        </w:tc>
        <w:tc>
          <w:tcPr>
            <w:tcW w:w="680" w:type="dxa"/>
            <w:vAlign w:val="bottom"/>
            <w:gridSpan w:val="2"/>
          </w:tcPr>
          <w:p>
            <w:pPr>
              <w:jc w:val="center"/>
              <w:ind w:left="13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c>
          <w:tcPr>
            <w:tcW w:w="10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Condensed Statements of Cash Flows</w:t>
              </w:r>
            </w:hyperlink>
          </w:p>
        </w:tc>
        <w:tc>
          <w:tcPr>
            <w:tcW w:w="680" w:type="dxa"/>
            <w:vAlign w:val="bottom"/>
            <w:gridSpan w:val="2"/>
          </w:tcPr>
          <w:p>
            <w:pPr>
              <w:jc w:val="center"/>
              <w:ind w:left="13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c>
          <w:tcPr>
            <w:tcW w:w="10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700" w:type="dxa"/>
            <w:vAlign w:val="bottom"/>
          </w:tcPr>
          <w:p>
            <w:pPr>
              <w:ind w:left="3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Consolidated Condensed Financial Statements</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10</w:t>
              </w:r>
            </w:hyperlink>
          </w:p>
        </w:tc>
        <w:tc>
          <w:tcPr>
            <w:tcW w:w="100" w:type="dxa"/>
            <w:vAlign w:val="bottom"/>
          </w:tcPr>
          <w:p>
            <w:pPr>
              <w:spacing w:after="0"/>
              <w:rPr>
                <w:sz w:val="19"/>
                <w:szCs w:val="19"/>
                <w:color w:val="auto"/>
              </w:rPr>
            </w:pPr>
          </w:p>
        </w:tc>
      </w:tr>
      <w:tr>
        <w:trPr>
          <w:trHeight w:val="230"/>
        </w:trPr>
        <w:tc>
          <w:tcPr>
            <w:tcW w:w="276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2.</w:t>
              </w:r>
            </w:hyperlink>
          </w:p>
        </w:tc>
        <w:tc>
          <w:tcPr>
            <w:tcW w:w="7700" w:type="dxa"/>
            <w:vAlign w:val="bottom"/>
          </w:tcPr>
          <w:p>
            <w:pPr>
              <w:ind w:left="3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Results of Operations and Financial Condition</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35">
              <w:r>
                <w:rPr>
                  <w:rFonts w:ascii="Arial" w:cs="Arial" w:eastAsia="Arial" w:hAnsi="Arial"/>
                  <w:sz w:val="18"/>
                  <w:szCs w:val="18"/>
                  <w:u w:val="single" w:color="auto"/>
                  <w:color w:val="0000FF"/>
                  <w:w w:val="99"/>
                </w:rPr>
                <w:t>36</w:t>
              </w:r>
            </w:hyperlink>
          </w:p>
        </w:tc>
        <w:tc>
          <w:tcPr>
            <w:tcW w:w="10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Executive Overview</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36">
              <w:r>
                <w:rPr>
                  <w:rFonts w:ascii="Arial" w:cs="Arial" w:eastAsia="Arial" w:hAnsi="Arial"/>
                  <w:sz w:val="18"/>
                  <w:szCs w:val="18"/>
                  <w:u w:val="single" w:color="auto"/>
                  <w:color w:val="0000FF"/>
                  <w:w w:val="99"/>
                </w:rPr>
                <w:t>36</w:t>
              </w:r>
            </w:hyperlink>
          </w:p>
        </w:tc>
        <w:tc>
          <w:tcPr>
            <w:tcW w:w="10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Revenue</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43">
              <w:r>
                <w:rPr>
                  <w:rFonts w:ascii="Arial" w:cs="Arial" w:eastAsia="Arial" w:hAnsi="Arial"/>
                  <w:sz w:val="18"/>
                  <w:szCs w:val="18"/>
                  <w:u w:val="single" w:color="auto"/>
                  <w:color w:val="0000FF"/>
                  <w:w w:val="99"/>
                </w:rPr>
                <w:t>44</w:t>
              </w:r>
            </w:hyperlink>
          </w:p>
        </w:tc>
        <w:tc>
          <w:tcPr>
            <w:tcW w:w="10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Gross Margin, Costs, and Expenses</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47">
              <w:r>
                <w:rPr>
                  <w:rFonts w:ascii="Arial" w:cs="Arial" w:eastAsia="Arial" w:hAnsi="Arial"/>
                  <w:sz w:val="18"/>
                  <w:szCs w:val="18"/>
                  <w:u w:val="single" w:color="auto"/>
                  <w:color w:val="0000FF"/>
                  <w:w w:val="99"/>
                </w:rPr>
                <w:t>48</w:t>
              </w:r>
            </w:hyperlink>
          </w:p>
        </w:tc>
        <w:tc>
          <w:tcPr>
            <w:tcW w:w="10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700" w:type="dxa"/>
            <w:vAlign w:val="bottom"/>
          </w:tcPr>
          <w:p>
            <w:pPr>
              <w:ind w:left="5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Financial Condition</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48">
              <w:r>
                <w:rPr>
                  <w:rFonts w:ascii="Arial" w:cs="Arial" w:eastAsia="Arial" w:hAnsi="Arial"/>
                  <w:sz w:val="18"/>
                  <w:szCs w:val="18"/>
                  <w:u w:val="single" w:color="auto"/>
                  <w:color w:val="0000FF"/>
                  <w:w w:val="99"/>
                </w:rPr>
                <w:t>49</w:t>
              </w:r>
            </w:hyperlink>
          </w:p>
        </w:tc>
        <w:tc>
          <w:tcPr>
            <w:tcW w:w="10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700" w:type="dxa"/>
            <w:vAlign w:val="bottom"/>
          </w:tcPr>
          <w:p>
            <w:pPr>
              <w:ind w:left="3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Financial Expectations</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49">
              <w:r>
                <w:rPr>
                  <w:rFonts w:ascii="Arial" w:cs="Arial" w:eastAsia="Arial" w:hAnsi="Arial"/>
                  <w:sz w:val="18"/>
                  <w:szCs w:val="18"/>
                  <w:u w:val="single" w:color="auto"/>
                  <w:color w:val="0000FF"/>
                  <w:w w:val="99"/>
                </w:rPr>
                <w:t>50</w:t>
              </w:r>
            </w:hyperlink>
          </w:p>
        </w:tc>
        <w:tc>
          <w:tcPr>
            <w:tcW w:w="10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700" w:type="dxa"/>
            <w:vAlign w:val="bottom"/>
          </w:tcPr>
          <w:p>
            <w:pPr>
              <w:ind w:left="3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Available Information on our Website</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0">
              <w:r>
                <w:rPr>
                  <w:rFonts w:ascii="Arial" w:cs="Arial" w:eastAsia="Arial" w:hAnsi="Arial"/>
                  <w:sz w:val="18"/>
                  <w:szCs w:val="18"/>
                  <w:u w:val="single" w:color="auto"/>
                  <w:color w:val="0000FF"/>
                  <w:w w:val="99"/>
                </w:rPr>
                <w:t>50</w:t>
              </w:r>
            </w:hyperlink>
          </w:p>
        </w:tc>
        <w:tc>
          <w:tcPr>
            <w:tcW w:w="100" w:type="dxa"/>
            <w:vAlign w:val="bottom"/>
          </w:tcPr>
          <w:p>
            <w:pPr>
              <w:spacing w:after="0"/>
              <w:rPr>
                <w:sz w:val="19"/>
                <w:szCs w:val="19"/>
                <w:color w:val="auto"/>
              </w:rPr>
            </w:pPr>
          </w:p>
        </w:tc>
      </w:tr>
      <w:tr>
        <w:trPr>
          <w:trHeight w:val="229"/>
        </w:trPr>
        <w:tc>
          <w:tcPr>
            <w:tcW w:w="276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4.</w:t>
              </w:r>
            </w:hyperlink>
          </w:p>
        </w:tc>
        <w:tc>
          <w:tcPr>
            <w:tcW w:w="7700" w:type="dxa"/>
            <w:vAlign w:val="bottom"/>
          </w:tcPr>
          <w:p>
            <w:pPr>
              <w:ind w:left="3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Controls and Procedures</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0">
              <w:r>
                <w:rPr>
                  <w:rFonts w:ascii="Arial" w:cs="Arial" w:eastAsia="Arial" w:hAnsi="Arial"/>
                  <w:sz w:val="18"/>
                  <w:szCs w:val="18"/>
                  <w:u w:val="single" w:color="auto"/>
                  <w:color w:val="0000FF"/>
                  <w:w w:val="99"/>
                </w:rPr>
                <w:t>51</w:t>
              </w:r>
            </w:hyperlink>
          </w:p>
        </w:tc>
        <w:tc>
          <w:tcPr>
            <w:tcW w:w="100" w:type="dxa"/>
            <w:vAlign w:val="bottom"/>
          </w:tcPr>
          <w:p>
            <w:pPr>
              <w:spacing w:after="0"/>
              <w:rPr>
                <w:sz w:val="19"/>
                <w:szCs w:val="19"/>
                <w:color w:val="auto"/>
              </w:rPr>
            </w:pPr>
          </w:p>
        </w:tc>
      </w:tr>
      <w:tr>
        <w:trPr>
          <w:trHeight w:val="500"/>
        </w:trPr>
        <w:tc>
          <w:tcPr>
            <w:tcW w:w="276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PART II. Other Information</w:t>
              </w:r>
            </w:hyperlink>
          </w:p>
        </w:tc>
        <w:tc>
          <w:tcPr>
            <w:tcW w:w="7700" w:type="dxa"/>
            <w:vAlign w:val="bottom"/>
          </w:tcPr>
          <w:p>
            <w:pPr>
              <w:spacing w:after="0"/>
              <w:rPr>
                <w:sz w:val="24"/>
                <w:szCs w:val="24"/>
                <w:color w:val="auto"/>
              </w:rPr>
            </w:pPr>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1">
              <w:r>
                <w:rPr>
                  <w:rFonts w:ascii="Arial" w:cs="Arial" w:eastAsia="Arial" w:hAnsi="Arial"/>
                  <w:sz w:val="18"/>
                  <w:szCs w:val="18"/>
                  <w:u w:val="single" w:color="auto"/>
                  <w:color w:val="0000FF"/>
                  <w:w w:val="99"/>
                </w:rPr>
                <w:t>52</w:t>
              </w:r>
            </w:hyperlink>
          </w:p>
        </w:tc>
        <w:tc>
          <w:tcPr>
            <w:tcW w:w="100" w:type="dxa"/>
            <w:vAlign w:val="bottom"/>
          </w:tcPr>
          <w:p>
            <w:pPr>
              <w:spacing w:after="0"/>
              <w:rPr>
                <w:sz w:val="24"/>
                <w:szCs w:val="24"/>
                <w:color w:val="auto"/>
              </w:rPr>
            </w:pPr>
          </w:p>
        </w:tc>
      </w:tr>
      <w:tr>
        <w:trPr>
          <w:trHeight w:val="500"/>
        </w:trPr>
        <w:tc>
          <w:tcPr>
            <w:tcW w:w="276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1.</w:t>
              </w:r>
            </w:hyperlink>
          </w:p>
        </w:tc>
        <w:tc>
          <w:tcPr>
            <w:tcW w:w="7700" w:type="dxa"/>
            <w:vAlign w:val="bottom"/>
          </w:tcPr>
          <w:p>
            <w:pPr>
              <w:ind w:left="3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Legal Proceedings</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2">
              <w:r>
                <w:rPr>
                  <w:rFonts w:ascii="Arial" w:cs="Arial" w:eastAsia="Arial" w:hAnsi="Arial"/>
                  <w:sz w:val="18"/>
                  <w:szCs w:val="18"/>
                  <w:u w:val="single" w:color="auto"/>
                  <w:color w:val="0000FF"/>
                  <w:w w:val="99"/>
                </w:rPr>
                <w:t>52</w:t>
              </w:r>
            </w:hyperlink>
          </w:p>
        </w:tc>
        <w:tc>
          <w:tcPr>
            <w:tcW w:w="100" w:type="dxa"/>
            <w:vAlign w:val="bottom"/>
          </w:tcPr>
          <w:p>
            <w:pPr>
              <w:spacing w:after="0"/>
              <w:rPr>
                <w:sz w:val="24"/>
                <w:szCs w:val="24"/>
                <w:color w:val="auto"/>
              </w:rPr>
            </w:pPr>
          </w:p>
        </w:tc>
      </w:tr>
      <w:tr>
        <w:trPr>
          <w:trHeight w:val="230"/>
        </w:trPr>
        <w:tc>
          <w:tcPr>
            <w:tcW w:w="276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1A.</w:t>
              </w:r>
            </w:hyperlink>
          </w:p>
        </w:tc>
        <w:tc>
          <w:tcPr>
            <w:tcW w:w="7700" w:type="dxa"/>
            <w:vAlign w:val="bottom"/>
          </w:tcPr>
          <w:p>
            <w:pPr>
              <w:ind w:left="3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Risk Factors</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2">
              <w:r>
                <w:rPr>
                  <w:rFonts w:ascii="Arial" w:cs="Arial" w:eastAsia="Arial" w:hAnsi="Arial"/>
                  <w:sz w:val="18"/>
                  <w:szCs w:val="18"/>
                  <w:u w:val="single" w:color="auto"/>
                  <w:color w:val="0000FF"/>
                  <w:w w:val="99"/>
                </w:rPr>
                <w:t>52</w:t>
              </w:r>
            </w:hyperlink>
          </w:p>
        </w:tc>
        <w:tc>
          <w:tcPr>
            <w:tcW w:w="100" w:type="dxa"/>
            <w:vAlign w:val="bottom"/>
          </w:tcPr>
          <w:p>
            <w:pPr>
              <w:spacing w:after="0"/>
              <w:rPr>
                <w:sz w:val="19"/>
                <w:szCs w:val="19"/>
                <w:color w:val="auto"/>
              </w:rPr>
            </w:pPr>
          </w:p>
        </w:tc>
      </w:tr>
      <w:tr>
        <w:trPr>
          <w:trHeight w:val="229"/>
        </w:trPr>
        <w:tc>
          <w:tcPr>
            <w:tcW w:w="276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2.</w:t>
              </w:r>
            </w:hyperlink>
          </w:p>
        </w:tc>
        <w:tc>
          <w:tcPr>
            <w:tcW w:w="7700" w:type="dxa"/>
            <w:vAlign w:val="bottom"/>
          </w:tcPr>
          <w:p>
            <w:pPr>
              <w:ind w:left="3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Unregistered Sales of Equity Securities and Use of Proceeds</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3">
              <w:r>
                <w:rPr>
                  <w:rFonts w:ascii="Arial" w:cs="Arial" w:eastAsia="Arial" w:hAnsi="Arial"/>
                  <w:sz w:val="18"/>
                  <w:szCs w:val="18"/>
                  <w:u w:val="single" w:color="auto"/>
                  <w:color w:val="0000FF"/>
                  <w:w w:val="99"/>
                </w:rPr>
                <w:t>53</w:t>
              </w:r>
            </w:hyperlink>
          </w:p>
        </w:tc>
        <w:tc>
          <w:tcPr>
            <w:tcW w:w="100" w:type="dxa"/>
            <w:vAlign w:val="bottom"/>
          </w:tcPr>
          <w:p>
            <w:pPr>
              <w:spacing w:after="0"/>
              <w:rPr>
                <w:sz w:val="19"/>
                <w:szCs w:val="19"/>
                <w:color w:val="auto"/>
              </w:rPr>
            </w:pPr>
          </w:p>
        </w:tc>
      </w:tr>
      <w:tr>
        <w:trPr>
          <w:trHeight w:val="230"/>
        </w:trPr>
        <w:tc>
          <w:tcPr>
            <w:tcW w:w="276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6.</w:t>
              </w:r>
            </w:hyperlink>
          </w:p>
        </w:tc>
        <w:tc>
          <w:tcPr>
            <w:tcW w:w="7700" w:type="dxa"/>
            <w:vAlign w:val="bottom"/>
          </w:tcPr>
          <w:p>
            <w:pPr>
              <w:ind w:left="3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Exhibits</w:t>
              </w:r>
            </w:hyperlink>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3">
              <w:r>
                <w:rPr>
                  <w:rFonts w:ascii="Arial" w:cs="Arial" w:eastAsia="Arial" w:hAnsi="Arial"/>
                  <w:sz w:val="18"/>
                  <w:szCs w:val="18"/>
                  <w:u w:val="single" w:color="auto"/>
                  <w:color w:val="0000FF"/>
                  <w:w w:val="99"/>
                </w:rPr>
                <w:t>54</w:t>
              </w:r>
            </w:hyperlink>
          </w:p>
        </w:tc>
        <w:tc>
          <w:tcPr>
            <w:tcW w:w="100" w:type="dxa"/>
            <w:vAlign w:val="bottom"/>
          </w:tcPr>
          <w:p>
            <w:pPr>
              <w:spacing w:after="0"/>
              <w:rPr>
                <w:sz w:val="19"/>
                <w:szCs w:val="19"/>
                <w:color w:val="auto"/>
              </w:rPr>
            </w:pPr>
          </w:p>
        </w:tc>
      </w:tr>
      <w:tr>
        <w:trPr>
          <w:trHeight w:val="500"/>
        </w:trPr>
        <w:tc>
          <w:tcPr>
            <w:tcW w:w="276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Index to Exhibits</w:t>
              </w:r>
            </w:hyperlink>
          </w:p>
        </w:tc>
        <w:tc>
          <w:tcPr>
            <w:tcW w:w="7700" w:type="dxa"/>
            <w:vAlign w:val="bottom"/>
          </w:tcPr>
          <w:p>
            <w:pPr>
              <w:spacing w:after="0"/>
              <w:rPr>
                <w:sz w:val="24"/>
                <w:szCs w:val="24"/>
                <w:color w:val="auto"/>
              </w:rPr>
            </w:pPr>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4">
              <w:r>
                <w:rPr>
                  <w:rFonts w:ascii="Arial" w:cs="Arial" w:eastAsia="Arial" w:hAnsi="Arial"/>
                  <w:sz w:val="18"/>
                  <w:szCs w:val="18"/>
                  <w:u w:val="single" w:color="auto"/>
                  <w:color w:val="0000FF"/>
                  <w:w w:val="99"/>
                </w:rPr>
                <w:t>55</w:t>
              </w:r>
            </w:hyperlink>
          </w:p>
        </w:tc>
        <w:tc>
          <w:tcPr>
            <w:tcW w:w="100" w:type="dxa"/>
            <w:vAlign w:val="bottom"/>
          </w:tcPr>
          <w:p>
            <w:pPr>
              <w:spacing w:after="0"/>
              <w:rPr>
                <w:sz w:val="24"/>
                <w:szCs w:val="24"/>
                <w:color w:val="auto"/>
              </w:rPr>
            </w:pPr>
          </w:p>
        </w:tc>
      </w:tr>
      <w:tr>
        <w:trPr>
          <w:trHeight w:val="230"/>
        </w:trPr>
        <w:tc>
          <w:tcPr>
            <w:tcW w:w="276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Signatures</w:t>
              </w:r>
            </w:hyperlink>
          </w:p>
        </w:tc>
        <w:tc>
          <w:tcPr>
            <w:tcW w:w="7700" w:type="dxa"/>
            <w:vAlign w:val="bottom"/>
          </w:tcPr>
          <w:p>
            <w:pPr>
              <w:spacing w:after="0"/>
              <w:rPr>
                <w:sz w:val="19"/>
                <w:szCs w:val="19"/>
                <w:color w:val="auto"/>
              </w:rPr>
            </w:pPr>
          </w:p>
        </w:tc>
        <w:tc>
          <w:tcPr>
            <w:tcW w:w="680" w:type="dxa"/>
            <w:vAlign w:val="bottom"/>
            <w:gridSpan w:val="2"/>
          </w:tcPr>
          <w:p>
            <w:pPr>
              <w:jc w:val="center"/>
              <w:ind w:left="150"/>
              <w:spacing w:after="0"/>
              <w:rPr>
                <w:rFonts w:ascii="Arial" w:cs="Arial" w:eastAsia="Arial" w:hAnsi="Arial"/>
                <w:sz w:val="18"/>
                <w:szCs w:val="18"/>
                <w:u w:val="single" w:color="auto"/>
                <w:color w:val="0000FF"/>
                <w:w w:val="99"/>
              </w:rPr>
            </w:pPr>
            <w:hyperlink w:anchor="page55">
              <w:r>
                <w:rPr>
                  <w:rFonts w:ascii="Arial" w:cs="Arial" w:eastAsia="Arial" w:hAnsi="Arial"/>
                  <w:sz w:val="18"/>
                  <w:szCs w:val="18"/>
                  <w:u w:val="single" w:color="auto"/>
                  <w:color w:val="0000FF"/>
                  <w:w w:val="99"/>
                </w:rPr>
                <w:t>55</w:t>
              </w:r>
            </w:hyperlink>
          </w:p>
        </w:tc>
        <w:tc>
          <w:tcPr>
            <w:tcW w:w="100" w:type="dxa"/>
            <w:vAlign w:val="bottom"/>
          </w:tcPr>
          <w:p>
            <w:pPr>
              <w:spacing w:after="0"/>
              <w:rPr>
                <w:sz w:val="19"/>
                <w:szCs w:val="19"/>
                <w:color w:val="auto"/>
              </w:rPr>
            </w:pPr>
          </w:p>
        </w:tc>
      </w:tr>
      <w:tr>
        <w:trPr>
          <w:trHeight w:val="864"/>
        </w:trPr>
        <w:tc>
          <w:tcPr>
            <w:tcW w:w="2760" w:type="dxa"/>
            <w:vAlign w:val="bottom"/>
          </w:tcPr>
          <w:p>
            <w:pPr>
              <w:spacing w:after="0"/>
              <w:rPr>
                <w:sz w:val="24"/>
                <w:szCs w:val="24"/>
                <w:color w:val="auto"/>
              </w:rPr>
            </w:pPr>
          </w:p>
        </w:tc>
        <w:tc>
          <w:tcPr>
            <w:tcW w:w="7700" w:type="dxa"/>
            <w:vAlign w:val="bottom"/>
          </w:tcPr>
          <w:p>
            <w:pPr>
              <w:ind w:left="28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7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Section 21E of the Securities Exchange Act of 1934, and the Private Securities Litigation Reform Act of 1995.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7" w:lineRule="exact"/>
        <w:rPr>
          <w:sz w:val="20"/>
          <w:szCs w:val="20"/>
          <w:color w:val="auto"/>
        </w:rPr>
      </w:pPr>
    </w:p>
    <w:p>
      <w:pPr>
        <w:ind w:left="660" w:right="2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in the pharmaceutical research and development process, including with respect to the timing of anticipated regulatory approvals and launches of new products;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49" w:lineRule="exact"/>
        <w:rPr>
          <w:rFonts w:ascii="Arial" w:cs="Arial" w:eastAsia="Arial" w:hAnsi="Arial"/>
          <w:sz w:val="18"/>
          <w:szCs w:val="18"/>
          <w:color w:val="auto"/>
        </w:rPr>
      </w:pPr>
    </w:p>
    <w:p>
      <w:pPr>
        <w:ind w:left="660" w:right="44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41" w:lineRule="exact"/>
        <w:rPr>
          <w:rFonts w:ascii="Arial" w:cs="Arial" w:eastAsia="Arial" w:hAnsi="Arial"/>
          <w:sz w:val="18"/>
          <w:szCs w:val="18"/>
          <w:color w:val="auto"/>
        </w:rPr>
      </w:pPr>
    </w:p>
    <w:p>
      <w:pPr>
        <w:ind w:left="66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misappropriation, or compromise of trade secrets or other confidential data stored in our information systems, networks, and facilities, or those of third parties with whom we share our data;</w:t>
      </w:r>
    </w:p>
    <w:p>
      <w:pPr>
        <w:spacing w:after="0" w:line="41" w:lineRule="exact"/>
        <w:rPr>
          <w:rFonts w:ascii="Arial" w:cs="Arial" w:eastAsia="Arial" w:hAnsi="Arial"/>
          <w:sz w:val="18"/>
          <w:szCs w:val="18"/>
          <w:color w:val="auto"/>
        </w:rPr>
      </w:pPr>
    </w:p>
    <w:p>
      <w:pPr>
        <w:ind w:left="660" w:right="28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including the impact of United States tax reform legislation enacted in December 2017 and related guidance, or events that differ from our assumptions related to tax positions;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49" w:lineRule="exact"/>
        <w:rPr>
          <w:rFonts w:ascii="Arial" w:cs="Arial" w:eastAsia="Arial" w:hAnsi="Arial"/>
          <w:sz w:val="18"/>
          <w:szCs w:val="18"/>
          <w:color w:val="auto"/>
        </w:rPr>
      </w:pPr>
    </w:p>
    <w:p>
      <w:pPr>
        <w:ind w:left="660" w:right="40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04" w:lineRule="exact"/>
        <w:rPr>
          <w:sz w:val="20"/>
          <w:szCs w:val="20"/>
          <w:color w:val="auto"/>
        </w:rPr>
      </w:pPr>
    </w:p>
    <w:p>
      <w:pPr>
        <w:jc w:val="both"/>
        <w:ind w:right="100"/>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More information on factors that could cause actual results or events to differ materially from those anticipated is included from time to time in our reports filed with the SEC, including in Part II, Item 1A of this Form 10-Q, our Quarterly Report on </w:t>
      </w:r>
      <w:hyperlink r:id="rId16">
        <w:r>
          <w:rPr>
            <w:rFonts w:ascii="Arial" w:cs="Arial" w:eastAsia="Arial" w:hAnsi="Arial"/>
            <w:sz w:val="17"/>
            <w:szCs w:val="17"/>
            <w:u w:val="single" w:color="auto"/>
            <w:color w:val="0000FF"/>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quarter ended March 31, 2020, and in our Annual Report on </w:t>
      </w:r>
      <w:hyperlink r:id="rId17">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2019, particularly under the caption “Risk Factors”.</w:t>
      </w:r>
    </w:p>
    <w:p>
      <w:pPr>
        <w:spacing w:after="0" w:line="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5,499.4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5,636.7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11,359.2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10,728.9</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1,222.0</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1,124.9</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2,437.1</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2,263.6</w:t>
            </w:r>
          </w:p>
        </w:tc>
      </w:tr>
      <w:tr>
        <w:trPr>
          <w:trHeight w:val="250"/>
        </w:trPr>
        <w:tc>
          <w:tcPr>
            <w:tcW w:w="64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1,390.2</w:t>
            </w:r>
          </w:p>
        </w:tc>
        <w:tc>
          <w:tcPr>
            <w:tcW w:w="340" w:type="dxa"/>
            <w:vAlign w:val="bottom"/>
          </w:tcPr>
          <w:p>
            <w:pPr>
              <w:spacing w:after="0"/>
              <w:rPr>
                <w:sz w:val="21"/>
                <w:szCs w:val="21"/>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1,402.2</w:t>
            </w:r>
          </w:p>
        </w:tc>
        <w:tc>
          <w:tcPr>
            <w:tcW w:w="26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rPr>
              <w:t>2,782.3</w:t>
            </w:r>
          </w:p>
        </w:tc>
        <w:tc>
          <w:tcPr>
            <w:tcW w:w="3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2,632.7</w:t>
            </w:r>
          </w:p>
        </w:tc>
      </w:tr>
      <w:tr>
        <w:trPr>
          <w:trHeight w:val="263"/>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 selling, and administrative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1,448.6</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1,586.3</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2,998.2</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3,103.4</w:t>
            </w:r>
          </w:p>
        </w:tc>
      </w:tr>
      <w:tr>
        <w:trPr>
          <w:trHeight w:val="257"/>
        </w:trPr>
        <w:tc>
          <w:tcPr>
            <w:tcW w:w="648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220" w:type="dxa"/>
            <w:vAlign w:val="bottom"/>
          </w:tcPr>
          <w:p>
            <w:pPr>
              <w:spacing w:after="0"/>
              <w:rPr>
                <w:sz w:val="22"/>
                <w:szCs w:val="22"/>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241.8</w:t>
            </w:r>
          </w:p>
        </w:tc>
        <w:tc>
          <w:tcPr>
            <w:tcW w:w="340" w:type="dxa"/>
            <w:vAlign w:val="bottom"/>
          </w:tcPr>
          <w:p>
            <w:pPr>
              <w:spacing w:after="0"/>
              <w:rPr>
                <w:sz w:val="22"/>
                <w:szCs w:val="22"/>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22"/>
                <w:szCs w:val="22"/>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rPr>
              <w:t>294.1</w:t>
            </w:r>
          </w:p>
        </w:tc>
        <w:tc>
          <w:tcPr>
            <w:tcW w:w="320" w:type="dxa"/>
            <w:vAlign w:val="bottom"/>
          </w:tcPr>
          <w:p>
            <w:pPr>
              <w:spacing w:after="0"/>
              <w:rPr>
                <w:sz w:val="22"/>
                <w:szCs w:val="22"/>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161.9</w:t>
            </w:r>
          </w:p>
        </w:tc>
      </w:tr>
      <w:tr>
        <w:trPr>
          <w:trHeight w:val="256"/>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6)</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59.9</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423.9</w:t>
            </w:r>
          </w:p>
        </w:tc>
      </w:tr>
      <w:tr>
        <w:trPr>
          <w:trHeight w:val="250"/>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Other–net, (income) expense (Note 12)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(446.9)</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(536.0)</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(53.6)</w:t>
            </w:r>
          </w:p>
        </w:tc>
      </w:tr>
      <w:tr>
        <w:trPr>
          <w:trHeight w:val="250"/>
        </w:trPr>
        <w:tc>
          <w:tcPr>
            <w:tcW w:w="64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3,855.7</w:t>
            </w: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4,170.8</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8,035.6</w:t>
            </w: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8,531.9</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1,643.7</w:t>
            </w:r>
          </w:p>
        </w:tc>
        <w:tc>
          <w:tcPr>
            <w:tcW w:w="340" w:type="dxa"/>
            <w:vAlign w:val="bottom"/>
          </w:tcPr>
          <w:p>
            <w:pPr>
              <w:spacing w:after="0"/>
              <w:rPr>
                <w:sz w:val="21"/>
                <w:szCs w:val="21"/>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1,465.9</w:t>
            </w:r>
          </w:p>
        </w:tc>
        <w:tc>
          <w:tcPr>
            <w:tcW w:w="26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rPr>
              <w:t>3,323.6</w:t>
            </w:r>
          </w:p>
        </w:tc>
        <w:tc>
          <w:tcPr>
            <w:tcW w:w="3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2,197.0</w:t>
            </w: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8)</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231.7</w:t>
            </w: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138.7</w:t>
            </w: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455.1</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308.7</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1,412.0</w:t>
            </w:r>
          </w:p>
        </w:tc>
        <w:tc>
          <w:tcPr>
            <w:tcW w:w="340" w:type="dxa"/>
            <w:vAlign w:val="bottom"/>
          </w:tcPr>
          <w:p>
            <w:pPr>
              <w:spacing w:after="0"/>
              <w:rPr>
                <w:sz w:val="21"/>
                <w:szCs w:val="21"/>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1,327.2</w:t>
            </w:r>
          </w:p>
        </w:tc>
        <w:tc>
          <w:tcPr>
            <w:tcW w:w="26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rPr>
              <w:t>2,868.5</w:t>
            </w:r>
          </w:p>
        </w:tc>
        <w:tc>
          <w:tcPr>
            <w:tcW w:w="3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1,888.3</w:t>
            </w: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 (Note 5)</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3,680.5</w:t>
            </w:r>
          </w:p>
        </w:tc>
      </w:tr>
      <w:tr>
        <w:trPr>
          <w:trHeight w:val="26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1,412.0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1,327.2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2,868.5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5,568.8</w:t>
            </w:r>
          </w:p>
        </w:tc>
      </w:tr>
      <w:tr>
        <w:trPr>
          <w:trHeight w:val="256"/>
        </w:trPr>
        <w:tc>
          <w:tcPr>
            <w:tcW w:w="6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from continuing operations - 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1.56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1.99</w:t>
            </w:r>
          </w:p>
        </w:tc>
      </w:tr>
      <w:tr>
        <w:trPr>
          <w:trHeight w:val="250"/>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Earnings from discontinued operations - basic</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3.87</w:t>
            </w:r>
          </w:p>
        </w:tc>
      </w:tr>
      <w:tr>
        <w:trPr>
          <w:trHeight w:val="264"/>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Earnings per share - 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1.56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5.86</w:t>
            </w:r>
          </w:p>
        </w:tc>
      </w:tr>
      <w:tr>
        <w:trPr>
          <w:trHeight w:val="256"/>
        </w:trPr>
        <w:tc>
          <w:tcPr>
            <w:tcW w:w="6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7"/>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from continuing operations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1.55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r>
      <w:tr>
        <w:trPr>
          <w:trHeight w:val="250"/>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Earnings from discontinued operations - diluted</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3.86</w:t>
            </w:r>
          </w:p>
        </w:tc>
      </w:tr>
      <w:tr>
        <w:trPr>
          <w:trHeight w:val="263"/>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Earnings per share -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1.55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5.84</w:t>
            </w:r>
          </w:p>
        </w:tc>
      </w:tr>
      <w:tr>
        <w:trPr>
          <w:trHeight w:val="257"/>
        </w:trPr>
        <w:tc>
          <w:tcPr>
            <w:tcW w:w="6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0"/>
        </w:trPr>
        <w:tc>
          <w:tcPr>
            <w:tcW w:w="64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907.2</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920.8</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907.7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950.4</w:t>
            </w:r>
          </w:p>
        </w:tc>
      </w:tr>
      <w:tr>
        <w:trPr>
          <w:trHeight w:val="263"/>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910.9</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911.6</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32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1,412.0</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1,327.2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2,868.5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5,568.8</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Other comprehensive income (loss) from continuing operations, net of tax</w:t>
            </w:r>
          </w:p>
        </w:tc>
        <w:tc>
          <w:tcPr>
            <w:tcW w:w="280" w:type="dxa"/>
            <w:vAlign w:val="bottom"/>
          </w:tcPr>
          <w:p>
            <w:pPr>
              <w:spacing w:after="0"/>
              <w:rPr>
                <w:sz w:val="19"/>
                <w:szCs w:val="19"/>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203.0</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(159.3)</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Arial" w:cs="Arial" w:eastAsia="Arial" w:hAnsi="Arial"/>
                <w:sz w:val="18"/>
                <w:szCs w:val="18"/>
                <w:color w:val="auto"/>
              </w:rPr>
              <w:t>(Note 11)</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87.0</w:t>
            </w: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5"/>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from discontinued operations, net of tax</w:t>
            </w:r>
          </w:p>
        </w:tc>
        <w:tc>
          <w:tcPr>
            <w:tcW w:w="28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11)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 (Note 11)</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203.0</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87.0</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(159.3)</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1,615.0</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1,414.2</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2,709.2</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5,708.5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(Unaudited)</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(Note 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2,365.1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Short-term investments (Note 7)</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22.8</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$26.6 (2020)</w:t>
            </w:r>
            <w:r>
              <w:rPr>
                <w:rFonts w:ascii="Arial" w:cs="Arial" w:eastAsia="Arial" w:hAnsi="Arial"/>
                <w:sz w:val="18"/>
                <w:szCs w:val="18"/>
                <w:color w:val="auto"/>
              </w:rPr>
              <w:t xml:space="preserve"> and $22.4 (2019)</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4,828.9</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4,547.3</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946.7</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3,313.9</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3,190.7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3,104.5</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2,538.9</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14,581.9</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13,709.6</w:t>
            </w: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Investments (Note 7)</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2,406.4</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3,723.2</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3,679.4</w:t>
            </w: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7,712.5</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6,618.0</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2,481.8</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188"/>
        </w:trPr>
        <w:tc>
          <w:tcPr>
            <w:tcW w:w="7440" w:type="dxa"/>
            <w:vAlign w:val="bottom"/>
          </w:tcPr>
          <w:p>
            <w:pPr>
              <w:ind w:left="20"/>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$9,297.0 (2020)</w:t>
            </w:r>
            <w:r>
              <w:rPr>
                <w:rFonts w:ascii="Arial" w:cs="Arial" w:eastAsia="Arial" w:hAnsi="Arial"/>
                <w:sz w:val="18"/>
                <w:szCs w:val="18"/>
                <w:color w:val="auto"/>
              </w:rPr>
              <w:t xml:space="preserve"> and $9,161.6</w:t>
            </w:r>
          </w:p>
        </w:tc>
        <w:tc>
          <w:tcPr>
            <w:tcW w:w="280" w:type="dxa"/>
            <w:vAlign w:val="bottom"/>
          </w:tcPr>
          <w:p>
            <w:pPr>
              <w:spacing w:after="0"/>
              <w:rPr>
                <w:sz w:val="16"/>
                <w:szCs w:val="16"/>
                <w:color w:val="auto"/>
              </w:rPr>
            </w:pPr>
          </w:p>
        </w:tc>
        <w:tc>
          <w:tcPr>
            <w:tcW w:w="158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rPr>
              <w:t>7,981.1</w:t>
            </w:r>
          </w:p>
        </w:tc>
        <w:tc>
          <w:tcPr>
            <w:tcW w:w="280" w:type="dxa"/>
            <w:vAlign w:val="bottom"/>
          </w:tcPr>
          <w:p>
            <w:pPr>
              <w:spacing w:after="0"/>
              <w:rPr>
                <w:sz w:val="16"/>
                <w:szCs w:val="16"/>
                <w:color w:val="auto"/>
              </w:rPr>
            </w:pPr>
          </w:p>
        </w:tc>
        <w:tc>
          <w:tcPr>
            <w:tcW w:w="1660" w:type="dxa"/>
            <w:vAlign w:val="bottom"/>
            <w:vMerge w:val="restart"/>
          </w:tcPr>
          <w:p>
            <w:pPr>
              <w:jc w:val="right"/>
              <w:ind w:right="70"/>
              <w:spacing w:after="0"/>
              <w:rPr>
                <w:sz w:val="20"/>
                <w:szCs w:val="20"/>
                <w:color w:val="auto"/>
              </w:rPr>
            </w:pPr>
            <w:r>
              <w:rPr>
                <w:rFonts w:ascii="Arial" w:cs="Arial" w:eastAsia="Arial" w:hAnsi="Arial"/>
                <w:sz w:val="18"/>
                <w:szCs w:val="18"/>
                <w:color w:val="auto"/>
              </w:rPr>
              <w:t>7,872.9</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3,080.1</w:t>
            </w:r>
          </w:p>
        </w:tc>
        <w:tc>
          <w:tcPr>
            <w:tcW w:w="2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41,967.0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39,286.1</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1,263.8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1,499.3</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1,247.2</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1,405.3</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compensation</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673.6</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Sales rebates and discounts</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5,282.2</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4,933.6</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payable</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1,460.8</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2,060.9</w:t>
            </w:r>
          </w:p>
        </w:tc>
        <w:tc>
          <w:tcPr>
            <w:tcW w:w="2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2,189.4</w:t>
            </w: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11,988.5</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11,775.2</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Other Liabilities</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15,064.4</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13,817.9</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retirement benefits (Note 9)</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3,398.6</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3,698.2</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Long-term income taxes payable</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3,377.5</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3,607.2</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2,039.2</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2,187.5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1,826.8</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25,706.5</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24,811.8</w:t>
            </w: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10)</w:t>
            </w: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Eli Lilly and Company Shareholders’ Equity</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598.1</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6,629.4</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6,685.3</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6,617.2</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4,920.4</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benefit trust</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(3,013.2)</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Accumulated other comprehensive loss (Note 11)</w:t>
            </w:r>
          </w:p>
        </w:tc>
        <w:tc>
          <w:tcPr>
            <w:tcW w:w="28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b w:val="1"/>
                <w:bCs w:val="1"/>
                <w:color w:val="auto"/>
              </w:rPr>
              <w:t>(6,682.9)</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common stock in treasury</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(55.7)</w:t>
            </w:r>
          </w:p>
        </w:tc>
        <w:tc>
          <w:tcPr>
            <w:tcW w:w="2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28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b w:val="1"/>
                <w:bCs w:val="1"/>
                <w:color w:val="auto"/>
              </w:rPr>
              <w:t>4,092.9</w:t>
            </w:r>
          </w:p>
        </w:tc>
        <w:tc>
          <w:tcPr>
            <w:tcW w:w="2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2,606.9</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179.1</w:t>
            </w:r>
          </w:p>
        </w:tc>
        <w:tc>
          <w:tcPr>
            <w:tcW w:w="2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4,272.0</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2,699.1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41,967.0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39,286.1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240"/>
          </w:cols>
          <w:pgMar w:left="320" w:top="603"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43" w:lineRule="exact"/>
        <w:rPr>
          <w:sz w:val="20"/>
          <w:szCs w:val="20"/>
          <w:color w:val="auto"/>
        </w:rPr>
      </w:pPr>
    </w:p>
    <w:tbl>
      <w:tblPr>
        <w:tblLayout w:type="fixed"/>
        <w:tblInd w:w="32" w:type="dxa"/>
        <w:tblCellMar>
          <w:top w:w="0" w:type="dxa"/>
          <w:left w:w="0" w:type="dxa"/>
          <w:bottom w:w="0" w:type="dxa"/>
          <w:right w:w="0" w:type="dxa"/>
        </w:tblCellMar>
      </w:tblPr>
      <w:tr>
        <w:trPr>
          <w:trHeight w:val="142"/>
        </w:trPr>
        <w:tc>
          <w:tcPr>
            <w:tcW w:w="2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gridSpan w:val="6"/>
          </w:tcPr>
          <w:p>
            <w:pPr>
              <w:jc w:val="right"/>
              <w:ind w:right="819"/>
              <w:spacing w:after="0"/>
              <w:rPr>
                <w:sz w:val="20"/>
                <w:szCs w:val="20"/>
                <w:color w:val="auto"/>
              </w:rPr>
            </w:pPr>
            <w:r>
              <w:rPr>
                <w:rFonts w:ascii="Arial" w:cs="Arial" w:eastAsia="Arial" w:hAnsi="Arial"/>
                <w:sz w:val="11"/>
                <w:szCs w:val="11"/>
                <w:b w:val="1"/>
                <w:bCs w:val="1"/>
                <w:color w:val="auto"/>
              </w:rPr>
              <w:t>Equity of Eli Lilly and Company Shareholders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580" w:type="dxa"/>
            <w:vAlign w:val="bottom"/>
            <w:gridSpan w:val="3"/>
          </w:tcPr>
          <w:p>
            <w:pPr>
              <w:jc w:val="right"/>
              <w:ind w:right="33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96"/>
              </w:rPr>
              <w:t>Additional</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00" w:type="dxa"/>
            <w:vAlign w:val="bottom"/>
            <w:gridSpan w:val="3"/>
          </w:tcPr>
          <w:p>
            <w:pPr>
              <w:jc w:val="right"/>
              <w:ind w:right="58"/>
              <w:spacing w:after="0"/>
              <w:rPr>
                <w:sz w:val="20"/>
                <w:szCs w:val="20"/>
                <w:color w:val="auto"/>
              </w:rPr>
            </w:pPr>
            <w:r>
              <w:rPr>
                <w:rFonts w:ascii="Arial" w:cs="Arial" w:eastAsia="Arial" w:hAnsi="Arial"/>
                <w:sz w:val="11"/>
                <w:szCs w:val="11"/>
                <w:b w:val="1"/>
                <w:bCs w:val="1"/>
                <w:color w:val="auto"/>
              </w:rPr>
              <w:t>Common Stock in Treasury</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106" w:lineRule="exact"/>
              <w:rPr>
                <w:sz w:val="20"/>
                <w:szCs w:val="20"/>
                <w:color w:val="auto"/>
              </w:rPr>
            </w:pPr>
            <w:r>
              <w:rPr>
                <w:rFonts w:ascii="Arial" w:cs="Arial" w:eastAsia="Arial" w:hAnsi="Arial"/>
                <w:sz w:val="11"/>
                <w:szCs w:val="11"/>
                <w:b w:val="1"/>
                <w:bCs w:val="1"/>
                <w:color w:val="auto"/>
              </w:rPr>
              <w:t>(Dollars in millions, except per-share data, and</w:t>
            </w: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vMerge w:val="restart"/>
          </w:tcPr>
          <w:p>
            <w:pPr>
              <w:jc w:val="right"/>
              <w:ind w:right="79"/>
              <w:spacing w:after="0" w:line="106" w:lineRule="exact"/>
              <w:rPr>
                <w:sz w:val="20"/>
                <w:szCs w:val="20"/>
                <w:color w:val="auto"/>
              </w:rPr>
            </w:pPr>
            <w:r>
              <w:rPr>
                <w:rFonts w:ascii="Arial" w:cs="Arial" w:eastAsia="Arial" w:hAnsi="Arial"/>
                <w:sz w:val="11"/>
                <w:szCs w:val="11"/>
                <w:b w:val="1"/>
                <w:bCs w:val="1"/>
                <w:color w:val="auto"/>
              </w:rPr>
              <w:t>Paid-in</w:t>
            </w:r>
          </w:p>
        </w:tc>
        <w:tc>
          <w:tcPr>
            <w:tcW w:w="280" w:type="dxa"/>
            <w:vAlign w:val="bottom"/>
          </w:tcPr>
          <w:p>
            <w:pPr>
              <w:spacing w:after="0"/>
              <w:rPr>
                <w:sz w:val="4"/>
                <w:szCs w:val="4"/>
                <w:color w:val="auto"/>
              </w:rPr>
            </w:pPr>
          </w:p>
        </w:tc>
        <w:tc>
          <w:tcPr>
            <w:tcW w:w="660" w:type="dxa"/>
            <w:vAlign w:val="bottom"/>
            <w:vMerge w:val="restart"/>
          </w:tcPr>
          <w:p>
            <w:pPr>
              <w:jc w:val="right"/>
              <w:ind w:right="98"/>
              <w:spacing w:after="0" w:line="106" w:lineRule="exact"/>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4"/>
                <w:szCs w:val="4"/>
                <w:color w:val="auto"/>
              </w:rPr>
            </w:pPr>
          </w:p>
        </w:tc>
        <w:tc>
          <w:tcPr>
            <w:tcW w:w="800" w:type="dxa"/>
            <w:vAlign w:val="bottom"/>
            <w:vMerge w:val="restart"/>
          </w:tcPr>
          <w:p>
            <w:pPr>
              <w:jc w:val="right"/>
              <w:ind w:right="140"/>
              <w:spacing w:after="0" w:line="106" w:lineRule="exact"/>
              <w:rPr>
                <w:sz w:val="20"/>
                <w:szCs w:val="20"/>
                <w:color w:val="auto"/>
              </w:rPr>
            </w:pPr>
            <w:r>
              <w:rPr>
                <w:rFonts w:ascii="Arial" w:cs="Arial" w:eastAsia="Arial" w:hAnsi="Arial"/>
                <w:sz w:val="11"/>
                <w:szCs w:val="11"/>
                <w:b w:val="1"/>
                <w:bCs w:val="1"/>
                <w:color w:val="auto"/>
              </w:rPr>
              <w:t>Employee</w:t>
            </w:r>
          </w:p>
        </w:tc>
        <w:tc>
          <w:tcPr>
            <w:tcW w:w="220" w:type="dxa"/>
            <w:vAlign w:val="bottom"/>
          </w:tcPr>
          <w:p>
            <w:pPr>
              <w:spacing w:after="0"/>
              <w:rPr>
                <w:sz w:val="4"/>
                <w:szCs w:val="4"/>
                <w:color w:val="auto"/>
              </w:rPr>
            </w:pPr>
          </w:p>
        </w:tc>
        <w:tc>
          <w:tcPr>
            <w:tcW w:w="1120" w:type="dxa"/>
            <w:vAlign w:val="bottom"/>
            <w:vMerge w:val="restart"/>
          </w:tcPr>
          <w:p>
            <w:pPr>
              <w:jc w:val="center"/>
              <w:ind w:right="179"/>
              <w:spacing w:after="0" w:line="106" w:lineRule="exact"/>
              <w:rPr>
                <w:sz w:val="20"/>
                <w:szCs w:val="20"/>
                <w:color w:val="auto"/>
              </w:rPr>
            </w:pPr>
            <w:r>
              <w:rPr>
                <w:rFonts w:ascii="Arial" w:cs="Arial" w:eastAsia="Arial" w:hAnsi="Arial"/>
                <w:sz w:val="11"/>
                <w:szCs w:val="11"/>
                <w:b w:val="1"/>
                <w:bCs w:val="1"/>
                <w:color w:val="auto"/>
                <w:w w:val="96"/>
              </w:rPr>
              <w:t>Comprehensive</w:t>
            </w: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vMerge w:val="restart"/>
          </w:tcPr>
          <w:p>
            <w:pPr>
              <w:jc w:val="right"/>
              <w:ind w:right="119"/>
              <w:spacing w:after="0" w:line="106" w:lineRule="exact"/>
              <w:rPr>
                <w:sz w:val="20"/>
                <w:szCs w:val="20"/>
                <w:color w:val="auto"/>
              </w:rPr>
            </w:pPr>
            <w:r>
              <w:rPr>
                <w:rFonts w:ascii="Arial" w:cs="Arial" w:eastAsia="Arial" w:hAnsi="Arial"/>
                <w:sz w:val="11"/>
                <w:szCs w:val="11"/>
                <w:b w:val="1"/>
                <w:bCs w:val="1"/>
                <w:color w:val="auto"/>
                <w:w w:val="99"/>
              </w:rPr>
              <w:t>Noncontrolling</w:t>
            </w:r>
          </w:p>
        </w:tc>
        <w:tc>
          <w:tcPr>
            <w:tcW w:w="0" w:type="dxa"/>
            <w:vAlign w:val="bottom"/>
          </w:tcPr>
          <w:p>
            <w:pPr>
              <w:spacing w:after="0"/>
              <w:rPr>
                <w:sz w:val="1"/>
                <w:szCs w:val="1"/>
                <w:color w:val="auto"/>
              </w:rPr>
            </w:pPr>
          </w:p>
        </w:tc>
      </w:tr>
      <w:tr>
        <w:trPr>
          <w:trHeight w:val="32"/>
        </w:trPr>
        <w:tc>
          <w:tcPr>
            <w:tcW w:w="270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40" w:type="dxa"/>
            <w:vAlign w:val="bottom"/>
          </w:tcPr>
          <w:p>
            <w:pPr>
              <w:jc w:val="right"/>
              <w:ind w:right="199"/>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540" w:type="dxa"/>
            <w:vAlign w:val="bottom"/>
          </w:tcPr>
          <w:p>
            <w:pPr>
              <w:jc w:val="right"/>
              <w:ind w:right="58"/>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2"/>
                <w:szCs w:val="12"/>
                <w:color w:val="auto"/>
              </w:rPr>
            </w:pPr>
          </w:p>
        </w:tc>
        <w:tc>
          <w:tcPr>
            <w:tcW w:w="600" w:type="dxa"/>
            <w:vAlign w:val="bottom"/>
          </w:tcPr>
          <w:p>
            <w:pPr>
              <w:jc w:val="right"/>
              <w:ind w:right="79"/>
              <w:spacing w:after="0"/>
              <w:rPr>
                <w:sz w:val="20"/>
                <w:szCs w:val="20"/>
                <w:color w:val="auto"/>
              </w:rPr>
            </w:pPr>
            <w:r>
              <w:rPr>
                <w:rFonts w:ascii="Arial" w:cs="Arial" w:eastAsia="Arial" w:hAnsi="Arial"/>
                <w:sz w:val="11"/>
                <w:szCs w:val="11"/>
                <w:b w:val="1"/>
                <w:bCs w:val="1"/>
                <w:color w:val="auto"/>
              </w:rPr>
              <w:t>Capital</w:t>
            </w:r>
          </w:p>
        </w:tc>
        <w:tc>
          <w:tcPr>
            <w:tcW w:w="280" w:type="dxa"/>
            <w:vAlign w:val="bottom"/>
          </w:tcPr>
          <w:p>
            <w:pPr>
              <w:spacing w:after="0"/>
              <w:rPr>
                <w:sz w:val="12"/>
                <w:szCs w:val="12"/>
                <w:color w:val="auto"/>
              </w:rPr>
            </w:pPr>
          </w:p>
        </w:tc>
        <w:tc>
          <w:tcPr>
            <w:tcW w:w="660" w:type="dxa"/>
            <w:vAlign w:val="bottom"/>
          </w:tcPr>
          <w:p>
            <w:pPr>
              <w:jc w:val="right"/>
              <w:ind w:right="98"/>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1"/>
                <w:szCs w:val="11"/>
                <w:b w:val="1"/>
                <w:bCs w:val="1"/>
                <w:color w:val="auto"/>
                <w:w w:val="97"/>
              </w:rPr>
              <w:t>Benefit Trust</w:t>
            </w:r>
          </w:p>
        </w:tc>
        <w:tc>
          <w:tcPr>
            <w:tcW w:w="220" w:type="dxa"/>
            <w:vAlign w:val="bottom"/>
          </w:tcPr>
          <w:p>
            <w:pPr>
              <w:spacing w:after="0"/>
              <w:rPr>
                <w:sz w:val="12"/>
                <w:szCs w:val="12"/>
                <w:color w:val="auto"/>
              </w:rPr>
            </w:pPr>
          </w:p>
        </w:tc>
        <w:tc>
          <w:tcPr>
            <w:tcW w:w="1120" w:type="dxa"/>
            <w:vAlign w:val="bottom"/>
          </w:tcPr>
          <w:p>
            <w:pPr>
              <w:jc w:val="center"/>
              <w:ind w:right="179"/>
              <w:spacing w:after="0"/>
              <w:rPr>
                <w:sz w:val="20"/>
                <w:szCs w:val="20"/>
                <w:color w:val="auto"/>
              </w:rPr>
            </w:pPr>
            <w:r>
              <w:rPr>
                <w:rFonts w:ascii="Arial" w:cs="Arial" w:eastAsia="Arial" w:hAnsi="Arial"/>
                <w:sz w:val="11"/>
                <w:szCs w:val="11"/>
                <w:b w:val="1"/>
                <w:bCs w:val="1"/>
                <w:color w:val="auto"/>
                <w:w w:val="93"/>
              </w:rPr>
              <w:t>Loss</w:t>
            </w:r>
          </w:p>
        </w:tc>
        <w:tc>
          <w:tcPr>
            <w:tcW w:w="720" w:type="dxa"/>
            <w:vAlign w:val="bottom"/>
          </w:tcPr>
          <w:p>
            <w:pPr>
              <w:jc w:val="right"/>
              <w:ind w:right="119"/>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640" w:type="dxa"/>
            <w:vAlign w:val="bottom"/>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980" w:type="dxa"/>
            <w:vAlign w:val="bottom"/>
          </w:tcPr>
          <w:p>
            <w:pPr>
              <w:jc w:val="right"/>
              <w:ind w:right="27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April 1, 2019</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971,363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607.1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5,756.6</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4,879.4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(3,013.2)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3"/>
                <w:szCs w:val="13"/>
                <w:color w:val="auto"/>
              </w:rPr>
              <w:t>(5,687.5)</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541</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(62.1)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1,327.2</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59"/>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87.0</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Cash dividends declared per share: $1.29</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99"/>
              </w:rPr>
              <w:t>(1,178.1)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(5,430)</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(696.6)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(5,430)</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700.0</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Arial" w:cs="Arial" w:eastAsia="Arial" w:hAnsi="Arial"/>
                <w:sz w:val="13"/>
                <w:szCs w:val="13"/>
                <w:color w:val="auto"/>
              </w:rPr>
              <w:t>700.0</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5,430</w:t>
            </w:r>
          </w:p>
        </w:tc>
        <w:tc>
          <w:tcPr>
            <w:tcW w:w="240" w:type="dxa"/>
            <w:vAlign w:val="bottom"/>
          </w:tcPr>
          <w:p>
            <w:pPr>
              <w:spacing w:after="0"/>
              <w:rPr>
                <w:sz w:val="15"/>
                <w:szCs w:val="15"/>
                <w:color w:val="auto"/>
              </w:rPr>
            </w:pP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(700.0)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Issuance of stock under employee stock plans,</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Arial" w:cs="Arial" w:eastAsia="Arial" w:hAnsi="Arial"/>
                <w:sz w:val="13"/>
                <w:szCs w:val="13"/>
                <w:color w:val="auto"/>
              </w:rPr>
              <w:t>79.5</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(13.8)</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June 30, 2019</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965,957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603.7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6,534.5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4,318.1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(3,013.2)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color w:val="auto"/>
              </w:rPr>
              <w:t>(5,600.5)</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541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(62.1)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256"/>
        </w:trPr>
        <w:tc>
          <w:tcPr>
            <w:tcW w:w="27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Balance at April 1, 2020</w:t>
            </w:r>
          </w:p>
        </w:tc>
        <w:tc>
          <w:tcPr>
            <w:tcW w:w="840" w:type="dxa"/>
            <w:vAlign w:val="bottom"/>
          </w:tcPr>
          <w:p>
            <w:pPr>
              <w:jc w:val="right"/>
              <w:ind w:right="99"/>
              <w:spacing w:after="0"/>
              <w:rPr>
                <w:sz w:val="20"/>
                <w:szCs w:val="20"/>
                <w:color w:val="auto"/>
              </w:rPr>
            </w:pPr>
            <w:r>
              <w:rPr>
                <w:rFonts w:ascii="Arial" w:cs="Arial" w:eastAsia="Arial" w:hAnsi="Arial"/>
                <w:sz w:val="13"/>
                <w:szCs w:val="13"/>
                <w:b w:val="1"/>
                <w:bCs w:val="1"/>
                <w:color w:val="auto"/>
              </w:rPr>
              <w:t>956,929</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78"/>
              <w:spacing w:after="0"/>
              <w:rPr>
                <w:sz w:val="20"/>
                <w:szCs w:val="20"/>
                <w:color w:val="auto"/>
              </w:rPr>
            </w:pPr>
            <w:r>
              <w:rPr>
                <w:rFonts w:ascii="Arial" w:cs="Arial" w:eastAsia="Arial" w:hAnsi="Arial"/>
                <w:sz w:val="13"/>
                <w:szCs w:val="13"/>
                <w:b w:val="1"/>
                <w:bCs w:val="1"/>
                <w:color w:val="auto"/>
              </w:rPr>
              <w:t>598.1</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9"/>
              <w:spacing w:after="0"/>
              <w:rPr>
                <w:sz w:val="20"/>
                <w:szCs w:val="20"/>
                <w:color w:val="auto"/>
              </w:rPr>
            </w:pPr>
            <w:r>
              <w:rPr>
                <w:rFonts w:ascii="Arial" w:cs="Arial" w:eastAsia="Arial" w:hAnsi="Arial"/>
                <w:sz w:val="13"/>
                <w:szCs w:val="13"/>
                <w:b w:val="1"/>
                <w:bCs w:val="1"/>
                <w:color w:val="auto"/>
              </w:rPr>
              <w:t>6,556.1</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78"/>
              <w:spacing w:after="0"/>
              <w:rPr>
                <w:sz w:val="20"/>
                <w:szCs w:val="20"/>
                <w:color w:val="auto"/>
              </w:rPr>
            </w:pPr>
            <w:r>
              <w:rPr>
                <w:rFonts w:ascii="Arial" w:cs="Arial" w:eastAsia="Arial" w:hAnsi="Arial"/>
                <w:sz w:val="13"/>
                <w:szCs w:val="13"/>
                <w:b w:val="1"/>
                <w:bCs w:val="1"/>
                <w:color w:val="auto"/>
              </w:rPr>
              <w:t>5,879.4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60"/>
              <w:spacing w:after="0"/>
              <w:rPr>
                <w:sz w:val="20"/>
                <w:szCs w:val="20"/>
                <w:color w:val="auto"/>
              </w:rPr>
            </w:pPr>
            <w:r>
              <w:rPr>
                <w:rFonts w:ascii="Arial" w:cs="Arial" w:eastAsia="Arial" w:hAnsi="Arial"/>
                <w:sz w:val="13"/>
                <w:szCs w:val="13"/>
                <w:b w:val="1"/>
                <w:bCs w:val="1"/>
                <w:color w:val="auto"/>
              </w:rPr>
              <w:t>(3,013.2)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59"/>
              <w:spacing w:after="0"/>
              <w:rPr>
                <w:sz w:val="20"/>
                <w:szCs w:val="20"/>
                <w:color w:val="auto"/>
              </w:rPr>
            </w:pPr>
            <w:r>
              <w:rPr>
                <w:rFonts w:ascii="Arial" w:cs="Arial" w:eastAsia="Arial" w:hAnsi="Arial"/>
                <w:sz w:val="13"/>
                <w:szCs w:val="13"/>
                <w:b w:val="1"/>
                <w:bCs w:val="1"/>
                <w:color w:val="auto"/>
              </w:rPr>
              <w:t>(6,885.9)</w:t>
            </w:r>
          </w:p>
        </w:tc>
        <w:tc>
          <w:tcPr>
            <w:tcW w:w="720" w:type="dxa"/>
            <w:vAlign w:val="bottom"/>
          </w:tcPr>
          <w:p>
            <w:pPr>
              <w:jc w:val="right"/>
              <w:ind w:right="79"/>
              <w:spacing w:after="0"/>
              <w:rPr>
                <w:sz w:val="20"/>
                <w:szCs w:val="20"/>
                <w:color w:val="auto"/>
              </w:rPr>
            </w:pPr>
            <w:r>
              <w:rPr>
                <w:rFonts w:ascii="Arial" w:cs="Arial" w:eastAsia="Arial" w:hAnsi="Arial"/>
                <w:sz w:val="13"/>
                <w:szCs w:val="13"/>
                <w:b w:val="1"/>
                <w:bCs w:val="1"/>
                <w:color w:val="auto"/>
              </w:rPr>
              <w:t>487</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b w:val="1"/>
                <w:bCs w:val="1"/>
                <w:color w:val="auto"/>
              </w:rPr>
              <w:t>(55.7)</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99"/>
              <w:spacing w:after="0"/>
              <w:rPr>
                <w:sz w:val="20"/>
                <w:szCs w:val="20"/>
                <w:color w:val="auto"/>
              </w:rPr>
            </w:pPr>
            <w:r>
              <w:rPr>
                <w:rFonts w:ascii="Arial" w:cs="Arial" w:eastAsia="Arial" w:hAnsi="Arial"/>
                <w:sz w:val="13"/>
                <w:szCs w:val="13"/>
                <w:b w:val="1"/>
                <w:bCs w:val="1"/>
                <w:color w:val="auto"/>
              </w:rPr>
              <w:t>118.4</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1,412.0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74.5</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99"/>
              <w:spacing w:after="0"/>
              <w:rPr>
                <w:sz w:val="20"/>
                <w:szCs w:val="20"/>
                <w:color w:val="auto"/>
              </w:rPr>
            </w:pPr>
            <w:r>
              <w:rPr>
                <w:rFonts w:ascii="Arial" w:cs="Arial" w:eastAsia="Arial" w:hAnsi="Arial"/>
                <w:sz w:val="13"/>
                <w:szCs w:val="13"/>
                <w:b w:val="1"/>
                <w:bCs w:val="1"/>
                <w:color w:val="auto"/>
              </w:rPr>
              <w:t>203.0</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share: $0.74</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(674.0)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20"/>
              <w:spacing w:after="0"/>
              <w:rPr>
                <w:sz w:val="20"/>
                <w:szCs w:val="20"/>
                <w:color w:val="auto"/>
              </w:rPr>
            </w:pPr>
            <w:r>
              <w:rPr>
                <w:rFonts w:ascii="Arial" w:cs="Arial" w:eastAsia="Arial" w:hAnsi="Arial"/>
                <w:sz w:val="13"/>
                <w:szCs w:val="13"/>
                <w:color w:val="auto"/>
                <w:w w:val="98"/>
              </w:rPr>
              <w:t>Issuance of stock under employee stock plans,</w:t>
            </w:r>
          </w:p>
        </w:tc>
        <w:tc>
          <w:tcPr>
            <w:tcW w:w="840" w:type="dxa"/>
            <w:vAlign w:val="bottom"/>
            <w:vMerge w:val="restart"/>
          </w:tcPr>
          <w:p>
            <w:pPr>
              <w:jc w:val="right"/>
              <w:ind w:right="99"/>
              <w:spacing w:after="0"/>
              <w:rPr>
                <w:sz w:val="20"/>
                <w:szCs w:val="20"/>
                <w:color w:val="auto"/>
              </w:rPr>
            </w:pPr>
            <w:r>
              <w:rPr>
                <w:rFonts w:ascii="Arial" w:cs="Arial" w:eastAsia="Arial" w:hAnsi="Arial"/>
                <w:sz w:val="13"/>
                <w:szCs w:val="13"/>
                <w:b w:val="1"/>
                <w:bCs w:val="1"/>
                <w:color w:val="auto"/>
              </w:rPr>
              <w:t>24</w:t>
            </w:r>
          </w:p>
        </w:tc>
        <w:tc>
          <w:tcPr>
            <w:tcW w:w="200" w:type="dxa"/>
            <w:vAlign w:val="bottom"/>
          </w:tcPr>
          <w:p>
            <w:pPr>
              <w:spacing w:after="0"/>
              <w:rPr>
                <w:sz w:val="13"/>
                <w:szCs w:val="13"/>
                <w:color w:val="auto"/>
              </w:rPr>
            </w:pPr>
          </w:p>
        </w:tc>
        <w:tc>
          <w:tcPr>
            <w:tcW w:w="54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(3.1)</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00" w:type="dxa"/>
            <w:vAlign w:val="bottom"/>
          </w:tcPr>
          <w:p>
            <w:pPr>
              <w:ind w:left="20"/>
              <w:spacing w:after="0"/>
              <w:rPr>
                <w:sz w:val="20"/>
                <w:szCs w:val="20"/>
                <w:color w:val="auto"/>
              </w:rPr>
            </w:pPr>
            <w:r>
              <w:rPr>
                <w:rFonts w:ascii="Arial" w:cs="Arial" w:eastAsia="Arial" w:hAnsi="Arial"/>
                <w:sz w:val="13"/>
                <w:szCs w:val="13"/>
                <w:color w:val="auto"/>
              </w:rPr>
              <w:t>net</w:t>
            </w:r>
          </w:p>
        </w:tc>
        <w:tc>
          <w:tcPr>
            <w:tcW w:w="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76.8</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(0.2)</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(13.8)</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June 30, 2020</w:t>
            </w: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956,953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598.1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6,629.4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6,617.2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(3,013.2)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b w:val="1"/>
                <w:bCs w:val="1"/>
                <w:color w:val="auto"/>
              </w:rPr>
              <w:t>(6,682.9)</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b w:val="1"/>
                <w:bCs w:val="1"/>
                <w:color w:val="auto"/>
              </w:rPr>
              <w:t>487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(55.7)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179.1</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32" w:hanging="132"/>
        <w:spacing w:after="0"/>
        <w:tabs>
          <w:tab w:leader="none" w:pos="132"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As of June 30, 2020, there was $1.00 billion remaining under our $8.00 billion share repurchase program authorized in June 2018.</w:t>
      </w: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86"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2"/>
        </w:trPr>
        <w:tc>
          <w:tcPr>
            <w:tcW w:w="2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20" w:type="dxa"/>
            <w:vAlign w:val="bottom"/>
            <w:gridSpan w:val="6"/>
          </w:tcPr>
          <w:p>
            <w:pPr>
              <w:jc w:val="right"/>
              <w:ind w:right="879"/>
              <w:spacing w:after="0"/>
              <w:rPr>
                <w:sz w:val="20"/>
                <w:szCs w:val="20"/>
                <w:color w:val="auto"/>
              </w:rPr>
            </w:pPr>
            <w:r>
              <w:rPr>
                <w:rFonts w:ascii="Arial" w:cs="Arial" w:eastAsia="Arial" w:hAnsi="Arial"/>
                <w:sz w:val="11"/>
                <w:szCs w:val="11"/>
                <w:b w:val="1"/>
                <w:bCs w:val="1"/>
                <w:color w:val="auto"/>
                <w:w w:val="99"/>
              </w:rPr>
              <w:t>Equity of Eli Lilly and Company Shareholders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600" w:type="dxa"/>
            <w:vAlign w:val="bottom"/>
            <w:gridSpan w:val="3"/>
          </w:tcPr>
          <w:p>
            <w:pPr>
              <w:jc w:val="right"/>
              <w:ind w:right="33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620" w:type="dxa"/>
            <w:vAlign w:val="bottom"/>
          </w:tcPr>
          <w:p>
            <w:pPr>
              <w:jc w:val="right"/>
              <w:ind w:right="19"/>
              <w:spacing w:after="0"/>
              <w:rPr>
                <w:sz w:val="20"/>
                <w:szCs w:val="20"/>
                <w:color w:val="auto"/>
              </w:rPr>
            </w:pPr>
            <w:r>
              <w:rPr>
                <w:rFonts w:ascii="Arial" w:cs="Arial" w:eastAsia="Arial" w:hAnsi="Arial"/>
                <w:sz w:val="11"/>
                <w:szCs w:val="11"/>
                <w:b w:val="1"/>
                <w:bCs w:val="1"/>
                <w:color w:val="auto"/>
                <w:w w:val="96"/>
              </w:rPr>
              <w:t>Additional</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Accumulated Other</w:t>
            </w:r>
          </w:p>
        </w:tc>
        <w:tc>
          <w:tcPr>
            <w:tcW w:w="1560" w:type="dxa"/>
            <w:vAlign w:val="bottom"/>
            <w:gridSpan w:val="3"/>
          </w:tcPr>
          <w:p>
            <w:pPr>
              <w:jc w:val="right"/>
              <w:ind w:right="1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106" w:lineRule="exact"/>
              <w:rPr>
                <w:sz w:val="20"/>
                <w:szCs w:val="20"/>
                <w:color w:val="auto"/>
              </w:rPr>
            </w:pPr>
            <w:r>
              <w:rPr>
                <w:rFonts w:ascii="Arial" w:cs="Arial" w:eastAsia="Arial" w:hAnsi="Arial"/>
                <w:sz w:val="11"/>
                <w:szCs w:val="11"/>
                <w:b w:val="1"/>
                <w:bCs w:val="1"/>
                <w:color w:val="auto"/>
              </w:rPr>
              <w:t>(Dollars in millions, except per-share data, and</w:t>
            </w: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vMerge w:val="restart"/>
          </w:tcPr>
          <w:p>
            <w:pPr>
              <w:jc w:val="right"/>
              <w:ind w:right="99"/>
              <w:spacing w:after="0" w:line="106" w:lineRule="exact"/>
              <w:rPr>
                <w:sz w:val="20"/>
                <w:szCs w:val="20"/>
                <w:color w:val="auto"/>
              </w:rPr>
            </w:pPr>
            <w:r>
              <w:rPr>
                <w:rFonts w:ascii="Arial" w:cs="Arial" w:eastAsia="Arial" w:hAnsi="Arial"/>
                <w:sz w:val="11"/>
                <w:szCs w:val="11"/>
                <w:b w:val="1"/>
                <w:bCs w:val="1"/>
                <w:color w:val="auto"/>
              </w:rPr>
              <w:t>Paid-in</w:t>
            </w:r>
          </w:p>
        </w:tc>
        <w:tc>
          <w:tcPr>
            <w:tcW w:w="260" w:type="dxa"/>
            <w:vAlign w:val="bottom"/>
          </w:tcPr>
          <w:p>
            <w:pPr>
              <w:spacing w:after="0"/>
              <w:rPr>
                <w:sz w:val="4"/>
                <w:szCs w:val="4"/>
                <w:color w:val="auto"/>
              </w:rPr>
            </w:pPr>
          </w:p>
        </w:tc>
        <w:tc>
          <w:tcPr>
            <w:tcW w:w="740" w:type="dxa"/>
            <w:vAlign w:val="bottom"/>
            <w:vMerge w:val="restart"/>
          </w:tcPr>
          <w:p>
            <w:pPr>
              <w:jc w:val="right"/>
              <w:ind w:right="139"/>
              <w:spacing w:after="0" w:line="106" w:lineRule="exact"/>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4"/>
                <w:szCs w:val="4"/>
                <w:color w:val="auto"/>
              </w:rPr>
            </w:pPr>
          </w:p>
        </w:tc>
        <w:tc>
          <w:tcPr>
            <w:tcW w:w="800" w:type="dxa"/>
            <w:vAlign w:val="bottom"/>
            <w:vMerge w:val="restart"/>
          </w:tcPr>
          <w:p>
            <w:pPr>
              <w:jc w:val="right"/>
              <w:ind w:right="140"/>
              <w:spacing w:after="0" w:line="106" w:lineRule="exact"/>
              <w:rPr>
                <w:sz w:val="20"/>
                <w:szCs w:val="20"/>
                <w:color w:val="auto"/>
              </w:rPr>
            </w:pPr>
            <w:r>
              <w:rPr>
                <w:rFonts w:ascii="Arial" w:cs="Arial" w:eastAsia="Arial" w:hAnsi="Arial"/>
                <w:sz w:val="11"/>
                <w:szCs w:val="11"/>
                <w:b w:val="1"/>
                <w:bCs w:val="1"/>
                <w:color w:val="auto"/>
              </w:rPr>
              <w:t>Employee</w:t>
            </w:r>
          </w:p>
        </w:tc>
        <w:tc>
          <w:tcPr>
            <w:tcW w:w="220" w:type="dxa"/>
            <w:vAlign w:val="bottom"/>
          </w:tcPr>
          <w:p>
            <w:pPr>
              <w:spacing w:after="0"/>
              <w:rPr>
                <w:sz w:val="4"/>
                <w:szCs w:val="4"/>
                <w:color w:val="auto"/>
              </w:rPr>
            </w:pPr>
          </w:p>
        </w:tc>
        <w:tc>
          <w:tcPr>
            <w:tcW w:w="1100" w:type="dxa"/>
            <w:vAlign w:val="bottom"/>
            <w:vMerge w:val="restart"/>
          </w:tcPr>
          <w:p>
            <w:pPr>
              <w:jc w:val="center"/>
              <w:ind w:right="179"/>
              <w:spacing w:after="0" w:line="106" w:lineRule="exact"/>
              <w:rPr>
                <w:sz w:val="20"/>
                <w:szCs w:val="20"/>
                <w:color w:val="auto"/>
              </w:rPr>
            </w:pPr>
            <w:r>
              <w:rPr>
                <w:rFonts w:ascii="Arial" w:cs="Arial" w:eastAsia="Arial" w:hAnsi="Arial"/>
                <w:sz w:val="11"/>
                <w:szCs w:val="11"/>
                <w:b w:val="1"/>
                <w:bCs w:val="1"/>
                <w:color w:val="auto"/>
                <w:w w:val="99"/>
              </w:rPr>
              <w:t>Comprehensive</w:t>
            </w: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restart"/>
          </w:tcPr>
          <w:p>
            <w:pPr>
              <w:jc w:val="right"/>
              <w:ind w:right="119"/>
              <w:spacing w:after="0" w:line="106" w:lineRule="exact"/>
              <w:rPr>
                <w:sz w:val="20"/>
                <w:szCs w:val="20"/>
                <w:color w:val="auto"/>
              </w:rPr>
            </w:pPr>
            <w:r>
              <w:rPr>
                <w:rFonts w:ascii="Arial" w:cs="Arial" w:eastAsia="Arial" w:hAnsi="Arial"/>
                <w:sz w:val="11"/>
                <w:szCs w:val="11"/>
                <w:b w:val="1"/>
                <w:bCs w:val="1"/>
                <w:color w:val="auto"/>
                <w:w w:val="99"/>
              </w:rPr>
              <w:t>Noncontrolling</w:t>
            </w:r>
          </w:p>
        </w:tc>
        <w:tc>
          <w:tcPr>
            <w:tcW w:w="0" w:type="dxa"/>
            <w:vAlign w:val="bottom"/>
          </w:tcPr>
          <w:p>
            <w:pPr>
              <w:spacing w:after="0"/>
              <w:rPr>
                <w:sz w:val="1"/>
                <w:szCs w:val="1"/>
                <w:color w:val="auto"/>
              </w:rPr>
            </w:pPr>
          </w:p>
        </w:tc>
      </w:tr>
      <w:tr>
        <w:trPr>
          <w:trHeight w:val="32"/>
        </w:trPr>
        <w:tc>
          <w:tcPr>
            <w:tcW w:w="27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60" w:type="dxa"/>
            <w:vAlign w:val="bottom"/>
          </w:tcPr>
          <w:p>
            <w:pPr>
              <w:jc w:val="right"/>
              <w:ind w:right="199"/>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540" w:type="dxa"/>
            <w:vAlign w:val="bottom"/>
          </w:tcPr>
          <w:p>
            <w:pPr>
              <w:jc w:val="right"/>
              <w:ind w:right="58"/>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2"/>
                <w:szCs w:val="12"/>
                <w:color w:val="auto"/>
              </w:rPr>
            </w:pPr>
          </w:p>
        </w:tc>
        <w:tc>
          <w:tcPr>
            <w:tcW w:w="620" w:type="dxa"/>
            <w:vAlign w:val="bottom"/>
          </w:tcPr>
          <w:p>
            <w:pPr>
              <w:jc w:val="right"/>
              <w:ind w:right="99"/>
              <w:spacing w:after="0"/>
              <w:rPr>
                <w:sz w:val="20"/>
                <w:szCs w:val="20"/>
                <w:color w:val="auto"/>
              </w:rPr>
            </w:pPr>
            <w:r>
              <w:rPr>
                <w:rFonts w:ascii="Arial" w:cs="Arial" w:eastAsia="Arial" w:hAnsi="Arial"/>
                <w:sz w:val="11"/>
                <w:szCs w:val="11"/>
                <w:b w:val="1"/>
                <w:bCs w:val="1"/>
                <w:color w:val="auto"/>
              </w:rPr>
              <w:t>Capital</w:t>
            </w:r>
          </w:p>
        </w:tc>
        <w:tc>
          <w:tcPr>
            <w:tcW w:w="260" w:type="dxa"/>
            <w:vAlign w:val="bottom"/>
          </w:tcPr>
          <w:p>
            <w:pPr>
              <w:spacing w:after="0"/>
              <w:rPr>
                <w:sz w:val="12"/>
                <w:szCs w:val="12"/>
                <w:color w:val="auto"/>
              </w:rPr>
            </w:pPr>
          </w:p>
        </w:tc>
        <w:tc>
          <w:tcPr>
            <w:tcW w:w="740" w:type="dxa"/>
            <w:vAlign w:val="bottom"/>
          </w:tcPr>
          <w:p>
            <w:pPr>
              <w:jc w:val="right"/>
              <w:ind w:right="139"/>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2"/>
                <w:szCs w:val="12"/>
                <w:color w:val="auto"/>
              </w:rPr>
            </w:pPr>
          </w:p>
        </w:tc>
        <w:tc>
          <w:tcPr>
            <w:tcW w:w="800" w:type="dxa"/>
            <w:vAlign w:val="bottom"/>
          </w:tcPr>
          <w:p>
            <w:pPr>
              <w:jc w:val="right"/>
              <w:ind w:right="80"/>
              <w:spacing w:after="0"/>
              <w:rPr>
                <w:sz w:val="20"/>
                <w:szCs w:val="20"/>
                <w:color w:val="auto"/>
              </w:rPr>
            </w:pPr>
            <w:r>
              <w:rPr>
                <w:rFonts w:ascii="Arial" w:cs="Arial" w:eastAsia="Arial" w:hAnsi="Arial"/>
                <w:sz w:val="11"/>
                <w:szCs w:val="11"/>
                <w:b w:val="1"/>
                <w:bCs w:val="1"/>
                <w:color w:val="auto"/>
                <w:w w:val="94"/>
              </w:rPr>
              <w:t>Benefit Trust</w:t>
            </w:r>
          </w:p>
        </w:tc>
        <w:tc>
          <w:tcPr>
            <w:tcW w:w="220" w:type="dxa"/>
            <w:vAlign w:val="bottom"/>
          </w:tcPr>
          <w:p>
            <w:pPr>
              <w:spacing w:after="0"/>
              <w:rPr>
                <w:sz w:val="12"/>
                <w:szCs w:val="12"/>
                <w:color w:val="auto"/>
              </w:rPr>
            </w:pPr>
          </w:p>
        </w:tc>
        <w:tc>
          <w:tcPr>
            <w:tcW w:w="1100" w:type="dxa"/>
            <w:vAlign w:val="bottom"/>
          </w:tcPr>
          <w:p>
            <w:pPr>
              <w:jc w:val="center"/>
              <w:ind w:right="179"/>
              <w:spacing w:after="0"/>
              <w:rPr>
                <w:sz w:val="20"/>
                <w:szCs w:val="20"/>
                <w:color w:val="auto"/>
              </w:rPr>
            </w:pPr>
            <w:r>
              <w:rPr>
                <w:rFonts w:ascii="Arial" w:cs="Arial" w:eastAsia="Arial" w:hAnsi="Arial"/>
                <w:sz w:val="11"/>
                <w:szCs w:val="11"/>
                <w:b w:val="1"/>
                <w:bCs w:val="1"/>
                <w:color w:val="auto"/>
              </w:rPr>
              <w:t>Loss</w:t>
            </w:r>
          </w:p>
        </w:tc>
        <w:tc>
          <w:tcPr>
            <w:tcW w:w="700" w:type="dxa"/>
            <w:vAlign w:val="bottom"/>
          </w:tcPr>
          <w:p>
            <w:pPr>
              <w:jc w:val="right"/>
              <w:ind w:right="118"/>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660" w:type="dxa"/>
            <w:vAlign w:val="bottom"/>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980" w:type="dxa"/>
            <w:vAlign w:val="bottom"/>
          </w:tcPr>
          <w:p>
            <w:pPr>
              <w:jc w:val="right"/>
              <w:ind w:right="27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2019</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1,057,639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661.0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6,583.6</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11,395.9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(3,013.2)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3"/>
                <w:szCs w:val="13"/>
                <w:color w:val="auto"/>
              </w:rPr>
              <w:t>(5,729.2)</w:t>
            </w: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604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1,080.4</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99"/>
              <w:spacing w:after="0"/>
              <w:rPr>
                <w:sz w:val="20"/>
                <w:szCs w:val="20"/>
                <w:color w:val="auto"/>
              </w:rPr>
            </w:pPr>
            <w:r>
              <w:rPr>
                <w:rFonts w:ascii="Arial" w:cs="Arial" w:eastAsia="Arial" w:hAnsi="Arial"/>
                <w:sz w:val="13"/>
                <w:szCs w:val="13"/>
                <w:color w:val="auto"/>
              </w:rPr>
              <w:t>5,568.8</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128.7</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Cash dividends declared per share: $1.29</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59"/>
              <w:spacing w:after="0"/>
              <w:rPr>
                <w:sz w:val="20"/>
                <w:szCs w:val="20"/>
                <w:color w:val="auto"/>
              </w:rPr>
            </w:pPr>
            <w:r>
              <w:rPr>
                <w:rFonts w:ascii="Arial" w:cs="Arial" w:eastAsia="Arial" w:hAnsi="Arial"/>
                <w:sz w:val="13"/>
                <w:szCs w:val="13"/>
                <w:color w:val="auto"/>
              </w:rPr>
              <w:t>(1,178.1)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(94,627)</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(59.1)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(11,468.5)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(94,627)</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w w:val="94"/>
              </w:rPr>
              <w:t>11,527.5</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29,626</w:t>
            </w:r>
          </w:p>
        </w:tc>
        <w:tc>
          <w:tcPr>
            <w:tcW w:w="200" w:type="dxa"/>
            <w:vAlign w:val="bottom"/>
          </w:tcPr>
          <w:p>
            <w:pPr>
              <w:spacing w:after="0"/>
              <w:rPr>
                <w:sz w:val="15"/>
                <w:szCs w:val="15"/>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99"/>
              </w:rPr>
              <w:t>(3,500.0)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Issuance of stock under employee stock plans,</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2,945</w:t>
            </w: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1.8</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(63)</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7.3</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39"/>
              <w:spacing w:after="0"/>
              <w:rPr>
                <w:sz w:val="20"/>
                <w:szCs w:val="20"/>
                <w:color w:val="auto"/>
              </w:rPr>
            </w:pPr>
            <w:r>
              <w:rPr>
                <w:rFonts w:ascii="Arial" w:cs="Arial" w:eastAsia="Arial" w:hAnsi="Arial"/>
                <w:sz w:val="13"/>
                <w:szCs w:val="13"/>
                <w:color w:val="auto"/>
              </w:rPr>
              <w:t>155.3</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Acquisition of common stock in exchange offer</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65,001</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99"/>
              </w:rPr>
              <w:t>(8,027.5)</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Deconsolidation of Elanco</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(1,028.9)</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June 30, 2019</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965,957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603.7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6,534.5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4,318.1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(3,013.2)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color w:val="auto"/>
              </w:rPr>
              <w:t>(5,600.5)</w:t>
            </w: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541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(62.1)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Balance at January 1, 2020</w:t>
            </w:r>
          </w:p>
        </w:tc>
        <w:tc>
          <w:tcPr>
            <w:tcW w:w="860" w:type="dxa"/>
            <w:vAlign w:val="bottom"/>
          </w:tcPr>
          <w:p>
            <w:pPr>
              <w:jc w:val="right"/>
              <w:ind w:right="99"/>
              <w:spacing w:after="0"/>
              <w:rPr>
                <w:sz w:val="20"/>
                <w:szCs w:val="20"/>
                <w:color w:val="auto"/>
              </w:rPr>
            </w:pPr>
            <w:r>
              <w:rPr>
                <w:rFonts w:ascii="Arial" w:cs="Arial" w:eastAsia="Arial" w:hAnsi="Arial"/>
                <w:sz w:val="13"/>
                <w:szCs w:val="13"/>
                <w:b w:val="1"/>
                <w:bCs w:val="1"/>
                <w:color w:val="auto"/>
              </w:rPr>
              <w:t>958,056</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78"/>
              <w:spacing w:after="0"/>
              <w:rPr>
                <w:sz w:val="20"/>
                <w:szCs w:val="20"/>
                <w:color w:val="auto"/>
              </w:rPr>
            </w:pPr>
            <w:r>
              <w:rPr>
                <w:rFonts w:ascii="Arial" w:cs="Arial" w:eastAsia="Arial" w:hAnsi="Arial"/>
                <w:sz w:val="13"/>
                <w:szCs w:val="13"/>
                <w:b w:val="1"/>
                <w:bCs w:val="1"/>
                <w:color w:val="auto"/>
              </w:rPr>
              <w:t>598.8</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39"/>
              <w:spacing w:after="0"/>
              <w:rPr>
                <w:sz w:val="20"/>
                <w:szCs w:val="20"/>
                <w:color w:val="auto"/>
              </w:rPr>
            </w:pPr>
            <w:r>
              <w:rPr>
                <w:rFonts w:ascii="Arial" w:cs="Arial" w:eastAsia="Arial" w:hAnsi="Arial"/>
                <w:sz w:val="13"/>
                <w:szCs w:val="13"/>
                <w:b w:val="1"/>
                <w:bCs w:val="1"/>
                <w:color w:val="auto"/>
              </w:rPr>
              <w:t>6,685.3</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99"/>
              <w:spacing w:after="0"/>
              <w:rPr>
                <w:sz w:val="20"/>
                <w:szCs w:val="20"/>
                <w:color w:val="auto"/>
              </w:rPr>
            </w:pPr>
            <w:r>
              <w:rPr>
                <w:rFonts w:ascii="Arial" w:cs="Arial" w:eastAsia="Arial" w:hAnsi="Arial"/>
                <w:sz w:val="13"/>
                <w:szCs w:val="13"/>
                <w:b w:val="1"/>
                <w:bCs w:val="1"/>
                <w:color w:val="auto"/>
              </w:rPr>
              <w:t>4,920.4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60"/>
              <w:spacing w:after="0"/>
              <w:rPr>
                <w:sz w:val="20"/>
                <w:szCs w:val="20"/>
                <w:color w:val="auto"/>
              </w:rPr>
            </w:pPr>
            <w:r>
              <w:rPr>
                <w:rFonts w:ascii="Arial" w:cs="Arial" w:eastAsia="Arial" w:hAnsi="Arial"/>
                <w:sz w:val="13"/>
                <w:szCs w:val="13"/>
                <w:b w:val="1"/>
                <w:bCs w:val="1"/>
                <w:color w:val="auto"/>
              </w:rPr>
              <w:t>(3,013.2)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59"/>
              <w:spacing w:after="0"/>
              <w:rPr>
                <w:sz w:val="20"/>
                <w:szCs w:val="20"/>
                <w:color w:val="auto"/>
              </w:rPr>
            </w:pPr>
            <w:r>
              <w:rPr>
                <w:rFonts w:ascii="Arial" w:cs="Arial" w:eastAsia="Arial" w:hAnsi="Arial"/>
                <w:sz w:val="13"/>
                <w:szCs w:val="13"/>
                <w:b w:val="1"/>
                <w:bCs w:val="1"/>
                <w:color w:val="auto"/>
              </w:rPr>
              <w:t>(6,523.6)</w:t>
            </w:r>
          </w:p>
        </w:tc>
        <w:tc>
          <w:tcPr>
            <w:tcW w:w="700" w:type="dxa"/>
            <w:vAlign w:val="bottom"/>
          </w:tcPr>
          <w:p>
            <w:pPr>
              <w:jc w:val="right"/>
              <w:ind w:right="98"/>
              <w:spacing w:after="0"/>
              <w:rPr>
                <w:sz w:val="20"/>
                <w:szCs w:val="20"/>
                <w:color w:val="auto"/>
              </w:rPr>
            </w:pPr>
            <w:r>
              <w:rPr>
                <w:rFonts w:ascii="Arial" w:cs="Arial" w:eastAsia="Arial" w:hAnsi="Arial"/>
                <w:sz w:val="13"/>
                <w:szCs w:val="13"/>
                <w:b w:val="1"/>
                <w:bCs w:val="1"/>
                <w:color w:val="auto"/>
              </w:rPr>
              <w:t>530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58"/>
              <w:spacing w:after="0"/>
              <w:rPr>
                <w:sz w:val="20"/>
                <w:szCs w:val="20"/>
                <w:color w:val="auto"/>
              </w:rPr>
            </w:pPr>
            <w:r>
              <w:rPr>
                <w:rFonts w:ascii="Arial" w:cs="Arial" w:eastAsia="Arial" w:hAnsi="Arial"/>
                <w:sz w:val="13"/>
                <w:szCs w:val="13"/>
                <w:b w:val="1"/>
                <w:bCs w:val="1"/>
                <w:color w:val="auto"/>
              </w:rPr>
              <w:t>(60.8)</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3"/>
                <w:szCs w:val="13"/>
                <w:b w:val="1"/>
                <w:bCs w:val="1"/>
                <w:color w:val="auto"/>
              </w:rPr>
              <w:t>92.2</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2,868.5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3"/>
                <w:szCs w:val="13"/>
                <w:b w:val="1"/>
                <w:bCs w:val="1"/>
                <w:color w:val="auto"/>
              </w:rPr>
              <w:t>100.7</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159"/>
              <w:spacing w:after="0"/>
              <w:rPr>
                <w:sz w:val="20"/>
                <w:szCs w:val="20"/>
                <w:color w:val="auto"/>
              </w:rPr>
            </w:pPr>
            <w:r>
              <w:rPr>
                <w:rFonts w:ascii="Arial" w:cs="Arial" w:eastAsia="Arial" w:hAnsi="Arial"/>
                <w:sz w:val="13"/>
                <w:szCs w:val="13"/>
                <w:b w:val="1"/>
                <w:bCs w:val="1"/>
                <w:color w:val="auto"/>
              </w:rPr>
              <w:t>(159.3)</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share: $0.74</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(674.0)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860" w:type="dxa"/>
            <w:vAlign w:val="bottom"/>
          </w:tcPr>
          <w:p>
            <w:pPr>
              <w:jc w:val="right"/>
              <w:ind w:right="59"/>
              <w:spacing w:after="0"/>
              <w:rPr>
                <w:sz w:val="20"/>
                <w:szCs w:val="20"/>
                <w:color w:val="auto"/>
              </w:rPr>
            </w:pPr>
            <w:r>
              <w:rPr>
                <w:rFonts w:ascii="Arial" w:cs="Arial" w:eastAsia="Arial" w:hAnsi="Arial"/>
                <w:sz w:val="13"/>
                <w:szCs w:val="13"/>
                <w:b w:val="1"/>
                <w:bCs w:val="1"/>
                <w:color w:val="auto"/>
              </w:rPr>
              <w:t>(3,627)</w:t>
            </w:r>
          </w:p>
        </w:tc>
        <w:tc>
          <w:tcPr>
            <w:tcW w:w="200" w:type="dxa"/>
            <w:vAlign w:val="bottom"/>
          </w:tcPr>
          <w:p>
            <w:pPr>
              <w:spacing w:after="0"/>
              <w:rPr>
                <w:sz w:val="15"/>
                <w:szCs w:val="15"/>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b w:val="1"/>
                <w:bCs w:val="1"/>
                <w:color w:val="auto"/>
              </w:rPr>
              <w:t>(2.3)</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59"/>
              <w:spacing w:after="0"/>
              <w:rPr>
                <w:sz w:val="20"/>
                <w:szCs w:val="20"/>
                <w:color w:val="auto"/>
              </w:rPr>
            </w:pPr>
            <w:r>
              <w:rPr>
                <w:rFonts w:ascii="Arial" w:cs="Arial" w:eastAsia="Arial" w:hAnsi="Arial"/>
                <w:sz w:val="13"/>
                <w:szCs w:val="13"/>
                <w:b w:val="1"/>
                <w:bCs w:val="1"/>
                <w:color w:val="auto"/>
              </w:rPr>
              <w:t>(497.7)</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b w:val="1"/>
                <w:bCs w:val="1"/>
                <w:color w:val="auto"/>
              </w:rPr>
              <w:t>(3,627)</w:t>
            </w:r>
          </w:p>
        </w:tc>
        <w:tc>
          <w:tcPr>
            <w:tcW w:w="200" w:type="dxa"/>
            <w:vAlign w:val="bottom"/>
          </w:tcPr>
          <w:p>
            <w:pPr>
              <w:spacing w:after="0"/>
              <w:rPr>
                <w:sz w:val="15"/>
                <w:szCs w:val="15"/>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b w:val="1"/>
                <w:bCs w:val="1"/>
                <w:color w:val="auto"/>
              </w:rPr>
              <w:t>500.0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3,627</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(500.0)</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20"/>
              <w:spacing w:after="0"/>
              <w:rPr>
                <w:sz w:val="20"/>
                <w:szCs w:val="20"/>
                <w:color w:val="auto"/>
              </w:rPr>
            </w:pPr>
            <w:r>
              <w:rPr>
                <w:rFonts w:ascii="Arial" w:cs="Arial" w:eastAsia="Arial" w:hAnsi="Arial"/>
                <w:sz w:val="13"/>
                <w:szCs w:val="13"/>
                <w:color w:val="auto"/>
                <w:w w:val="98"/>
              </w:rPr>
              <w:t>Issuance of stock under employee stock plans,</w:t>
            </w:r>
          </w:p>
        </w:tc>
        <w:tc>
          <w:tcPr>
            <w:tcW w:w="860" w:type="dxa"/>
            <w:vAlign w:val="bottom"/>
            <w:vMerge w:val="restart"/>
          </w:tcPr>
          <w:p>
            <w:pPr>
              <w:jc w:val="right"/>
              <w:ind w:right="99"/>
              <w:spacing w:after="0"/>
              <w:rPr>
                <w:sz w:val="20"/>
                <w:szCs w:val="20"/>
                <w:color w:val="auto"/>
              </w:rPr>
            </w:pPr>
            <w:r>
              <w:rPr>
                <w:rFonts w:ascii="Arial" w:cs="Arial" w:eastAsia="Arial" w:hAnsi="Arial"/>
                <w:sz w:val="13"/>
                <w:szCs w:val="13"/>
                <w:b w:val="1"/>
                <w:bCs w:val="1"/>
                <w:color w:val="auto"/>
              </w:rPr>
              <w:t>2,524</w:t>
            </w:r>
          </w:p>
        </w:tc>
        <w:tc>
          <w:tcPr>
            <w:tcW w:w="200" w:type="dxa"/>
            <w:vAlign w:val="bottom"/>
          </w:tcPr>
          <w:p>
            <w:pPr>
              <w:spacing w:after="0"/>
              <w:rPr>
                <w:sz w:val="13"/>
                <w:szCs w:val="13"/>
                <w:color w:val="auto"/>
              </w:rPr>
            </w:pPr>
          </w:p>
        </w:tc>
        <w:tc>
          <w:tcPr>
            <w:tcW w:w="54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auto"/>
              </w:rPr>
              <w:t>1.6</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(204.1)</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rPr>
              <w:t>(43)</w:t>
            </w:r>
          </w:p>
        </w:tc>
        <w:tc>
          <w:tcPr>
            <w:tcW w:w="200" w:type="dxa"/>
            <w:vAlign w:val="bottom"/>
          </w:tcPr>
          <w:p>
            <w:pPr>
              <w:spacing w:after="0"/>
              <w:rPr>
                <w:sz w:val="13"/>
                <w:szCs w:val="13"/>
                <w:color w:val="auto"/>
              </w:rPr>
            </w:pPr>
          </w:p>
        </w:tc>
        <w:tc>
          <w:tcPr>
            <w:tcW w:w="660" w:type="dxa"/>
            <w:vAlign w:val="bottom"/>
            <w:vMerge w:val="restart"/>
          </w:tcPr>
          <w:p>
            <w:pPr>
              <w:jc w:val="right"/>
              <w:ind w:right="98"/>
              <w:spacing w:after="0"/>
              <w:rPr>
                <w:sz w:val="20"/>
                <w:szCs w:val="20"/>
                <w:color w:val="auto"/>
              </w:rPr>
            </w:pPr>
            <w:r>
              <w:rPr>
                <w:rFonts w:ascii="Arial" w:cs="Arial" w:eastAsia="Arial" w:hAnsi="Arial"/>
                <w:sz w:val="13"/>
                <w:szCs w:val="13"/>
                <w:b w:val="1"/>
                <w:bCs w:val="1"/>
                <w:color w:val="auto"/>
              </w:rPr>
              <w:t>5.1</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00" w:type="dxa"/>
            <w:vAlign w:val="bottom"/>
          </w:tcPr>
          <w:p>
            <w:pPr>
              <w:ind w:left="20"/>
              <w:spacing w:after="0"/>
              <w:rPr>
                <w:sz w:val="20"/>
                <w:szCs w:val="20"/>
                <w:color w:val="auto"/>
              </w:rPr>
            </w:pPr>
            <w:r>
              <w:rPr>
                <w:rFonts w:ascii="Arial" w:cs="Arial" w:eastAsia="Arial" w:hAnsi="Arial"/>
                <w:sz w:val="13"/>
                <w:szCs w:val="13"/>
                <w:color w:val="auto"/>
              </w:rPr>
              <w:t>net</w:t>
            </w:r>
          </w:p>
        </w:tc>
        <w:tc>
          <w:tcPr>
            <w:tcW w:w="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148.6</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(13.8)</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June 30, 2020</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956,953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598.1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6,629.4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6,617.2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(3,013.2)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b w:val="1"/>
                <w:bCs w:val="1"/>
                <w:color w:val="auto"/>
              </w:rPr>
              <w:t>(6,682.9)</w:t>
            </w:r>
          </w:p>
        </w:tc>
        <w:tc>
          <w:tcPr>
            <w:tcW w:w="7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487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(55.7)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b w:val="1"/>
                <w:bCs w:val="1"/>
                <w:color w:val="auto"/>
              </w:rPr>
              <w:t>179.1</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As of June 30, 2020, there was $1.00 billion remaining under our $8.00 billion share repurchase program authorized in June 2018.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2314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2,868.5</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5,568.8</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7"/>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related to disposition of Elanco (Note 5)</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(3,680.5)</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598.0</w:t>
            </w:r>
          </w:p>
        </w:tc>
        <w:tc>
          <w:tcPr>
            <w:tcW w:w="5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603.9</w:t>
            </w: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deferred income taxes</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(93.5)</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148.6</w:t>
            </w:r>
          </w:p>
        </w:tc>
        <w:tc>
          <w:tcPr>
            <w:tcW w:w="5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155.3</w:t>
            </w: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gains</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(765.0)</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Acquired in-process research and development (Note 3)</w:t>
            </w:r>
          </w:p>
        </w:tc>
        <w:tc>
          <w:tcPr>
            <w:tcW w:w="4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294.1</w:t>
            </w:r>
          </w:p>
        </w:tc>
        <w:tc>
          <w:tcPr>
            <w:tcW w:w="5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161.9</w:t>
            </w:r>
          </w:p>
        </w:tc>
      </w:tr>
      <w:tr>
        <w:trPr>
          <w:trHeight w:val="263"/>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(481.6)</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(1,516.4)</w:t>
            </w:r>
          </w:p>
        </w:tc>
      </w:tr>
      <w:tr>
        <w:trPr>
          <w:trHeight w:val="250"/>
        </w:trPr>
        <w:tc>
          <w:tcPr>
            <w:tcW w:w="7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non-cash operating activities, net</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308.7</w:t>
            </w:r>
          </w:p>
        </w:tc>
        <w:tc>
          <w:tcPr>
            <w:tcW w:w="5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208.6</w:t>
            </w:r>
          </w:p>
        </w:tc>
      </w:tr>
      <w:tr>
        <w:trPr>
          <w:trHeight w:val="25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2,877.8</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1,362.8</w:t>
            </w: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purchases of property and equipment</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(540.1)</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(444.0)</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Proceeds from sales and maturities of short-term investments</w:t>
            </w:r>
          </w:p>
        </w:tc>
        <w:tc>
          <w:tcPr>
            <w:tcW w:w="4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111.2</w:t>
            </w:r>
          </w:p>
        </w:tc>
        <w:tc>
          <w:tcPr>
            <w:tcW w:w="5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89.4</w:t>
            </w: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Proceeds from sales of noncurrent investments</w:t>
            </w:r>
          </w:p>
        </w:tc>
        <w:tc>
          <w:tcPr>
            <w:tcW w:w="4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412.0</w:t>
            </w:r>
          </w:p>
        </w:tc>
        <w:tc>
          <w:tcPr>
            <w:tcW w:w="5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416.4</w:t>
            </w: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noncurrent investments</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(154.8)</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(146.6)</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 (Note 3)</w:t>
            </w:r>
          </w:p>
        </w:tc>
        <w:tc>
          <w:tcPr>
            <w:tcW w:w="4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b w:val="1"/>
                <w:bCs w:val="1"/>
                <w:color w:val="auto"/>
              </w:rPr>
              <w:t>(849.3)</w:t>
            </w:r>
          </w:p>
        </w:tc>
        <w:tc>
          <w:tcPr>
            <w:tcW w:w="5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(6,917.7)</w:t>
            </w: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in-process research and development</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(254.4)</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(241.9)</w:t>
            </w:r>
          </w:p>
        </w:tc>
      </w:tr>
      <w:tr>
        <w:trPr>
          <w:trHeight w:val="250"/>
        </w:trPr>
        <w:tc>
          <w:tcPr>
            <w:tcW w:w="7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investing activities, net</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4.1</w:t>
            </w:r>
          </w:p>
        </w:tc>
        <w:tc>
          <w:tcPr>
            <w:tcW w:w="5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(339.2)</w:t>
            </w:r>
          </w:p>
        </w:tc>
      </w:tr>
      <w:tr>
        <w:trPr>
          <w:trHeight w:val="25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(1,271.3)</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(7,617.7)</w:t>
            </w: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(1,345.5)</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(1,235.2)</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Net change in short-term borrowings</w:t>
            </w:r>
          </w:p>
        </w:tc>
        <w:tc>
          <w:tcPr>
            <w:tcW w:w="4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b w:val="1"/>
                <w:bCs w:val="1"/>
                <w:color w:val="auto"/>
              </w:rPr>
              <w:t>(235.4)</w:t>
            </w:r>
          </w:p>
        </w:tc>
        <w:tc>
          <w:tcPr>
            <w:tcW w:w="5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1,564.3</w:t>
            </w: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988.6</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4,448.3</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Repayments of long-term debt</w:t>
            </w:r>
          </w:p>
        </w:tc>
        <w:tc>
          <w:tcPr>
            <w:tcW w:w="4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b w:val="1"/>
                <w:bCs w:val="1"/>
                <w:color w:val="auto"/>
              </w:rPr>
              <w:t>(276.3)</w:t>
            </w:r>
          </w:p>
        </w:tc>
        <w:tc>
          <w:tcPr>
            <w:tcW w:w="5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(600.2)</w:t>
            </w:r>
          </w:p>
        </w:tc>
      </w:tr>
      <w:tr>
        <w:trPr>
          <w:trHeight w:val="26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common stock</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(500.0)</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(3,500.0)</w:t>
            </w:r>
          </w:p>
        </w:tc>
      </w:tr>
      <w:tr>
        <w:trPr>
          <w:trHeight w:val="250"/>
        </w:trPr>
        <w:tc>
          <w:tcPr>
            <w:tcW w:w="7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financing activities, net</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(197.9)</w:t>
            </w:r>
          </w:p>
        </w:tc>
        <w:tc>
          <w:tcPr>
            <w:tcW w:w="5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(195.2)</w:t>
            </w:r>
          </w:p>
        </w:tc>
      </w:tr>
      <w:tr>
        <w:trPr>
          <w:trHeight w:val="25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(1,566.5)</w:t>
            </w:r>
          </w:p>
        </w:tc>
        <w:tc>
          <w:tcPr>
            <w:tcW w:w="5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482.0</w:t>
            </w:r>
          </w:p>
        </w:tc>
      </w:tr>
      <w:tr>
        <w:trPr>
          <w:trHeight w:val="25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(12.4)</w:t>
            </w:r>
          </w:p>
        </w:tc>
        <w:tc>
          <w:tcPr>
            <w:tcW w:w="5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64.9</w:t>
            </w:r>
          </w:p>
        </w:tc>
      </w:tr>
      <w:tr>
        <w:trPr>
          <w:trHeight w:val="203"/>
        </w:trPr>
        <w:tc>
          <w:tcPr>
            <w:tcW w:w="7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27.6</w:t>
            </w:r>
          </w:p>
        </w:tc>
        <w:tc>
          <w:tcPr>
            <w:tcW w:w="5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(5,708.0)</w:t>
            </w:r>
          </w:p>
        </w:tc>
      </w:tr>
      <w:tr>
        <w:trPr>
          <w:trHeight w:val="26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January 1 (2019 includes $677.5 of discontinued operations)</w:t>
            </w:r>
          </w:p>
        </w:tc>
        <w:tc>
          <w:tcPr>
            <w:tcW w:w="4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2,337.5</w:t>
            </w:r>
          </w:p>
        </w:tc>
        <w:tc>
          <w:tcPr>
            <w:tcW w:w="5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7,998.2</w:t>
            </w:r>
          </w:p>
        </w:tc>
      </w:tr>
      <w:tr>
        <w:trPr>
          <w:trHeight w:val="257"/>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June 30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2,365.1</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2,290.2</w:t>
            </w: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99"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7">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We issue our financial statements by filing them with the Securities and Exchange Commission and have evaluated subsequent events up to the time of the filing of our Form 10-Q.</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r>
      <w:tr>
        <w:trPr>
          <w:trHeight w:val="196"/>
        </w:trPr>
        <w:tc>
          <w:tcPr>
            <w:tcW w:w="4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250"/>
        </w:trPr>
        <w:tc>
          <w:tcPr>
            <w:tcW w:w="4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5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5,077.7</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5,168.7</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10,481.2</w:t>
            </w:r>
          </w:p>
        </w:tc>
        <w:tc>
          <w:tcPr>
            <w:tcW w:w="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9,861.0</w:t>
            </w:r>
          </w:p>
        </w:tc>
      </w:tr>
      <w:tr>
        <w:trPr>
          <w:trHeight w:val="257"/>
        </w:trPr>
        <w:tc>
          <w:tcPr>
            <w:tcW w:w="434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421.7</w:t>
            </w:r>
          </w:p>
        </w:tc>
        <w:tc>
          <w:tcPr>
            <w:tcW w:w="7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468.0</w:t>
            </w:r>
          </w:p>
        </w:tc>
        <w:tc>
          <w:tcPr>
            <w:tcW w:w="5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878.0</w:t>
            </w:r>
          </w:p>
        </w:tc>
        <w:tc>
          <w:tcPr>
            <w:tcW w:w="7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867.9</w:t>
            </w:r>
          </w:p>
        </w:tc>
      </w:tr>
      <w:tr>
        <w:trPr>
          <w:trHeight w:val="25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5,499.4</w:t>
            </w:r>
          </w:p>
        </w:tc>
        <w:tc>
          <w:tcPr>
            <w:tcW w:w="7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5,636.7</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11,359.2</w:t>
            </w:r>
          </w:p>
        </w:tc>
        <w:tc>
          <w:tcPr>
            <w:tcW w:w="7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10,728.9</w:t>
            </w:r>
          </w:p>
        </w:tc>
      </w:tr>
    </w:tbl>
    <w:p>
      <w:pPr>
        <w:spacing w:after="0" w:line="113" w:lineRule="exact"/>
        <w:rPr>
          <w:sz w:val="20"/>
          <w:szCs w:val="20"/>
          <w:color w:val="auto"/>
        </w:rPr>
      </w:pPr>
    </w:p>
    <w:p>
      <w:pPr>
        <w:ind w:left="180" w:right="440" w:hanging="172"/>
        <w:spacing w:after="0" w:line="217" w:lineRule="auto"/>
        <w:tabs>
          <w:tab w:leader="none" w:pos="15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$34.7 million and $70.0 million during the three and six months ended June 30, 2020, respectively, and $59.6 million and $95.1 million during the three and six months ended June 30, 2019, respectively.</w:t>
      </w:r>
    </w:p>
    <w:p>
      <w:pPr>
        <w:spacing w:after="0" w:line="94"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 as well as royalties, upfront and milestone payments we receive under these types of contracts. See Note 4 for additional information related to certain of our collaborations and other arrangements. Collaboration and other revenue disclosed above includes the revenue from the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w:t>
      </w:r>
    </w:p>
    <w:p>
      <w:pPr>
        <w:spacing w:after="0" w:line="2" w:lineRule="exact"/>
        <w:rPr>
          <w:sz w:val="20"/>
          <w:szCs w:val="20"/>
          <w:color w:val="auto"/>
        </w:rPr>
      </w:pPr>
    </w:p>
    <w:p>
      <w:pPr>
        <w:ind w:right="420" w:firstLine="8"/>
        <w:spacing w:after="0" w:line="375"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Substantially all of the remainder of collaboration and other revenue is related to contracts accounted for as contracts with customers. </w:t>
      </w:r>
      <w:r>
        <w:rPr>
          <w:rFonts w:ascii="Arial" w:cs="Arial" w:eastAsia="Arial" w:hAnsi="Arial"/>
          <w:sz w:val="18"/>
          <w:szCs w:val="18"/>
          <w:u w:val="single" w:color="auto"/>
          <w:color w:val="auto"/>
        </w:rPr>
        <w:t>Adjustments to Revenue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Adjustments to increase (decrease) revenue recognized as a result of changes in estimates for our most significant U.S. sales returns, rebates, and discounts liability balances for products shipped in previous periods were approximately (2 percent) and 1 percent of U.S. revenue during the three and six months ended June 30, 2020, respectively, and approximately 4 percent of U.S. revenue during each of the three and six months ended June 30,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June 30, 2020</w:t>
            </w: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299.8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264.6</w:t>
            </w:r>
          </w:p>
        </w:tc>
      </w:tr>
    </w:tbl>
    <w:p>
      <w:pPr>
        <w:spacing w:after="0" w:line="200" w:lineRule="exact"/>
        <w:rPr>
          <w:sz w:val="20"/>
          <w:szCs w:val="20"/>
          <w:color w:val="auto"/>
        </w:rPr>
      </w:pPr>
    </w:p>
    <w:p>
      <w:pPr>
        <w:spacing w:after="0" w:line="366"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During the three and six months ended June 30, 2020 and 2019,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 for the three months ended June 30, 2020 and 2019:</w:t>
      </w:r>
    </w:p>
    <w:p>
      <w:pPr>
        <w:spacing w:after="0" w:line="253" w:lineRule="exact"/>
        <w:rPr>
          <w:sz w:val="20"/>
          <w:szCs w:val="20"/>
          <w:color w:val="auto"/>
        </w:rPr>
      </w:pPr>
    </w:p>
    <w:p>
      <w:pPr>
        <w:jc w:val="center"/>
        <w:ind w:left="29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2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14605</wp:posOffset>
            </wp:positionV>
            <wp:extent cx="44145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32"/>
              <w:spacing w:after="0" w:line="121" w:lineRule="exact"/>
              <w:rPr>
                <w:sz w:val="20"/>
                <w:szCs w:val="20"/>
                <w:color w:val="auto"/>
              </w:rPr>
            </w:pPr>
            <w:r>
              <w:rPr>
                <w:rFonts w:ascii="Arial" w:cs="Arial" w:eastAsia="Arial" w:hAnsi="Arial"/>
                <w:sz w:val="13"/>
                <w:szCs w:val="13"/>
                <w:b w:val="1"/>
                <w:bCs w:val="1"/>
                <w:color w:val="auto"/>
                <w:w w:val="96"/>
              </w:rPr>
              <w:t>United States</w:t>
            </w:r>
          </w:p>
        </w:tc>
        <w:tc>
          <w:tcPr>
            <w:tcW w:w="200" w:type="dxa"/>
            <w:vAlign w:val="bottom"/>
          </w:tcPr>
          <w:p>
            <w:pPr>
              <w:spacing w:after="0"/>
              <w:rPr>
                <w:sz w:val="10"/>
                <w:szCs w:val="10"/>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Pr>
          <w:p>
            <w:pPr>
              <w:spacing w:after="0"/>
              <w:rPr>
                <w:sz w:val="10"/>
                <w:szCs w:val="10"/>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0"/>
                <w:szCs w:val="10"/>
                <w:color w:val="auto"/>
              </w:rPr>
            </w:pP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8"/>
                <w:szCs w:val="18"/>
                <w:b w:val="1"/>
                <w:bCs w:val="1"/>
                <w:color w:val="auto"/>
                <w:vertAlign w:val="superscript"/>
              </w:rPr>
              <w:t>(1)</w:t>
            </w:r>
          </w:p>
        </w:tc>
        <w:tc>
          <w:tcPr>
            <w:tcW w:w="200" w:type="dxa"/>
            <w:vAlign w:val="bottom"/>
          </w:tcPr>
          <w:p>
            <w:pPr>
              <w:spacing w:after="0"/>
              <w:rPr>
                <w:sz w:val="10"/>
                <w:szCs w:val="10"/>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Pr>
          <w:p>
            <w:pPr>
              <w:spacing w:after="0"/>
              <w:rPr>
                <w:sz w:val="10"/>
                <w:szCs w:val="10"/>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2"/>
              <w:spacing w:after="0" w:line="176" w:lineRule="exact"/>
              <w:rPr>
                <w:sz w:val="20"/>
                <w:szCs w:val="20"/>
                <w:color w:val="auto"/>
              </w:rPr>
            </w:pPr>
            <w:r>
              <w:rPr>
                <w:rFonts w:ascii="Arial" w:cs="Arial" w:eastAsia="Arial" w:hAnsi="Arial"/>
                <w:sz w:val="13"/>
                <w:szCs w:val="13"/>
                <w:b w:val="1"/>
                <w:bCs w:val="1"/>
                <w:color w:val="auto"/>
              </w:rPr>
              <w:t>(U.S.)</w:t>
            </w:r>
            <w:r>
              <w:rPr>
                <w:rFonts w:ascii="Arial" w:cs="Arial" w:eastAsia="Arial" w:hAnsi="Arial"/>
                <w:sz w:val="18"/>
                <w:szCs w:val="18"/>
                <w:b w:val="1"/>
                <w:bCs w:val="1"/>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20"/>
              <w:spacing w:after="0"/>
              <w:rPr>
                <w:sz w:val="20"/>
                <w:szCs w:val="20"/>
                <w:color w:val="auto"/>
              </w:rPr>
            </w:pPr>
            <w:r>
              <w:rPr>
                <w:rFonts w:ascii="Arial" w:cs="Arial" w:eastAsia="Arial" w:hAnsi="Arial"/>
                <w:sz w:val="18"/>
                <w:szCs w:val="18"/>
                <w:color w:val="auto"/>
              </w:rPr>
              <w:t>Diabetes: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ind w:left="680"/>
              <w:spacing w:after="0" w:line="263"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1,229.8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1,028.5</w:t>
            </w:r>
          </w:p>
        </w:tc>
        <w:tc>
          <w:tcPr>
            <w:tcW w:w="0" w:type="dxa"/>
            <w:vAlign w:val="bottom"/>
          </w:tcPr>
          <w:p>
            <w:pPr>
              <w:spacing w:after="0"/>
              <w:rPr>
                <w:sz w:val="1"/>
                <w:szCs w:val="1"/>
                <w:color w:val="auto"/>
              </w:rPr>
            </w:pPr>
          </w:p>
        </w:tc>
      </w:tr>
      <w:tr>
        <w:trPr>
          <w:trHeight w:val="256"/>
        </w:trPr>
        <w:tc>
          <w:tcPr>
            <w:tcW w:w="362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(2)</w:t>
            </w:r>
          </w:p>
        </w:tc>
        <w:tc>
          <w:tcPr>
            <w:tcW w:w="16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281.7</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273.3</w:t>
            </w:r>
          </w:p>
        </w:tc>
        <w:tc>
          <w:tcPr>
            <w:tcW w:w="30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555.1</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396.1</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281.5</w:t>
            </w:r>
          </w:p>
        </w:tc>
        <w:tc>
          <w:tcPr>
            <w:tcW w:w="32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680"/>
              <w:spacing w:after="0" w:line="256"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214.3</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313.6</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57"/>
        </w:trPr>
        <w:tc>
          <w:tcPr>
            <w:tcW w:w="362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w:t>
            </w:r>
          </w:p>
        </w:tc>
        <w:tc>
          <w:tcPr>
            <w:tcW w:w="16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229.7</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60.7</w:t>
            </w:r>
          </w:p>
        </w:tc>
        <w:tc>
          <w:tcPr>
            <w:tcW w:w="30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290.4</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680"/>
              <w:spacing w:after="0" w:line="256"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145.1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262.0</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57"/>
        </w:trPr>
        <w:tc>
          <w:tcPr>
            <w:tcW w:w="362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3"/>
                <w:szCs w:val="23"/>
                <w:color w:val="auto"/>
                <w:vertAlign w:val="superscript"/>
              </w:rPr>
              <w:t>(4)</w:t>
            </w:r>
          </w:p>
        </w:tc>
        <w:tc>
          <w:tcPr>
            <w:tcW w:w="16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16.4</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30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76.8</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32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Diabetes</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33.6</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51.3</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50"/>
        </w:trPr>
        <w:tc>
          <w:tcPr>
            <w:tcW w:w="3620" w:type="dxa"/>
            <w:vAlign w:val="bottom"/>
          </w:tcPr>
          <w:p>
            <w:pPr>
              <w:ind w:left="460"/>
              <w:spacing w:after="0"/>
              <w:rPr>
                <w:sz w:val="20"/>
                <w:szCs w:val="20"/>
                <w:color w:val="auto"/>
              </w:rPr>
            </w:pPr>
            <w:r>
              <w:rPr>
                <w:rFonts w:ascii="Arial" w:cs="Arial" w:eastAsia="Arial" w:hAnsi="Arial"/>
                <w:sz w:val="18"/>
                <w:szCs w:val="18"/>
                <w:color w:val="auto"/>
              </w:rPr>
              <w:t>Total Diabetes</w:t>
            </w:r>
          </w:p>
        </w:tc>
        <w:tc>
          <w:tcPr>
            <w:tcW w:w="1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1,873.3</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905.7</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2,779.0</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1,882.8</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879.5</w:t>
            </w:r>
          </w:p>
        </w:tc>
        <w:tc>
          <w:tcPr>
            <w:tcW w:w="3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61"/>
        </w:trPr>
        <w:tc>
          <w:tcPr>
            <w:tcW w:w="3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20"/>
              <w:spacing w:after="0"/>
              <w:rPr>
                <w:sz w:val="20"/>
                <w:szCs w:val="20"/>
                <w:color w:val="auto"/>
              </w:rPr>
            </w:pPr>
            <w:r>
              <w:rPr>
                <w:rFonts w:ascii="Arial" w:cs="Arial" w:eastAsia="Arial" w:hAnsi="Arial"/>
                <w:sz w:val="18"/>
                <w:szCs w:val="18"/>
                <w:color w:val="auto"/>
              </w:rPr>
              <w:t>Oncology:</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ind w:left="680"/>
              <w:spacing w:after="0" w:line="263"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317.2</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221.9</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539.1</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56"/>
        </w:trPr>
        <w:tc>
          <w:tcPr>
            <w:tcW w:w="362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16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94.1</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c>
          <w:tcPr>
            <w:tcW w:w="30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256.7</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c>
          <w:tcPr>
            <w:tcW w:w="32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680"/>
              <w:spacing w:after="0" w:line="256"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141.7</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66.9</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208.6</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57"/>
        </w:trPr>
        <w:tc>
          <w:tcPr>
            <w:tcW w:w="362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16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115.8</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30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129.5</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136.9</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Oncology</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134.7</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50"/>
        </w:trPr>
        <w:tc>
          <w:tcPr>
            <w:tcW w:w="3620" w:type="dxa"/>
            <w:vAlign w:val="bottom"/>
          </w:tcPr>
          <w:p>
            <w:pPr>
              <w:ind w:left="460"/>
              <w:spacing w:after="0"/>
              <w:rPr>
                <w:sz w:val="20"/>
                <w:szCs w:val="20"/>
                <w:color w:val="auto"/>
              </w:rPr>
            </w:pPr>
            <w:r>
              <w:rPr>
                <w:rFonts w:ascii="Arial" w:cs="Arial" w:eastAsia="Arial" w:hAnsi="Arial"/>
                <w:sz w:val="18"/>
                <w:szCs w:val="18"/>
                <w:color w:val="auto"/>
              </w:rPr>
              <w:t>Total Oncology</w:t>
            </w:r>
          </w:p>
        </w:tc>
        <w:tc>
          <w:tcPr>
            <w:tcW w:w="1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682.7</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585.9</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1,268.6</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689.8</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507.4</w:t>
            </w:r>
          </w:p>
        </w:tc>
        <w:tc>
          <w:tcPr>
            <w:tcW w:w="3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1,197.2</w:t>
            </w:r>
          </w:p>
        </w:tc>
        <w:tc>
          <w:tcPr>
            <w:tcW w:w="0" w:type="dxa"/>
            <w:vAlign w:val="bottom"/>
          </w:tcPr>
          <w:p>
            <w:pPr>
              <w:spacing w:after="0"/>
              <w:rPr>
                <w:sz w:val="1"/>
                <w:szCs w:val="1"/>
                <w:color w:val="auto"/>
              </w:rPr>
            </w:pPr>
          </w:p>
        </w:tc>
      </w:tr>
      <w:tr>
        <w:trPr>
          <w:trHeight w:val="61"/>
        </w:trPr>
        <w:tc>
          <w:tcPr>
            <w:tcW w:w="3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340"/>
              <w:spacing w:after="0"/>
              <w:rPr>
                <w:sz w:val="20"/>
                <w:szCs w:val="20"/>
                <w:color w:val="auto"/>
              </w:rPr>
            </w:pPr>
            <w:r>
              <w:rPr>
                <w:rFonts w:ascii="Arial" w:cs="Arial" w:eastAsia="Arial" w:hAnsi="Arial"/>
                <w:sz w:val="18"/>
                <w:szCs w:val="18"/>
                <w:color w:val="auto"/>
              </w:rPr>
              <w:t>Immunology:</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ind w:left="680"/>
              <w:spacing w:after="0" w:line="263"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289.2</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395.2</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57"/>
        </w:trPr>
        <w:tc>
          <w:tcPr>
            <w:tcW w:w="362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p>
        </w:tc>
        <w:tc>
          <w:tcPr>
            <w:tcW w:w="16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13.2</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131.8</w:t>
            </w:r>
          </w:p>
        </w:tc>
        <w:tc>
          <w:tcPr>
            <w:tcW w:w="30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145.0</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Immunology</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8.1</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8.1</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Pr>
          <w:p>
            <w:pPr>
              <w:ind w:left="460"/>
              <w:spacing w:after="0"/>
              <w:rPr>
                <w:sz w:val="20"/>
                <w:szCs w:val="20"/>
                <w:color w:val="auto"/>
              </w:rPr>
            </w:pPr>
            <w:r>
              <w:rPr>
                <w:rFonts w:ascii="Arial" w:cs="Arial" w:eastAsia="Arial" w:hAnsi="Arial"/>
                <w:sz w:val="18"/>
                <w:szCs w:val="18"/>
                <w:color w:val="auto"/>
              </w:rPr>
              <w:t>Total Immunology</w:t>
            </w:r>
          </w:p>
        </w:tc>
        <w:tc>
          <w:tcPr>
            <w:tcW w:w="1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310.5</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237.8</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548.3</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278.8</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177.3</w:t>
            </w:r>
          </w:p>
        </w:tc>
        <w:tc>
          <w:tcPr>
            <w:tcW w:w="3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101"/>
        </w:trPr>
        <w:tc>
          <w:tcPr>
            <w:tcW w:w="3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340"/>
              <w:spacing w:after="0"/>
              <w:rPr>
                <w:sz w:val="20"/>
                <w:szCs w:val="20"/>
                <w:color w:val="auto"/>
              </w:rPr>
            </w:pPr>
            <w:r>
              <w:rPr>
                <w:rFonts w:ascii="Arial" w:cs="Arial" w:eastAsia="Arial" w:hAnsi="Arial"/>
                <w:sz w:val="18"/>
                <w:szCs w:val="18"/>
                <w:color w:val="auto"/>
              </w:rPr>
              <w:t>Neuroscience:</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ind w:left="680"/>
              <w:spacing w:after="0" w:line="263"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179.9</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57"/>
        </w:trPr>
        <w:tc>
          <w:tcPr>
            <w:tcW w:w="362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color w:val="auto"/>
                <w:vertAlign w:val="superscript"/>
              </w:rPr>
              <w:t>®</w:t>
            </w:r>
          </w:p>
        </w:tc>
        <w:tc>
          <w:tcPr>
            <w:tcW w:w="16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9.1</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87.5</w:t>
            </w:r>
          </w:p>
        </w:tc>
        <w:tc>
          <w:tcPr>
            <w:tcW w:w="30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96.6</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w:t>
            </w:r>
          </w:p>
        </w:tc>
        <w:tc>
          <w:tcPr>
            <w:tcW w:w="32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680"/>
              <w:spacing w:after="0" w:line="256"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80.6</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87.4</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 Neuroscience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6.6</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58.6</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Neuroscience</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104.0</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318.5</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422.5</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2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16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119.6</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133.0</w:t>
            </w:r>
          </w:p>
        </w:tc>
        <w:tc>
          <w:tcPr>
            <w:tcW w:w="30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b w:val="1"/>
                <w:bCs w:val="1"/>
                <w:color w:val="auto"/>
              </w:rPr>
              <w:t>252.7</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188.0</w:t>
            </w:r>
          </w:p>
        </w:tc>
        <w:tc>
          <w:tcPr>
            <w:tcW w:w="32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680"/>
              <w:spacing w:after="0" w:line="256"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23.4</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107.3</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130.7</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31.4</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97.6</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174.4</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306.7</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481.0</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63"/>
        </w:trPr>
        <w:tc>
          <w:tcPr>
            <w:tcW w:w="362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3,144.8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2,354.6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5,499.4</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5,636.7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8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ectPr>
          <w:pgSz w:w="11900" w:h="16838" w:orient="portrait"/>
          <w:cols w:equalWidth="0" w:num="1">
            <w:col w:w="10580"/>
          </w:cols>
          <w:pgMar w:left="320" w:top="1016" w:right="9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016"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revenue by product for the six months ended June 30, 2020 and 2019:</w:t>
      </w:r>
    </w:p>
    <w:p>
      <w:pPr>
        <w:spacing w:after="0" w:line="19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14605</wp:posOffset>
            </wp:positionV>
            <wp:extent cx="4474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15"/>
        </w:trPr>
        <w:tc>
          <w:tcPr>
            <w:tcW w:w="4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r>
      <w:tr>
        <w:trPr>
          <w:trHeight w:val="25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50"/>
        </w:trPr>
        <w:tc>
          <w:tcPr>
            <w:tcW w:w="4200" w:type="dxa"/>
            <w:vAlign w:val="bottom"/>
          </w:tcPr>
          <w:p>
            <w:pPr>
              <w:ind w:left="220"/>
              <w:spacing w:after="0"/>
              <w:rPr>
                <w:sz w:val="20"/>
                <w:szCs w:val="20"/>
                <w:color w:val="auto"/>
              </w:rPr>
            </w:pPr>
            <w:r>
              <w:rPr>
                <w:rFonts w:ascii="Arial" w:cs="Arial" w:eastAsia="Arial" w:hAnsi="Arial"/>
                <w:sz w:val="18"/>
                <w:szCs w:val="18"/>
                <w:color w:val="auto"/>
              </w:rPr>
              <w:t>Diabetes: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Trulicity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1,882.0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2,459.1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450.6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1,908.3</w:t>
            </w:r>
          </w:p>
        </w:tc>
      </w:tr>
      <w:tr>
        <w:trPr>
          <w:trHeight w:val="257"/>
        </w:trPr>
        <w:tc>
          <w:tcPr>
            <w:tcW w:w="420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 xml:space="preserve">Humalog </w:t>
            </w:r>
            <w:r>
              <w:rPr>
                <w:rFonts w:ascii="Arial" w:cs="Arial" w:eastAsia="Arial" w:hAnsi="Arial"/>
                <w:sz w:val="23"/>
                <w:szCs w:val="23"/>
                <w:color w:val="auto"/>
                <w:vertAlign w:val="superscript"/>
              </w:rPr>
              <w:t>(2)</w:t>
            </w:r>
          </w:p>
        </w:tc>
        <w:tc>
          <w:tcPr>
            <w:tcW w:w="2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680.3</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570.5</w:t>
            </w:r>
          </w:p>
        </w:tc>
        <w:tc>
          <w:tcPr>
            <w:tcW w:w="280" w:type="dxa"/>
            <w:vAlign w:val="bottom"/>
          </w:tcPr>
          <w:p>
            <w:pPr>
              <w:spacing w:after="0"/>
              <w:rPr>
                <w:sz w:val="22"/>
                <w:szCs w:val="22"/>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1,250.8</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844.8</w:t>
            </w:r>
          </w:p>
        </w:tc>
        <w:tc>
          <w:tcPr>
            <w:tcW w:w="2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563.7</w:t>
            </w:r>
          </w:p>
        </w:tc>
        <w:tc>
          <w:tcPr>
            <w:tcW w:w="28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1,408.4</w:t>
            </w:r>
          </w:p>
        </w:tc>
      </w:tr>
      <w:tr>
        <w:trPr>
          <w:trHeight w:val="257"/>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Humulin</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428.4</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629.3</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199.0</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620.3</w:t>
            </w:r>
          </w:p>
        </w:tc>
      </w:tr>
      <w:tr>
        <w:trPr>
          <w:trHeight w:val="250"/>
        </w:trPr>
        <w:tc>
          <w:tcPr>
            <w:tcW w:w="4200" w:type="dxa"/>
            <w:vAlign w:val="bottom"/>
          </w:tcPr>
          <w:p>
            <w:pPr>
              <w:ind w:left="660"/>
              <w:spacing w:after="0"/>
              <w:rPr>
                <w:sz w:val="20"/>
                <w:szCs w:val="20"/>
                <w:color w:val="auto"/>
              </w:rPr>
            </w:pPr>
            <w:r>
              <w:rPr>
                <w:rFonts w:ascii="Arial" w:cs="Arial" w:eastAsia="Arial" w:hAnsi="Arial"/>
                <w:sz w:val="18"/>
                <w:szCs w:val="18"/>
                <w:i w:val="1"/>
                <w:iCs w:val="1"/>
                <w:color w:val="auto"/>
              </w:rPr>
              <w:t>Basaglar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460.1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594.1</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430.3</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111.8</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542.1</w:t>
            </w:r>
          </w:p>
        </w:tc>
      </w:tr>
      <w:tr>
        <w:trPr>
          <w:trHeight w:val="263"/>
        </w:trPr>
        <w:tc>
          <w:tcPr>
            <w:tcW w:w="4200" w:type="dxa"/>
            <w:vAlign w:val="bottom"/>
            <w:shd w:val="clear" w:color="auto" w:fill="CCEEFF"/>
          </w:tcPr>
          <w:p>
            <w:pPr>
              <w:ind w:left="680"/>
              <w:spacing w:after="0" w:line="263"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289.7</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239.8</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529.5</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167.7</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435.5</w:t>
            </w:r>
          </w:p>
        </w:tc>
      </w:tr>
      <w:tr>
        <w:trPr>
          <w:trHeight w:val="257"/>
        </w:trPr>
        <w:tc>
          <w:tcPr>
            <w:tcW w:w="4200" w:type="dxa"/>
            <w:vAlign w:val="bottom"/>
          </w:tcPr>
          <w:p>
            <w:pPr>
              <w:ind w:left="680"/>
              <w:spacing w:after="0" w:line="256" w:lineRule="exact"/>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3"/>
                <w:szCs w:val="23"/>
                <w:color w:val="auto"/>
                <w:vertAlign w:val="superscript"/>
              </w:rPr>
              <w:t>(4)</w:t>
            </w:r>
          </w:p>
        </w:tc>
        <w:tc>
          <w:tcPr>
            <w:tcW w:w="2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45.1</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280" w:type="dxa"/>
            <w:vAlign w:val="bottom"/>
          </w:tcPr>
          <w:p>
            <w:pPr>
              <w:spacing w:after="0"/>
              <w:rPr>
                <w:sz w:val="22"/>
                <w:szCs w:val="22"/>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170.0</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111.8</w:t>
            </w:r>
          </w:p>
        </w:tc>
        <w:tc>
          <w:tcPr>
            <w:tcW w:w="2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174.0</w:t>
            </w:r>
          </w:p>
        </w:tc>
        <w:tc>
          <w:tcPr>
            <w:tcW w:w="28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285.9</w:t>
            </w:r>
          </w:p>
        </w:tc>
      </w:tr>
      <w:tr>
        <w:trPr>
          <w:trHeight w:val="250"/>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Diabetes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78.9</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115.1</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114.8</w:t>
            </w:r>
          </w:p>
        </w:tc>
      </w:tr>
      <w:tr>
        <w:trPr>
          <w:trHeight w:val="250"/>
        </w:trPr>
        <w:tc>
          <w:tcPr>
            <w:tcW w:w="4200" w:type="dxa"/>
            <w:vAlign w:val="bottom"/>
          </w:tcPr>
          <w:p>
            <w:pPr>
              <w:ind w:left="460"/>
              <w:spacing w:after="0"/>
              <w:rPr>
                <w:sz w:val="20"/>
                <w:szCs w:val="20"/>
                <w:color w:val="auto"/>
              </w:rPr>
            </w:pPr>
            <w:r>
              <w:rPr>
                <w:rFonts w:ascii="Arial" w:cs="Arial" w:eastAsia="Arial" w:hAnsi="Arial"/>
                <w:sz w:val="18"/>
                <w:szCs w:val="18"/>
                <w:color w:val="auto"/>
              </w:rPr>
              <w:t>Total Diabetes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3,864.5</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1,883.4</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5,747.9</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3,602.2</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1,713.1</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5,315.3</w:t>
            </w:r>
          </w:p>
        </w:tc>
      </w:tr>
      <w:tr>
        <w:trPr>
          <w:trHeight w:val="61"/>
        </w:trPr>
        <w:tc>
          <w:tcPr>
            <w:tcW w:w="42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50"/>
        </w:trPr>
        <w:tc>
          <w:tcPr>
            <w:tcW w:w="4200" w:type="dxa"/>
            <w:vAlign w:val="bottom"/>
          </w:tcPr>
          <w:p>
            <w:pPr>
              <w:ind w:left="220"/>
              <w:spacing w:after="0"/>
              <w:rPr>
                <w:sz w:val="20"/>
                <w:szCs w:val="20"/>
                <w:color w:val="auto"/>
              </w:rPr>
            </w:pPr>
            <w:r>
              <w:rPr>
                <w:rFonts w:ascii="Arial" w:cs="Arial" w:eastAsia="Arial" w:hAnsi="Arial"/>
                <w:sz w:val="18"/>
                <w:szCs w:val="18"/>
                <w:color w:val="auto"/>
              </w:rPr>
              <w:t>Oncology:</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Alimta</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641.5</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457.7</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1,099.2</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453.5</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1,076.9</w:t>
            </w:r>
          </w:p>
        </w:tc>
      </w:tr>
      <w:tr>
        <w:trPr>
          <w:trHeight w:val="250"/>
        </w:trPr>
        <w:tc>
          <w:tcPr>
            <w:tcW w:w="4200" w:type="dxa"/>
            <w:vAlign w:val="bottom"/>
          </w:tcPr>
          <w:p>
            <w:pPr>
              <w:ind w:left="660"/>
              <w:spacing w:after="0"/>
              <w:rPr>
                <w:sz w:val="20"/>
                <w:szCs w:val="20"/>
                <w:color w:val="auto"/>
              </w:rPr>
            </w:pPr>
            <w:r>
              <w:rPr>
                <w:rFonts w:ascii="Arial" w:cs="Arial" w:eastAsia="Arial" w:hAnsi="Arial"/>
                <w:sz w:val="18"/>
                <w:szCs w:val="18"/>
                <w:i w:val="1"/>
                <w:iCs w:val="1"/>
                <w:color w:val="auto"/>
              </w:rPr>
              <w:t>Cyramza</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183.2</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312.5</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495.7</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275.2</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440.0</w:t>
            </w:r>
          </w:p>
        </w:tc>
      </w:tr>
      <w:tr>
        <w:trPr>
          <w:trHeight w:val="263"/>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Verzenio</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271.1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396.7</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243.3</w:t>
            </w:r>
          </w:p>
        </w:tc>
      </w:tr>
      <w:tr>
        <w:trPr>
          <w:trHeight w:val="250"/>
        </w:trPr>
        <w:tc>
          <w:tcPr>
            <w:tcW w:w="4200" w:type="dxa"/>
            <w:vAlign w:val="bottom"/>
          </w:tcPr>
          <w:p>
            <w:pPr>
              <w:ind w:left="660"/>
              <w:spacing w:after="0"/>
              <w:rPr>
                <w:sz w:val="20"/>
                <w:szCs w:val="20"/>
                <w:color w:val="auto"/>
              </w:rPr>
            </w:pPr>
            <w:r>
              <w:rPr>
                <w:rFonts w:ascii="Arial" w:cs="Arial" w:eastAsia="Arial" w:hAnsi="Arial"/>
                <w:sz w:val="18"/>
                <w:szCs w:val="18"/>
                <w:i w:val="1"/>
                <w:iCs w:val="1"/>
                <w:color w:val="auto"/>
              </w:rPr>
              <w:t>Erbitux</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233.7</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260.3</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250.3</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277.7</w:t>
            </w:r>
          </w:p>
        </w:tc>
      </w:tr>
      <w:tr>
        <w:trPr>
          <w:trHeight w:val="257"/>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Oncology</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11.1</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207.0</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218.2</w:t>
            </w: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125.5</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172.1</w:t>
            </w:r>
          </w:p>
        </w:tc>
      </w:tr>
      <w:tr>
        <w:trPr>
          <w:trHeight w:val="250"/>
        </w:trPr>
        <w:tc>
          <w:tcPr>
            <w:tcW w:w="4200" w:type="dxa"/>
            <w:vAlign w:val="bottom"/>
          </w:tcPr>
          <w:p>
            <w:pPr>
              <w:ind w:left="460"/>
              <w:spacing w:after="0"/>
              <w:rPr>
                <w:sz w:val="20"/>
                <w:szCs w:val="20"/>
                <w:color w:val="auto"/>
              </w:rPr>
            </w:pPr>
            <w:r>
              <w:rPr>
                <w:rFonts w:ascii="Arial" w:cs="Arial" w:eastAsia="Arial" w:hAnsi="Arial"/>
                <w:sz w:val="18"/>
                <w:szCs w:val="18"/>
                <w:color w:val="auto"/>
              </w:rPr>
              <w:t>Total Oncology</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1,340.6</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1,129.5</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2,470.1</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1,283.7</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926.3</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2,210.0</w:t>
            </w:r>
          </w:p>
        </w:tc>
      </w:tr>
      <w:tr>
        <w:trPr>
          <w:trHeight w:val="61"/>
        </w:trPr>
        <w:tc>
          <w:tcPr>
            <w:tcW w:w="42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50"/>
        </w:trPr>
        <w:tc>
          <w:tcPr>
            <w:tcW w:w="4200" w:type="dxa"/>
            <w:vAlign w:val="bottom"/>
          </w:tcPr>
          <w:p>
            <w:pPr>
              <w:ind w:left="340"/>
              <w:spacing w:after="0"/>
              <w:rPr>
                <w:sz w:val="20"/>
                <w:szCs w:val="20"/>
                <w:color w:val="auto"/>
              </w:rPr>
            </w:pPr>
            <w:r>
              <w:rPr>
                <w:rFonts w:ascii="Arial" w:cs="Arial" w:eastAsia="Arial" w:hAnsi="Arial"/>
                <w:sz w:val="18"/>
                <w:szCs w:val="18"/>
                <w:color w:val="auto"/>
              </w:rPr>
              <w:t>Immunology:</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Taltz</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616.7</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222.0</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838.7</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157.4</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606.3</w:t>
            </w:r>
          </w:p>
        </w:tc>
      </w:tr>
      <w:tr>
        <w:trPr>
          <w:trHeight w:val="250"/>
        </w:trPr>
        <w:tc>
          <w:tcPr>
            <w:tcW w:w="4200" w:type="dxa"/>
            <w:vAlign w:val="bottom"/>
          </w:tcPr>
          <w:p>
            <w:pPr>
              <w:ind w:left="660"/>
              <w:spacing w:after="0"/>
              <w:rPr>
                <w:sz w:val="20"/>
                <w:szCs w:val="20"/>
                <w:color w:val="auto"/>
              </w:rPr>
            </w:pPr>
            <w:r>
              <w:rPr>
                <w:rFonts w:ascii="Arial" w:cs="Arial" w:eastAsia="Arial" w:hAnsi="Arial"/>
                <w:sz w:val="18"/>
                <w:szCs w:val="18"/>
                <w:i w:val="1"/>
                <w:iCs w:val="1"/>
                <w:color w:val="auto"/>
              </w:rPr>
              <w:t>Olumiant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24.5</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260.2</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284.7</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184.5</w:t>
            </w:r>
          </w:p>
        </w:tc>
      </w:tr>
      <w:tr>
        <w:trPr>
          <w:trHeight w:val="257"/>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Immunology</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10.7</w:t>
            </w: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4200" w:type="dxa"/>
            <w:vAlign w:val="bottom"/>
          </w:tcPr>
          <w:p>
            <w:pPr>
              <w:ind w:left="460"/>
              <w:spacing w:after="0"/>
              <w:rPr>
                <w:sz w:val="20"/>
                <w:szCs w:val="20"/>
                <w:color w:val="auto"/>
              </w:rPr>
            </w:pPr>
            <w:r>
              <w:rPr>
                <w:rFonts w:ascii="Arial" w:cs="Arial" w:eastAsia="Arial" w:hAnsi="Arial"/>
                <w:sz w:val="18"/>
                <w:szCs w:val="18"/>
                <w:color w:val="auto"/>
              </w:rPr>
              <w:t>Total Immunology</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651.9</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482.2</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1,134.1</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466.0</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324.8</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790.8</w:t>
            </w:r>
          </w:p>
        </w:tc>
      </w:tr>
      <w:tr>
        <w:trPr>
          <w:trHeight w:val="61"/>
        </w:trPr>
        <w:tc>
          <w:tcPr>
            <w:tcW w:w="42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50"/>
        </w:trPr>
        <w:tc>
          <w:tcPr>
            <w:tcW w:w="4200" w:type="dxa"/>
            <w:vAlign w:val="bottom"/>
          </w:tcPr>
          <w:p>
            <w:pPr>
              <w:ind w:left="340"/>
              <w:spacing w:after="0"/>
              <w:rPr>
                <w:sz w:val="20"/>
                <w:szCs w:val="20"/>
                <w:color w:val="auto"/>
              </w:rPr>
            </w:pPr>
            <w:r>
              <w:rPr>
                <w:rFonts w:ascii="Arial" w:cs="Arial" w:eastAsia="Arial" w:hAnsi="Arial"/>
                <w:sz w:val="18"/>
                <w:szCs w:val="18"/>
                <w:color w:val="auto"/>
              </w:rPr>
              <w:t>Neuroscience: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Cymbalta</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19.3</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370.9</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390.3</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322.9</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351.3</w:t>
            </w:r>
          </w:p>
        </w:tc>
      </w:tr>
      <w:tr>
        <w:trPr>
          <w:trHeight w:val="250"/>
        </w:trPr>
        <w:tc>
          <w:tcPr>
            <w:tcW w:w="4200" w:type="dxa"/>
            <w:vAlign w:val="bottom"/>
          </w:tcPr>
          <w:p>
            <w:pPr>
              <w:ind w:left="660"/>
              <w:spacing w:after="0"/>
              <w:rPr>
                <w:sz w:val="20"/>
                <w:szCs w:val="20"/>
                <w:color w:val="auto"/>
              </w:rPr>
            </w:pPr>
            <w:r>
              <w:rPr>
                <w:rFonts w:ascii="Arial" w:cs="Arial" w:eastAsia="Arial" w:hAnsi="Arial"/>
                <w:sz w:val="18"/>
                <w:szCs w:val="18"/>
                <w:i w:val="1"/>
                <w:iCs w:val="1"/>
                <w:color w:val="auto"/>
              </w:rPr>
              <w:t>Zyprexa</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20.3</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174.7</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195.0</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193.0</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211.5</w:t>
            </w:r>
          </w:p>
        </w:tc>
      </w:tr>
      <w:tr>
        <w:trPr>
          <w:trHeight w:val="263"/>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Emgality</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147.9</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161.5</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48.5</w:t>
            </w:r>
          </w:p>
        </w:tc>
      </w:tr>
      <w:tr>
        <w:trPr>
          <w:trHeight w:val="250"/>
        </w:trPr>
        <w:tc>
          <w:tcPr>
            <w:tcW w:w="4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 Neuroscience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26.7</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139.2</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171.8</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234.6</w:t>
            </w:r>
          </w:p>
        </w:tc>
      </w:tr>
      <w:tr>
        <w:trPr>
          <w:trHeight w:val="256"/>
        </w:trPr>
        <w:tc>
          <w:tcPr>
            <w:tcW w:w="4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Neuroscience</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214.2</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671.7</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886.0</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690.3</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845.9</w:t>
            </w: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6"/>
        </w:trPr>
        <w:tc>
          <w:tcPr>
            <w:tcW w:w="4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4200" w:type="dxa"/>
            <w:vAlign w:val="bottom"/>
          </w:tcPr>
          <w:p>
            <w:pPr>
              <w:ind w:left="660"/>
              <w:spacing w:after="0"/>
              <w:rPr>
                <w:sz w:val="20"/>
                <w:szCs w:val="20"/>
                <w:color w:val="auto"/>
              </w:rPr>
            </w:pPr>
            <w:r>
              <w:rPr>
                <w:rFonts w:ascii="Arial" w:cs="Arial" w:eastAsia="Arial" w:hAnsi="Arial"/>
                <w:sz w:val="18"/>
                <w:szCs w:val="18"/>
                <w:i w:val="1"/>
                <w:iCs w:val="1"/>
                <w:color w:val="auto"/>
              </w:rPr>
              <w:t>Forteo</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242.2</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282.9</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525.0</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375.0</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673.7</w:t>
            </w:r>
          </w:p>
        </w:tc>
      </w:tr>
      <w:tr>
        <w:trPr>
          <w:trHeight w:val="263"/>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Cialis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49.5</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274.3</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323.8</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330.0</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508.4</w:t>
            </w:r>
          </w:p>
        </w:tc>
      </w:tr>
      <w:tr>
        <w:trPr>
          <w:trHeight w:val="250"/>
        </w:trPr>
        <w:tc>
          <w:tcPr>
            <w:tcW w:w="4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110.7</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161.5</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272.3</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384.9</w:t>
            </w:r>
          </w:p>
        </w:tc>
      </w:tr>
      <w:tr>
        <w:trPr>
          <w:trHeight w:val="250"/>
        </w:trPr>
        <w:tc>
          <w:tcPr>
            <w:tcW w:w="4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402.4</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718.7</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1,121.1</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931.2</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1,567.0</w:t>
            </w:r>
          </w:p>
        </w:tc>
      </w:tr>
      <w:tr>
        <w:trPr>
          <w:trHeight w:val="264"/>
        </w:trPr>
        <w:tc>
          <w:tcPr>
            <w:tcW w:w="420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6,473.6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4,885.6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11,359.2</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4,585.6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10,728.9</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Trajenta revenue includes Jentadueto.</w:t>
      </w:r>
      <w:r>
        <w:rPr>
          <w:rFonts w:ascii="Arial" w:cs="Arial" w:eastAsia="Arial" w:hAnsi="Arial"/>
          <w:sz w:val="8"/>
          <w:szCs w:val="8"/>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4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09"/>
        </w:trPr>
        <w:tc>
          <w:tcPr>
            <w:tcW w:w="6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636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U.S. </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3,144.8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3,252.5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6,473.6</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6,143.3</w:t>
            </w:r>
          </w:p>
        </w:tc>
      </w:tr>
      <w:tr>
        <w:trPr>
          <w:trHeight w:val="257"/>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873.0</w:t>
            </w: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928.2</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1,934.1</w:t>
            </w: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1,828.5</w:t>
            </w:r>
          </w:p>
        </w:tc>
      </w:tr>
      <w:tr>
        <w:trPr>
          <w:trHeight w:val="250"/>
        </w:trPr>
        <w:tc>
          <w:tcPr>
            <w:tcW w:w="6360" w:type="dxa"/>
            <w:vAlign w:val="bottom"/>
          </w:tcPr>
          <w:p>
            <w:pPr>
              <w:ind w:left="120"/>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666.7</w:t>
            </w:r>
          </w:p>
        </w:tc>
        <w:tc>
          <w:tcPr>
            <w:tcW w:w="4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653.2</w:t>
            </w:r>
          </w:p>
        </w:tc>
        <w:tc>
          <w:tcPr>
            <w:tcW w:w="28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1,259.0</w:t>
            </w:r>
          </w:p>
        </w:tc>
        <w:tc>
          <w:tcPr>
            <w:tcW w:w="40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1,196.9</w:t>
            </w:r>
          </w:p>
        </w:tc>
      </w:tr>
      <w:tr>
        <w:trPr>
          <w:trHeight w:val="263"/>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239.8</w:t>
            </w: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230.9</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507.1</w:t>
            </w: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442.1</w:t>
            </w:r>
          </w:p>
        </w:tc>
      </w:tr>
      <w:tr>
        <w:trPr>
          <w:trHeight w:val="250"/>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foreign countries</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575.2</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571.9</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1,185.5</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1,118.1</w:t>
            </w: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5,499.4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5,636.7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11,359.2</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10,728.9</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February 2020 and 2019, we completed the acquisitions of Dermira, Inc. (Dermira) and Loxo Oncology, Inc. (Loxo), respectively.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9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acquired assets in development which are further discussed in this note below in Asset Acquisitions. Upon acquisition, the acquired in-process research and development (IPR&amp;D) charges related to these compounds were immediately expensed because the compounds had no alternative future use. We incurred acquired IPR&amp;D charges of $ 241.8 million and $294.1 million for the three and six months ended June 30, 2020, respectively, and $25.0 million and $161.9 million for the three and six months ended June 30, 2019,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terms of the agreement, we acquired lebrikizumab, a novel, investigational, monoclonal antibody being evaluated for the treatment of moderate-to-severe atopic dermatitis. Lebrikizumab was granted Fast Track designation from the U.S. Food and Drug Administration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access to Dermira information was limited prior to the acquisition. As a consequence, we are in the process of determining fair values and tax bases of a significant portion of the assets acquired and liabilities assumed, including the identification and valuation of intangible assets, long-term debt,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 Preliminary fair values related to this acquisition included goodwill of $43.7 million, other intangibles of $1.24 billion, deferred income tax liabilities of $51.2 million, and long-term debt of $375.5 million. After the acquisition, we repaid $276.2 million of long-term debt assumed as part of our acquisition of Dermira.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February 2019, we acquired all shares of Loxo for a purchase price of $ 6.92 billion, net of cash acquired. The accelerated vesting of Loxo employee equity awards was recognized as transaction expense included in asset impairment, restructuring, and other special charges during the six months ended June 30, 2019 (see Note 6).</w:t>
      </w:r>
    </w:p>
    <w:p>
      <w:pPr>
        <w:spacing w:after="0" w:line="94"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Under the terms of the agreement, we acquired a pipeline of investigational medicines, including selpercatinib (LOXO-292), an oral RET inhibitor, and LOXO-305, an oral BTK inhibitor. In the second quarter of 2020, the FDA approved selpercatinib (Retevmo™) under its Accelerated Approval regulations and continued approval may be</w:t>
      </w:r>
    </w:p>
    <w:p>
      <w:pPr>
        <w:spacing w:after="0" w:line="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contingent upon verification and description of clinical benefit in confirmatory trials. At the time of approval, we reclassified our $4.60 billion intangible asset for selpercatinib (Retevmo) from indefinite-lived intangible assets to finite-lived intangible assets and began amortizing straight line over its estimated useful life.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 summarizes the amounts recognized for assets acquired and liabilities assumed in the acquisition of Loxo as of the acquisition date:</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720" w:type="dxa"/>
            <w:vAlign w:val="bottom"/>
            <w:tcBorders>
              <w:top w:val="single" w:sz="8" w:color="auto"/>
            </w:tcBorders>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Acquired IPR&amp;D </w:t>
            </w:r>
            <w:r>
              <w:rPr>
                <w:rFonts w:ascii="Arial" w:cs="Arial" w:eastAsia="Arial" w:hAnsi="Arial"/>
                <w:sz w:val="23"/>
                <w:szCs w:val="23"/>
                <w:color w:val="auto"/>
                <w:vertAlign w:val="superscript"/>
              </w:rPr>
              <w:t>(1)</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4,670.0</w:t>
            </w:r>
          </w:p>
        </w:tc>
      </w:tr>
      <w:tr>
        <w:trPr>
          <w:trHeight w:val="257"/>
        </w:trPr>
        <w:tc>
          <w:tcPr>
            <w:tcW w:w="972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Finite-lived intangibles </w:t>
            </w:r>
            <w:r>
              <w:rPr>
                <w:rFonts w:ascii="Arial" w:cs="Arial" w:eastAsia="Arial" w:hAnsi="Arial"/>
                <w:sz w:val="23"/>
                <w:szCs w:val="23"/>
                <w:color w:val="auto"/>
                <w:vertAlign w:val="superscript"/>
              </w:rPr>
              <w:t>(2)</w:t>
            </w:r>
          </w:p>
        </w:tc>
        <w:tc>
          <w:tcPr>
            <w:tcW w:w="360" w:type="dxa"/>
            <w:vAlign w:val="bottom"/>
          </w:tcPr>
          <w:p>
            <w:pPr>
              <w:spacing w:after="0"/>
              <w:rPr>
                <w:sz w:val="22"/>
                <w:szCs w:val="22"/>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980.0</w:t>
            </w:r>
          </w:p>
        </w:tc>
      </w:tr>
      <w:tr>
        <w:trPr>
          <w:trHeight w:val="257"/>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(1,032.8)</w:t>
            </w:r>
          </w:p>
        </w:tc>
      </w:tr>
      <w:tr>
        <w:trPr>
          <w:trHeight w:val="25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 net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r>
      <w:tr>
        <w:trPr>
          <w:trHeight w:val="257"/>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4,590.8</w:t>
            </w:r>
          </w:p>
        </w:tc>
      </w:tr>
      <w:tr>
        <w:trPr>
          <w:trHeight w:val="256"/>
        </w:trPr>
        <w:tc>
          <w:tcPr>
            <w:tcW w:w="972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2,326.9</w:t>
            </w:r>
          </w:p>
        </w:tc>
      </w:tr>
      <w:tr>
        <w:trPr>
          <w:trHeight w:val="257"/>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 - net of cash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6,917.7</w:t>
            </w:r>
          </w:p>
        </w:tc>
      </w:tr>
    </w:tbl>
    <w:p>
      <w:pPr>
        <w:spacing w:after="0" w:line="159"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$4.60 billion of the acquired IPR&amp;D relates to selpercatinib (LOXO-292).</w:t>
      </w:r>
    </w:p>
    <w:p>
      <w:pPr>
        <w:spacing w:after="0" w:line="43" w:lineRule="exact"/>
        <w:rPr>
          <w:rFonts w:ascii="Arial" w:cs="Arial" w:eastAsia="Arial" w:hAnsi="Arial"/>
          <w:sz w:val="18"/>
          <w:szCs w:val="18"/>
          <w:color w:val="auto"/>
          <w:vertAlign w:val="superscript"/>
        </w:rPr>
      </w:pPr>
    </w:p>
    <w:p>
      <w:pPr>
        <w:ind w:left="180" w:hanging="172"/>
        <w:spacing w:after="0" w:line="211" w:lineRule="auto"/>
        <w:tabs>
          <w:tab w:leader="none" w:pos="16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Contract-based intangibles (primarily related to Vitrakvi</w:t>
      </w:r>
      <w:r>
        <w:rPr>
          <w:rFonts w:ascii="Arial" w:cs="Arial" w:eastAsia="Arial" w:hAnsi="Arial"/>
          <w:sz w:val="18"/>
          <w:szCs w:val="18"/>
          <w:color w:val="auto"/>
          <w:vertAlign w:val="superscript"/>
        </w:rPr>
        <w:t>®</w:t>
      </w:r>
      <w:r>
        <w:rPr>
          <w:rFonts w:ascii="Arial" w:cs="Arial" w:eastAsia="Arial" w:hAnsi="Arial"/>
          <w:sz w:val="14"/>
          <w:szCs w:val="14"/>
          <w:color w:val="auto"/>
        </w:rPr>
        <w:t>) which are being amortized to cost of sales on a straight-line basis over their estimated useful lives, were expected to have a weighted average useful life of approximately 12 years from the acquisition date.</w:t>
      </w:r>
    </w:p>
    <w:p>
      <w:pPr>
        <w:spacing w:after="0" w:line="44" w:lineRule="exact"/>
        <w:rPr>
          <w:rFonts w:ascii="Arial" w:cs="Arial" w:eastAsia="Arial" w:hAnsi="Arial"/>
          <w:sz w:val="19"/>
          <w:szCs w:val="19"/>
          <w:color w:val="auto"/>
          <w:vertAlign w:val="superscript"/>
        </w:rPr>
      </w:pPr>
    </w:p>
    <w:p>
      <w:pPr>
        <w:ind w:left="180" w:right="100" w:hanging="172"/>
        <w:spacing w:after="0" w:line="211" w:lineRule="auto"/>
        <w:tabs>
          <w:tab w:leader="none" w:pos="16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ectPr>
          <w:pgSz w:w="11900" w:h="16838" w:orient="portrait"/>
          <w:cols w:equalWidth="0" w:num="1">
            <w:col w:w="11200"/>
          </w:cols>
          <w:pgMar w:left="320" w:top="998" w:right="379"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8" w:right="379" w:bottom="401"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 our asset acquisitions during the six months ended June 30, 2020 and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Counterparty</w:t>
            </w:r>
          </w:p>
        </w:tc>
        <w:tc>
          <w:tcPr>
            <w:tcW w:w="370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Compound(s) or Therapy</w:t>
            </w:r>
          </w:p>
        </w:tc>
        <w:tc>
          <w:tcPr>
            <w:tcW w:w="166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Pr>
          <w:p>
            <w:pPr>
              <w:jc w:val="center"/>
              <w:ind w:left="14"/>
              <w:spacing w:after="0"/>
              <w:rPr>
                <w:sz w:val="20"/>
                <w:szCs w:val="20"/>
                <w:color w:val="auto"/>
              </w:rPr>
            </w:pPr>
            <w:r>
              <w:rPr>
                <w:rFonts w:ascii="Arial" w:cs="Arial" w:eastAsia="Arial" w:hAnsi="Arial"/>
                <w:sz w:val="14"/>
                <w:szCs w:val="14"/>
                <w:b w:val="1"/>
                <w:bCs w:val="1"/>
                <w:color w:val="auto"/>
              </w:rPr>
              <w:t>Phase of</w:t>
            </w:r>
          </w:p>
        </w:tc>
        <w:tc>
          <w:tcPr>
            <w:tcW w:w="320" w:type="dxa"/>
            <w:vAlign w:val="bottom"/>
          </w:tcPr>
          <w:p>
            <w:pPr>
              <w:spacing w:after="0"/>
              <w:rPr>
                <w:sz w:val="15"/>
                <w:szCs w:val="15"/>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84"/>
        </w:trPr>
        <w:tc>
          <w:tcPr>
            <w:tcW w:w="2700" w:type="dxa"/>
            <w:vAlign w:val="bottom"/>
            <w:tcBorders>
              <w:bottom w:val="single" w:sz="8" w:color="auto"/>
            </w:tcBorders>
            <w:vMerge w:val="continue"/>
          </w:tcPr>
          <w:p>
            <w:pPr>
              <w:spacing w:after="0"/>
              <w:rPr>
                <w:sz w:val="16"/>
                <w:szCs w:val="16"/>
                <w:color w:val="auto"/>
              </w:rPr>
            </w:pPr>
          </w:p>
        </w:tc>
        <w:tc>
          <w:tcPr>
            <w:tcW w:w="37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4"/>
                <w:szCs w:val="14"/>
                <w:b w:val="1"/>
                <w:bCs w:val="1"/>
                <w:color w:val="auto"/>
                <w:w w:val="99"/>
              </w:rPr>
              <w:t xml:space="preserve">Development </w:t>
            </w:r>
            <w:r>
              <w:rPr>
                <w:rFonts w:ascii="Arial" w:cs="Arial" w:eastAsia="Arial" w:hAnsi="Arial"/>
                <w:sz w:val="18"/>
                <w:szCs w:val="18"/>
                <w:b w:val="1"/>
                <w:bCs w:val="1"/>
                <w:color w:val="auto"/>
                <w:w w:val="99"/>
                <w:vertAlign w:val="superscript"/>
              </w:rPr>
              <w:t>(1)</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spacing w:after="0"/>
              <w:rPr>
                <w:sz w:val="19"/>
                <w:szCs w:val="19"/>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Pre-clinical targets that could lead to</w:t>
            </w:r>
          </w:p>
        </w:tc>
        <w:tc>
          <w:tcPr>
            <w:tcW w:w="16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52.3</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Sitryx Therapeutics Limited</w:t>
            </w:r>
          </w:p>
        </w:tc>
        <w:tc>
          <w:tcPr>
            <w:tcW w:w="3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potential new medicines for</w:t>
            </w:r>
          </w:p>
        </w:tc>
        <w:tc>
          <w:tcPr>
            <w:tcW w:w="1660" w:type="dxa"/>
            <w:vAlign w:val="bottom"/>
            <w:shd w:val="clear" w:color="auto" w:fill="CCEEFF"/>
          </w:tcPr>
          <w:p>
            <w:pPr>
              <w:jc w:val="center"/>
              <w:ind w:right="92"/>
              <w:spacing w:after="0" w:line="202" w:lineRule="exact"/>
              <w:rPr>
                <w:sz w:val="20"/>
                <w:szCs w:val="20"/>
                <w:color w:val="auto"/>
              </w:rPr>
            </w:pPr>
            <w:r>
              <w:rPr>
                <w:rFonts w:ascii="Arial" w:cs="Arial" w:eastAsia="Arial" w:hAnsi="Arial"/>
                <w:sz w:val="18"/>
                <w:szCs w:val="18"/>
                <w:color w:val="auto"/>
              </w:rPr>
              <w:t>March 2020</w:t>
            </w:r>
          </w:p>
        </w:tc>
        <w:tc>
          <w:tcPr>
            <w:tcW w:w="1540" w:type="dxa"/>
            <w:vAlign w:val="bottom"/>
            <w:shd w:val="clear" w:color="auto" w:fill="CCEEFF"/>
          </w:tcPr>
          <w:p>
            <w:pPr>
              <w:jc w:val="center"/>
              <w:ind w:left="14"/>
              <w:spacing w:after="0" w:line="202" w:lineRule="exact"/>
              <w:rPr>
                <w:sz w:val="20"/>
                <w:szCs w:val="20"/>
                <w:color w:val="auto"/>
              </w:rPr>
            </w:pPr>
            <w:r>
              <w:rPr>
                <w:rFonts w:ascii="Arial" w:cs="Arial" w:eastAsia="Arial" w:hAnsi="Arial"/>
                <w:sz w:val="18"/>
                <w:szCs w:val="18"/>
                <w:color w:val="auto"/>
                <w:w w:val="99"/>
              </w:rPr>
              <w:t>Pre-clinical</w:t>
            </w:r>
          </w:p>
        </w:tc>
        <w:tc>
          <w:tcPr>
            <w:tcW w:w="32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700" w:type="dxa"/>
            <w:vAlign w:val="bottom"/>
            <w:tcBorders>
              <w:bottom w:val="single" w:sz="8" w:color="auto"/>
            </w:tcBorders>
            <w:shd w:val="clear" w:color="auto" w:fill="CCEEFF"/>
          </w:tcPr>
          <w:p>
            <w:pPr>
              <w:spacing w:after="0"/>
              <w:rPr>
                <w:sz w:val="19"/>
                <w:szCs w:val="19"/>
                <w:color w:val="auto"/>
              </w:rPr>
            </w:pPr>
          </w:p>
        </w:tc>
        <w:tc>
          <w:tcPr>
            <w:tcW w:w="3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autoimmune diseases</w:t>
            </w:r>
          </w:p>
        </w:tc>
        <w:tc>
          <w:tcPr>
            <w:tcW w:w="1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700" w:type="dxa"/>
            <w:vAlign w:val="bottom"/>
          </w:tcPr>
          <w:p>
            <w:pPr>
              <w:ind w:left="20"/>
              <w:spacing w:after="0"/>
              <w:rPr>
                <w:sz w:val="20"/>
                <w:szCs w:val="20"/>
                <w:color w:val="auto"/>
              </w:rPr>
            </w:pPr>
            <w:r>
              <w:rPr>
                <w:rFonts w:ascii="Arial" w:cs="Arial" w:eastAsia="Arial" w:hAnsi="Arial"/>
                <w:sz w:val="18"/>
                <w:szCs w:val="18"/>
                <w:color w:val="auto"/>
              </w:rPr>
              <w:t>AbCellera Biologics Inc.</w:t>
            </w:r>
            <w:r>
              <w:rPr>
                <w:rFonts w:ascii="Arial" w:cs="Arial" w:eastAsia="Arial" w:hAnsi="Arial"/>
                <w:sz w:val="18"/>
                <w:szCs w:val="18"/>
                <w:color w:val="auto"/>
                <w:vertAlign w:val="superscript"/>
              </w:rPr>
              <w:t>(2)</w:t>
            </w:r>
          </w:p>
        </w:tc>
        <w:tc>
          <w:tcPr>
            <w:tcW w:w="3700" w:type="dxa"/>
            <w:vAlign w:val="bottom"/>
          </w:tcPr>
          <w:p>
            <w:pPr>
              <w:ind w:left="420"/>
              <w:spacing w:after="0"/>
              <w:rPr>
                <w:sz w:val="20"/>
                <w:szCs w:val="20"/>
                <w:color w:val="auto"/>
              </w:rPr>
            </w:pPr>
            <w:r>
              <w:rPr>
                <w:rFonts w:ascii="Arial" w:cs="Arial" w:eastAsia="Arial" w:hAnsi="Arial"/>
                <w:sz w:val="18"/>
                <w:szCs w:val="18"/>
                <w:color w:val="auto"/>
              </w:rPr>
              <w:t>Neutralizing antibodies for the</w:t>
            </w:r>
          </w:p>
        </w:tc>
        <w:tc>
          <w:tcPr>
            <w:tcW w:w="1660" w:type="dxa"/>
            <w:vAlign w:val="bottom"/>
          </w:tcPr>
          <w:p>
            <w:pPr>
              <w:jc w:val="center"/>
              <w:ind w:right="92"/>
              <w:spacing w:after="0"/>
              <w:rPr>
                <w:sz w:val="20"/>
                <w:szCs w:val="20"/>
                <w:color w:val="auto"/>
              </w:rPr>
            </w:pPr>
            <w:r>
              <w:rPr>
                <w:rFonts w:ascii="Arial" w:cs="Arial" w:eastAsia="Arial" w:hAnsi="Arial"/>
                <w:sz w:val="18"/>
                <w:szCs w:val="18"/>
                <w:color w:val="auto"/>
              </w:rPr>
              <w:t>March 2020</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9"/>
              </w:rPr>
              <w:t>Pre-clinical</w:t>
            </w:r>
          </w:p>
        </w:tc>
        <w:tc>
          <w:tcPr>
            <w:tcW w:w="320" w:type="dxa"/>
            <w:vAlign w:val="bottom"/>
          </w:tcPr>
          <w:p>
            <w:pPr>
              <w:spacing w:after="0"/>
              <w:rPr>
                <w:sz w:val="24"/>
                <w:szCs w:val="24"/>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175"/>
        </w:trPr>
        <w:tc>
          <w:tcPr>
            <w:tcW w:w="270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treatment and prevention of COVID-19</w:t>
            </w:r>
          </w:p>
        </w:tc>
        <w:tc>
          <w:tcPr>
            <w:tcW w:w="16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Junshi Biosciences Co., Ltd.</w:t>
            </w: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Neutralizing antibodies for the</w:t>
            </w:r>
          </w:p>
        </w:tc>
        <w:tc>
          <w:tcPr>
            <w:tcW w:w="1660" w:type="dxa"/>
            <w:vAlign w:val="bottom"/>
            <w:vMerge w:val="restart"/>
            <w:shd w:val="clear" w:color="auto" w:fill="CCEEFF"/>
          </w:tcPr>
          <w:p>
            <w:pPr>
              <w:jc w:val="center"/>
              <w:ind w:right="92"/>
              <w:spacing w:after="0"/>
              <w:rPr>
                <w:sz w:val="20"/>
                <w:szCs w:val="20"/>
                <w:color w:val="auto"/>
              </w:rPr>
            </w:pPr>
            <w:r>
              <w:rPr>
                <w:rFonts w:ascii="Arial" w:cs="Arial" w:eastAsia="Arial" w:hAnsi="Arial"/>
                <w:sz w:val="18"/>
                <w:szCs w:val="18"/>
                <w:color w:val="auto"/>
              </w:rPr>
              <w:t>May 2020</w:t>
            </w:r>
          </w:p>
        </w:tc>
        <w:tc>
          <w:tcPr>
            <w:tcW w:w="1540" w:type="dxa"/>
            <w:vAlign w:val="bottom"/>
            <w:vMerge w:val="restart"/>
            <w:shd w:val="clear" w:color="auto" w:fill="CCEEFF"/>
          </w:tcPr>
          <w:p>
            <w:pPr>
              <w:jc w:val="center"/>
              <w:ind w:left="14"/>
              <w:spacing w:after="0"/>
              <w:rPr>
                <w:sz w:val="20"/>
                <w:szCs w:val="20"/>
                <w:color w:val="auto"/>
              </w:rPr>
            </w:pPr>
            <w:r>
              <w:rPr>
                <w:rFonts w:ascii="Arial" w:cs="Arial" w:eastAsia="Arial" w:hAnsi="Arial"/>
                <w:sz w:val="18"/>
                <w:szCs w:val="18"/>
                <w:color w:val="auto"/>
                <w:w w:val="99"/>
              </w:rPr>
              <w:t>Pre-clinical</w:t>
            </w:r>
          </w:p>
        </w:tc>
        <w:tc>
          <w:tcPr>
            <w:tcW w:w="32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09"/>
        </w:trPr>
        <w:tc>
          <w:tcPr>
            <w:tcW w:w="2700" w:type="dxa"/>
            <w:vAlign w:val="bottom"/>
            <w:vMerge w:val="continue"/>
            <w:shd w:val="clear" w:color="auto" w:fill="CCEEFF"/>
          </w:tcPr>
          <w:p>
            <w:pPr>
              <w:spacing w:after="0"/>
              <w:rPr>
                <w:sz w:val="9"/>
                <w:szCs w:val="9"/>
                <w:color w:val="auto"/>
              </w:rPr>
            </w:pPr>
          </w:p>
        </w:tc>
        <w:tc>
          <w:tcPr>
            <w:tcW w:w="370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treatment and prevention of COVID-19</w:t>
            </w:r>
          </w:p>
        </w:tc>
        <w:tc>
          <w:tcPr>
            <w:tcW w:w="166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auto"/>
            </w:tcBorders>
            <w:shd w:val="clear" w:color="auto" w:fill="CCEEFF"/>
          </w:tcPr>
          <w:p>
            <w:pPr>
              <w:spacing w:after="0"/>
              <w:rPr>
                <w:sz w:val="10"/>
                <w:szCs w:val="10"/>
                <w:color w:val="auto"/>
              </w:rPr>
            </w:pPr>
          </w:p>
        </w:tc>
        <w:tc>
          <w:tcPr>
            <w:tcW w:w="3700" w:type="dxa"/>
            <w:vAlign w:val="bottom"/>
            <w:tcBorders>
              <w:bottom w:val="single" w:sz="8" w:color="auto"/>
            </w:tcBorders>
            <w:vMerge w:val="continue"/>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54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Undisclosed</w:t>
            </w:r>
          </w:p>
        </w:tc>
        <w:tc>
          <w:tcPr>
            <w:tcW w:w="3700" w:type="dxa"/>
            <w:vAlign w:val="bottom"/>
          </w:tcPr>
          <w:p>
            <w:pPr>
              <w:ind w:left="420"/>
              <w:spacing w:after="0"/>
              <w:rPr>
                <w:sz w:val="20"/>
                <w:szCs w:val="20"/>
                <w:color w:val="auto"/>
              </w:rPr>
            </w:pPr>
            <w:r>
              <w:rPr>
                <w:rFonts w:ascii="Arial" w:cs="Arial" w:eastAsia="Arial" w:hAnsi="Arial"/>
                <w:sz w:val="18"/>
                <w:szCs w:val="18"/>
                <w:color w:val="auto"/>
              </w:rPr>
              <w:t>Pre-clinical target that could lead to</w:t>
            </w:r>
          </w:p>
        </w:tc>
        <w:tc>
          <w:tcPr>
            <w:tcW w:w="1660" w:type="dxa"/>
            <w:vAlign w:val="bottom"/>
            <w:vMerge w:val="restart"/>
          </w:tcPr>
          <w:p>
            <w:pPr>
              <w:jc w:val="center"/>
              <w:ind w:right="92"/>
              <w:spacing w:after="0"/>
              <w:rPr>
                <w:sz w:val="20"/>
                <w:szCs w:val="20"/>
                <w:color w:val="auto"/>
              </w:rPr>
            </w:pPr>
            <w:r>
              <w:rPr>
                <w:rFonts w:ascii="Arial" w:cs="Arial" w:eastAsia="Arial" w:hAnsi="Arial"/>
                <w:sz w:val="18"/>
                <w:szCs w:val="18"/>
                <w:color w:val="auto"/>
              </w:rPr>
              <w:t>May 2020</w:t>
            </w:r>
          </w:p>
        </w:tc>
        <w:tc>
          <w:tcPr>
            <w:tcW w:w="154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Pre-clinical</w:t>
            </w:r>
          </w:p>
        </w:tc>
        <w:tc>
          <w:tcPr>
            <w:tcW w:w="320" w:type="dxa"/>
            <w:vAlign w:val="bottom"/>
          </w:tcPr>
          <w:p>
            <w:pPr>
              <w:spacing w:after="0"/>
              <w:rPr>
                <w:sz w:val="19"/>
                <w:szCs w:val="19"/>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174.8</w:t>
            </w:r>
          </w:p>
        </w:tc>
        <w:tc>
          <w:tcPr>
            <w:tcW w:w="0" w:type="dxa"/>
            <w:vAlign w:val="bottom"/>
          </w:tcPr>
          <w:p>
            <w:pPr>
              <w:spacing w:after="0"/>
              <w:rPr>
                <w:sz w:val="1"/>
                <w:szCs w:val="1"/>
                <w:color w:val="auto"/>
              </w:rPr>
            </w:pPr>
          </w:p>
        </w:tc>
      </w:tr>
      <w:tr>
        <w:trPr>
          <w:trHeight w:val="109"/>
        </w:trPr>
        <w:tc>
          <w:tcPr>
            <w:tcW w:w="2700" w:type="dxa"/>
            <w:vAlign w:val="bottom"/>
            <w:vMerge w:val="continue"/>
          </w:tcPr>
          <w:p>
            <w:pPr>
              <w:spacing w:after="0"/>
              <w:rPr>
                <w:sz w:val="9"/>
                <w:szCs w:val="9"/>
                <w:color w:val="auto"/>
              </w:rPr>
            </w:pPr>
          </w:p>
        </w:tc>
        <w:tc>
          <w:tcPr>
            <w:tcW w:w="3700" w:type="dxa"/>
            <w:vAlign w:val="bottom"/>
            <w:vMerge w:val="restart"/>
          </w:tcPr>
          <w:p>
            <w:pPr>
              <w:ind w:left="420"/>
              <w:spacing w:after="0"/>
              <w:rPr>
                <w:sz w:val="20"/>
                <w:szCs w:val="20"/>
                <w:color w:val="auto"/>
              </w:rPr>
            </w:pPr>
            <w:r>
              <w:rPr>
                <w:rFonts w:ascii="Arial" w:cs="Arial" w:eastAsia="Arial" w:hAnsi="Arial"/>
                <w:sz w:val="18"/>
                <w:szCs w:val="18"/>
                <w:color w:val="auto"/>
              </w:rPr>
              <w:t>potential new medicine</w:t>
            </w:r>
          </w:p>
        </w:tc>
        <w:tc>
          <w:tcPr>
            <w:tcW w:w="16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vMerge w:val="continue"/>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spacing w:after="0"/>
              <w:rPr>
                <w:sz w:val="16"/>
                <w:szCs w:val="16"/>
                <w:color w:val="auto"/>
              </w:rPr>
            </w:pPr>
          </w:p>
        </w:tc>
        <w:tc>
          <w:tcPr>
            <w:tcW w:w="370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Pre-clinical research collaboration for</w:t>
            </w:r>
          </w:p>
        </w:tc>
        <w:tc>
          <w:tcPr>
            <w:tcW w:w="16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Evox Therapeutics Ltd.</w:t>
            </w:r>
          </w:p>
        </w:tc>
        <w:tc>
          <w:tcPr>
            <w:tcW w:w="370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the potential treatment of neurological</w:t>
            </w:r>
          </w:p>
        </w:tc>
        <w:tc>
          <w:tcPr>
            <w:tcW w:w="1660" w:type="dxa"/>
            <w:vAlign w:val="bottom"/>
            <w:shd w:val="clear" w:color="auto" w:fill="CCEEFF"/>
          </w:tcPr>
          <w:p>
            <w:pPr>
              <w:jc w:val="center"/>
              <w:ind w:right="92"/>
              <w:spacing w:after="0" w:line="176" w:lineRule="exact"/>
              <w:rPr>
                <w:sz w:val="20"/>
                <w:szCs w:val="20"/>
                <w:color w:val="auto"/>
              </w:rPr>
            </w:pPr>
            <w:r>
              <w:rPr>
                <w:rFonts w:ascii="Arial" w:cs="Arial" w:eastAsia="Arial" w:hAnsi="Arial"/>
                <w:sz w:val="18"/>
                <w:szCs w:val="18"/>
                <w:color w:val="auto"/>
                <w:w w:val="99"/>
              </w:rPr>
              <w:t>June 2020</w:t>
            </w:r>
          </w:p>
        </w:tc>
        <w:tc>
          <w:tcPr>
            <w:tcW w:w="1540" w:type="dxa"/>
            <w:vAlign w:val="bottom"/>
            <w:shd w:val="clear" w:color="auto" w:fill="CCEEFF"/>
          </w:tcPr>
          <w:p>
            <w:pPr>
              <w:jc w:val="center"/>
              <w:ind w:left="14"/>
              <w:spacing w:after="0" w:line="176" w:lineRule="exact"/>
              <w:rPr>
                <w:sz w:val="20"/>
                <w:szCs w:val="20"/>
                <w:color w:val="auto"/>
              </w:rPr>
            </w:pPr>
            <w:r>
              <w:rPr>
                <w:rFonts w:ascii="Arial" w:cs="Arial" w:eastAsia="Arial" w:hAnsi="Arial"/>
                <w:sz w:val="18"/>
                <w:szCs w:val="18"/>
                <w:color w:val="auto"/>
                <w:w w:val="99"/>
              </w:rPr>
              <w:t>Pre-clinical</w:t>
            </w:r>
          </w:p>
        </w:tc>
        <w:tc>
          <w:tcPr>
            <w:tcW w:w="32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700" w:type="dxa"/>
            <w:vAlign w:val="bottom"/>
            <w:tcBorders>
              <w:bottom w:val="single" w:sz="8" w:color="auto"/>
            </w:tcBorders>
            <w:shd w:val="clear" w:color="auto" w:fill="CCEEFF"/>
          </w:tcPr>
          <w:p>
            <w:pPr>
              <w:spacing w:after="0"/>
              <w:rPr>
                <w:sz w:val="19"/>
                <w:szCs w:val="19"/>
                <w:color w:val="auto"/>
              </w:rPr>
            </w:pPr>
          </w:p>
        </w:tc>
        <w:tc>
          <w:tcPr>
            <w:tcW w:w="3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disorders</w:t>
            </w:r>
          </w:p>
        </w:tc>
        <w:tc>
          <w:tcPr>
            <w:tcW w:w="1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spacing w:after="0"/>
              <w:rPr>
                <w:sz w:val="19"/>
                <w:szCs w:val="19"/>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Tau aggregation inhibitor small</w:t>
            </w:r>
          </w:p>
        </w:tc>
        <w:tc>
          <w:tcPr>
            <w:tcW w:w="16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 Immune SA </w:t>
            </w:r>
            <w:r>
              <w:rPr>
                <w:rFonts w:ascii="Arial" w:cs="Arial" w:eastAsia="Arial" w:hAnsi="Arial"/>
                <w:sz w:val="18"/>
                <w:szCs w:val="18"/>
                <w:color w:val="auto"/>
                <w:vertAlign w:val="superscript"/>
              </w:rPr>
              <w:t>(3)</w:t>
            </w: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molecules for the potential treatment of</w:t>
            </w:r>
          </w:p>
        </w:tc>
        <w:tc>
          <w:tcPr>
            <w:tcW w:w="166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8"/>
              </w:rPr>
              <w:t>January 2019</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Pre-clinical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3700" w:type="dxa"/>
            <w:vAlign w:val="bottom"/>
            <w:shd w:val="clear" w:color="auto" w:fill="CCEEFF"/>
          </w:tcPr>
          <w:p>
            <w:pPr>
              <w:ind w:left="420"/>
              <w:spacing w:after="0" w:line="148" w:lineRule="exact"/>
              <w:rPr>
                <w:sz w:val="20"/>
                <w:szCs w:val="20"/>
                <w:color w:val="auto"/>
              </w:rPr>
            </w:pPr>
            <w:r>
              <w:rPr>
                <w:rFonts w:ascii="Arial" w:cs="Arial" w:eastAsia="Arial" w:hAnsi="Arial"/>
                <w:sz w:val="17"/>
                <w:szCs w:val="17"/>
                <w:color w:val="auto"/>
              </w:rPr>
              <w:t>Alzheimer's disease and other</w:t>
            </w:r>
          </w:p>
        </w:tc>
        <w:tc>
          <w:tcPr>
            <w:tcW w:w="16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700" w:type="dxa"/>
            <w:vAlign w:val="bottom"/>
            <w:tcBorders>
              <w:bottom w:val="single" w:sz="8" w:color="auto"/>
            </w:tcBorders>
            <w:shd w:val="clear" w:color="auto" w:fill="CCEEFF"/>
          </w:tcPr>
          <w:p>
            <w:pPr>
              <w:spacing w:after="0"/>
              <w:rPr>
                <w:sz w:val="19"/>
                <w:szCs w:val="19"/>
                <w:color w:val="auto"/>
              </w:rPr>
            </w:pPr>
          </w:p>
        </w:tc>
        <w:tc>
          <w:tcPr>
            <w:tcW w:w="3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neurodegenerative diseases</w:t>
            </w:r>
          </w:p>
        </w:tc>
        <w:tc>
          <w:tcPr>
            <w:tcW w:w="1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ImmuNext, Inc.</w:t>
            </w:r>
          </w:p>
        </w:tc>
        <w:tc>
          <w:tcPr>
            <w:tcW w:w="3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Novel immunometabolism target</w:t>
            </w:r>
          </w:p>
        </w:tc>
        <w:tc>
          <w:tcPr>
            <w:tcW w:w="16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rPr>
              <w:t>March 2019</w:t>
            </w:r>
          </w:p>
        </w:tc>
        <w:tc>
          <w:tcPr>
            <w:tcW w:w="15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9"/>
              </w:rPr>
              <w:t>Pre-clinical</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Avidity Biosciences, Inc.</w:t>
            </w: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Potential new medicines in immunology</w:t>
            </w:r>
          </w:p>
        </w:tc>
        <w:tc>
          <w:tcPr>
            <w:tcW w:w="1660" w:type="dxa"/>
            <w:vAlign w:val="bottom"/>
            <w:vMerge w:val="restart"/>
            <w:shd w:val="clear" w:color="auto" w:fill="CCEEFF"/>
          </w:tcPr>
          <w:p>
            <w:pPr>
              <w:jc w:val="center"/>
              <w:ind w:right="92"/>
              <w:spacing w:after="0"/>
              <w:rPr>
                <w:sz w:val="20"/>
                <w:szCs w:val="20"/>
                <w:color w:val="auto"/>
              </w:rPr>
            </w:pPr>
            <w:r>
              <w:rPr>
                <w:rFonts w:ascii="Arial" w:cs="Arial" w:eastAsia="Arial" w:hAnsi="Arial"/>
                <w:sz w:val="18"/>
                <w:szCs w:val="18"/>
                <w:color w:val="auto"/>
                <w:w w:val="98"/>
              </w:rPr>
              <w:t>April 2019</w:t>
            </w:r>
          </w:p>
        </w:tc>
        <w:tc>
          <w:tcPr>
            <w:tcW w:w="1540" w:type="dxa"/>
            <w:vAlign w:val="bottom"/>
            <w:vMerge w:val="restart"/>
            <w:shd w:val="clear" w:color="auto" w:fill="CCEEFF"/>
          </w:tcPr>
          <w:p>
            <w:pPr>
              <w:jc w:val="center"/>
              <w:ind w:left="14"/>
              <w:spacing w:after="0"/>
              <w:rPr>
                <w:sz w:val="20"/>
                <w:szCs w:val="20"/>
                <w:color w:val="auto"/>
              </w:rPr>
            </w:pPr>
            <w:r>
              <w:rPr>
                <w:rFonts w:ascii="Arial" w:cs="Arial" w:eastAsia="Arial" w:hAnsi="Arial"/>
                <w:sz w:val="18"/>
                <w:szCs w:val="18"/>
                <w:color w:val="auto"/>
                <w:w w:val="99"/>
              </w:rPr>
              <w:t>Pre-clinical</w:t>
            </w:r>
          </w:p>
        </w:tc>
        <w:tc>
          <w:tcPr>
            <w:tcW w:w="32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9"/>
        </w:trPr>
        <w:tc>
          <w:tcPr>
            <w:tcW w:w="2700" w:type="dxa"/>
            <w:vAlign w:val="bottom"/>
            <w:vMerge w:val="continue"/>
            <w:shd w:val="clear" w:color="auto" w:fill="CCEEFF"/>
          </w:tcPr>
          <w:p>
            <w:pPr>
              <w:spacing w:after="0"/>
              <w:rPr>
                <w:sz w:val="9"/>
                <w:szCs w:val="9"/>
                <w:color w:val="auto"/>
              </w:rPr>
            </w:pPr>
          </w:p>
        </w:tc>
        <w:tc>
          <w:tcPr>
            <w:tcW w:w="370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and other select indications</w:t>
            </w:r>
          </w:p>
        </w:tc>
        <w:tc>
          <w:tcPr>
            <w:tcW w:w="166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auto"/>
            </w:tcBorders>
            <w:shd w:val="clear" w:color="auto" w:fill="CCEEFF"/>
          </w:tcPr>
          <w:p>
            <w:pPr>
              <w:spacing w:after="0"/>
              <w:rPr>
                <w:sz w:val="10"/>
                <w:szCs w:val="10"/>
                <w:color w:val="auto"/>
              </w:rPr>
            </w:pPr>
          </w:p>
        </w:tc>
        <w:tc>
          <w:tcPr>
            <w:tcW w:w="3700" w:type="dxa"/>
            <w:vAlign w:val="bottom"/>
            <w:tcBorders>
              <w:bottom w:val="single" w:sz="8" w:color="auto"/>
            </w:tcBorders>
            <w:vMerge w:val="continue"/>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54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recognized the acquired IPR&amp;D expense of $25.0 million in May 2020 upon closing of the transaction.</w:t>
      </w:r>
    </w:p>
    <w:p>
      <w:pPr>
        <w:spacing w:after="0" w:line="59" w:lineRule="exact"/>
        <w:rPr>
          <w:rFonts w:ascii="Arial" w:cs="Arial" w:eastAsia="Arial" w:hAnsi="Arial"/>
          <w:sz w:val="18"/>
          <w:szCs w:val="18"/>
          <w:color w:val="auto"/>
          <w:vertAlign w:val="superscript"/>
        </w:rPr>
      </w:pPr>
    </w:p>
    <w:p>
      <w:pPr>
        <w:ind w:left="160" w:hanging="152"/>
        <w:spacing w:after="0" w:line="213"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recognized an additional acquired IPR&amp;D expense of $30.2 million in September 2019 upon entering into an amendment to the license agreement.</w:t>
      </w:r>
    </w:p>
    <w:p>
      <w:pPr>
        <w:spacing w:after="0" w:line="200" w:lineRule="exact"/>
        <w:rPr>
          <w:sz w:val="20"/>
          <w:szCs w:val="20"/>
          <w:color w:val="auto"/>
        </w:rPr>
      </w:pPr>
    </w:p>
    <w:p>
      <w:pPr>
        <w:spacing w:after="0" w:line="2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 Jardiance, Glyxambi, Synjardy, and Trijardy XR as well as our basal insulin, Basaglar. Jentadueto is included in the Trajenta product family. Glyxambi, Synjardy, and Trijardy XR are included in the Jardiance product family.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Product Family</w:t>
            </w:r>
          </w:p>
        </w:tc>
        <w:tc>
          <w:tcPr>
            <w:tcW w:w="3080" w:type="dxa"/>
            <w:vAlign w:val="bottom"/>
          </w:tcPr>
          <w:p>
            <w:pPr>
              <w:spacing w:after="0"/>
              <w:rPr>
                <w:sz w:val="14"/>
                <w:szCs w:val="14"/>
                <w:color w:val="auto"/>
              </w:rPr>
            </w:pPr>
          </w:p>
        </w:tc>
        <w:tc>
          <w:tcPr>
            <w:tcW w:w="2140" w:type="dxa"/>
            <w:vAlign w:val="bottom"/>
          </w:tcPr>
          <w:p>
            <w:pPr>
              <w:jc w:val="center"/>
              <w:ind w:right="157"/>
              <w:spacing w:after="0"/>
              <w:rPr>
                <w:sz w:val="20"/>
                <w:szCs w:val="20"/>
                <w:color w:val="auto"/>
              </w:rPr>
            </w:pPr>
            <w:r>
              <w:rPr>
                <w:rFonts w:ascii="Arial" w:cs="Arial" w:eastAsia="Arial" w:hAnsi="Arial"/>
                <w:sz w:val="14"/>
                <w:szCs w:val="14"/>
                <w:b w:val="1"/>
                <w:bCs w:val="1"/>
                <w:color w:val="auto"/>
              </w:rPr>
              <w:t>Milestones</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auto"/>
            </w:tcBorders>
            <w:vMerge w:val="continue"/>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ind w:right="177"/>
              <w:spacing w:after="0" w:line="176" w:lineRule="exact"/>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(2)</w:t>
            </w:r>
          </w:p>
        </w:tc>
        <w:tc>
          <w:tcPr>
            <w:tcW w:w="3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center"/>
              <w:ind w:left="1297"/>
              <w:spacing w:after="0"/>
              <w:rPr>
                <w:sz w:val="20"/>
                <w:szCs w:val="20"/>
                <w:color w:val="auto"/>
              </w:rPr>
            </w:pPr>
            <w:r>
              <w:rPr>
                <w:rFonts w:ascii="Arial" w:cs="Arial" w:eastAsia="Arial" w:hAnsi="Arial"/>
                <w:sz w:val="18"/>
                <w:szCs w:val="18"/>
                <w:color w:val="auto"/>
                <w:w w:val="97"/>
              </w:rPr>
              <w:t>446.4</w:t>
            </w:r>
          </w:p>
        </w:tc>
        <w:tc>
          <w:tcPr>
            <w:tcW w:w="0" w:type="dxa"/>
            <w:vAlign w:val="bottom"/>
          </w:tcPr>
          <w:p>
            <w:pPr>
              <w:spacing w:after="0"/>
              <w:rPr>
                <w:sz w:val="1"/>
                <w:szCs w:val="1"/>
                <w:color w:val="auto"/>
              </w:rPr>
            </w:pP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(3)</w:t>
            </w:r>
          </w:p>
        </w:tc>
        <w:tc>
          <w:tcPr>
            <w:tcW w:w="3080" w:type="dxa"/>
            <w:vAlign w:val="bottom"/>
          </w:tcPr>
          <w:p>
            <w:pPr>
              <w:spacing w:after="0"/>
              <w:rPr>
                <w:sz w:val="22"/>
                <w:szCs w:val="22"/>
                <w:color w:val="auto"/>
              </w:rPr>
            </w:pPr>
          </w:p>
        </w:tc>
        <w:tc>
          <w:tcPr>
            <w:tcW w:w="2140" w:type="dxa"/>
            <w:vAlign w:val="bottom"/>
          </w:tcPr>
          <w:p>
            <w:pPr>
              <w:jc w:val="center"/>
              <w:ind w:left="1297"/>
              <w:spacing w:after="0"/>
              <w:rPr>
                <w:sz w:val="20"/>
                <w:szCs w:val="20"/>
                <w:color w:val="auto"/>
              </w:rPr>
            </w:pPr>
            <w:r>
              <w:rPr>
                <w:rFonts w:ascii="Arial" w:cs="Arial" w:eastAsia="Arial" w:hAnsi="Arial"/>
                <w:sz w:val="18"/>
                <w:szCs w:val="18"/>
                <w:color w:val="auto"/>
                <w:w w:val="97"/>
              </w:rPr>
              <w:t>289.0</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3080" w:type="dxa"/>
            <w:vAlign w:val="bottom"/>
            <w:shd w:val="clear" w:color="auto" w:fill="CCEEFF"/>
          </w:tcPr>
          <w:p>
            <w:pPr>
              <w:spacing w:after="0"/>
              <w:rPr>
                <w:sz w:val="22"/>
                <w:szCs w:val="22"/>
                <w:color w:val="auto"/>
              </w:rPr>
            </w:pPr>
          </w:p>
        </w:tc>
        <w:tc>
          <w:tcPr>
            <w:tcW w:w="2140" w:type="dxa"/>
            <w:vAlign w:val="bottom"/>
            <w:shd w:val="clear" w:color="auto" w:fill="CCEEFF"/>
          </w:tcPr>
          <w:p>
            <w:pPr>
              <w:jc w:val="center"/>
              <w:ind w:left="1277"/>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right="100" w:hanging="172"/>
        <w:spacing w:after="0" w:line="228"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 This represents the cumulative amounts that have been (deferred) or capitalized from the start of this collaboration through the end of the reporting period.</w:t>
      </w:r>
    </w:p>
    <w:p>
      <w:pPr>
        <w:spacing w:after="0" w:line="46" w:lineRule="exact"/>
        <w:rPr>
          <w:rFonts w:ascii="Arial" w:cs="Arial" w:eastAsia="Arial" w:hAnsi="Arial"/>
          <w:sz w:val="18"/>
          <w:szCs w:val="18"/>
          <w:color w:val="auto"/>
          <w:vertAlign w:val="superscript"/>
        </w:rPr>
      </w:pPr>
    </w:p>
    <w:p>
      <w:pPr>
        <w:ind w:left="180" w:right="20" w:hanging="172"/>
        <w:spacing w:after="0" w:line="217"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Trajenta ends upon expiration of the compound patent and any supplementary protection certificates or extensions thereto.</w:t>
      </w:r>
    </w:p>
    <w:p>
      <w:pPr>
        <w:spacing w:after="0" w:line="45" w:lineRule="exact"/>
        <w:rPr>
          <w:rFonts w:ascii="Arial" w:cs="Arial" w:eastAsia="Arial" w:hAnsi="Arial"/>
          <w:sz w:val="18"/>
          <w:szCs w:val="18"/>
          <w:color w:val="auto"/>
          <w:vertAlign w:val="superscript"/>
        </w:rPr>
      </w:pPr>
    </w:p>
    <w:p>
      <w:pPr>
        <w:ind w:left="180" w:right="660" w:hanging="172"/>
        <w:spacing w:after="0" w:line="217"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Jardiance ends upon expiration of the compound patent and any supplementary protection certificates or extensions thereto.</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Through December 31, 2019, in the most significant markets, we and Boehringer Ingelheim shared equally the ongoing development costs, commercialization costs, and agreed upon gross margin for any product resulting from the collaboration. We recorded our portion of the gross margin associated with Boehringer Ingelheim's products as collaboration and other revenue. We recorded our sales of Basaglar to third parties as net product revenue with the payments made to Boehringer Ingelheim for their portion of the gross margin recorded as cost of sales. For all compounds under this collaboration, we recorded our portion of the development and commercialization costs as research and development expense and marketing, selling, and administrative expense, respectively. Each company was entitled to potential performance payments depending on the sales of the molecules it contributes to the collaboration. These performance payments may have resulted in the owner of the molecule retaining a greater share of the agreed upon gross margin of that product. Subject to achieving these thresholds, in a given period, our reported revenue for Trajenta and Jardiance may have been reduced by any performance payments we made related to these products. Similarly, performance payments we may have received related to Basaglar effectively reduced Boehringer Ingelheim's share of the gross margin, which reduced our cost of sales.</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Effective January 1, 2020, we and Boehringer Ingelheim modernized the alliance. In the most significant markets, we and Boehringer Ingelheim share equally the ongoing development costs and commercialization costs for the Jardiance product family. We receive a royalty on net sales of Boehringer Ingelheim's products in the most significant markets and recognize the royalty as collaboration and other revenue. We pay to Boehringer Ingelheim a royalty on net sales for Basaglar in the U.S. We record our sales of Basaglar to third parties as net product revenue with the royalty payments made to Boehringer Ingelheim recorded as cost of sales. For the Jardiance product family, we record our portion of the development and commercialization costs as research and development expense and marketing, selling, and administrative expense, respectively. Boehringer Ingelheim is entitled to potential performance payments depending on the net sales of the Jardiance product family; therefore, our reported revenue for Jardiance may be reduced by any potential performance payments we make related to this product. Beginning January 1, 2021, the royalty received by us related to the Jardiance product family may also be increased or decreased depending on whether net sales for this product family exceed or fall below certain thresholds.</w:t>
      </w:r>
    </w:p>
    <w:p>
      <w:pPr>
        <w:spacing w:after="0" w:line="103"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Jardiance and Trajenta families of products: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3"/>
          </w:tcPr>
          <w:p>
            <w:pPr>
              <w:jc w:val="center"/>
              <w:ind w:right="17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60" w:type="dxa"/>
            <w:vAlign w:val="bottom"/>
            <w:gridSpan w:val="3"/>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9"/>
        </w:trPr>
        <w:tc>
          <w:tcPr>
            <w:tcW w:w="5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290.4</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290.7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594.1</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542.1</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Jardiance</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8"/>
                <w:szCs w:val="18"/>
                <w:b w:val="1"/>
                <w:bCs w:val="1"/>
                <w:color w:val="auto"/>
              </w:rPr>
              <w:t>262.0</w:t>
            </w:r>
          </w:p>
        </w:tc>
        <w:tc>
          <w:tcPr>
            <w:tcW w:w="46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231.9</w:t>
            </w:r>
          </w:p>
        </w:tc>
        <w:tc>
          <w:tcPr>
            <w:tcW w:w="440" w:type="dxa"/>
            <w:vAlign w:val="bottom"/>
          </w:tcPr>
          <w:p>
            <w:pPr>
              <w:spacing w:after="0"/>
              <w:rPr>
                <w:sz w:val="21"/>
                <w:szCs w:val="21"/>
                <w:color w:val="auto"/>
              </w:rPr>
            </w:pPr>
          </w:p>
        </w:tc>
        <w:tc>
          <w:tcPr>
            <w:tcW w:w="1000" w:type="dxa"/>
            <w:vAlign w:val="bottom"/>
          </w:tcPr>
          <w:p>
            <w:pPr>
              <w:ind w:left="400"/>
              <w:spacing w:after="0"/>
              <w:rPr>
                <w:sz w:val="20"/>
                <w:szCs w:val="20"/>
                <w:color w:val="auto"/>
              </w:rPr>
            </w:pPr>
            <w:r>
              <w:rPr>
                <w:rFonts w:ascii="Arial" w:cs="Arial" w:eastAsia="Arial" w:hAnsi="Arial"/>
                <w:sz w:val="18"/>
                <w:szCs w:val="18"/>
                <w:b w:val="1"/>
                <w:bCs w:val="1"/>
                <w:color w:val="auto"/>
              </w:rPr>
              <w:t>529.5</w:t>
            </w:r>
          </w:p>
        </w:tc>
        <w:tc>
          <w:tcPr>
            <w:tcW w:w="5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435.5</w:t>
            </w:r>
          </w:p>
        </w:tc>
      </w:tr>
      <w:tr>
        <w:trPr>
          <w:trHeight w:val="26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76.8</w:t>
            </w: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153.9</w:t>
            </w: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170.0</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285.9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and certain follow-on compounds, for the treatment of inflammatory and autoimmune diseases. In the first half of 2020, the agreement was amended to include the potential treatment of COVID-19. Incyte has the right to receive tiered, double-digit royalty payments on future global sales with rates ranging up to 20 percent. The agreement calls for payments by us to Incyte associated with certain development, success-based regulatory, and sales-based milestones.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regulatory approvals of Olumiant in the U.S., Europe, and Japan, milestone payments of $180.0 million were capitalized as intangible assets and are being amortized to cost of sales through the term of the collaboration. This represents the cumulative amounts that have been capitalized from the start of this collaboration through the end of the reporting period.</w:t>
      </w:r>
    </w:p>
    <w:p>
      <w:pPr>
        <w:spacing w:after="0" w:line="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of June 30, 2020,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60" w:type="dxa"/>
            <w:vAlign w:val="bottom"/>
            <w:gridSpan w:val="3"/>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9"/>
        </w:trPr>
        <w:tc>
          <w:tcPr>
            <w:tcW w:w="5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84"/>
              <w:spacing w:after="0"/>
              <w:rPr>
                <w:sz w:val="20"/>
                <w:szCs w:val="20"/>
                <w:color w:val="auto"/>
              </w:rPr>
            </w:pPr>
            <w:r>
              <w:rPr>
                <w:rFonts w:ascii="Arial" w:cs="Arial" w:eastAsia="Arial" w:hAnsi="Arial"/>
                <w:sz w:val="18"/>
                <w:szCs w:val="18"/>
                <w:b w:val="1"/>
                <w:bCs w:val="1"/>
                <w:color w:val="auto"/>
              </w:rPr>
              <w:t>145.0</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102.4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284.7</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184.5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June 30, 2020, Pfizer is eligible to receive up to $350.0 million in success-based regulatory milestones and up to $1.23 billion in a series of sales-based milestones, contingent upon the commercial success of tanezumab.</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Lebrikizumab</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result of our acquisition of Dermira, we have a worldwide licensing agreement with F. Hoffmann-La Roche Ltd and Genentech, Inc. (collectively Roche), which provides us the global development and commercialization rights to lebrikizumab. Roche has the right to receive tiered royalty payments on future global net sales ranging in percentages from high single digits to high teens if the product is successfully commercialized. As of June 30, 2020,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June 30, 2020, we are eligible to receive additional payments of $85.0 million from Almirall contingent upon the achievement of success-based regulatory milestones and up to $1.25 billion in a series of sales-based milestones, contingent upon the commercial success of lebrikizumab.</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 w:name="page19"/>
    <w:bookmarkEnd w:id="18"/>
    <w:p>
      <w:pPr>
        <w:ind w:right="220"/>
        <w:spacing w:after="0" w:line="256" w:lineRule="auto"/>
        <w:rPr>
          <w:sz w:val="20"/>
          <w:szCs w:val="20"/>
          <w:color w:val="auto"/>
        </w:rPr>
      </w:pPr>
      <w:r>
        <w:rPr>
          <w:rFonts w:ascii="Arial" w:cs="Arial" w:eastAsia="Arial" w:hAnsi="Arial"/>
          <w:sz w:val="18"/>
          <w:szCs w:val="18"/>
          <w:color w:val="auto"/>
        </w:rPr>
        <w:t>As of June 30, 2020, $40.7 million was recorded as a contract liability on the consolidated condensed balance sheet and is expected to be recognized as collaboration and other revenue over the remaining Phase III development period. During the three and six months ended June 30, 2020, milestones received and collaboration and other revenue recognized were not material.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(Elanco) common stock through a tax-free exchange offer. As a result, we have presented Elanco as discontinued operations in our consolidated condensed financial statements for all periods presented.</w:t>
      </w:r>
    </w:p>
    <w:p>
      <w:pPr>
        <w:spacing w:after="0" w:line="9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Revenue and net income from discontinued operations for the six months ended June 30, 2019 were $580.0 million and $3.68 billion, respectively. Net income from discontinued operations for the six months ended June 30, 2019 included an approximate $3.7 billion gain related to the disposition of Elanco.</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gain related to the disposition of Elanco in the consolidated condensed statement of cash flows included the operating results of Elanco through the disposition date, which were not material. Net cash flows of our discontinued operations for operating and investing activities for the six months ended June 30, 2019 were not material.</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entered into a transitional services agreement (TSA) with Elanco in order to facilitate the orderly transfer of various services to Elanco. The TSA relates primarily to administrative services, which are generally to be provided over 24 months from March 11, 2019, the disposition date. This agreement is not material and does not confer upon us the ability to influence the operating and/or financial policies of Elanco subsequent to the disposition date.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Asset Impairment, Restructuring, and Other Special Charges</w:t>
      </w:r>
    </w:p>
    <w:p>
      <w:pPr>
        <w:spacing w:after="0" w:line="19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ind w:right="355"/>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r>
      <w:tr>
        <w:trPr>
          <w:trHeight w:val="209"/>
        </w:trPr>
        <w:tc>
          <w:tcPr>
            <w:tcW w:w="69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5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9.8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r>
      <w:tr>
        <w:trPr>
          <w:trHeight w:val="25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and other special charges</w:t>
            </w:r>
          </w:p>
        </w:tc>
        <w:tc>
          <w:tcPr>
            <w:tcW w:w="6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50.1</w:t>
            </w: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427.5</w:t>
            </w:r>
          </w:p>
        </w:tc>
      </w:tr>
      <w:tr>
        <w:trPr>
          <w:trHeight w:val="263"/>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59.9</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423.9</w:t>
            </w:r>
          </w:p>
        </w:tc>
      </w:tr>
    </w:tbl>
    <w:p>
      <w:pPr>
        <w:spacing w:after="0" w:line="200" w:lineRule="exact"/>
        <w:rPr>
          <w:sz w:val="20"/>
          <w:szCs w:val="20"/>
          <w:color w:val="auto"/>
        </w:rPr>
      </w:pPr>
    </w:p>
    <w:p>
      <w:pPr>
        <w:spacing w:after="0" w:line="25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Asset impairment, restructuring, and other special charges recognized during the six months ended June 30, 2020 were primarily related to acquisition and integration costs as part of the closing of the acquisition of Dermira.</w:t>
      </w:r>
    </w:p>
    <w:p>
      <w:pPr>
        <w:spacing w:after="0" w:line="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Asset impairment and other special charges recognized during the six months ended June 30, 2019 consisted of $ 400.7 million related to the acquisition of Loxo, substantially all of which was associated with the accelerated vesting of Loxo employee equity awards.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143" w:lineRule="exact"/>
        <w:rPr>
          <w:rFonts w:ascii="Arial" w:cs="Arial" w:eastAsia="Arial" w:hAnsi="Arial"/>
          <w:sz w:val="18"/>
          <w:szCs w:val="18"/>
          <w:color w:val="auto"/>
        </w:rPr>
      </w:pPr>
    </w:p>
    <w:p>
      <w:pPr>
        <w:ind w:left="660" w:right="70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90"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20" w:name="page21"/>
    <w:bookmarkEnd w:id="20"/>
    <w:p>
      <w:pPr>
        <w:ind w:right="20"/>
        <w:spacing w:after="0" w:line="256" w:lineRule="auto"/>
        <w:rPr>
          <w:sz w:val="20"/>
          <w:szCs w:val="20"/>
          <w:color w:val="auto"/>
        </w:rPr>
      </w:pPr>
      <w:r>
        <w:rPr>
          <w:rFonts w:ascii="Arial" w:cs="Arial" w:eastAsia="Arial" w:hAnsi="Arial"/>
          <w:sz w:val="18"/>
          <w:szCs w:val="18"/>
          <w:color w:val="auto"/>
        </w:rPr>
        <w:t>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enter into foreign currency forward or option contracts to reduce the effect of fluctuating currency exchange rates (principally the euro, British pound,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June 30, 2020, we had outstanding foreign currency forward commitments to purchase 1.09 billion U.S. dollars and sell 971.6 million euro, commitments to purchase 1.61 billion euro and sell 1.82 billion U.S. dollars, commitments to purchase 268.0 million U.S. dollars and sell 28.71 billion Japanese yen, and commitments to purchase 245.2 million British pounds and sell 307.9 million U.S. dollars, which will all settle within 30 days.</w:t>
      </w:r>
    </w:p>
    <w:p>
      <w:pPr>
        <w:spacing w:after="0" w:line="8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$5.53 billion and $5.49 billion as of June 30, 2020 and December 31, 2019, respectively, of which $4.10 billion and $ 4.10 billion have been designated as, and are effective as, economic hedges of net investments in certain of our euro-denominated foreign operations as of June 30, 2020 and December 31, 2019, respectively. At June 30, 2020, we had outstanding cross currency swaps with notional amounts of $2.56 billion swapping U.S. dollars to euro, $1.00 billion swapping Swiss francs to U.S. dollars, and $125.0 million swapping U.S. dollars to British pounds, which have settlement dates ranging through 2028. Our cross-currency interest rate swaps, for which a majority convert a portion of our U.S. dollar-denominated floating rate debt to foreign-denominated floating rate debt, have also been designated as, and are effective as, economic hedges of net investments.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our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2020, substantially all of our total long-term debt is fixed rate. We have converted approximately 10 percent of our long-term fixed-rate notes to floating rates through the use of interest rate swaps.</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June 30, 2020, the total notional amounts of forward-starting interest rate contracts in designated cash flow hedging instruments were $1.75 billion, which have settlement dates ranging between 2023 and 2025.</w:t>
      </w:r>
    </w:p>
    <w:p>
      <w:pPr>
        <w:spacing w:after="0" w:line="8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May 2020, we issued $1.00 billion of 2.25 percent fixed-rate notes due in May 2050, with interest to be paid semi-annually. We used the net proceeds from the sale of these notes for general corporate purposes, including the repayment of outstanding commercial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53" w:lineRule="exact"/>
        <w:rPr>
          <w:sz w:val="20"/>
          <w:szCs w:val="20"/>
          <w:color w:val="auto"/>
        </w:rPr>
      </w:pPr>
    </w:p>
    <w:tbl>
      <w:tblPr>
        <w:tblLayout w:type="fixed"/>
        <w:tblInd w:w="6920" w:type="dxa"/>
        <w:tblCellMar>
          <w:top w:w="0" w:type="dxa"/>
          <w:left w:w="0" w:type="dxa"/>
          <w:bottom w:w="0" w:type="dxa"/>
          <w:right w:w="0" w:type="dxa"/>
        </w:tblCellMar>
      </w:tblPr>
      <w:tr>
        <w:trPr>
          <w:trHeight w:val="162"/>
        </w:trPr>
        <w:tc>
          <w:tcPr>
            <w:tcW w:w="216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b w:val="1"/>
                <w:bCs w:val="1"/>
                <w:color w:val="auto"/>
              </w:rPr>
              <w:t>June 30,</w:t>
            </w:r>
          </w:p>
        </w:tc>
      </w:tr>
      <w:tr>
        <w:trPr>
          <w:trHeight w:val="203"/>
        </w:trPr>
        <w:tc>
          <w:tcPr>
            <w:tcW w:w="72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4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hedges: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 from hedged fixed-rate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 from interest rate contracts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6" w:lineRule="exact"/>
        <w:rPr>
          <w:sz w:val="20"/>
          <w:szCs w:val="20"/>
          <w:color w:val="auto"/>
        </w:rPr>
      </w:pPr>
    </w:p>
    <w:p>
      <w:pPr>
        <w:ind w:left="400" w:right="80" w:hanging="161"/>
        <w:spacing w:after="0" w:line="227" w:lineRule="auto"/>
        <w:rPr>
          <w:sz w:val="20"/>
          <w:szCs w:val="20"/>
          <w:color w:val="auto"/>
        </w:rPr>
      </w:pPr>
      <w:r>
        <w:rPr>
          <w:rFonts w:ascii="Arial" w:cs="Arial" w:eastAsia="Arial" w:hAnsi="Arial"/>
          <w:sz w:val="18"/>
          <w:szCs w:val="18"/>
          <w:color w:val="auto"/>
        </w:rPr>
        <w:t>Effective portion of losses on interest rate contracts reclassified from accumulated other comprehensive loss</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Cross-currency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180" w:hanging="161"/>
        <w:spacing w:after="0" w:line="227" w:lineRule="auto"/>
        <w:rPr>
          <w:sz w:val="20"/>
          <w:szCs w:val="20"/>
          <w:color w:val="auto"/>
        </w:rPr>
      </w:pPr>
      <w:r>
        <w:rPr>
          <w:rFonts w:ascii="Arial" w:cs="Arial" w:eastAsia="Arial" w:hAnsi="Arial"/>
          <w:sz w:val="18"/>
          <w:szCs w:val="18"/>
          <w:color w:val="auto"/>
        </w:rPr>
        <w:t>Net (gains) losses on foreign currency exchange contracts not designated as hedging instruments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7.0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59.3</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124.4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98.5</w:t>
            </w:r>
          </w:p>
        </w:tc>
      </w:tr>
      <w:tr>
        <w:trPr>
          <w:trHeight w:val="257"/>
        </w:trPr>
        <w:tc>
          <w:tcPr>
            <w:tcW w:w="2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(7.0)</w:t>
            </w:r>
          </w:p>
        </w:tc>
        <w:tc>
          <w:tcPr>
            <w:tcW w:w="38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(124.4)</w:t>
            </w:r>
          </w:p>
        </w:tc>
        <w:tc>
          <w:tcPr>
            <w:tcW w:w="3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(98.5)</w:t>
            </w:r>
          </w:p>
        </w:tc>
      </w:tr>
      <w:tr>
        <w:trPr>
          <w:trHeight w:val="662"/>
        </w:trPr>
        <w:tc>
          <w:tcPr>
            <w:tcW w:w="260" w:type="dxa"/>
            <w:vAlign w:val="bottom"/>
          </w:tcPr>
          <w:p>
            <w:pPr>
              <w:spacing w:after="0"/>
              <w:rPr>
                <w:sz w:val="24"/>
                <w:szCs w:val="24"/>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4.1</w:t>
            </w:r>
          </w:p>
        </w:tc>
        <w:tc>
          <w:tcPr>
            <w:tcW w:w="38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8.1</w:t>
            </w:r>
          </w:p>
        </w:tc>
        <w:tc>
          <w:tcPr>
            <w:tcW w:w="38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7.8</w:t>
            </w:r>
          </w:p>
        </w:tc>
      </w:tr>
      <w:tr>
        <w:trPr>
          <w:trHeight w:val="257"/>
        </w:trPr>
        <w:tc>
          <w:tcPr>
            <w:tcW w:w="2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(11.5)</w:t>
            </w:r>
          </w:p>
        </w:tc>
        <w:tc>
          <w:tcPr>
            <w:tcW w:w="38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(24.4)</w:t>
            </w:r>
          </w:p>
        </w:tc>
        <w:tc>
          <w:tcPr>
            <w:tcW w:w="3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412"/>
        </w:trPr>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(28.6)</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40.4</w:t>
            </w:r>
          </w:p>
        </w:tc>
      </w:tr>
      <w:tr>
        <w:trPr>
          <w:trHeight w:val="26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(44.9)</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ectPr>
          <w:pgSz w:w="11900" w:h="16838" w:orient="portrait"/>
          <w:cols w:equalWidth="0" w:num="2">
            <w:col w:w="6820" w:space="100"/>
            <w:col w:w="4320"/>
          </w:cols>
          <w:pgMar w:left="320" w:top="1052" w:right="339" w:bottom="1440" w:gutter="0" w:footer="0" w:header="0"/>
          <w:type w:val="continuous"/>
        </w:sectPr>
      </w:pPr>
    </w:p>
    <w:p>
      <w:pPr>
        <w:spacing w:after="0" w:line="258" w:lineRule="exact"/>
        <w:rPr>
          <w:sz w:val="20"/>
          <w:szCs w:val="20"/>
          <w:color w:val="auto"/>
        </w:rPr>
      </w:pPr>
    </w:p>
    <w:p>
      <w:pPr>
        <w:jc w:val="both"/>
        <w:ind w:right="360"/>
        <w:spacing w:after="0" w:line="261" w:lineRule="auto"/>
        <w:rPr>
          <w:sz w:val="20"/>
          <w:szCs w:val="20"/>
          <w:color w:val="auto"/>
        </w:rPr>
      </w:pPr>
      <w:r>
        <w:rPr>
          <w:rFonts w:ascii="Arial" w:cs="Arial" w:eastAsia="Arial" w:hAnsi="Arial"/>
          <w:sz w:val="18"/>
          <w:szCs w:val="18"/>
          <w:color w:val="auto"/>
        </w:rPr>
        <w:t>During the three and six months ended June 30, 2020 and 2019, the amortization of losses related to the portion of our risk management hedging instruments, fair value hedges, and cash flow hedges that was excluded from the assessment of effectiveness was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88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r>
      <w:tr>
        <w:trPr>
          <w:trHeight w:val="210"/>
        </w:trPr>
        <w:tc>
          <w:tcPr>
            <w:tcW w:w="6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r>
      <w:tr>
        <w:trPr>
          <w:trHeight w:val="25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50"/>
        </w:trPr>
        <w:tc>
          <w:tcPr>
            <w:tcW w:w="6920" w:type="dxa"/>
            <w:vAlign w:val="bottom"/>
          </w:tcPr>
          <w:p>
            <w:pPr>
              <w:ind w:left="220"/>
              <w:spacing w:after="0"/>
              <w:rPr>
                <w:sz w:val="20"/>
                <w:szCs w:val="20"/>
                <w:color w:val="auto"/>
              </w:rPr>
            </w:pPr>
            <w:r>
              <w:rPr>
                <w:rFonts w:ascii="Arial" w:cs="Arial" w:eastAsia="Arial" w:hAnsi="Arial"/>
                <w:sz w:val="18"/>
                <w:szCs w:val="18"/>
                <w:color w:val="auto"/>
              </w:rPr>
              <w:t>Foreign currency-denominated notes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8"/>
              <w:spacing w:after="0"/>
              <w:rPr>
                <w:sz w:val="20"/>
                <w:szCs w:val="20"/>
                <w:color w:val="auto"/>
              </w:rPr>
            </w:pPr>
            <w:r>
              <w:rPr>
                <w:rFonts w:ascii="Arial" w:cs="Arial" w:eastAsia="Arial" w:hAnsi="Arial"/>
                <w:sz w:val="18"/>
                <w:szCs w:val="18"/>
                <w:b w:val="1"/>
                <w:bCs w:val="1"/>
                <w:color w:val="auto"/>
              </w:rPr>
              <w:t>(72.4)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(30.4)</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8"/>
              <w:spacing w:after="0"/>
              <w:rPr>
                <w:sz w:val="20"/>
                <w:szCs w:val="20"/>
                <w:color w:val="auto"/>
              </w:rPr>
            </w:pPr>
            <w:r>
              <w:rPr>
                <w:rFonts w:ascii="Arial" w:cs="Arial" w:eastAsia="Arial" w:hAnsi="Arial"/>
                <w:sz w:val="18"/>
                <w:szCs w:val="18"/>
                <w:b w:val="1"/>
                <w:bCs w:val="1"/>
                <w:color w:val="auto"/>
              </w:rPr>
              <w:t>(5.0)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23.3</w:t>
            </w:r>
          </w:p>
        </w:tc>
      </w:tr>
      <w:tr>
        <w:trPr>
          <w:trHeight w:val="263"/>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(60.8)</w:t>
            </w: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55.0</w:t>
            </w: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34.0</w:t>
            </w:r>
          </w:p>
        </w:tc>
      </w:tr>
      <w:tr>
        <w:trPr>
          <w:trHeight w:val="250"/>
        </w:trPr>
        <w:tc>
          <w:tcPr>
            <w:tcW w:w="69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3"/>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Forward-starting interest rate swaps</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38.2</w:t>
            </w: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(331.6)</w:t>
            </w: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(11.7)</w:t>
            </w:r>
          </w:p>
        </w:tc>
      </w:tr>
      <w:tr>
        <w:trPr>
          <w:trHeight w:val="243"/>
        </w:trPr>
        <w:tc>
          <w:tcPr>
            <w:tcW w:w="692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tcPr>
          <w:p>
            <w:pPr>
              <w:spacing w:after="0"/>
              <w:rPr>
                <w:sz w:val="21"/>
                <w:szCs w:val="21"/>
                <w:color w:val="auto"/>
              </w:rPr>
            </w:pPr>
          </w:p>
        </w:tc>
        <w:tc>
          <w:tcPr>
            <w:tcW w:w="780" w:type="dxa"/>
            <w:vAlign w:val="bottom"/>
          </w:tcPr>
          <w:p>
            <w:pPr>
              <w:jc w:val="right"/>
              <w:ind w:right="78"/>
              <w:spacing w:after="0"/>
              <w:rPr>
                <w:sz w:val="20"/>
                <w:szCs w:val="20"/>
                <w:color w:val="auto"/>
              </w:rPr>
            </w:pPr>
            <w:r>
              <w:rPr>
                <w:rFonts w:ascii="Arial" w:cs="Arial" w:eastAsia="Arial" w:hAnsi="Arial"/>
                <w:sz w:val="18"/>
                <w:szCs w:val="18"/>
                <w:b w:val="1"/>
                <w:bCs w:val="1"/>
                <w:color w:val="auto"/>
              </w:rPr>
              <w:t>4.9</w:t>
            </w:r>
          </w:p>
        </w:tc>
        <w:tc>
          <w:tcPr>
            <w:tcW w:w="4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b w:val="1"/>
                <w:bCs w:val="1"/>
                <w:color w:val="auto"/>
              </w:rPr>
              <w:t>(64.9)</w:t>
            </w:r>
          </w:p>
        </w:tc>
        <w:tc>
          <w:tcPr>
            <w:tcW w:w="3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(37.5)</w:t>
            </w:r>
          </w:p>
        </w:tc>
      </w:tr>
    </w:tbl>
    <w:p>
      <w:pPr>
        <w:spacing w:after="0" w:line="200" w:lineRule="exact"/>
        <w:rPr>
          <w:sz w:val="20"/>
          <w:szCs w:val="20"/>
          <w:color w:val="auto"/>
        </w:rPr>
      </w:pPr>
    </w:p>
    <w:p>
      <w:pPr>
        <w:spacing w:after="0" w:line="2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next 12 months, we expect to reclassify $16.5 million of pretax net losses on cash flow hedges from accumulated other comprehensive loss to other–net, (income) expense. During the three and six months ended June 30, 2020 and 2019, the amounts excluded from the assessment of hedge effectiveness recognized in other comprehensive income (loss) were not material.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tables summarize certain fair value information at June 30, 2020 and December 31, 2019 for assets and liabilities measured at fair value on a recurring basis, as well as the carrying amount and amortized cost of certain other investments: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 Active</w:t>
            </w:r>
          </w:p>
        </w:tc>
        <w:tc>
          <w:tcPr>
            <w:tcW w:w="200" w:type="dxa"/>
            <w:vAlign w:val="bottom"/>
          </w:tcPr>
          <w:p>
            <w:pPr>
              <w:spacing w:after="0"/>
              <w:rPr>
                <w:sz w:val="14"/>
                <w:szCs w:val="14"/>
                <w:color w:val="auto"/>
              </w:rPr>
            </w:pPr>
          </w:p>
        </w:tc>
        <w:tc>
          <w:tcPr>
            <w:tcW w:w="960" w:type="dxa"/>
            <w:vAlign w:val="bottom"/>
          </w:tcPr>
          <w:p>
            <w:pPr>
              <w:jc w:val="center"/>
              <w:ind w:right="21"/>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960" w:type="dxa"/>
            <w:vAlign w:val="bottom"/>
          </w:tcPr>
          <w:p>
            <w:pPr>
              <w:jc w:val="center"/>
              <w:ind w:right="2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960" w:type="dxa"/>
            <w:vAlign w:val="bottom"/>
          </w:tcPr>
          <w:p>
            <w:pPr>
              <w:jc w:val="center"/>
              <w:ind w:right="21"/>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16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960" w:type="dxa"/>
            <w:vAlign w:val="bottom"/>
          </w:tcPr>
          <w:p>
            <w:pPr>
              <w:jc w:val="center"/>
              <w:ind w:right="21"/>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116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880" w:type="dxa"/>
            <w:vAlign w:val="bottom"/>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3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line="202" w:lineRule="exact"/>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1,109.7</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b w:val="1"/>
                <w:bCs w:val="1"/>
                <w:color w:val="auto"/>
              </w:rPr>
              <w:t>1,109.7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rPr>
              <w:t>1,109.7</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rPr>
              <w:t>1,109.7</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11.9</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11.9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11.9</w:t>
            </w: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4.7</w:t>
            </w:r>
          </w:p>
        </w:tc>
        <w:tc>
          <w:tcPr>
            <w:tcW w:w="32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4.6</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4.7</w:t>
            </w:r>
          </w:p>
        </w:tc>
        <w:tc>
          <w:tcPr>
            <w:tcW w:w="28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3.6</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3.6</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3.6</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b w:val="1"/>
                <w:bCs w:val="1"/>
                <w:color w:val="auto"/>
              </w:rPr>
              <w:t>2.6</w:t>
            </w: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rPr>
              <w:t>2.6</w:t>
            </w:r>
          </w:p>
        </w:tc>
        <w:tc>
          <w:tcPr>
            <w:tcW w:w="3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79.1</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74.4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79.1</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79.1</w:t>
            </w: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131.7</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123.2</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131.7</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131.7</w:t>
            </w: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100.2</w:t>
            </w:r>
          </w:p>
        </w:tc>
        <w:tc>
          <w:tcPr>
            <w:tcW w:w="32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95.2</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100.2</w:t>
            </w:r>
          </w:p>
        </w:tc>
        <w:tc>
          <w:tcPr>
            <w:tcW w:w="28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100.2</w:t>
            </w: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26.4</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25.7</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26.4</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26.4</w:t>
            </w: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49.6</w:t>
            </w:r>
          </w:p>
        </w:tc>
        <w:tc>
          <w:tcPr>
            <w:tcW w:w="32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23.4</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auto"/>
              </w:rPr>
              <w:t>49.6</w:t>
            </w:r>
          </w:p>
        </w:tc>
        <w:tc>
          <w:tcPr>
            <w:tcW w:w="3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49.6</w:t>
            </w: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1,292.4</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241.2</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1,292.4</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1,292.4</w:t>
            </w:r>
          </w:p>
        </w:tc>
        <w:tc>
          <w:tcPr>
            <w:tcW w:w="0" w:type="dxa"/>
            <w:vAlign w:val="bottom"/>
          </w:tcPr>
          <w:p>
            <w:pPr>
              <w:spacing w:after="0"/>
              <w:rPr>
                <w:sz w:val="1"/>
                <w:szCs w:val="1"/>
                <w:color w:val="auto"/>
              </w:rPr>
            </w:pPr>
          </w:p>
        </w:tc>
      </w:tr>
      <w:tr>
        <w:trPr>
          <w:trHeight w:val="175"/>
        </w:trPr>
        <w:tc>
          <w:tcPr>
            <w:tcW w:w="3820" w:type="dxa"/>
            <w:vAlign w:val="bottom"/>
          </w:tcPr>
          <w:p>
            <w:pPr>
              <w:ind w:left="140"/>
              <w:spacing w:after="0" w:line="175"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5"/>
                <w:szCs w:val="15"/>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357.5</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140"/>
              <w:spacing w:after="0" w:line="204"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369.5</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2,406.4</w:t>
            </w:r>
          </w:p>
        </w:tc>
        <w:tc>
          <w:tcPr>
            <w:tcW w:w="3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1,025.4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1,025.4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1,025.4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1,025.4</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7.2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81.4</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81.4</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9.8</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9.8</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101.0</w:t>
            </w:r>
          </w:p>
        </w:tc>
        <w:tc>
          <w:tcPr>
            <w:tcW w:w="3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77.2</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76.3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77.2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271.1</w:t>
            </w:r>
          </w:p>
        </w:tc>
        <w:tc>
          <w:tcPr>
            <w:tcW w:w="32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267.8</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271.1</w:t>
            </w:r>
          </w:p>
        </w:tc>
        <w:tc>
          <w:tcPr>
            <w:tcW w:w="28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271.1</w:t>
            </w: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101.1</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99.6</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101.1</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30.0</w:t>
            </w:r>
          </w:p>
        </w:tc>
        <w:tc>
          <w:tcPr>
            <w:tcW w:w="32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29.6</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30.0</w:t>
            </w:r>
          </w:p>
        </w:tc>
        <w:tc>
          <w:tcPr>
            <w:tcW w:w="28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53"/>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60.0</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27.4</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60.0</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718.6</w:t>
            </w:r>
          </w:p>
        </w:tc>
        <w:tc>
          <w:tcPr>
            <w:tcW w:w="32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254.4</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718.6</w:t>
            </w:r>
          </w:p>
        </w:tc>
        <w:tc>
          <w:tcPr>
            <w:tcW w:w="200" w:type="dxa"/>
            <w:vAlign w:val="bottom"/>
          </w:tcPr>
          <w:p>
            <w:pPr>
              <w:spacing w:after="0"/>
              <w:rPr>
                <w:sz w:val="20"/>
                <w:szCs w:val="20"/>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718.6</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405.0</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40"/>
              <w:spacing w:after="0" w:line="204"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299.4</w:t>
            </w:r>
          </w:p>
        </w:tc>
        <w:tc>
          <w:tcPr>
            <w:tcW w:w="3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1,962.4</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Fair value disclosures are not applicable for equity method investments and investments accounted for under the measurement alternative for equity investments.</w:t>
      </w:r>
    </w:p>
    <w:p>
      <w:pPr>
        <w:sectPr>
          <w:pgSz w:w="11900" w:h="16838" w:orient="portrait"/>
          <w:cols w:equalWidth="0" w:num="1">
            <w:col w:w="11220"/>
          </w:cols>
          <w:pgMar w:left="320" w:top="1052"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Fair Value Measurements Using</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5"/>
        </w:trPr>
        <w:tc>
          <w:tcPr>
            <w:tcW w:w="3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2"/>
        </w:trPr>
        <w:tc>
          <w:tcPr>
            <w:tcW w:w="3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Active Markets</w:t>
            </w:r>
          </w:p>
        </w:tc>
        <w:tc>
          <w:tcPr>
            <w:tcW w:w="260" w:type="dxa"/>
            <w:vAlign w:val="bottom"/>
          </w:tcPr>
          <w:p>
            <w:pPr>
              <w:spacing w:after="0"/>
              <w:rPr>
                <w:sz w:val="14"/>
                <w:szCs w:val="14"/>
                <w:color w:val="auto"/>
              </w:rPr>
            </w:pPr>
          </w:p>
        </w:tc>
        <w:tc>
          <w:tcPr>
            <w:tcW w:w="1160" w:type="dxa"/>
            <w:vAlign w:val="bottom"/>
          </w:tcPr>
          <w:p>
            <w:pPr>
              <w:jc w:val="center"/>
              <w:ind w:right="138"/>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4"/>
                <w:szCs w:val="14"/>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for Identical</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jc w:val="right"/>
              <w:ind w:right="396"/>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4"/>
                <w:szCs w:val="14"/>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020" w:type="dxa"/>
            <w:vAlign w:val="bottom"/>
          </w:tcPr>
          <w:p>
            <w:pPr>
              <w:jc w:val="right"/>
              <w:ind w:right="396"/>
              <w:spacing w:after="0"/>
              <w:rPr>
                <w:sz w:val="20"/>
                <w:szCs w:val="20"/>
                <w:color w:val="auto"/>
              </w:rPr>
            </w:pPr>
            <w:r>
              <w:rPr>
                <w:rFonts w:ascii="Arial" w:cs="Arial" w:eastAsia="Arial" w:hAnsi="Arial"/>
                <w:sz w:val="14"/>
                <w:szCs w:val="14"/>
                <w:b w:val="1"/>
                <w:bCs w:val="1"/>
                <w:color w:val="auto"/>
              </w:rPr>
              <w:t>Fair</w:t>
            </w:r>
          </w:p>
        </w:tc>
      </w:tr>
      <w:tr>
        <w:trPr>
          <w:trHeight w:val="196"/>
        </w:trPr>
        <w:tc>
          <w:tcPr>
            <w:tcW w:w="3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Value</w:t>
            </w:r>
          </w:p>
        </w:tc>
      </w:tr>
      <w:tr>
        <w:trPr>
          <w:trHeight w:val="25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commercial paper borrowings</w:t>
            </w:r>
          </w:p>
        </w:tc>
        <w:tc>
          <w:tcPr>
            <w:tcW w:w="6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36"/>
              <w:spacing w:after="0"/>
              <w:rPr>
                <w:sz w:val="20"/>
                <w:szCs w:val="20"/>
                <w:color w:val="auto"/>
              </w:rPr>
            </w:pPr>
            <w:r>
              <w:rPr>
                <w:rFonts w:ascii="Arial" w:cs="Arial" w:eastAsia="Arial" w:hAnsi="Arial"/>
                <w:sz w:val="18"/>
                <w:szCs w:val="18"/>
                <w:b w:val="1"/>
                <w:bCs w:val="1"/>
                <w:color w:val="auto"/>
              </w:rPr>
              <w:t>(1,258.8)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(1,255.7)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(1,255.7)</w:t>
            </w: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6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(1,494.2)</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(1,491.6)</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(1,491.6)</w:t>
            </w: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(15,069.4)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(17,011.0)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(17,011.0)</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600" w:type="dxa"/>
            <w:vAlign w:val="bottom"/>
          </w:tcPr>
          <w:p>
            <w:pPr>
              <w:spacing w:after="0"/>
              <w:rPr>
                <w:sz w:val="21"/>
                <w:szCs w:val="21"/>
                <w:color w:val="auto"/>
              </w:rPr>
            </w:pP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(13,823.0)</w:t>
            </w:r>
          </w:p>
        </w:tc>
        <w:tc>
          <w:tcPr>
            <w:tcW w:w="140" w:type="dxa"/>
            <w:vAlign w:val="bottom"/>
          </w:tcPr>
          <w:p>
            <w:pPr>
              <w:spacing w:after="0"/>
              <w:rPr>
                <w:sz w:val="21"/>
                <w:szCs w:val="21"/>
                <w:color w:val="auto"/>
              </w:rPr>
            </w:pPr>
          </w:p>
        </w:tc>
        <w:tc>
          <w:tcPr>
            <w:tcW w:w="1100" w:type="dxa"/>
            <w:vAlign w:val="bottom"/>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(15,150.0)</w:t>
            </w:r>
          </w:p>
        </w:tc>
        <w:tc>
          <w:tcPr>
            <w:tcW w:w="22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(15,150.0)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4" w:right="3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rPr>
              <w:t>Fair Value Measurements Using</w:t>
            </w:r>
          </w:p>
        </w:tc>
        <w:tc>
          <w:tcPr>
            <w:tcW w:w="11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75"/>
        </w:trPr>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2"/>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 Active</w:t>
            </w:r>
          </w:p>
        </w:tc>
        <w:tc>
          <w:tcPr>
            <w:tcW w:w="220" w:type="dxa"/>
            <w:vAlign w:val="bottom"/>
          </w:tcPr>
          <w:p>
            <w:pPr>
              <w:spacing w:after="0"/>
              <w:rPr>
                <w:sz w:val="14"/>
                <w:szCs w:val="14"/>
                <w:color w:val="auto"/>
              </w:rPr>
            </w:pPr>
          </w:p>
        </w:tc>
        <w:tc>
          <w:tcPr>
            <w:tcW w:w="108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 Identical</w:t>
            </w:r>
          </w:p>
        </w:tc>
        <w:tc>
          <w:tcPr>
            <w:tcW w:w="220" w:type="dxa"/>
            <w:vAlign w:val="bottom"/>
          </w:tcPr>
          <w:p>
            <w:pPr>
              <w:spacing w:after="0"/>
              <w:rPr>
                <w:sz w:val="14"/>
                <w:szCs w:val="14"/>
                <w:color w:val="auto"/>
              </w:rPr>
            </w:pPr>
          </w:p>
        </w:tc>
        <w:tc>
          <w:tcPr>
            <w:tcW w:w="108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140" w:type="dxa"/>
            <w:vAlign w:val="bottom"/>
          </w:tcPr>
          <w:p>
            <w:pPr>
              <w:jc w:val="center"/>
              <w:ind w:right="101"/>
              <w:spacing w:after="0"/>
              <w:rPr>
                <w:sz w:val="20"/>
                <w:szCs w:val="20"/>
                <w:color w:val="auto"/>
              </w:rPr>
            </w:pPr>
            <w:r>
              <w:rPr>
                <w:rFonts w:ascii="Arial" w:cs="Arial" w:eastAsia="Arial" w:hAnsi="Arial"/>
                <w:sz w:val="14"/>
                <w:szCs w:val="14"/>
                <w:b w:val="1"/>
                <w:bCs w:val="1"/>
                <w:color w:val="auto"/>
              </w:rPr>
              <w:t>Unobservable</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60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8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1140" w:type="dxa"/>
            <w:vAlign w:val="bottom"/>
          </w:tcPr>
          <w:p>
            <w:pPr>
              <w:jc w:val="center"/>
              <w:ind w:right="101"/>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Fair</w:t>
            </w:r>
          </w:p>
        </w:tc>
      </w:tr>
      <w:tr>
        <w:trPr>
          <w:trHeight w:val="196"/>
        </w:trPr>
        <w:tc>
          <w:tcPr>
            <w:tcW w:w="4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Value</w:t>
            </w:r>
          </w:p>
        </w:tc>
      </w:tr>
      <w:tr>
        <w:trPr>
          <w:trHeight w:val="242"/>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3"/>
        </w:trPr>
        <w:tc>
          <w:tcPr>
            <w:tcW w:w="446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6"/>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80"/>
              <w:spacing w:after="0"/>
              <w:rPr>
                <w:sz w:val="20"/>
                <w:szCs w:val="20"/>
                <w:color w:val="auto"/>
              </w:rPr>
            </w:pPr>
            <w:r>
              <w:rPr>
                <w:rFonts w:ascii="Arial" w:cs="Arial" w:eastAsia="Arial" w:hAnsi="Arial"/>
                <w:sz w:val="16"/>
                <w:szCs w:val="16"/>
                <w:b w:val="1"/>
                <w:bCs w:val="1"/>
                <w:color w:val="auto"/>
              </w:rPr>
              <w:t>196.4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196.4</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b w:val="1"/>
                <w:bCs w:val="1"/>
                <w:color w:val="auto"/>
              </w:rPr>
              <w:t>196.4</w:t>
            </w:r>
          </w:p>
        </w:tc>
      </w:tr>
      <w:tr>
        <w:trPr>
          <w:trHeight w:val="226"/>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cash flow hedges: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b w:val="1"/>
                <w:bCs w:val="1"/>
                <w:color w:val="auto"/>
              </w:rPr>
              <w:t>7.4</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7.4</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b w:val="1"/>
                <w:bCs w:val="1"/>
                <w:color w:val="auto"/>
              </w:rPr>
              <w:t>7.4</w:t>
            </w:r>
          </w:p>
        </w:tc>
      </w:tr>
      <w:tr>
        <w:trPr>
          <w:trHeight w:val="253"/>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(289.3)</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(289.3)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(289.3)</w:t>
            </w:r>
          </w:p>
        </w:tc>
      </w:tr>
      <w:tr>
        <w:trPr>
          <w:trHeight w:val="177"/>
        </w:trPr>
        <w:tc>
          <w:tcPr>
            <w:tcW w:w="4460" w:type="dxa"/>
            <w:vAlign w:val="bottom"/>
          </w:tcPr>
          <w:p>
            <w:pPr>
              <w:ind w:left="220"/>
              <w:spacing w:after="0" w:line="178" w:lineRule="exact"/>
              <w:rPr>
                <w:sz w:val="20"/>
                <w:szCs w:val="20"/>
                <w:color w:val="auto"/>
              </w:rPr>
            </w:pPr>
            <w:r>
              <w:rPr>
                <w:rFonts w:ascii="Arial" w:cs="Arial" w:eastAsia="Arial" w:hAnsi="Arial"/>
                <w:sz w:val="16"/>
                <w:szCs w:val="16"/>
                <w:color w:val="auto"/>
              </w:rPr>
              <w:t>Cross-currency interest rate contracts designated as net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4460" w:type="dxa"/>
            <w:vAlign w:val="bottom"/>
          </w:tcPr>
          <w:p>
            <w:pPr>
              <w:ind w:left="400"/>
              <w:spacing w:after="0"/>
              <w:rPr>
                <w:sz w:val="20"/>
                <w:szCs w:val="20"/>
                <w:color w:val="auto"/>
              </w:rPr>
            </w:pPr>
            <w:r>
              <w:rPr>
                <w:rFonts w:ascii="Arial" w:cs="Arial" w:eastAsia="Arial" w:hAnsi="Arial"/>
                <w:sz w:val="16"/>
                <w:szCs w:val="16"/>
                <w:color w:val="auto"/>
              </w:rPr>
              <w:t>investment hedges: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6"/>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1.2</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w:t>
            </w: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b w:val="1"/>
                <w:bCs w:val="1"/>
                <w:color w:val="auto"/>
              </w:rPr>
              <w:t>84.5</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84.5</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b w:val="1"/>
                <w:bCs w:val="1"/>
                <w:color w:val="auto"/>
              </w:rPr>
              <w:t>84.5</w:t>
            </w:r>
          </w:p>
        </w:tc>
      </w:tr>
      <w:tr>
        <w:trPr>
          <w:trHeight w:val="253"/>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(7.1)</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(7.1)</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(7.1)</w:t>
            </w: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(7.2)</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(7.2)</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(7.2)</w:t>
            </w:r>
          </w:p>
        </w:tc>
      </w:tr>
      <w:tr>
        <w:trPr>
          <w:trHeight w:val="187"/>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Cross-currency interest rate contracts designated as cash</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4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flow hedges: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(57.7)</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(57.7)</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(57.7)</w:t>
            </w:r>
          </w:p>
        </w:tc>
      </w:tr>
      <w:tr>
        <w:trPr>
          <w:trHeight w:val="187"/>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 not designated as hedging</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4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instruments: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24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b w:val="1"/>
                <w:bCs w:val="1"/>
                <w:color w:val="auto"/>
              </w:rPr>
              <w:t>3.7</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3.7</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b w:val="1"/>
                <w:bCs w:val="1"/>
                <w:color w:val="auto"/>
              </w:rPr>
              <w:t>3.7</w:t>
            </w:r>
          </w:p>
        </w:tc>
      </w:tr>
      <w:tr>
        <w:trPr>
          <w:trHeight w:val="253"/>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(17.9)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(17.9)</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(17.9)</w:t>
            </w: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3"/>
        </w:trPr>
        <w:tc>
          <w:tcPr>
            <w:tcW w:w="446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6"/>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72.0</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72.0</w:t>
            </w:r>
          </w:p>
        </w:tc>
      </w:tr>
      <w:tr>
        <w:trPr>
          <w:trHeight w:val="226"/>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cash flow hedges: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43.3</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43.3</w:t>
            </w:r>
          </w:p>
        </w:tc>
      </w:tr>
      <w:tr>
        <w:trPr>
          <w:trHeight w:val="187"/>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Cross-currency interest rate contracts designated as net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4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investment hedges: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45.1</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45.1</w:t>
            </w:r>
          </w:p>
        </w:tc>
      </w:tr>
      <w:tr>
        <w:trPr>
          <w:trHeight w:val="253"/>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(21.4)</w:t>
            </w: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187"/>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Cross-currency interest rate contracts designated as cash</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4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flow hedges: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3"/>
        </w:trPr>
        <w:tc>
          <w:tcPr>
            <w:tcW w:w="446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600" w:type="dxa"/>
            <w:vAlign w:val="bottom"/>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3.0</w:t>
            </w:r>
          </w:p>
        </w:tc>
      </w:tr>
      <w:tr>
        <w:trPr>
          <w:trHeight w:val="253"/>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(20.1)</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r>
      <w:tr>
        <w:trPr>
          <w:trHeight w:val="177"/>
        </w:trPr>
        <w:tc>
          <w:tcPr>
            <w:tcW w:w="4460" w:type="dxa"/>
            <w:vAlign w:val="bottom"/>
          </w:tcPr>
          <w:p>
            <w:pPr>
              <w:ind w:left="220"/>
              <w:spacing w:after="0" w:line="178" w:lineRule="exact"/>
              <w:rPr>
                <w:sz w:val="20"/>
                <w:szCs w:val="20"/>
                <w:color w:val="auto"/>
              </w:rPr>
            </w:pPr>
            <w:r>
              <w:rPr>
                <w:rFonts w:ascii="Arial" w:cs="Arial" w:eastAsia="Arial" w:hAnsi="Arial"/>
                <w:sz w:val="16"/>
                <w:szCs w:val="16"/>
                <w:color w:val="auto"/>
              </w:rPr>
              <w:t>Foreign exchange contracts not designated as hedging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4460" w:type="dxa"/>
            <w:vAlign w:val="bottom"/>
          </w:tcPr>
          <w:p>
            <w:pPr>
              <w:ind w:left="400"/>
              <w:spacing w:after="0"/>
              <w:rPr>
                <w:sz w:val="20"/>
                <w:szCs w:val="20"/>
                <w:color w:val="auto"/>
              </w:rPr>
            </w:pPr>
            <w:r>
              <w:rPr>
                <w:rFonts w:ascii="Arial" w:cs="Arial" w:eastAsia="Arial" w:hAnsi="Arial"/>
                <w:sz w:val="16"/>
                <w:szCs w:val="16"/>
                <w:color w:val="auto"/>
              </w:rPr>
              <w:t>instruments: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6"/>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18.4</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18.4</w:t>
            </w:r>
          </w:p>
        </w:tc>
      </w:tr>
      <w:tr>
        <w:trPr>
          <w:trHeight w:val="223"/>
        </w:trPr>
        <w:tc>
          <w:tcPr>
            <w:tcW w:w="446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9"/>
                <w:szCs w:val="19"/>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1600" w:type="dxa"/>
            <w:vAlign w:val="bottom"/>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28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(11.9)</w:t>
            </w:r>
          </w:p>
        </w:tc>
      </w:tr>
    </w:tbl>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exist with the individual counterparties to the risk-management instruments above, individually, these financial rights are not material.</w:t>
      </w:r>
    </w:p>
    <w:p>
      <w:pPr>
        <w:spacing w:after="0" w:line="11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5"/>
        </w:trPr>
        <w:tc>
          <w:tcPr>
            <w:tcW w:w="4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rPr>
              <w:t>Less Than</w:t>
            </w:r>
          </w:p>
        </w:tc>
        <w:tc>
          <w:tcPr>
            <w:tcW w:w="440" w:type="dxa"/>
            <w:vAlign w:val="bottom"/>
          </w:tcPr>
          <w:p>
            <w:pPr>
              <w:spacing w:after="0"/>
              <w:rPr>
                <w:sz w:val="15"/>
                <w:szCs w:val="15"/>
                <w:color w:val="auto"/>
              </w:rPr>
            </w:pPr>
          </w:p>
        </w:tc>
        <w:tc>
          <w:tcPr>
            <w:tcW w:w="1060" w:type="dxa"/>
            <w:vAlign w:val="bottom"/>
          </w:tcPr>
          <w:p>
            <w:pPr>
              <w:jc w:val="center"/>
              <w:ind w:right="302"/>
              <w:spacing w:after="0"/>
              <w:rPr>
                <w:sz w:val="20"/>
                <w:szCs w:val="20"/>
                <w:color w:val="auto"/>
              </w:rPr>
            </w:pPr>
            <w:r>
              <w:rPr>
                <w:rFonts w:ascii="Arial" w:cs="Arial" w:eastAsia="Arial" w:hAnsi="Arial"/>
                <w:sz w:val="14"/>
                <w:szCs w:val="14"/>
                <w:b w:val="1"/>
                <w:bCs w:val="1"/>
                <w:color w:val="auto"/>
                <w:w w:val="98"/>
              </w:rPr>
              <w:t>1-5</w:t>
            </w:r>
          </w:p>
        </w:tc>
        <w:tc>
          <w:tcPr>
            <w:tcW w:w="30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6-10</w:t>
            </w:r>
          </w:p>
        </w:tc>
        <w:tc>
          <w:tcPr>
            <w:tcW w:w="320" w:type="dxa"/>
            <w:vAlign w:val="bottom"/>
          </w:tcPr>
          <w:p>
            <w:pPr>
              <w:spacing w:after="0"/>
              <w:rPr>
                <w:sz w:val="15"/>
                <w:szCs w:val="15"/>
                <w:color w:val="auto"/>
              </w:rPr>
            </w:pP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1 Year</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Years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5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357.6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115.5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90.5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131.4</w:t>
            </w:r>
          </w:p>
        </w:tc>
      </w:tr>
    </w:tbl>
    <w:p>
      <w:pPr>
        <w:spacing w:after="0" w:line="200" w:lineRule="exact"/>
        <w:rPr>
          <w:sz w:val="20"/>
          <w:szCs w:val="20"/>
          <w:color w:val="auto"/>
        </w:rPr>
      </w:pPr>
    </w:p>
    <w:p>
      <w:pPr>
        <w:spacing w:after="0" w:line="258" w:lineRule="exact"/>
        <w:rPr>
          <w:sz w:val="20"/>
          <w:szCs w:val="20"/>
          <w:color w:val="auto"/>
        </w:rPr>
      </w:pPr>
    </w:p>
    <w:p>
      <w:pPr>
        <w:jc w:val="both"/>
        <w:ind w:right="440"/>
        <w:spacing w:after="0" w:line="254" w:lineRule="auto"/>
        <w:rPr>
          <w:sz w:val="20"/>
          <w:szCs w:val="20"/>
          <w:color w:val="auto"/>
        </w:rPr>
      </w:pPr>
      <w:r>
        <w:rPr>
          <w:rFonts w:ascii="Arial" w:cs="Arial" w:eastAsia="Arial" w:hAnsi="Arial"/>
          <w:sz w:val="18"/>
          <w:szCs w:val="18"/>
          <w:color w:val="auto"/>
        </w:rPr>
        <w:t>The net gains recognized in our consolidated condensed statements of operations for equity securities were $ 577.5 million and $742.2 million for the three and six months ended June 30, 2020, respectively, and $6.3 million and $156.0 million for the three and six months ended June 30, 2019, respectively. The net gains/losses recognized during the three and six months ended June 30, 2020 and 2019 on equity securities sold during the respective periods were not material.</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and six months ended June 30, 2020 and 2019 were not material.</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in accumulated other comprehensive loss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9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10.3</w:t>
            </w: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920" w:type="dxa"/>
            <w:vAlign w:val="bottom"/>
          </w:tcPr>
          <w:p>
            <w:pPr>
              <w:spacing w:after="0"/>
              <w:rPr>
                <w:sz w:val="21"/>
                <w:szCs w:val="21"/>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1"/>
                <w:szCs w:val="21"/>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4.0</w:t>
            </w:r>
          </w:p>
        </w:tc>
      </w:tr>
      <w:tr>
        <w:trPr>
          <w:trHeight w:val="26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9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339.2</w:t>
            </w:r>
          </w:p>
        </w:tc>
        <w:tc>
          <w:tcPr>
            <w:tcW w:w="3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429.5</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920" w:type="dxa"/>
            <w:vAlign w:val="bottom"/>
          </w:tcPr>
          <w:p>
            <w:pPr>
              <w:spacing w:after="0"/>
              <w:rPr>
                <w:sz w:val="21"/>
                <w:szCs w:val="21"/>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b w:val="1"/>
                <w:bCs w:val="1"/>
                <w:color w:val="auto"/>
              </w:rPr>
              <w:t>18.4</w:t>
            </w:r>
          </w:p>
        </w:tc>
        <w:tc>
          <w:tcPr>
            <w:tcW w:w="300" w:type="dxa"/>
            <w:vAlign w:val="bottom"/>
          </w:tcPr>
          <w:p>
            <w:pPr>
              <w:spacing w:after="0"/>
              <w:rPr>
                <w:sz w:val="21"/>
                <w:szCs w:val="21"/>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141.1</w:t>
            </w:r>
          </w:p>
        </w:tc>
      </w:tr>
    </w:tbl>
    <w:p>
      <w:pPr>
        <w:spacing w:after="0" w:line="200" w:lineRule="exact"/>
        <w:rPr>
          <w:sz w:val="20"/>
          <w:szCs w:val="20"/>
          <w:color w:val="auto"/>
        </w:rPr>
      </w:pPr>
    </w:p>
    <w:p>
      <w:pPr>
        <w:spacing w:after="0" w:line="27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Other-than-temporary impairment losses were not material in the three and six months ended June 30, 2020 and 2019.</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debt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Credit losses related to debt securities were not material in the three and six months ended June 30, 2020.</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of June 30, 2020, the available-for-sale securities in an unrealized loss position include primarily fixed-rate debt securities of varying maturities, which are sensitive to changes in the yield curve and other market conditions. Approximately 86 percent of the fixed-rate debt securities in a loss position are investment-grade debt securities. As of June 30, 2020,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210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20" w:type="dxa"/>
            <w:vAlign w:val="bottom"/>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75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r>
      <w:tr>
        <w:trPr>
          <w:trHeight w:val="210"/>
        </w:trPr>
        <w:tc>
          <w:tcPr>
            <w:tcW w:w="6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5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  194.8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273.6</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  232.8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319.4</w:t>
            </w:r>
          </w:p>
        </w:tc>
      </w:tr>
      <w:tr>
        <w:trPr>
          <w:trHeight w:val="250"/>
        </w:trPr>
        <w:tc>
          <w:tcPr>
            <w:tcW w:w="692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980" w:type="dxa"/>
            <w:vAlign w:val="bottom"/>
          </w:tcPr>
          <w:p>
            <w:pPr>
              <w:jc w:val="right"/>
              <w:ind w:right="59"/>
              <w:spacing w:after="0"/>
              <w:rPr>
                <w:sz w:val="20"/>
                <w:szCs w:val="20"/>
                <w:color w:val="auto"/>
              </w:rPr>
            </w:pPr>
            <w:r>
              <w:rPr>
                <w:rFonts w:ascii="Arial" w:cs="Arial" w:eastAsia="Arial" w:hAnsi="Arial"/>
                <w:sz w:val="18"/>
                <w:szCs w:val="18"/>
                <w:b w:val="1"/>
                <w:bCs w:val="1"/>
                <w:color w:val="auto"/>
              </w:rPr>
              <w:t>2.7</w:t>
            </w:r>
          </w:p>
        </w:tc>
        <w:tc>
          <w:tcPr>
            <w:tcW w:w="42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3.5</w:t>
            </w:r>
          </w:p>
        </w:tc>
        <w:tc>
          <w:tcPr>
            <w:tcW w:w="1100" w:type="dxa"/>
            <w:vAlign w:val="bottom"/>
          </w:tcPr>
          <w:p>
            <w:pPr>
              <w:jc w:val="right"/>
              <w:ind w:right="59"/>
              <w:spacing w:after="0"/>
              <w:rPr>
                <w:sz w:val="20"/>
                <w:szCs w:val="20"/>
                <w:color w:val="auto"/>
              </w:rPr>
            </w:pPr>
            <w:r>
              <w:rPr>
                <w:rFonts w:ascii="Arial" w:cs="Arial" w:eastAsia="Arial" w:hAnsi="Arial"/>
                <w:sz w:val="18"/>
                <w:szCs w:val="18"/>
                <w:b w:val="1"/>
                <w:bCs w:val="1"/>
                <w:color w:val="auto"/>
              </w:rPr>
              <w:t>3.6</w:t>
            </w:r>
          </w:p>
        </w:tc>
        <w:tc>
          <w:tcPr>
            <w:tcW w:w="400" w:type="dxa"/>
            <w:vAlign w:val="bottom"/>
          </w:tcPr>
          <w:p>
            <w:pPr>
              <w:spacing w:after="0"/>
              <w:rPr>
                <w:sz w:val="21"/>
                <w:szCs w:val="21"/>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3.8</w:t>
            </w: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gross losses on sales</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7.2</w:t>
            </w: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8.0</w:t>
            </w: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5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$738.9 million and $678.8 million of accounts receivable as of June 30, 2020 and December 31, 2019, respectively, under these factoring arrangements. The costs of factoring such accounts receivable on our consolidated condensed results of operations for the three and six months ended June 30, 2020 and 2019 were not material.</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9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effective tax rates were 14.1 percent for the three months ended June 30, 2020, compared with 9.5 percent for the three months ended June 30, 2019. The higher effective tax rate for the three months ended June 30, 2020 was driven by a mix of earnings in higher tax jurisdictions, a lower net discrete tax benefit, and a nondeductible acquired IPR&amp;D charge. The effective tax rate was 13.7 percent for the six months ended June 30, 2020, compared with 14.1 percent for the six months ended June 30, 2019. The lower effective tax rate was driven by non-recurring 2019 events, primarily the non-deductibility of the accelerated vesting of Loxo employee equity awards as part of the closing of the acquisition of Loxo, as well as tax expenses associated with the withdrawal of Lartruvo</w:t>
      </w:r>
      <w:r>
        <w:rPr>
          <w:rFonts w:ascii="Arial" w:cs="Arial" w:eastAsia="Arial" w:hAnsi="Arial"/>
          <w:sz w:val="23"/>
          <w:szCs w:val="23"/>
          <w:color w:val="auto"/>
          <w:vertAlign w:val="superscript"/>
        </w:rPr>
        <w:t>®</w:t>
      </w:r>
      <w:r>
        <w:rPr>
          <w:rFonts w:ascii="Arial" w:cs="Arial" w:eastAsia="Arial" w:hAnsi="Arial"/>
          <w:sz w:val="18"/>
          <w:szCs w:val="18"/>
          <w:color w:val="auto"/>
        </w:rPr>
        <w:t>, offset by a mix of earnings in higher tax jurisdictions in 2020.</w:t>
      </w:r>
    </w:p>
    <w:p>
      <w:pPr>
        <w:spacing w:after="0" w:line="10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fourth quarter of 2019, the Internal Revenue Service began its examination of tax years 2016-2018. Because this examination is still in the early stages of information gathering, the resolution of the audit will likely extend beyond the next 12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9: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Defined Benefit Pension Plans</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75"/>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3"/>
          </w:tcPr>
          <w:p>
            <w:pPr>
              <w:jc w:val="center"/>
              <w:ind w:right="27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78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r>
      <w:tr>
        <w:trPr>
          <w:trHeight w:val="196"/>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656"/>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50"/>
        </w:trPr>
        <w:tc>
          <w:tcPr>
            <w:tcW w:w="5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5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1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83.0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63.5</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b w:val="1"/>
                <w:bCs w:val="1"/>
                <w:color w:val="auto"/>
              </w:rPr>
              <w:t>161.7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125.4</w:t>
            </w:r>
          </w:p>
        </w:tc>
      </w:tr>
      <w:tr>
        <w:trPr>
          <w:trHeight w:val="263"/>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107.3</w:t>
            </w: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122.6</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212.3</w:t>
            </w:r>
          </w:p>
        </w:tc>
        <w:tc>
          <w:tcPr>
            <w:tcW w:w="6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243.3</w:t>
            </w:r>
          </w:p>
        </w:tc>
      </w:tr>
      <w:tr>
        <w:trPr>
          <w:trHeight w:val="250"/>
        </w:trPr>
        <w:tc>
          <w:tcPr>
            <w:tcW w:w="51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b w:val="1"/>
                <w:bCs w:val="1"/>
                <w:color w:val="auto"/>
              </w:rPr>
              <w:t>(220.6)</w:t>
            </w:r>
          </w:p>
        </w:tc>
        <w:tc>
          <w:tcPr>
            <w:tcW w:w="4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(210.1)</w:t>
            </w:r>
          </w:p>
        </w:tc>
        <w:tc>
          <w:tcPr>
            <w:tcW w:w="4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b w:val="1"/>
                <w:bCs w:val="1"/>
                <w:color w:val="auto"/>
              </w:rPr>
              <w:t>(441.8)</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(421.2)</w:t>
            </w:r>
          </w:p>
        </w:tc>
      </w:tr>
      <w:tr>
        <w:trPr>
          <w:trHeight w:val="263"/>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1.1</w:t>
            </w: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2.2</w:t>
            </w:r>
          </w:p>
        </w:tc>
        <w:tc>
          <w:tcPr>
            <w:tcW w:w="6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r>
      <w:tr>
        <w:trPr>
          <w:trHeight w:val="250"/>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117.1</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73.1</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228.1</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142.7</w:t>
            </w:r>
          </w:p>
        </w:tc>
      </w:tr>
      <w:tr>
        <w:trPr>
          <w:trHeight w:val="263"/>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87.9</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50.6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162.5</w:t>
            </w: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93.2</w:t>
            </w:r>
          </w:p>
        </w:tc>
      </w:tr>
      <w:tr>
        <w:trPr>
          <w:trHeight w:val="426"/>
        </w:trPr>
        <w:tc>
          <w:tcPr>
            <w:tcW w:w="5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Retiree Health Benefit Plans</w:t>
            </w: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75"/>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3"/>
          </w:tcPr>
          <w:p>
            <w:pPr>
              <w:jc w:val="center"/>
              <w:ind w:right="27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78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r>
      <w:tr>
        <w:trPr>
          <w:trHeight w:val="196"/>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656"/>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50"/>
        </w:trPr>
        <w:tc>
          <w:tcPr>
            <w:tcW w:w="5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5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income: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1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10.6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9.4</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b w:val="1"/>
                <w:bCs w:val="1"/>
                <w:color w:val="auto"/>
              </w:rPr>
              <w:t>20.4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18.2</w:t>
            </w:r>
          </w:p>
        </w:tc>
      </w:tr>
      <w:tr>
        <w:trPr>
          <w:trHeight w:val="263"/>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10.9</w:t>
            </w: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14.4</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21.9</w:t>
            </w:r>
          </w:p>
        </w:tc>
        <w:tc>
          <w:tcPr>
            <w:tcW w:w="6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29.0</w:t>
            </w:r>
          </w:p>
        </w:tc>
      </w:tr>
      <w:tr>
        <w:trPr>
          <w:trHeight w:val="250"/>
        </w:trPr>
        <w:tc>
          <w:tcPr>
            <w:tcW w:w="51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b w:val="1"/>
                <w:bCs w:val="1"/>
                <w:color w:val="auto"/>
              </w:rPr>
              <w:t>(37.4)</w:t>
            </w:r>
          </w:p>
        </w:tc>
        <w:tc>
          <w:tcPr>
            <w:tcW w:w="4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(36.0)</w:t>
            </w:r>
          </w:p>
        </w:tc>
        <w:tc>
          <w:tcPr>
            <w:tcW w:w="4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b w:val="1"/>
                <w:bCs w:val="1"/>
                <w:color w:val="auto"/>
              </w:rPr>
              <w:t>(74.8)</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(71.9)</w:t>
            </w:r>
          </w:p>
        </w:tc>
      </w:tr>
      <w:tr>
        <w:trPr>
          <w:trHeight w:val="263"/>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(14.9)</w:t>
            </w: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(29.8)</w:t>
            </w:r>
          </w:p>
        </w:tc>
        <w:tc>
          <w:tcPr>
            <w:tcW w:w="6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r>
      <w:tr>
        <w:trPr>
          <w:trHeight w:val="250"/>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0.6</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0.4</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1.4</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0.9</w:t>
            </w:r>
          </w:p>
        </w:tc>
      </w:tr>
      <w:tr>
        <w:trPr>
          <w:trHeight w:val="263"/>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(30.2)</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(27.5)</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(60.9)</w:t>
            </w: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r>
    </w:tbl>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contributed approximately $15 million to satisfy minimum funding requirements to our defined benefit pension and retiree health benefit plans during the six months ended June 30, 2020. We contributed $200 million in discretionary funding during the six months ended June 30, 2020. During the remainder of 2020, we expect to make contributions of approximately $10 million to our defined benefit pension and retiree health plans to satisfy minimum funding requirements.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10: Contingencies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U.S. Alimta patent litigation, the resolution of all such matters will not have a material adverse effect on our consolidated financial position or liquidity, but could possibly be material to our consolidated results of operations in any one accounting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Patent Litigation and Administrative Proceedings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number of manufacturers are seeking approvals in the U.S., a number of countries in Europe, and Japan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in the U.S. could have a material adverse impact on our future consolidated results of operations, liquidity, and financial position. We expect that a loss of exclusivity for Alimta in any of the below jurisdictions would result in a rapid and severe decline in future revenue for the product in the relevant market.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Litigation</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June 2018, the U.S. District Court for the Southern District of Indiana ruled in our favor in two cases, finding Dr. Reddy's Laboratories' (Dr. Reddy) and Hospira, Inc.'s (Hospira) proposed products using an alternative form of pemetrexed (the active ingredient in Alimta) would infringe our method of use patent under the doctrine of equivalents. The district court also ruled that the use of Hospira’s proposed product would literally infringe our method of use patent. In August 2019, the U.S. Court of Appeals for the Federal Circuit affirmed the district court’s ruling that the use of Dr. Reddy’s and Hospira’s proposed products would infringe our patent under the doctrine of equivalents but reversed the finding of literal infringement with respect to Hospira’s product. In November 2019, the court denied Dr. Reddy and Hospira’s petition for rehearing of the court’s doctrine of equivalents ruling. In June 2020, the U.S. Supreme Court denied Dr. Reddy and Hospira’s petitions to review the case and this litigation has ended.</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two additional lawsuits pending in federal courts in which we allege infringement against Actavis LLC (Actavis) and Apotex Inc. (Apotex) in response to their applications to market products using alternative forms of pemetrexed. In December 2019, the U.S. District Court for the Southern District of Indiana granted our motion for summary judgment of infringement under the doctrine of equivalents against Apotex. Apotex has appealed that ruling to the U.S. Court of Appeals for the Federal Circuit. The lawsuit against Actavis, also pending in the U.S. District Court for the Southern District of Indiana, has been stayed, pending the conclusion of the Dr. Reddy and Hospira appeals (described above). We believe these lawsuits are without merit and are defending against them vigorously.</w:t>
      </w:r>
    </w:p>
    <w:p>
      <w:pPr>
        <w:spacing w:after="0" w:line="100" w:lineRule="exact"/>
        <w:rPr>
          <w:sz w:val="20"/>
          <w:szCs w:val="20"/>
          <w:color w:val="auto"/>
        </w:rPr>
      </w:pPr>
    </w:p>
    <w:p>
      <w:pPr>
        <w:jc w:val="both"/>
        <w:ind w:right="560"/>
        <w:spacing w:after="0" w:line="254"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 Alimta is protected by a vitamin regimen patent until 2021, plus pediatric exclusivity through May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Litigation</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Legal proceedings are ongoing regarding our Alimta patents in various national courts throughout Europe. We are aware that several companies have received approval to market generic versions of pemetrexed in major European markets (including generics currently on the market at risk in France and the Netherlands) and that additional generic competitors may choose to launch at risk. Following a final decision in the Supreme Court of Germany in July 2020 overturning the lower court and upholding the validity of our Alimta patent, </w:t>
      </w:r>
      <w:r>
        <w:rPr>
          <w:rFonts w:ascii="Arial" w:cs="Arial" w:eastAsia="Arial" w:hAnsi="Arial"/>
          <w:sz w:val="19"/>
          <w:szCs w:val="19"/>
          <w:color w:val="auto"/>
        </w:rPr>
        <w:t>several generics</w:t>
      </w:r>
      <w:r>
        <w:rPr>
          <w:rFonts w:ascii="Arial" w:cs="Arial" w:eastAsia="Arial" w:hAnsi="Arial"/>
          <w:sz w:val="18"/>
          <w:szCs w:val="18"/>
          <w:color w:val="auto"/>
        </w:rPr>
        <w:t xml:space="preserve"> </w:t>
      </w:r>
      <w:r>
        <w:rPr>
          <w:rFonts w:ascii="Arial" w:cs="Arial" w:eastAsia="Arial" w:hAnsi="Arial"/>
          <w:sz w:val="19"/>
          <w:szCs w:val="19"/>
          <w:color w:val="auto"/>
        </w:rPr>
        <w:t xml:space="preserve">who were on the market at risk left. We have removed the remaining generics from the market by obtaining preliminary injunctions in our favor. </w:t>
      </w:r>
      <w:r>
        <w:rPr>
          <w:rFonts w:ascii="Arial" w:cs="Arial" w:eastAsia="Arial" w:hAnsi="Arial"/>
          <w:sz w:val="17"/>
          <w:szCs w:val="17"/>
          <w:color w:val="auto"/>
        </w:rPr>
        <w:t>Our vitamin regimen patents have also been challenged in other smaller European jurisdictions. We will continue to</w:t>
      </w:r>
      <w:r>
        <w:rPr>
          <w:rFonts w:ascii="Arial" w:cs="Arial" w:eastAsia="Arial" w:hAnsi="Arial"/>
          <w:sz w:val="19"/>
          <w:szCs w:val="19"/>
          <w:color w:val="auto"/>
        </w:rPr>
        <w:t xml:space="preserve"> </w:t>
      </w:r>
      <w:r>
        <w:rPr>
          <w:rFonts w:ascii="Arial" w:cs="Arial" w:eastAsia="Arial" w:hAnsi="Arial"/>
          <w:sz w:val="17"/>
          <w:szCs w:val="17"/>
          <w:color w:val="auto"/>
        </w:rPr>
        <w:t>seek to remove any generic pemetrexed products launched at risk in other European markets, seek damages with respect to such launches, and defend our patents against validity challenges.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Japanese Administrative Proceedings</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Three separate sets of demands for invalidation of our two Japanese vitamin regimen patents, involving several companies, have been filed with the Japanese Patent Office (JPO). The JPO has rejected demands for invalidation by Sawai Pharmaceutical Co., Ltd. and Nipro Corporation, and both rejections have been affirmed on appeal. The third set of demands brought by Hospira is being assessed by the JPO based on the parties’ written submissions. We believe Hospira's demands are without merit and are defending against them vigorously. If upheld through all challenges, these patents would provide intellectual property protection for Alimta until June 2021. Notwithstanding our patents, generic versions of Alimta received regulatory approval in Japan starting in February 2016. We do not currently anticipate that generic versions of Alimta will proceed to pricing approval.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1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Boehringer Ingelheim, our partner in marketing and development of Jardiance, initiated U.S. patent litigation in the U.S. District Court of Delaware involving Jardiance, Glyxambi, and Synjardy in accordance with the procedures set out in the Drug Price Competition and Patent Term Restoration Act of 1984 (the Hatch-Waxman Act). Several companies submitted Abbreviated New Drug Applications seeking approval to market generic versions of Jardiance prior to the expiration of the relevant patents, alleging certain patents, including in some allegations the compound patent, are invalid or would not be infringed. Trial is scheduled for April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were named as a defendant in litigation filed by Genentech, Inc. (Genentech) in Germany seeking a ruling that Genentech’s patent would be infringed by our continued sales of Taltz in Germany. After it sold its patent rights to Novartis Pharma AG (Novartis), in June 2020, Genentech withdrew its infringement litigation and Novartis subsequently filed litigation against us in Germany asserting infringement based on sales of Taltz. We expect a trial to assess Novartis’ German infringement claims to take place in 2021. We are also named in litigation in the U.K. in which Genentech asserted similar claims regarding its corresponding U.K. patent. We believe these lawsuits are without merit and are defending against them vigorously.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We have been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We believe this lawsuit is without merit and are defending against it vigorously. Separately, the U.S. Patent and Trademark Office (USPTO) granted our request to initiate an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to reexamine the validity of the nine Teva patents asserted against us in the litigation. In February 2020, the USPTO ruled in our favor and found that the claims asserted against us in six of Teva's nine patents were invalid. In March 2020, the USPTO ruled against us on the remaining three Teva patents, finding that we failed to show that the remaining three patents were unpatentable based on the subset of invalidity arguments available in an IPR proceeding. We have appealed the USPTO’s March 2020 ruling, and Teva has appealed the USPTO’s February 2020 ruling. We believe these claims are without merit and are defending against them vigorously. The district court litigation will proceed in parallel with the IPR appeals.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Cymbalta Product Liability Litigation</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involving Cymbalta. The plaintiffs, purporting to represent a class of persons who purchased and/or</w:t>
      </w:r>
      <w:r>
        <w:rPr>
          <w:rFonts w:ascii="Arial" w:cs="Arial" w:eastAsia="Arial" w:hAnsi="Arial"/>
          <w:sz w:val="18"/>
          <w:szCs w:val="18"/>
          <w:i w:val="1"/>
          <w:iCs w:val="1"/>
          <w:color w:val="auto"/>
        </w:rPr>
        <w:t xml:space="preserve"> </w:t>
      </w:r>
      <w:r>
        <w:rPr>
          <w:rFonts w:ascii="Arial" w:cs="Arial" w:eastAsia="Arial" w:hAnsi="Arial"/>
          <w:sz w:val="18"/>
          <w:szCs w:val="18"/>
          <w:color w:val="auto"/>
        </w:rPr>
        <w:t>paid for Cymbalta, asserted claims under the consumer protection statutes of California, Massachusetts, Missouri, and New York, and sought declaratory, injunctive, and monetary relief for various alleged economic injuries arising from their purchases. After the district court denied the plaintiffs' motions for class certification, plaintiffs voluntarily dismissed their claims. The plaintiffs subsequently appealed to the U.S. Court of Appeals for the Ninth Circuit. In November 2017, the U.S. Court of Appeals for the Ninth Circuit dismissed the appeal for lack of jurisdiction. In July 2018, the U.S. District Court for the Central District of California denied the plaintiffs’ motion to reopen the case. In January 2020, the Ninth Circuit affirmed the district court's decision and subsequently denied plaintiffs’ petition for rehearing. The period for plaintiffs to file a cert petition to the U.S. Supreme Court has expired and this case has ended.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the total financial impact of the ruling estimated to be approximately 500 million Brazilian real (approximately $90 million as of June 30, 2020).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 provide health coverage for contractors, their children, and children of employees who worked at the Cosmopolis facility, pending the determination of Lilly Brasil’s appeal to the superior labor court.</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of 500 million Brazilian real. Lilly Brasil filed a writ of mandamus challenging this ruling, but the court stayed its decision on this writ and instead directed the parties to attend conciliation hearings, a process which is ongoing. The labor court also stayed the Labor Attorney’s application to enforce the previous healthcare coverage ruling until after the appeals court ruled on the various motions pending before it. If the conciliation hearings are unsuccessful, once concluded, we intend to file a motion to strike the Labor Attorney’s application to enforce the previous healthcare coverage given the appeals court’s stay in September 2019 of a number of elements of its prior decision described above.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defending against them vigorously.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35"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 We believe all of these lawsuits are without merit and are defending against them vigorously.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We, along with Sanofi-Aventis U.S. LLC (Sanofi) and Novo Nordisk, Inc. (Novo Nordisk) are named as defendants in a consolidated purported class action lawsuit,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in the U.S. District Court of New Jersey relating to insulin pricing seeking damages under various state consumer protection laws and the Federal Racketeer Influenced and Corrupt Organization Act (federal RICO Act). Separately, we, along with Sanofi and Novo Nordisk, are named as defendants in </w:t>
      </w:r>
      <w:r>
        <w:rPr>
          <w:rFonts w:ascii="Arial" w:cs="Arial" w:eastAsia="Arial" w:hAnsi="Arial"/>
          <w:sz w:val="18"/>
          <w:szCs w:val="18"/>
          <w:i w:val="1"/>
          <w:iCs w:val="1"/>
          <w:color w:val="auto"/>
        </w:rPr>
        <w:t>MSP Recovery Claims, Series, LLC et al. v. Sanofi</w:t>
      </w:r>
      <w:r>
        <w:rPr>
          <w:rFonts w:ascii="Arial" w:cs="Arial" w:eastAsia="Arial" w:hAnsi="Arial"/>
          <w:sz w:val="18"/>
          <w:szCs w:val="18"/>
          <w:color w:val="auto"/>
        </w:rPr>
        <w:t xml:space="preserve"> </w:t>
      </w:r>
      <w:r>
        <w:rPr>
          <w:rFonts w:ascii="Arial" w:cs="Arial" w:eastAsia="Arial" w:hAnsi="Arial"/>
          <w:sz w:val="18"/>
          <w:szCs w:val="18"/>
          <w:i w:val="1"/>
          <w:iCs w:val="1"/>
          <w:color w:val="auto"/>
        </w:rPr>
        <w:t>Aventis U.S. LLC et al.</w:t>
      </w:r>
      <w:r>
        <w:rPr>
          <w:rFonts w:ascii="Arial" w:cs="Arial" w:eastAsia="Arial" w:hAnsi="Arial"/>
          <w:sz w:val="18"/>
          <w:szCs w:val="18"/>
          <w:color w:val="auto"/>
        </w:rPr>
        <w:t>, in the same court, seeking damages under various state consumer protection laws, common law fraud, unjust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enrichment, and the federal RICO Act. In both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MSP Recovery Claims</w:t>
      </w:r>
      <w:r>
        <w:rPr>
          <w:rFonts w:ascii="Arial" w:cs="Arial" w:eastAsia="Arial" w:hAnsi="Arial"/>
          <w:sz w:val="18"/>
          <w:szCs w:val="18"/>
          <w:color w:val="auto"/>
        </w:rPr>
        <w:t xml:space="preserve"> litigation, the court dismissed claims under the federal RICO Act and certain state laws. Also in the same court, we, along with Sanofi, Novo Nordisk, CVS, Express Scripts, and Optum, have been sued in a purported class action,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for alleged violations of the federal RICO Act as well as the New Jersey RICO Act and anti-trust 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 Co-Operative Inc. v. Eli Lilly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 et al. </w:t>
      </w:r>
      <w:r>
        <w:rPr>
          <w:rFonts w:ascii="Arial" w:cs="Arial" w:eastAsia="Arial" w:hAnsi="Arial"/>
          <w:sz w:val="18"/>
          <w:szCs w:val="18"/>
          <w:color w:val="auto"/>
        </w:rPr>
        <w:t>and</w:t>
      </w:r>
      <w:r>
        <w:rPr>
          <w:rFonts w:ascii="Arial" w:cs="Arial" w:eastAsia="Arial" w:hAnsi="Arial"/>
          <w:sz w:val="18"/>
          <w:szCs w:val="18"/>
          <w:i w:val="1"/>
          <w:iCs w:val="1"/>
          <w:color w:val="auto"/>
        </w:rPr>
        <w:t xml:space="preserve"> Value Drug Co. v. Eli Lilly &amp; Co. et al.</w:t>
      </w:r>
      <w:r>
        <w:rPr>
          <w:rFonts w:ascii="Arial" w:cs="Arial" w:eastAsia="Arial" w:hAnsi="Arial"/>
          <w:sz w:val="18"/>
          <w:szCs w:val="18"/>
          <w:color w:val="auto"/>
        </w:rPr>
        <w:t>, for alleged violations of the federal RICO Act.</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Minnesota Attorney General’s Office has initiated litigation against us, Sanofi, and Novo Nordisk, </w:t>
      </w:r>
      <w:r>
        <w:rPr>
          <w:rFonts w:ascii="Arial" w:cs="Arial" w:eastAsia="Arial" w:hAnsi="Arial"/>
          <w:sz w:val="18"/>
          <w:szCs w:val="18"/>
          <w:i w:val="1"/>
          <w:iCs w:val="1"/>
          <w:color w:val="auto"/>
        </w:rPr>
        <w:t>State of Minnesota v. Sanofi-Aventis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LLC et al., </w:t>
      </w:r>
      <w:r>
        <w:rPr>
          <w:rFonts w:ascii="Arial" w:cs="Arial" w:eastAsia="Arial" w:hAnsi="Arial"/>
          <w:sz w:val="18"/>
          <w:szCs w:val="18"/>
          <w:color w:val="auto"/>
        </w:rPr>
        <w:t>in the U.S. District Court of New Jersey, alleging unjust enrichment, violations of various Minnesota state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protection laws, and the federal RICO Act. Additionally,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xml:space="preserve">, in Kentucky state court, alleging violations of the Kentucky consumer protection law, false advertising, and unjust enrichment. Harris County in Texas filed a complaint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spacing w:after="0" w:line="256" w:lineRule="auto"/>
        <w:rPr>
          <w:sz w:val="20"/>
          <w:szCs w:val="20"/>
          <w:color w:val="auto"/>
        </w:rPr>
      </w:pPr>
      <w:r>
        <w:rPr>
          <w:rFonts w:ascii="Arial" w:cs="Arial" w:eastAsia="Arial" w:hAnsi="Arial"/>
          <w:sz w:val="18"/>
          <w:szCs w:val="18"/>
          <w:color w:val="auto"/>
        </w:rPr>
        <w:t>Southern District of Texas, alleging violations of the federal RICO Act, federal and state anti-trust law, and the state deceptive trade practices-consumer protection act. Harris County also alleges common law claims such as fraud, unjust enrichment, and civil conspiracy. This lawsuit relates to our insulin products as well as Trulicity.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claims are without merit and are defending against them vigorously.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Investigations, Subpoenas, and Inquiries</w:t>
      </w:r>
    </w:p>
    <w:p>
      <w:pPr>
        <w:spacing w:after="0" w:line="1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received a subpoena from the New York Attorney General’s Office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and a subpoena from the California Attorney General's Office regarding our competition in the long-acting insulin market. We received two requests from the House of Representatives’ Committee on Energy and Commerce and a request from the Senate’s Committee on Health, Education, Labor, and Pensions, seeking certain information related to the pricing of insulin products, among other issues. We also received requests from the House of Representatives’ Committee on Oversight and Reform and the Senate’s Committee on Finance, which seek detailed commercial information and business records. We are cooperating with all of these aforementioned investigations, subpoenas, and inquiries.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Liability Insurance</w:t>
      </w:r>
    </w:p>
    <w:p>
      <w:pPr>
        <w:spacing w:after="0" w:line="13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11: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220" w:type="dxa"/>
            <w:vAlign w:val="bottom"/>
          </w:tcPr>
          <w:p>
            <w:pPr>
              <w:spacing w:after="0"/>
              <w:rPr>
                <w:sz w:val="11"/>
                <w:szCs w:val="11"/>
                <w:color w:val="auto"/>
              </w:rPr>
            </w:pPr>
          </w:p>
        </w:tc>
        <w:tc>
          <w:tcPr>
            <w:tcW w:w="112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Unrealized Net</w:t>
            </w:r>
          </w:p>
        </w:tc>
        <w:tc>
          <w:tcPr>
            <w:tcW w:w="240" w:type="dxa"/>
            <w:vAlign w:val="bottom"/>
          </w:tcPr>
          <w:p>
            <w:pPr>
              <w:spacing w:after="0"/>
              <w:rPr>
                <w:sz w:val="11"/>
                <w:szCs w:val="11"/>
                <w:color w:val="auto"/>
              </w:rPr>
            </w:pPr>
          </w:p>
        </w:tc>
        <w:tc>
          <w:tcPr>
            <w:tcW w:w="112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3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Effective Portion</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2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240" w:type="dxa"/>
            <w:vAlign w:val="bottom"/>
          </w:tcPr>
          <w:p>
            <w:pPr>
              <w:spacing w:after="0"/>
              <w:rPr>
                <w:sz w:val="11"/>
                <w:szCs w:val="11"/>
                <w:color w:val="auto"/>
              </w:rPr>
            </w:pPr>
          </w:p>
        </w:tc>
        <w:tc>
          <w:tcPr>
            <w:tcW w:w="112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260" w:type="dxa"/>
            <w:vAlign w:val="bottom"/>
          </w:tcPr>
          <w:p>
            <w:pPr>
              <w:spacing w:after="0"/>
              <w:rPr>
                <w:sz w:val="11"/>
                <w:szCs w:val="11"/>
                <w:color w:val="auto"/>
              </w:rPr>
            </w:pPr>
          </w:p>
        </w:tc>
        <w:tc>
          <w:tcPr>
            <w:tcW w:w="1060" w:type="dxa"/>
            <w:vAlign w:val="bottom"/>
          </w:tcPr>
          <w:p>
            <w:pPr>
              <w:jc w:val="center"/>
              <w:ind w:right="118"/>
              <w:spacing w:after="0" w:line="135" w:lineRule="exact"/>
              <w:rPr>
                <w:sz w:val="20"/>
                <w:szCs w:val="20"/>
                <w:color w:val="auto"/>
              </w:rPr>
            </w:pPr>
            <w:r>
              <w:rPr>
                <w:rFonts w:ascii="Arial" w:cs="Arial" w:eastAsia="Arial" w:hAnsi="Arial"/>
                <w:sz w:val="13"/>
                <w:szCs w:val="13"/>
                <w:b w:val="1"/>
                <w:bCs w:val="1"/>
                <w:color w:val="auto"/>
                <w:w w:val="96"/>
              </w:rPr>
              <w:t>of Cash Flow</w:t>
            </w:r>
          </w:p>
        </w:tc>
        <w:tc>
          <w:tcPr>
            <w:tcW w:w="14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78"/>
        </w:trPr>
        <w:tc>
          <w:tcPr>
            <w:tcW w:w="45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Gains (Losses)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7"/>
              </w:rPr>
              <w:t>on Securities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7"/>
              </w:rPr>
              <w:t>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Arial" w:cs="Arial" w:eastAsia="Arial" w:hAnsi="Arial"/>
                <w:sz w:val="18"/>
                <w:szCs w:val="18"/>
                <w:color w:val="auto"/>
              </w:rPr>
              <w:t>Balance at April 1, 2020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57"/>
              <w:spacing w:after="0"/>
              <w:rPr>
                <w:sz w:val="20"/>
                <w:szCs w:val="20"/>
                <w:color w:val="auto"/>
              </w:rPr>
            </w:pPr>
            <w:r>
              <w:rPr>
                <w:rFonts w:ascii="Arial" w:cs="Arial" w:eastAsia="Arial" w:hAnsi="Arial"/>
                <w:sz w:val="18"/>
                <w:szCs w:val="18"/>
                <w:b w:val="1"/>
                <w:bCs w:val="1"/>
                <w:color w:val="auto"/>
              </w:rPr>
              <w:t>(1,804.5)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8"/>
                <w:szCs w:val="18"/>
                <w:b w:val="1"/>
                <w:bCs w:val="1"/>
                <w:color w:val="auto"/>
              </w:rPr>
              <w:t>5.8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2"/>
              <w:spacing w:after="0"/>
              <w:rPr>
                <w:sz w:val="20"/>
                <w:szCs w:val="20"/>
                <w:color w:val="auto"/>
              </w:rPr>
            </w:pPr>
            <w:r>
              <w:rPr>
                <w:rFonts w:ascii="Arial" w:cs="Arial" w:eastAsia="Arial" w:hAnsi="Arial"/>
                <w:sz w:val="18"/>
                <w:szCs w:val="18"/>
                <w:b w:val="1"/>
                <w:bCs w:val="1"/>
                <w:color w:val="auto"/>
              </w:rPr>
              <w:t>(4,530.3)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8"/>
              <w:spacing w:after="0"/>
              <w:rPr>
                <w:sz w:val="20"/>
                <w:szCs w:val="20"/>
                <w:color w:val="auto"/>
              </w:rPr>
            </w:pPr>
            <w:r>
              <w:rPr>
                <w:rFonts w:ascii="Arial" w:cs="Arial" w:eastAsia="Arial" w:hAnsi="Arial"/>
                <w:sz w:val="18"/>
                <w:szCs w:val="18"/>
                <w:b w:val="1"/>
                <w:bCs w:val="1"/>
                <w:color w:val="auto"/>
              </w:rPr>
              <w:t>(556.9)</w:t>
            </w:r>
          </w:p>
        </w:tc>
        <w:tc>
          <w:tcPr>
            <w:tcW w:w="4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(6,885.9)</w:t>
            </w:r>
          </w:p>
        </w:tc>
        <w:tc>
          <w:tcPr>
            <w:tcW w:w="0" w:type="dxa"/>
            <w:vAlign w:val="bottom"/>
          </w:tcPr>
          <w:p>
            <w:pPr>
              <w:spacing w:after="0"/>
              <w:rPr>
                <w:sz w:val="1"/>
                <w:szCs w:val="1"/>
                <w:color w:val="auto"/>
              </w:rPr>
            </w:pPr>
          </w:p>
        </w:tc>
      </w:tr>
      <w:tr>
        <w:trPr>
          <w:trHeight w:val="235"/>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82.0</w:t>
            </w:r>
          </w:p>
        </w:tc>
        <w:tc>
          <w:tcPr>
            <w:tcW w:w="2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(6.7)</w:t>
            </w:r>
          </w:p>
        </w:tc>
        <w:tc>
          <w:tcPr>
            <w:tcW w:w="26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33.0</w:t>
            </w:r>
          </w:p>
        </w:tc>
        <w:tc>
          <w:tcPr>
            <w:tcW w:w="40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114.1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reclassifications</w:t>
            </w:r>
          </w:p>
        </w:tc>
        <w:tc>
          <w:tcPr>
            <w:tcW w:w="1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Net amount reclassified from accumulated other</w:t>
            </w:r>
          </w:p>
        </w:tc>
        <w:tc>
          <w:tcPr>
            <w:tcW w:w="140" w:type="dxa"/>
            <w:vAlign w:val="bottom"/>
          </w:tcPr>
          <w:p>
            <w:pPr>
              <w:spacing w:after="0"/>
              <w:rPr>
                <w:sz w:val="19"/>
                <w:szCs w:val="19"/>
                <w:color w:val="auto"/>
              </w:rPr>
            </w:pPr>
          </w:p>
        </w:tc>
        <w:tc>
          <w:tcPr>
            <w:tcW w:w="1140" w:type="dxa"/>
            <w:vAlign w:val="bottom"/>
            <w:vMerge w:val="restart"/>
          </w:tcPr>
          <w:p>
            <w:pPr>
              <w:jc w:val="right"/>
              <w:ind w:right="117"/>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20" w:type="dxa"/>
            <w:vAlign w:val="bottom"/>
            <w:vMerge w:val="restart"/>
          </w:tcPr>
          <w:p>
            <w:pPr>
              <w:jc w:val="right"/>
              <w:ind w:right="80"/>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9"/>
                <w:szCs w:val="19"/>
                <w:color w:val="auto"/>
              </w:rPr>
            </w:pPr>
          </w:p>
        </w:tc>
        <w:tc>
          <w:tcPr>
            <w:tcW w:w="1120" w:type="dxa"/>
            <w:vAlign w:val="bottom"/>
            <w:vMerge w:val="restart"/>
          </w:tcPr>
          <w:p>
            <w:pPr>
              <w:jc w:val="right"/>
              <w:ind w:right="82"/>
              <w:spacing w:after="0"/>
              <w:rPr>
                <w:sz w:val="20"/>
                <w:szCs w:val="20"/>
                <w:color w:val="auto"/>
              </w:rPr>
            </w:pPr>
            <w:r>
              <w:rPr>
                <w:rFonts w:ascii="Arial" w:cs="Arial" w:eastAsia="Arial" w:hAnsi="Arial"/>
                <w:sz w:val="18"/>
                <w:szCs w:val="18"/>
                <w:b w:val="1"/>
                <w:bCs w:val="1"/>
                <w:color w:val="auto"/>
              </w:rPr>
              <w:t>82.1</w:t>
            </w:r>
          </w:p>
        </w:tc>
        <w:tc>
          <w:tcPr>
            <w:tcW w:w="260" w:type="dxa"/>
            <w:vAlign w:val="bottom"/>
          </w:tcPr>
          <w:p>
            <w:pPr>
              <w:spacing w:after="0"/>
              <w:rPr>
                <w:sz w:val="19"/>
                <w:szCs w:val="19"/>
                <w:color w:val="auto"/>
              </w:rPr>
            </w:pPr>
          </w:p>
        </w:tc>
        <w:tc>
          <w:tcPr>
            <w:tcW w:w="106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auto"/>
              </w:rPr>
              <w:t>3.3</w:t>
            </w:r>
          </w:p>
        </w:tc>
        <w:tc>
          <w:tcPr>
            <w:tcW w:w="400" w:type="dxa"/>
            <w:vAlign w:val="bottom"/>
          </w:tcPr>
          <w:p>
            <w:pPr>
              <w:spacing w:after="0"/>
              <w:rPr>
                <w:sz w:val="19"/>
                <w:szCs w:val="19"/>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88.9</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82.0</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9.3</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75.4</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36.3</w:t>
            </w:r>
          </w:p>
        </w:tc>
        <w:tc>
          <w:tcPr>
            <w:tcW w:w="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203.0</w:t>
            </w:r>
          </w:p>
        </w:tc>
        <w:tc>
          <w:tcPr>
            <w:tcW w:w="0" w:type="dxa"/>
            <w:vAlign w:val="bottom"/>
          </w:tcPr>
          <w:p>
            <w:pPr>
              <w:spacing w:after="0"/>
              <w:rPr>
                <w:sz w:val="1"/>
                <w:szCs w:val="1"/>
                <w:color w:val="auto"/>
              </w:rPr>
            </w:pPr>
          </w:p>
        </w:tc>
      </w:tr>
      <w:tr>
        <w:trPr>
          <w:trHeight w:val="264"/>
        </w:trPr>
        <w:tc>
          <w:tcPr>
            <w:tcW w:w="454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(1,722.5)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15.1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(4,454.9)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(520.6)</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(6,682.9)</w:t>
            </w:r>
          </w:p>
        </w:tc>
        <w:tc>
          <w:tcPr>
            <w:tcW w:w="0" w:type="dxa"/>
            <w:vAlign w:val="bottom"/>
          </w:tcPr>
          <w:p>
            <w:pPr>
              <w:spacing w:after="0"/>
              <w:rPr>
                <w:sz w:val="1"/>
                <w:szCs w:val="1"/>
                <w:color w:val="auto"/>
              </w:rPr>
            </w:pPr>
          </w:p>
        </w:tc>
      </w:tr>
      <w:tr>
        <w:trPr>
          <w:trHeight w:val="356"/>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right="42"/>
              <w:spacing w:after="0"/>
              <w:rPr>
                <w:sz w:val="20"/>
                <w:szCs w:val="20"/>
                <w:color w:val="auto"/>
              </w:rPr>
            </w:pPr>
            <w:r>
              <w:rPr>
                <w:rFonts w:ascii="Arial" w:cs="Arial" w:eastAsia="Arial" w:hAnsi="Arial"/>
                <w:sz w:val="13"/>
                <w:szCs w:val="13"/>
                <w:b w:val="1"/>
                <w:bCs w:val="1"/>
                <w:color w:val="auto"/>
                <w:w w:val="96"/>
              </w:rPr>
              <w:t>Defined Benefit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220" w:type="dxa"/>
            <w:vAlign w:val="bottom"/>
          </w:tcPr>
          <w:p>
            <w:pPr>
              <w:spacing w:after="0"/>
              <w:rPr>
                <w:sz w:val="11"/>
                <w:szCs w:val="11"/>
                <w:color w:val="auto"/>
              </w:rPr>
            </w:pPr>
          </w:p>
        </w:tc>
        <w:tc>
          <w:tcPr>
            <w:tcW w:w="112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Unrealized Net</w:t>
            </w:r>
          </w:p>
        </w:tc>
        <w:tc>
          <w:tcPr>
            <w:tcW w:w="240" w:type="dxa"/>
            <w:vAlign w:val="bottom"/>
          </w:tcPr>
          <w:p>
            <w:pPr>
              <w:spacing w:after="0"/>
              <w:rPr>
                <w:sz w:val="11"/>
                <w:szCs w:val="11"/>
                <w:color w:val="auto"/>
              </w:rPr>
            </w:pPr>
          </w:p>
        </w:tc>
        <w:tc>
          <w:tcPr>
            <w:tcW w:w="112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98"/>
              </w:rPr>
              <w:t>Pension and</w:t>
            </w:r>
          </w:p>
        </w:tc>
        <w:tc>
          <w:tcPr>
            <w:tcW w:w="13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Effective Portion</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22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240" w:type="dxa"/>
            <w:vAlign w:val="bottom"/>
          </w:tcPr>
          <w:p>
            <w:pPr>
              <w:spacing w:after="0"/>
              <w:rPr>
                <w:sz w:val="11"/>
                <w:szCs w:val="11"/>
                <w:color w:val="auto"/>
              </w:rPr>
            </w:pPr>
          </w:p>
        </w:tc>
        <w:tc>
          <w:tcPr>
            <w:tcW w:w="112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260" w:type="dxa"/>
            <w:vAlign w:val="bottom"/>
          </w:tcPr>
          <w:p>
            <w:pPr>
              <w:spacing w:after="0"/>
              <w:rPr>
                <w:sz w:val="11"/>
                <w:szCs w:val="11"/>
                <w:color w:val="auto"/>
              </w:rPr>
            </w:pPr>
          </w:p>
        </w:tc>
        <w:tc>
          <w:tcPr>
            <w:tcW w:w="106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6"/>
              </w:rPr>
              <w:t>of Cash Flow</w:t>
            </w:r>
          </w:p>
        </w:tc>
        <w:tc>
          <w:tcPr>
            <w:tcW w:w="14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78"/>
        </w:trPr>
        <w:tc>
          <w:tcPr>
            <w:tcW w:w="45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Gains (Losses)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on Securities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7"/>
              </w:rPr>
              <w:t>Benefit Plans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7"/>
              </w:rPr>
              <w:t>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49"/>
        </w:trPr>
        <w:tc>
          <w:tcPr>
            <w:tcW w:w="4540" w:type="dxa"/>
            <w:vAlign w:val="bottom"/>
          </w:tcPr>
          <w:p>
            <w:pPr>
              <w:ind w:left="20"/>
              <w:spacing w:after="0"/>
              <w:rPr>
                <w:sz w:val="20"/>
                <w:szCs w:val="20"/>
                <w:color w:val="auto"/>
              </w:rPr>
            </w:pPr>
            <w:r>
              <w:rPr>
                <w:rFonts w:ascii="Arial" w:cs="Arial" w:eastAsia="Arial" w:hAnsi="Arial"/>
                <w:sz w:val="18"/>
                <w:szCs w:val="18"/>
                <w:color w:val="auto"/>
              </w:rPr>
              <w:t>Balance at April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(1,601.4)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(3,813.7)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(268.8)</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(5,687.5)</w:t>
            </w:r>
          </w:p>
        </w:tc>
        <w:tc>
          <w:tcPr>
            <w:tcW w:w="0" w:type="dxa"/>
            <w:vAlign w:val="bottom"/>
          </w:tcPr>
          <w:p>
            <w:pPr>
              <w:spacing w:after="0"/>
              <w:rPr>
                <w:sz w:val="1"/>
                <w:szCs w:val="1"/>
                <w:color w:val="auto"/>
              </w:rPr>
            </w:pPr>
          </w:p>
        </w:tc>
      </w:tr>
      <w:tr>
        <w:trPr>
          <w:trHeight w:val="235"/>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Net amount reclassified from accumulated other</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47.0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3.2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50.4</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64"/>
        </w:trPr>
        <w:tc>
          <w:tcPr>
            <w:tcW w:w="4540" w:type="dxa"/>
            <w:vAlign w:val="bottom"/>
          </w:tcPr>
          <w:p>
            <w:pPr>
              <w:ind w:left="20"/>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(1,570.0)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(3,763.3)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(271.7)</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(5,600.5)</w:t>
            </w:r>
          </w:p>
        </w:tc>
        <w:tc>
          <w:tcPr>
            <w:tcW w:w="0" w:type="dxa"/>
            <w:vAlign w:val="bottom"/>
          </w:tcPr>
          <w:p>
            <w:pPr>
              <w:spacing w:after="0"/>
              <w:rPr>
                <w:sz w:val="1"/>
                <w:szCs w:val="1"/>
                <w:color w:val="auto"/>
              </w:rPr>
            </w:pPr>
          </w:p>
        </w:tc>
      </w:tr>
      <w:tr>
        <w:trPr>
          <w:trHeight w:val="864"/>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3"/>
                <w:szCs w:val="13"/>
                <w:b w:val="1"/>
                <w:bCs w:val="1"/>
                <w:color w:val="auto"/>
              </w:rPr>
              <w:t>Continuing Operations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22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Unrealized Net</w:t>
            </w:r>
          </w:p>
        </w:tc>
        <w:tc>
          <w:tcPr>
            <w:tcW w:w="260" w:type="dxa"/>
            <w:vAlign w:val="bottom"/>
          </w:tcPr>
          <w:p>
            <w:pPr>
              <w:spacing w:after="0"/>
              <w:rPr>
                <w:sz w:val="11"/>
                <w:szCs w:val="11"/>
                <w:color w:val="auto"/>
              </w:rPr>
            </w:pPr>
          </w:p>
        </w:tc>
        <w:tc>
          <w:tcPr>
            <w:tcW w:w="108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98"/>
              </w:rPr>
              <w:t>Pension and</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0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4"/>
              </w:rPr>
              <w:t>Translation</w:t>
            </w:r>
          </w:p>
        </w:tc>
        <w:tc>
          <w:tcPr>
            <w:tcW w:w="22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Gains (Losses)</w:t>
            </w:r>
          </w:p>
        </w:tc>
        <w:tc>
          <w:tcPr>
            <w:tcW w:w="260" w:type="dxa"/>
            <w:vAlign w:val="bottom"/>
          </w:tcPr>
          <w:p>
            <w:pPr>
              <w:spacing w:after="0"/>
              <w:rPr>
                <w:sz w:val="11"/>
                <w:szCs w:val="11"/>
                <w:color w:val="auto"/>
              </w:rPr>
            </w:pPr>
          </w:p>
        </w:tc>
        <w:tc>
          <w:tcPr>
            <w:tcW w:w="108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12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w w:val="97"/>
              </w:rPr>
              <w:t>Effective Portion of</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138"/>
              <w:spacing w:after="0" w:line="135" w:lineRule="exact"/>
              <w:rPr>
                <w:sz w:val="20"/>
                <w:szCs w:val="20"/>
                <w:color w:val="auto"/>
              </w:rPr>
            </w:pPr>
            <w:r>
              <w:rPr>
                <w:rFonts w:ascii="Arial" w:cs="Arial" w:eastAsia="Arial" w:hAnsi="Arial"/>
                <w:sz w:val="13"/>
                <w:szCs w:val="13"/>
                <w:b w:val="1"/>
                <w:bCs w:val="1"/>
                <w:color w:val="auto"/>
                <w:w w:val="97"/>
              </w:rPr>
              <w:t>Discontinued</w:t>
            </w:r>
          </w:p>
        </w:tc>
        <w:tc>
          <w:tcPr>
            <w:tcW w:w="14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78"/>
        </w:trPr>
        <w:tc>
          <w:tcPr>
            <w:tcW w:w="33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6"/>
              </w:rPr>
              <w:t>Gains (Losses)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on Securities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7"/>
              </w:rPr>
              <w:t>Benefit Plans</w:t>
            </w: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8"/>
              </w:rPr>
              <w:t>Cash Flow Hedges</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Operations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5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(1,678.0)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(4,638.6)</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(211.9)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(6,523.6)</w:t>
            </w:r>
          </w:p>
        </w:tc>
        <w:tc>
          <w:tcPr>
            <w:tcW w:w="0" w:type="dxa"/>
            <w:vAlign w:val="bottom"/>
          </w:tcPr>
          <w:p>
            <w:pPr>
              <w:spacing w:after="0"/>
              <w:rPr>
                <w:sz w:val="1"/>
                <w:szCs w:val="1"/>
                <w:color w:val="auto"/>
              </w:rPr>
            </w:pPr>
          </w:p>
        </w:tc>
      </w:tr>
      <w:tr>
        <w:trPr>
          <w:trHeight w:val="188"/>
        </w:trPr>
        <w:tc>
          <w:tcPr>
            <w:tcW w:w="33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6"/>
                <w:szCs w:val="16"/>
                <w:color w:val="auto"/>
              </w:rPr>
            </w:pPr>
          </w:p>
        </w:tc>
        <w:tc>
          <w:tcPr>
            <w:tcW w:w="110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(44.5)</w:t>
            </w:r>
          </w:p>
        </w:tc>
        <w:tc>
          <w:tcPr>
            <w:tcW w:w="220" w:type="dxa"/>
            <w:vAlign w:val="bottom"/>
          </w:tcPr>
          <w:p>
            <w:pPr>
              <w:spacing w:after="0"/>
              <w:rPr>
                <w:sz w:val="16"/>
                <w:szCs w:val="16"/>
                <w:color w:val="auto"/>
              </w:rPr>
            </w:pPr>
          </w:p>
        </w:tc>
        <w:tc>
          <w:tcPr>
            <w:tcW w:w="1100" w:type="dxa"/>
            <w:vAlign w:val="bottom"/>
            <w:vMerge w:val="restart"/>
          </w:tcPr>
          <w:p>
            <w:pPr>
              <w:jc w:val="right"/>
              <w:ind w:right="102"/>
              <w:spacing w:after="0"/>
              <w:rPr>
                <w:sz w:val="20"/>
                <w:szCs w:val="20"/>
                <w:color w:val="auto"/>
              </w:rPr>
            </w:pPr>
            <w:r>
              <w:rPr>
                <w:rFonts w:ascii="Arial" w:cs="Arial" w:eastAsia="Arial" w:hAnsi="Arial"/>
                <w:sz w:val="18"/>
                <w:szCs w:val="18"/>
                <w:b w:val="1"/>
                <w:bCs w:val="1"/>
                <w:color w:val="auto"/>
              </w:rPr>
              <w:t>6.8</w:t>
            </w:r>
          </w:p>
        </w:tc>
        <w:tc>
          <w:tcPr>
            <w:tcW w:w="260" w:type="dxa"/>
            <w:vAlign w:val="bottom"/>
          </w:tcPr>
          <w:p>
            <w:pPr>
              <w:spacing w:after="0"/>
              <w:rPr>
                <w:sz w:val="16"/>
                <w:szCs w:val="16"/>
                <w:color w:val="auto"/>
              </w:rPr>
            </w:pPr>
          </w:p>
        </w:tc>
        <w:tc>
          <w:tcPr>
            <w:tcW w:w="1080" w:type="dxa"/>
            <w:vAlign w:val="bottom"/>
            <w:vMerge w:val="restart"/>
          </w:tcPr>
          <w:p>
            <w:pPr>
              <w:jc w:val="right"/>
              <w:ind w:right="121"/>
              <w:spacing w:after="0"/>
              <w:rPr>
                <w:sz w:val="20"/>
                <w:szCs w:val="20"/>
                <w:color w:val="auto"/>
              </w:rPr>
            </w:pPr>
            <w:r>
              <w:rPr>
                <w:rFonts w:ascii="Arial" w:cs="Arial" w:eastAsia="Arial" w:hAnsi="Arial"/>
                <w:sz w:val="18"/>
                <w:szCs w:val="18"/>
                <w:b w:val="1"/>
                <w:bCs w:val="1"/>
                <w:color w:val="auto"/>
              </w:rPr>
              <w:t>24.2</w:t>
            </w:r>
          </w:p>
        </w:tc>
        <w:tc>
          <w:tcPr>
            <w:tcW w:w="300" w:type="dxa"/>
            <w:vAlign w:val="bottom"/>
          </w:tcPr>
          <w:p>
            <w:pPr>
              <w:spacing w:after="0"/>
              <w:rPr>
                <w:sz w:val="16"/>
                <w:szCs w:val="16"/>
                <w:color w:val="auto"/>
              </w:rPr>
            </w:pPr>
          </w:p>
        </w:tc>
        <w:tc>
          <w:tcPr>
            <w:tcW w:w="98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(315.2)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6"/>
                <w:szCs w:val="16"/>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(328.7)</w:t>
            </w:r>
          </w:p>
        </w:tc>
        <w:tc>
          <w:tcPr>
            <w:tcW w:w="0" w:type="dxa"/>
            <w:vAlign w:val="bottom"/>
          </w:tcPr>
          <w:p>
            <w:pPr>
              <w:spacing w:after="0"/>
              <w:rPr>
                <w:sz w:val="1"/>
                <w:szCs w:val="1"/>
                <w:color w:val="auto"/>
              </w:rPr>
            </w:pPr>
          </w:p>
        </w:tc>
      </w:tr>
      <w:tr>
        <w:trPr>
          <w:trHeight w:val="217"/>
        </w:trPr>
        <w:tc>
          <w:tcPr>
            <w:tcW w:w="3340" w:type="dxa"/>
            <w:vAlign w:val="bottom"/>
            <w:gridSpan w:val="2"/>
          </w:tcPr>
          <w:p>
            <w:pPr>
              <w:ind w:left="300"/>
              <w:spacing w:after="0"/>
              <w:rPr>
                <w:sz w:val="20"/>
                <w:szCs w:val="20"/>
                <w:color w:val="auto"/>
              </w:rPr>
            </w:pPr>
            <w:r>
              <w:rPr>
                <w:rFonts w:ascii="Arial" w:cs="Arial" w:eastAsia="Arial" w:hAnsi="Arial"/>
                <w:sz w:val="18"/>
                <w:szCs w:val="18"/>
                <w:color w:val="auto"/>
              </w:rPr>
              <w:t>before reclassifications</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Net amount reclassified from</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4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accumulated other comprehensive</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3.4</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159.5</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169.4</w:t>
            </w: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(44.5)</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b w:val="1"/>
                <w:bCs w:val="1"/>
                <w:color w:val="auto"/>
              </w:rPr>
              <w:t>10.2</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183.7</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(308.7)</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(159.3)</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(1,722.5)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15.1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(4,454.9)</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(520.6)</w:t>
            </w:r>
          </w:p>
        </w:tc>
        <w:tc>
          <w:tcPr>
            <w:tcW w:w="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(6,682.9)</w:t>
            </w:r>
          </w:p>
        </w:tc>
        <w:tc>
          <w:tcPr>
            <w:tcW w:w="0" w:type="dxa"/>
            <w:vAlign w:val="bottom"/>
          </w:tcPr>
          <w:p>
            <w:pPr>
              <w:spacing w:after="0"/>
              <w:rPr>
                <w:sz w:val="1"/>
                <w:szCs w:val="1"/>
                <w:color w:val="auto"/>
              </w:rPr>
            </w:pPr>
          </w:p>
        </w:tc>
      </w:tr>
      <w:tr>
        <w:trPr>
          <w:trHeight w:val="398"/>
        </w:trPr>
        <w:tc>
          <w:tcPr>
            <w:tcW w:w="3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3"/>
                <w:szCs w:val="13"/>
                <w:b w:val="1"/>
                <w:bCs w:val="1"/>
                <w:color w:val="auto"/>
              </w:rPr>
              <w:t>Continuing Operations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21"/>
              <w:spacing w:after="0" w:line="140" w:lineRule="exact"/>
              <w:rPr>
                <w:sz w:val="20"/>
                <w:szCs w:val="20"/>
                <w:color w:val="auto"/>
              </w:rPr>
            </w:pPr>
            <w:r>
              <w:rPr>
                <w:rFonts w:ascii="Arial" w:cs="Arial" w:eastAsia="Arial" w:hAnsi="Arial"/>
                <w:sz w:val="13"/>
                <w:szCs w:val="13"/>
                <w:b w:val="1"/>
                <w:bCs w:val="1"/>
                <w:color w:val="auto"/>
                <w:w w:val="98"/>
              </w:rPr>
              <w:t>Defined Benefit</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220" w:type="dxa"/>
            <w:vAlign w:val="bottom"/>
          </w:tcPr>
          <w:p>
            <w:pPr>
              <w:spacing w:after="0"/>
              <w:rPr>
                <w:sz w:val="11"/>
                <w:szCs w:val="11"/>
                <w:color w:val="auto"/>
              </w:rPr>
            </w:pPr>
          </w:p>
        </w:tc>
        <w:tc>
          <w:tcPr>
            <w:tcW w:w="1100" w:type="dxa"/>
            <w:vAlign w:val="bottom"/>
          </w:tcPr>
          <w:p>
            <w:pPr>
              <w:jc w:val="right"/>
              <w:ind w:right="82"/>
              <w:spacing w:after="0" w:line="135" w:lineRule="exact"/>
              <w:rPr>
                <w:sz w:val="20"/>
                <w:szCs w:val="20"/>
                <w:color w:val="auto"/>
              </w:rPr>
            </w:pPr>
            <w:r>
              <w:rPr>
                <w:rFonts w:ascii="Arial" w:cs="Arial" w:eastAsia="Arial" w:hAnsi="Arial"/>
                <w:sz w:val="13"/>
                <w:szCs w:val="13"/>
                <w:b w:val="1"/>
                <w:bCs w:val="1"/>
                <w:color w:val="auto"/>
              </w:rPr>
              <w:t>Unrealized Net</w:t>
            </w:r>
          </w:p>
        </w:tc>
        <w:tc>
          <w:tcPr>
            <w:tcW w:w="260" w:type="dxa"/>
            <w:vAlign w:val="bottom"/>
          </w:tcPr>
          <w:p>
            <w:pPr>
              <w:spacing w:after="0"/>
              <w:rPr>
                <w:sz w:val="11"/>
                <w:szCs w:val="11"/>
                <w:color w:val="auto"/>
              </w:rPr>
            </w:pPr>
          </w:p>
        </w:tc>
        <w:tc>
          <w:tcPr>
            <w:tcW w:w="108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280" w:type="dxa"/>
            <w:vAlign w:val="bottom"/>
            <w:gridSpan w:val="2"/>
          </w:tcPr>
          <w:p>
            <w:pPr>
              <w:jc w:val="center"/>
              <w:ind w:left="82"/>
              <w:spacing w:after="0" w:line="135" w:lineRule="exact"/>
              <w:rPr>
                <w:sz w:val="20"/>
                <w:szCs w:val="20"/>
                <w:color w:val="auto"/>
              </w:rPr>
            </w:pPr>
            <w:r>
              <w:rPr>
                <w:rFonts w:ascii="Arial" w:cs="Arial" w:eastAsia="Arial" w:hAnsi="Arial"/>
                <w:sz w:val="13"/>
                <w:szCs w:val="13"/>
                <w:b w:val="1"/>
                <w:bCs w:val="1"/>
                <w:color w:val="auto"/>
                <w:w w:val="96"/>
              </w:rPr>
              <w:t>Effective Portion</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0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4"/>
              </w:rPr>
              <w:t>Translation</w:t>
            </w:r>
          </w:p>
        </w:tc>
        <w:tc>
          <w:tcPr>
            <w:tcW w:w="22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Gains (Losses)</w:t>
            </w:r>
          </w:p>
        </w:tc>
        <w:tc>
          <w:tcPr>
            <w:tcW w:w="260" w:type="dxa"/>
            <w:vAlign w:val="bottom"/>
          </w:tcPr>
          <w:p>
            <w:pPr>
              <w:spacing w:after="0"/>
              <w:rPr>
                <w:sz w:val="11"/>
                <w:szCs w:val="11"/>
                <w:color w:val="auto"/>
              </w:rPr>
            </w:pPr>
          </w:p>
        </w:tc>
        <w:tc>
          <w:tcPr>
            <w:tcW w:w="108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300" w:type="dxa"/>
            <w:vAlign w:val="bottom"/>
          </w:tcPr>
          <w:p>
            <w:pPr>
              <w:spacing w:after="0"/>
              <w:rPr>
                <w:sz w:val="11"/>
                <w:szCs w:val="11"/>
                <w:color w:val="auto"/>
              </w:rPr>
            </w:pPr>
          </w:p>
        </w:tc>
        <w:tc>
          <w:tcPr>
            <w:tcW w:w="9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6"/>
              </w:rPr>
              <w:t>of Cash Flow</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118"/>
              <w:spacing w:after="0" w:line="135" w:lineRule="exact"/>
              <w:rPr>
                <w:sz w:val="20"/>
                <w:szCs w:val="20"/>
                <w:color w:val="auto"/>
              </w:rPr>
            </w:pPr>
            <w:r>
              <w:rPr>
                <w:rFonts w:ascii="Arial" w:cs="Arial" w:eastAsia="Arial" w:hAnsi="Arial"/>
                <w:sz w:val="13"/>
                <w:szCs w:val="13"/>
                <w:b w:val="1"/>
                <w:bCs w:val="1"/>
                <w:color w:val="auto"/>
                <w:w w:val="99"/>
              </w:rPr>
              <w:t>Discontinued</w:t>
            </w:r>
          </w:p>
        </w:tc>
        <w:tc>
          <w:tcPr>
            <w:tcW w:w="14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78"/>
        </w:trPr>
        <w:tc>
          <w:tcPr>
            <w:tcW w:w="33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6"/>
              </w:rPr>
              <w:t>Gains (Losses)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on Securities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4"/>
              </w:rPr>
              <w:t>Benefit Plans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7"/>
              </w:rPr>
              <w:t>Hedges</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Operations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56"/>
        </w:trPr>
        <w:tc>
          <w:tcPr>
            <w:tcW w:w="334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Balance at January 1, 2019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(1,569.7)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(3,852.7)</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(56.8)</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(5,740.2)</w:t>
            </w:r>
          </w:p>
        </w:tc>
        <w:tc>
          <w:tcPr>
            <w:tcW w:w="0" w:type="dxa"/>
            <w:vAlign w:val="bottom"/>
          </w:tcPr>
          <w:p>
            <w:pPr>
              <w:spacing w:after="0"/>
              <w:rPr>
                <w:sz w:val="1"/>
                <w:szCs w:val="1"/>
                <w:color w:val="auto"/>
              </w:rPr>
            </w:pPr>
          </w:p>
        </w:tc>
      </w:tr>
      <w:tr>
        <w:trPr>
          <w:trHeight w:val="188"/>
        </w:trPr>
        <w:tc>
          <w:tcPr>
            <w:tcW w:w="33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6"/>
                <w:szCs w:val="16"/>
                <w:color w:val="auto"/>
              </w:rPr>
            </w:pPr>
          </w:p>
        </w:tc>
        <w:tc>
          <w:tcPr>
            <w:tcW w:w="1100" w:type="dxa"/>
            <w:vAlign w:val="bottom"/>
            <w:vMerge w:val="restart"/>
          </w:tcPr>
          <w:p>
            <w:pPr>
              <w:jc w:val="right"/>
              <w:ind w:right="38"/>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6"/>
                <w:szCs w:val="16"/>
                <w:color w:val="auto"/>
              </w:rPr>
            </w:pPr>
          </w:p>
        </w:tc>
        <w:tc>
          <w:tcPr>
            <w:tcW w:w="1100" w:type="dxa"/>
            <w:vAlign w:val="bottom"/>
            <w:vMerge w:val="restart"/>
          </w:tcPr>
          <w:p>
            <w:pPr>
              <w:jc w:val="right"/>
              <w:ind w:right="62"/>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6"/>
                <w:szCs w:val="16"/>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ind w:right="38"/>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16"/>
                <w:szCs w:val="16"/>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7"/>
        </w:trPr>
        <w:tc>
          <w:tcPr>
            <w:tcW w:w="3340" w:type="dxa"/>
            <w:vAlign w:val="bottom"/>
            <w:gridSpan w:val="2"/>
          </w:tcPr>
          <w:p>
            <w:pPr>
              <w:ind w:left="300"/>
              <w:spacing w:after="0"/>
              <w:rPr>
                <w:sz w:val="20"/>
                <w:szCs w:val="20"/>
                <w:color w:val="auto"/>
              </w:rPr>
            </w:pPr>
            <w:r>
              <w:rPr>
                <w:rFonts w:ascii="Arial" w:cs="Arial" w:eastAsia="Arial" w:hAnsi="Arial"/>
                <w:sz w:val="18"/>
                <w:szCs w:val="18"/>
                <w:color w:val="auto"/>
              </w:rPr>
              <w:t>before reclassifications</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Net amount reclassified from</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4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accumulated other comprehensive</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62"/>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84.0</w:t>
            </w: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26.6</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89.4</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56.8</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(1,570.0)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(3,763.3)</w:t>
            </w: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(5,600.5)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hanging="172"/>
        <w:spacing w:after="0" w:line="193" w:lineRule="auto"/>
        <w:tabs>
          <w:tab w:leader="none" w:pos="193"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Accumulated other comprehensive loss as of January 1, 2019 consists of $5.73 billion of accumulated other comprehensive loss attributable to controlling interest and $11.0 million of accumulated other comprehensive loss attributable to noncontrolling interest.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32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27.4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3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(2.8)</w:t>
            </w: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(18.9)</w:t>
            </w: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(44.6)</w:t>
            </w: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(9.7)</w:t>
            </w: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82.0</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 allocated to other comprehensive</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(3.6)</w:t>
            </w:r>
          </w:p>
        </w:tc>
        <w:tc>
          <w:tcPr>
            <w:tcW w:w="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4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23.5</w:t>
            </w:r>
          </w:p>
        </w:tc>
        <w:tc>
          <w:tcPr>
            <w:tcW w:w="4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items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5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2980" w:type="dxa"/>
            <w:vAlign w:val="bottom"/>
          </w:tcPr>
          <w:p>
            <w:pPr>
              <w:spacing w:after="0"/>
              <w:rPr>
                <w:sz w:val="14"/>
                <w:szCs w:val="14"/>
                <w:color w:val="auto"/>
              </w:rPr>
            </w:pPr>
          </w:p>
        </w:tc>
      </w:tr>
      <w:tr>
        <w:trPr>
          <w:trHeight w:val="196"/>
        </w:trPr>
        <w:tc>
          <w:tcPr>
            <w:tcW w:w="3680" w:type="dxa"/>
            <w:vAlign w:val="bottom"/>
          </w:tcPr>
          <w:p>
            <w:pPr>
              <w:jc w:val="center"/>
              <w:ind w:right="228"/>
              <w:spacing w:after="0"/>
              <w:rPr>
                <w:sz w:val="20"/>
                <w:szCs w:val="20"/>
                <w:color w:val="auto"/>
              </w:rPr>
            </w:pPr>
            <w:r>
              <w:rPr>
                <w:rFonts w:ascii="Arial" w:cs="Arial" w:eastAsia="Arial" w:hAnsi="Arial"/>
                <w:sz w:val="14"/>
                <w:szCs w:val="14"/>
                <w:b w:val="1"/>
                <w:bCs w:val="1"/>
                <w:color w:val="auto"/>
              </w:rPr>
              <w:t>Details about Accumulated Other Comprehensive</w:t>
            </w:r>
          </w:p>
        </w:tc>
        <w:tc>
          <w:tcPr>
            <w:tcW w:w="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b w:val="1"/>
                <w:bCs w:val="1"/>
                <w:color w:val="auto"/>
                <w:w w:val="99"/>
              </w:rPr>
              <w:t>June 30,</w:t>
            </w:r>
          </w:p>
        </w:tc>
        <w:tc>
          <w:tcPr>
            <w:tcW w:w="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588"/>
              <w:spacing w:after="0"/>
              <w:rPr>
                <w:sz w:val="20"/>
                <w:szCs w:val="20"/>
                <w:color w:val="auto"/>
              </w:rPr>
            </w:pPr>
            <w:r>
              <w:rPr>
                <w:rFonts w:ascii="Arial" w:cs="Arial" w:eastAsia="Arial" w:hAnsi="Arial"/>
                <w:sz w:val="14"/>
                <w:szCs w:val="14"/>
                <w:b w:val="1"/>
                <w:bCs w:val="1"/>
                <w:color w:val="auto"/>
              </w:rPr>
              <w:t>June 30,</w:t>
            </w:r>
          </w:p>
        </w:tc>
        <w:tc>
          <w:tcPr>
            <w:tcW w:w="2980" w:type="dxa"/>
            <w:vAlign w:val="bottom"/>
          </w:tcPr>
          <w:p>
            <w:pPr>
              <w:jc w:val="center"/>
              <w:ind w:left="288"/>
              <w:spacing w:after="0"/>
              <w:rPr>
                <w:sz w:val="20"/>
                <w:szCs w:val="20"/>
                <w:color w:val="auto"/>
              </w:rPr>
            </w:pPr>
            <w:r>
              <w:rPr>
                <w:rFonts w:ascii="Arial" w:cs="Arial" w:eastAsia="Arial" w:hAnsi="Arial"/>
                <w:sz w:val="14"/>
                <w:szCs w:val="14"/>
                <w:b w:val="1"/>
                <w:bCs w:val="1"/>
                <w:color w:val="auto"/>
              </w:rPr>
              <w:t>Affected Line Item in the Consolidated</w:t>
            </w:r>
          </w:p>
        </w:tc>
      </w:tr>
      <w:tr>
        <w:trPr>
          <w:trHeight w:val="204"/>
        </w:trPr>
        <w:tc>
          <w:tcPr>
            <w:tcW w:w="3680" w:type="dxa"/>
            <w:vAlign w:val="bottom"/>
          </w:tcPr>
          <w:p>
            <w:pPr>
              <w:jc w:val="center"/>
              <w:ind w:right="228"/>
              <w:spacing w:after="0"/>
              <w:rPr>
                <w:sz w:val="20"/>
                <w:szCs w:val="20"/>
                <w:color w:val="auto"/>
              </w:rPr>
            </w:pPr>
            <w:r>
              <w:rPr>
                <w:rFonts w:ascii="Arial" w:cs="Arial" w:eastAsia="Arial" w:hAnsi="Arial"/>
                <w:sz w:val="14"/>
                <w:szCs w:val="14"/>
                <w:b w:val="1"/>
                <w:bCs w:val="1"/>
                <w:color w:val="auto"/>
              </w:rPr>
              <w:t>Loss Components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980" w:type="dxa"/>
            <w:vAlign w:val="bottom"/>
          </w:tcPr>
          <w:p>
            <w:pPr>
              <w:jc w:val="center"/>
              <w:ind w:left="288"/>
              <w:spacing w:after="0"/>
              <w:rPr>
                <w:sz w:val="20"/>
                <w:szCs w:val="20"/>
                <w:color w:val="auto"/>
              </w:rPr>
            </w:pPr>
            <w:r>
              <w:rPr>
                <w:rFonts w:ascii="Arial" w:cs="Arial" w:eastAsia="Arial" w:hAnsi="Arial"/>
                <w:sz w:val="14"/>
                <w:szCs w:val="14"/>
                <w:b w:val="1"/>
                <w:bCs w:val="1"/>
                <w:color w:val="auto"/>
              </w:rPr>
              <w:t>Condensed Statements of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retirement benefit items: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service benefits, net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Actuarial losses, net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Total before tax</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Tax benefit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Net of tax</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  (13.8)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   (14.2)</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(27.6)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   (28.5)</w:t>
            </w:r>
          </w:p>
        </w:tc>
        <w:tc>
          <w:tcPr>
            <w:tcW w:w="2500" w:type="dxa"/>
            <w:vAlign w:val="bottom"/>
          </w:tcPr>
          <w:p>
            <w:pPr>
              <w:ind w:left="160"/>
              <w:spacing w:after="0"/>
              <w:rPr>
                <w:sz w:val="20"/>
                <w:szCs w:val="20"/>
                <w:color w:val="auto"/>
              </w:rPr>
            </w:pPr>
            <w:r>
              <w:rPr>
                <w:rFonts w:ascii="Arial" w:cs="Arial" w:eastAsia="Arial" w:hAnsi="Arial"/>
                <w:sz w:val="18"/>
                <w:szCs w:val="18"/>
                <w:color w:val="auto"/>
                <w:w w:val="99"/>
              </w:rPr>
              <w:t>Other–net, (income) expense</w:t>
            </w:r>
          </w:p>
        </w:tc>
      </w:tr>
      <w:tr>
        <w:trPr>
          <w:trHeight w:val="263"/>
        </w:trPr>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117.7</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73.5</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229.5</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143.6</w:t>
            </w:r>
          </w:p>
        </w:tc>
        <w:tc>
          <w:tcPr>
            <w:tcW w:w="2500" w:type="dxa"/>
            <w:vAlign w:val="bottom"/>
          </w:tcPr>
          <w:p>
            <w:pPr>
              <w:ind w:left="160"/>
              <w:spacing w:after="0"/>
              <w:rPr>
                <w:sz w:val="20"/>
                <w:szCs w:val="20"/>
                <w:color w:val="auto"/>
              </w:rPr>
            </w:pPr>
            <w:r>
              <w:rPr>
                <w:rFonts w:ascii="Arial" w:cs="Arial" w:eastAsia="Arial" w:hAnsi="Arial"/>
                <w:sz w:val="18"/>
                <w:szCs w:val="18"/>
                <w:color w:val="auto"/>
                <w:w w:val="99"/>
              </w:rPr>
              <w:t>Other–net, (income) expense</w:t>
            </w:r>
          </w:p>
        </w:tc>
      </w:tr>
      <w:tr>
        <w:trPr>
          <w:trHeight w:val="243"/>
        </w:trPr>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103.9</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59.3</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115.1</w:t>
            </w:r>
          </w:p>
        </w:tc>
        <w:tc>
          <w:tcPr>
            <w:tcW w:w="2500" w:type="dxa"/>
            <w:vAlign w:val="bottom"/>
          </w:tcPr>
          <w:p>
            <w:pPr>
              <w:spacing w:after="0"/>
              <w:rPr>
                <w:sz w:val="21"/>
                <w:szCs w:val="21"/>
                <w:color w:val="auto"/>
              </w:rPr>
            </w:pPr>
          </w:p>
        </w:tc>
      </w:tr>
      <w:tr>
        <w:trPr>
          <w:trHeight w:val="263"/>
        </w:trPr>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2500" w:type="dxa"/>
            <w:vAlign w:val="bottom"/>
          </w:tcPr>
          <w:p>
            <w:pPr>
              <w:ind w:left="200"/>
              <w:spacing w:after="0"/>
              <w:rPr>
                <w:sz w:val="20"/>
                <w:szCs w:val="20"/>
                <w:color w:val="auto"/>
              </w:rPr>
            </w:pPr>
            <w:r>
              <w:rPr>
                <w:rFonts w:ascii="Arial" w:cs="Arial" w:eastAsia="Arial" w:hAnsi="Arial"/>
                <w:sz w:val="18"/>
                <w:szCs w:val="18"/>
                <w:color w:val="auto"/>
              </w:rPr>
              <w:t>Income taxes</w:t>
            </w:r>
          </w:p>
        </w:tc>
      </w:tr>
      <w:tr>
        <w:trPr>
          <w:trHeight w:val="243"/>
        </w:trPr>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82.1</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47.0</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159.5</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91.7</w:t>
            </w:r>
          </w:p>
        </w:tc>
        <w:tc>
          <w:tcPr>
            <w:tcW w:w="2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-659130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-325120</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8255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3780" w:space="120"/>
            <w:col w:w="7340"/>
          </w:cols>
          <w:pgMar w:left="320" w:top="1016" w:right="33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 of tax</w:t>
      </w:r>
    </w:p>
    <w:p>
      <w:pPr>
        <w:spacing w:after="0" w:line="23" w:lineRule="exact"/>
        <w:rPr>
          <w:sz w:val="20"/>
          <w:szCs w:val="20"/>
          <w:color w:val="auto"/>
        </w:rPr>
      </w:pPr>
    </w:p>
    <w:p>
      <w:pPr>
        <w:ind w:left="180" w:right="200" w:hanging="161"/>
        <w:spacing w:after="0" w:line="227" w:lineRule="auto"/>
        <w:rPr>
          <w:sz w:val="20"/>
          <w:szCs w:val="20"/>
          <w:color w:val="auto"/>
        </w:rPr>
      </w:pPr>
      <w:r>
        <w:rPr>
          <w:rFonts w:ascii="Arial" w:cs="Arial" w:eastAsia="Arial" w:hAnsi="Arial"/>
          <w:sz w:val="18"/>
          <w:szCs w:val="18"/>
          <w:color w:val="auto"/>
        </w:rPr>
        <w:t>Reclassifications from continuing operations (net of tax)</w:t>
      </w:r>
    </w:p>
    <w:p>
      <w:pPr>
        <w:spacing w:after="0" w:line="13" w:lineRule="exact"/>
        <w:rPr>
          <w:sz w:val="20"/>
          <w:szCs w:val="20"/>
          <w:color w:val="auto"/>
        </w:rPr>
      </w:pPr>
    </w:p>
    <w:p>
      <w:pPr>
        <w:ind w:left="180" w:right="20" w:hanging="161"/>
        <w:spacing w:after="0" w:line="227" w:lineRule="auto"/>
        <w:rPr>
          <w:sz w:val="20"/>
          <w:szCs w:val="20"/>
          <w:color w:val="auto"/>
        </w:rPr>
      </w:pPr>
      <w:r>
        <w:rPr>
          <w:rFonts w:ascii="Arial" w:cs="Arial" w:eastAsia="Arial" w:hAnsi="Arial"/>
          <w:sz w:val="18"/>
          <w:szCs w:val="18"/>
          <w:color w:val="auto"/>
        </w:rPr>
        <w:t>Reclassifications from discontinued operations (net of tax)</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reclassifications for the period (net of tax)</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6.8</w:t>
            </w: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w:t>
            </w:r>
          </w:p>
        </w:tc>
        <w:tc>
          <w:tcPr>
            <w:tcW w:w="3300" w:type="dxa"/>
            <w:vAlign w:val="bottom"/>
          </w:tcPr>
          <w:p>
            <w:pPr>
              <w:ind w:left="160"/>
              <w:spacing w:after="0"/>
              <w:rPr>
                <w:sz w:val="20"/>
                <w:szCs w:val="20"/>
                <w:color w:val="auto"/>
              </w:rPr>
            </w:pPr>
            <w:r>
              <w:rPr>
                <w:rFonts w:ascii="Arial" w:cs="Arial" w:eastAsia="Arial" w:hAnsi="Arial"/>
                <w:sz w:val="18"/>
                <w:szCs w:val="18"/>
                <w:color w:val="auto"/>
              </w:rPr>
              <w:t>Other–net, (income) expense</w:t>
            </w:r>
          </w:p>
        </w:tc>
      </w:tr>
      <w:tr>
        <w:trPr>
          <w:trHeight w:val="378"/>
        </w:trPr>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88.9</w:t>
            </w:r>
          </w:p>
        </w:tc>
        <w:tc>
          <w:tcPr>
            <w:tcW w:w="38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169.4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99.3</w:t>
            </w:r>
          </w:p>
        </w:tc>
        <w:tc>
          <w:tcPr>
            <w:tcW w:w="3300" w:type="dxa"/>
            <w:vAlign w:val="bottom"/>
          </w:tcPr>
          <w:p>
            <w:pPr>
              <w:spacing w:after="0"/>
              <w:rPr>
                <w:sz w:val="24"/>
                <w:szCs w:val="24"/>
                <w:color w:val="auto"/>
              </w:rPr>
            </w:pPr>
          </w:p>
        </w:tc>
      </w:tr>
      <w:tr>
        <w:trPr>
          <w:trHeight w:val="412"/>
        </w:trPr>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84.0</w:t>
            </w:r>
          </w:p>
        </w:tc>
        <w:tc>
          <w:tcPr>
            <w:tcW w:w="3300" w:type="dxa"/>
            <w:vAlign w:val="bottom"/>
          </w:tcPr>
          <w:p>
            <w:pPr>
              <w:ind w:left="20"/>
              <w:spacing w:after="0"/>
              <w:rPr>
                <w:sz w:val="20"/>
                <w:szCs w:val="20"/>
                <w:color w:val="auto"/>
              </w:rPr>
            </w:pPr>
            <w:r>
              <w:rPr>
                <w:rFonts w:ascii="Arial" w:cs="Arial" w:eastAsia="Arial" w:hAnsi="Arial"/>
                <w:sz w:val="18"/>
                <w:szCs w:val="18"/>
                <w:color w:val="auto"/>
                <w:w w:val="99"/>
              </w:rPr>
              <w:t>Net income from discontinued operations</w:t>
            </w:r>
          </w:p>
        </w:tc>
      </w:tr>
      <w:tr>
        <w:trPr>
          <w:trHeight w:val="264"/>
        </w:trPr>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88.9</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49.9</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169.4</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183.3</w:t>
            </w:r>
          </w:p>
        </w:tc>
        <w:tc>
          <w:tcPr>
            <w:tcW w:w="33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-702310</wp:posOffset>
            </wp:positionV>
            <wp:extent cx="713232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-187960</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160"/>
            <w:col w:w="7340"/>
          </w:cols>
          <w:pgMar w:left="320" w:top="1016" w:right="33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2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36"/>
        </w:trPr>
        <w:tc>
          <w:tcPr>
            <w:tcW w:w="5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88.3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110.9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180.8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197.4</w:t>
            </w:r>
          </w:p>
        </w:tc>
      </w:tr>
      <w:tr>
        <w:trPr>
          <w:trHeight w:val="250"/>
        </w:trPr>
        <w:tc>
          <w:tcPr>
            <w:tcW w:w="5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(7.1)</w:t>
            </w: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b w:val="1"/>
                <w:bCs w:val="1"/>
                <w:color w:val="auto"/>
              </w:rPr>
              <w:t>(21.4)</w:t>
            </w: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(50.0)</w:t>
            </w:r>
          </w:p>
        </w:tc>
      </w:tr>
      <w:tr>
        <w:trPr>
          <w:trHeight w:val="26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 plans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(35.9)</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(49.8)</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(80.5)</w:t>
            </w: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(105.7)</w:t>
            </w:r>
          </w:p>
        </w:tc>
      </w:tr>
      <w:tr>
        <w:trPr>
          <w:trHeight w:val="25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(492.2)</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(614.9)</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(95.3)</w:t>
            </w: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Other–net, (income)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(446.9)</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32.4</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(536.0)</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2020, other income is primarily related to net gains on investments (Note 7).</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 "Risk Factors" in Part II, Item 1A of this Quarterly Report on Form 10-Q and Item 1A, “Risk Factors,” of Part I of our Annual Report on </w:t>
      </w:r>
      <w:hyperlink r:id="rId17">
        <w:r>
          <w:rPr>
            <w:rFonts w:ascii="Arial" w:cs="Arial" w:eastAsia="Arial" w:hAnsi="Arial"/>
            <w:sz w:val="18"/>
            <w:szCs w:val="18"/>
            <w:u w:val="single" w:color="auto"/>
            <w:color w:val="0000FF"/>
          </w:rPr>
          <w:t>Form 10-K</w:t>
        </w:r>
      </w:hyperlink>
      <w:r>
        <w:rPr>
          <w:rFonts w:ascii="Arial" w:cs="Arial" w:eastAsia="Arial" w:hAnsi="Arial"/>
          <w:sz w:val="18"/>
          <w:szCs w:val="18"/>
          <w:color w:val="auto"/>
        </w:rPr>
        <w:t xml:space="preserve"> for the year ended December 31, 2019, may cause our actual results, financial position, and cash generated from operations to differ materially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response to the COVID-19 pandemic, we have been focused on the following: maintaining a reliable supply of our medicines; reducing the strain on the medical system; developing potential treatments for the virus; keeping our employees safe; supporting our communities; and affordability of and access to our medicines, particularly insulin.</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consolidated operating results during the six months ended June 30, 2020 were negatively impacted by the COVID-19 pandemic due to delayed new patient prescription trends. The COVID-19 pandemic could continue to have a negative impact on our business in the future depending upon the duration and depth of the effects of the pandemic crisis. We have experienced negative impacts due to the COVID-19 pandemic including decreases in new prescriptions as a result of fewer patient visits to physician’s offices to begin or change treatment and changes in payer segment mix and the use of patient affordability programs in the United States (U.S.) due to rising unemployment. Additionally, we may experience decreased demand as a result of temporarily halting in-person interactions by our employees with healthcare providers and potential additional pricing pressures resulting from the fiscal strain on government-funded healthcare systems around the world.</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remain committed to discovering and developing new treatments for the patients we serve. At the beginning of the pandemic we paused new clinical trial starts and enrollment in new trials in order to reduce the strain on the medical system, and in recent weeks we have resumed this activity in the majority of our clinical trials. With the exception of mirikizumab for Crohn's disease and ulcerative colitis, which we expect will be delayed due to a suspension in clinical trial enrollment, the trials for products in our late-stage pipeline are continuing. However, delays in the timing of our clinical trials, or in regulatory reviews, could adversely affect our ability to commercialize some assets in our product pipeline if the current pandemic crisis continues for a protracted period.</w:t>
      </w:r>
    </w:p>
    <w:p>
      <w:pPr>
        <w:spacing w:after="0" w:line="10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ability to continue to operate without any significant negative impacts will in part depend on our ability to protect our employees and our supply chain. We have taken steps to protect our employees world-wide, with particular measures in place for those working in our manufacturing sites and distribution facilities. For the six months ended June 30, 2020, we were able to largely maintain our normal operations. However, uncertainty resulting from the COVID-19 pandemic could have an adverse impact on our manufacturing operations, supply chain and distribution systems, which could impact our ability to produce and distribute our products and the ability of third parties on which we rely to fulfill their obligations to us, and could increase our expenses. In addition, we are resuming in-person promotional activities when determined safe to do so.</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Although the pandemic has had an impact our operations and the demand for our products, it has not negatively impacted our liquidity position. We expect to continue to generate cash flows to meet our short-term liquidity needs and to have access to liquidity via the short-term and long-term debt markets. We have also not observed any material impairments of our assets or a significant change in the fair value of assets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spacing w:after="0" w:line="252" w:lineRule="auto"/>
        <w:rPr>
          <w:sz w:val="20"/>
          <w:szCs w:val="20"/>
          <w:color w:val="auto"/>
        </w:rPr>
      </w:pPr>
      <w:r>
        <w:rPr>
          <w:rFonts w:ascii="Arial" w:cs="Arial" w:eastAsia="Arial" w:hAnsi="Arial"/>
          <w:sz w:val="18"/>
          <w:szCs w:val="18"/>
          <w:color w:val="auto"/>
        </w:rPr>
        <w:t>The degree to which the COVID-19 pandemic will continue to impact our future business operations, financial results and liquidity will depend on future developments, is highly uncertain, and cannot be predicted due to, among other things, the duration and spread of the outbreak, its severity, the actions to contain the virus or treat its impact, and how quickly and to what extent normal economic and operating conditions resume. Should the COVID-19 pandemic and any associated recession or depression continue for a prolonged period, our results of operations, financial condition, liquidity, and cash flows could be materially impacted by lower revenues and profitability and a lower likelihood of effectively and efficiently developing and launching new medicines. See “Risk Factors” in Part II, Item 1A of this Quarterly Report on Form 10-Q for additional information on risk factors that could impact our results.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Elanco Animal Health (Elanco) Disposition</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recognized a gain on the disposition of approximately $3.7 billion in the first quarter of 2019 and now operate as a single segment. See Note 5 to the consolidated condensed financial statements for further discussion.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5,499.4</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5,636.7</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11,359.2</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10,728.9</w:t>
            </w:r>
          </w:p>
        </w:tc>
        <w:tc>
          <w:tcPr>
            <w:tcW w:w="11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4,277.4</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4,511.8</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8,922.1</w:t>
            </w: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8,465.3</w:t>
            </w:r>
          </w:p>
        </w:tc>
        <w:tc>
          <w:tcPr>
            <w:tcW w:w="11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6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as a percent of revenue</w:t>
            </w:r>
          </w:p>
        </w:tc>
        <w:tc>
          <w:tcPr>
            <w:tcW w:w="2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b w:val="1"/>
                <w:bCs w:val="1"/>
                <w:color w:val="auto"/>
              </w:rPr>
              <w:t>77.8 %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b w:val="1"/>
                <w:bCs w:val="1"/>
                <w:color w:val="auto"/>
              </w:rPr>
              <w:t>78.5 %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2,838.8</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2,988.5</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5,780.5</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5,736.1</w:t>
            </w:r>
          </w:p>
        </w:tc>
        <w:tc>
          <w:tcPr>
            <w:tcW w:w="11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w:t>
            </w:r>
          </w:p>
        </w:tc>
        <w:tc>
          <w:tcPr>
            <w:tcW w:w="28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241.8</w:t>
            </w:r>
          </w:p>
        </w:tc>
        <w:tc>
          <w:tcPr>
            <w:tcW w:w="7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(IPR&amp;D)</w:t>
            </w:r>
          </w:p>
        </w:tc>
        <w:tc>
          <w:tcPr>
            <w:tcW w:w="28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1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9"/>
              </w:rPr>
              <w:t>82</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w:t>
            </w:r>
          </w:p>
        </w:tc>
        <w:tc>
          <w:tcPr>
            <w:tcW w:w="2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59.9</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423.9</w:t>
            </w:r>
          </w:p>
        </w:tc>
        <w:tc>
          <w:tcPr>
            <w:tcW w:w="11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(86)</w:t>
            </w:r>
          </w:p>
        </w:tc>
        <w:tc>
          <w:tcPr>
            <w:tcW w:w="0" w:type="dxa"/>
            <w:vAlign w:val="bottom"/>
          </w:tcPr>
          <w:p>
            <w:pPr>
              <w:spacing w:after="0"/>
              <w:rPr>
                <w:sz w:val="1"/>
                <w:szCs w:val="1"/>
                <w:color w:val="auto"/>
              </w:rPr>
            </w:pPr>
          </w:p>
        </w:tc>
      </w:tr>
      <w:tr>
        <w:trPr>
          <w:trHeight w:val="26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1,412.0</w:t>
            </w:r>
          </w:p>
        </w:tc>
        <w:tc>
          <w:tcPr>
            <w:tcW w:w="7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6</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2,868.5</w:t>
            </w:r>
          </w:p>
        </w:tc>
        <w:tc>
          <w:tcPr>
            <w:tcW w:w="7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1,888.3</w:t>
            </w:r>
          </w:p>
        </w:tc>
        <w:tc>
          <w:tcPr>
            <w:tcW w:w="11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1,412.0</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1,327.2</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2,868.5</w:t>
            </w: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5,568.8</w:t>
            </w:r>
          </w:p>
        </w:tc>
        <w:tc>
          <w:tcPr>
            <w:tcW w:w="11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6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 from continuing operations</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7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8</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7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1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EPS</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w:t>
            </w:r>
          </w:p>
        </w:tc>
        <w:tc>
          <w:tcPr>
            <w:tcW w:w="11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Revenue decreased for the three months ended June 30, 2020 driven by lower realized prices, partially offset by increased volume. We estimate that the COVID-19 pandemic negatively impacted revenue for the three months ended June 30, 2020 by approximately $250 million of decreased customer buying that largely offset product stocking that occurred in the first quarter of 2020 and approximately $250 million resulting from delayed new patient prescription trends. Revenue increased for the six months ended June 30, 2020 driven by increased volume, partially offset by lower realized prices. We estimate that the COVID-19 pandemic negatively impacted revenue for the six months ended June 30, 2020 by approximately $250 million due to delayed new patient prescription trends, while product stocking in the first quarter of 2020 was largely offset by decreased customer buying in the second quarter of 2020. Operating expenses decreased for the three months ended June 30, 2020, primarily due to lower marketing expenses. Operating expenses increased for the six months ended June 30, 2020, reflecting higher development expenses for late-stage assets, partially offset by lower marketing expenses. The increase in net income and EPS for the three months ended June 30, 2020 was primarily driven by higher other income primarily due to favorable mark-to-market adjustments on investment securities, partially offset by lower gross margin and higher acquired IPR&amp;D. The decrease in net income and EPS for the six months ended June 30, 2020 was primarily driven by approximately $3.7 billion gain recognized on the disposition of Elanco in the first quarter of 2019, partially offset by higher other income primarily due to favorable mark-to-market adjustments on investment securities and higher gross margin.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highlighted items also affect comparisons of our financial results for the three and six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right="40" w:hanging="328"/>
        <w:spacing w:after="0" w:line="25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acquired IPR&amp;D charges of $241.8 million and $294.1 million for the three and six months ended June 30, 2020, respectively. The charges for the three months ended June 30, 2020 were related to both the acquisition of a pre-clinical stage company as well as collaborations with AbCellera Biologics Inc. (AbCellera), Shanghai Junshi Biosciences Co., Ltd. (Junshi Biosciences), and Evox Therapeutics Ltd. The charges for the six months ended June 30, 2020 also included a charge related to the collaboration with Sitryx Therapeutics Limited (Sitryx).</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right="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charges of $59.9 million for the six months ended June 30, 2020 primarily related to acquisition and integration costs as part of the closing of the acquisition of Dermira, Inc. (Dermira).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right="20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acquired IPR&amp;D charges of $25.0 million and $161.9 million for the three and six months ended June 30, 2019, respectively. The charge for the three months ended June 30, 2019 was related to the collaboration with Avidity Biosciences, Inc. (Avidity). The charges for the six months ended June 30, 2019 also included charges related to collaborations with AC Immune SA (AC Immune) and ImmuNext, Inc. (ImmuNext).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charges of $423.9 million for the six months ended June 30, 2019 primarily associated with the accelerated vesting of Loxo Oncology, Inc. (Loxo) employee equity awards as a result of the closing of the acquisition of Loxo.</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from Discontinued Operations (Note 5 to the consolidated condensed financial statements)</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a gain related to the disposition of Elanco of approximately $3.7 billion for the six months ended June 30,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have approximately 40 potential new drugs in human testing or under regulatory review and a larger number of projects in preclinical research.</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new molecular entities (NMEs) and diagnostic agent have been approved by regulatory authorities in at least one of the major geographies for use in the conditions described. The first quarter in which the NMEs and diagnostic agent initially were approved in any major geography for any indication is shown in parentheses:</w:t>
      </w:r>
    </w:p>
    <w:p>
      <w:pPr>
        <w:spacing w:after="0" w:line="126" w:lineRule="exact"/>
        <w:rPr>
          <w:sz w:val="20"/>
          <w:szCs w:val="20"/>
          <w:color w:val="auto"/>
        </w:rPr>
      </w:pPr>
    </w:p>
    <w:p>
      <w:pPr>
        <w:ind w:left="660" w:right="100"/>
        <w:spacing w:after="0" w:line="231" w:lineRule="auto"/>
        <w:rPr>
          <w:sz w:val="20"/>
          <w:szCs w:val="20"/>
          <w:color w:val="auto"/>
        </w:rPr>
      </w:pPr>
      <w:r>
        <w:rPr>
          <w:rFonts w:ascii="Arial" w:cs="Arial" w:eastAsia="Arial" w:hAnsi="Arial"/>
          <w:sz w:val="18"/>
          <w:szCs w:val="18"/>
          <w:b w:val="1"/>
          <w:bCs w:val="1"/>
          <w:color w:val="auto"/>
        </w:rPr>
        <w:t>Flortaucipir** (Tauvid</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(Q2 2020)</w:t>
      </w:r>
      <w:r>
        <w:rPr>
          <w:rFonts w:ascii="Arial" w:cs="Arial" w:eastAsia="Arial" w:hAnsi="Arial"/>
          <w:sz w:val="18"/>
          <w:szCs w:val="18"/>
          <w:color w:val="auto"/>
        </w:rPr>
        <w:t>—a positron emission tomography (PET) tracer intended to image tau (or neurofibrillary) tangles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brain, which are an indicator of Alzheimer's disease.</w:t>
      </w:r>
    </w:p>
    <w:p>
      <w:pPr>
        <w:spacing w:after="0" w:line="140" w:lineRule="exact"/>
        <w:rPr>
          <w:sz w:val="20"/>
          <w:szCs w:val="20"/>
          <w:color w:val="auto"/>
        </w:rPr>
      </w:pPr>
    </w:p>
    <w:p>
      <w:pPr>
        <w:ind w:left="660" w:right="60"/>
        <w:spacing w:after="0"/>
        <w:rPr>
          <w:sz w:val="20"/>
          <w:szCs w:val="20"/>
          <w:color w:val="auto"/>
        </w:rPr>
      </w:pPr>
      <w:r>
        <w:rPr>
          <w:rFonts w:ascii="Arial" w:cs="Arial" w:eastAsia="Arial" w:hAnsi="Arial"/>
          <w:sz w:val="18"/>
          <w:szCs w:val="18"/>
          <w:b w:val="1"/>
          <w:bCs w:val="1"/>
          <w:color w:val="auto"/>
        </w:rPr>
        <w:t>Galcanezumab* (Emgality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(Q3 2018)</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migraine prevention and the treatment of episodic cluster headache. Refer to Note 10 to the consolidated condensed financial statements for discussion of the legal proceedings involving Teva Pharmaceuticals International GMBH and Teva Pharmaceuticals USA, Inc.</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(Reyvow</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(Q4 2019)</w:t>
      </w:r>
      <w:r>
        <w:rPr>
          <w:rFonts w:ascii="Arial" w:cs="Arial" w:eastAsia="Arial" w:hAnsi="Arial"/>
          <w:sz w:val="18"/>
          <w:szCs w:val="18"/>
          <w:color w:val="auto"/>
        </w:rPr>
        <w:t>—an oral 5-HT1F agonist for the acute treatment of migraine.</w:t>
      </w:r>
    </w:p>
    <w:p>
      <w:pPr>
        <w:spacing w:after="0" w:line="114" w:lineRule="exact"/>
        <w:rPr>
          <w:sz w:val="20"/>
          <w:szCs w:val="20"/>
          <w:color w:val="auto"/>
        </w:rPr>
      </w:pPr>
    </w:p>
    <w:p>
      <w:pPr>
        <w:ind w:left="660" w:right="40"/>
        <w:spacing w:after="0" w:line="231" w:lineRule="auto"/>
        <w:rPr>
          <w:sz w:val="20"/>
          <w:szCs w:val="20"/>
          <w:color w:val="auto"/>
        </w:rPr>
      </w:pPr>
      <w:r>
        <w:rPr>
          <w:rFonts w:ascii="Arial" w:cs="Arial" w:eastAsia="Arial" w:hAnsi="Arial"/>
          <w:sz w:val="18"/>
          <w:szCs w:val="18"/>
          <w:b w:val="1"/>
          <w:bCs w:val="1"/>
          <w:color w:val="auto"/>
        </w:rPr>
        <w:t>Nasal glucagon* (Baqsimi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(Q3 2019)</w:t>
      </w:r>
      <w:r>
        <w:rPr>
          <w:rFonts w:ascii="Arial" w:cs="Arial" w:eastAsia="Arial" w:hAnsi="Arial"/>
          <w:sz w:val="18"/>
          <w:szCs w:val="18"/>
          <w:color w:val="auto"/>
        </w:rPr>
        <w:t>—a glucagon nasal powder formulation for the treatment of severe hypoglycemia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diabetes ages four years and above.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8" w:name="page39"/>
    <w:bookmarkEnd w:id="38"/>
    <w:p>
      <w:pPr>
        <w:ind w:left="660" w:right="540"/>
        <w:spacing w:after="0" w:line="287" w:lineRule="auto"/>
        <w:rPr>
          <w:sz w:val="20"/>
          <w:szCs w:val="20"/>
          <w:color w:val="auto"/>
        </w:rPr>
      </w:pPr>
      <w:r>
        <w:rPr>
          <w:rFonts w:ascii="Arial" w:cs="Arial" w:eastAsia="Arial" w:hAnsi="Arial"/>
          <w:sz w:val="18"/>
          <w:szCs w:val="18"/>
          <w:b w:val="1"/>
          <w:bCs w:val="1"/>
          <w:color w:val="auto"/>
        </w:rPr>
        <w:t>Selpercatinib (Retevmo™) (Q2 2020)</w:t>
      </w:r>
      <w:r>
        <w:rPr>
          <w:rFonts w:ascii="Arial" w:cs="Arial" w:eastAsia="Arial" w:hAnsi="Arial"/>
          <w:sz w:val="18"/>
          <w:szCs w:val="18"/>
          <w:color w:val="auto"/>
        </w:rPr>
        <w:t>—an oral drug for the treatment of patients with cancers that harbor abnormalities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rearranged during transfection (RET) kinase, specifically thyroid cancer and lung cancer.</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(Lyumjev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(Q1 2020)</w:t>
      </w:r>
      <w:r>
        <w:rPr>
          <w:rFonts w:ascii="Arial" w:cs="Arial" w:eastAsia="Arial" w:hAnsi="Arial"/>
          <w:sz w:val="18"/>
          <w:szCs w:val="18"/>
          <w:color w:val="auto"/>
        </w:rPr>
        <w:t>—an ultra-rapid insulin for the treatment of type 1 and type 2 diabetes.</w:t>
      </w:r>
    </w:p>
    <w:p>
      <w:pPr>
        <w:spacing w:after="0" w:line="136" w:lineRule="exact"/>
        <w:rPr>
          <w:sz w:val="20"/>
          <w:szCs w:val="20"/>
          <w:color w:val="auto"/>
        </w:rPr>
      </w:pPr>
    </w:p>
    <w:p>
      <w:pPr>
        <w:jc w:val="both"/>
        <w:ind w:right="500"/>
        <w:spacing w:after="0" w:line="291" w:lineRule="auto"/>
        <w:rPr>
          <w:sz w:val="20"/>
          <w:szCs w:val="20"/>
          <w:color w:val="auto"/>
        </w:rPr>
      </w:pPr>
      <w:r>
        <w:rPr>
          <w:rFonts w:ascii="Arial" w:cs="Arial" w:eastAsia="Arial" w:hAnsi="Arial"/>
          <w:sz w:val="17"/>
          <w:szCs w:val="17"/>
          <w:color w:val="auto"/>
        </w:rPr>
        <w:t>The following NME has been submitted for regulatory review in at least one of the major geographies for potential use in the conditions described. The first quarter in which the NME initially was submitted in any major geography for any indication is shown in parentheses:</w:t>
      </w:r>
    </w:p>
    <w:p>
      <w:pPr>
        <w:spacing w:after="0" w:line="98"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b w:val="1"/>
          <w:bCs w:val="1"/>
          <w:color w:val="auto"/>
        </w:rPr>
        <w:t>Tanezumab* (Q4 2019)</w:t>
      </w:r>
      <w:r>
        <w:rPr>
          <w:rFonts w:ascii="Arial" w:cs="Arial" w:eastAsia="Arial" w:hAnsi="Arial"/>
          <w:sz w:val="18"/>
          <w:szCs w:val="18"/>
          <w:color w:val="auto"/>
        </w:rPr>
        <w:t>—an anti-nerve growth factor monoclonal antibody for the treatment of osteoarthritis pain (in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Pfizer Inc. (Pfizer)).</w:t>
      </w:r>
    </w:p>
    <w:p>
      <w:pPr>
        <w:spacing w:after="0" w:line="121"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following NMEs are currently in Phase III clinical trial testing for potential use in the conditions described below but have not yet been submitted for regulatory approval for any indication. The first quarter in which each NME initially entered Phase III or was acquired for any indication is shown in parentheses:</w:t>
      </w:r>
    </w:p>
    <w:p>
      <w:pPr>
        <w:spacing w:after="0" w:line="126" w:lineRule="exact"/>
        <w:rPr>
          <w:sz w:val="20"/>
          <w:szCs w:val="20"/>
          <w:color w:val="auto"/>
        </w:rPr>
      </w:pPr>
    </w:p>
    <w:p>
      <w:pPr>
        <w:ind w:left="660" w:right="200"/>
        <w:spacing w:after="0" w:line="287" w:lineRule="auto"/>
        <w:rPr>
          <w:sz w:val="20"/>
          <w:szCs w:val="20"/>
          <w:color w:val="auto"/>
        </w:rPr>
      </w:pPr>
      <w:r>
        <w:rPr>
          <w:rFonts w:ascii="Arial" w:cs="Arial" w:eastAsia="Arial" w:hAnsi="Arial"/>
          <w:sz w:val="18"/>
          <w:szCs w:val="18"/>
          <w:b w:val="1"/>
          <w:bCs w:val="1"/>
          <w:color w:val="auto"/>
        </w:rPr>
        <w:t>Lebrikizumab* (acquired in Q1 2020)</w:t>
      </w:r>
      <w:r>
        <w:rPr>
          <w:rFonts w:ascii="Arial" w:cs="Arial" w:eastAsia="Arial" w:hAnsi="Arial"/>
          <w:sz w:val="18"/>
          <w:szCs w:val="18"/>
          <w:color w:val="auto"/>
        </w:rPr>
        <w:t>—a monoclonal antibody designed for the treatment of moderate-to-severe atopic dermatitis</w:t>
      </w:r>
      <w:r>
        <w:rPr>
          <w:rFonts w:ascii="Arial" w:cs="Arial" w:eastAsia="Arial" w:hAnsi="Arial"/>
          <w:sz w:val="18"/>
          <w:szCs w:val="18"/>
          <w:b w:val="1"/>
          <w:bCs w:val="1"/>
          <w:color w:val="auto"/>
        </w:rPr>
        <w:t xml:space="preserve"> </w:t>
      </w:r>
      <w:r>
        <w:rPr>
          <w:rFonts w:ascii="Arial" w:cs="Arial" w:eastAsia="Arial" w:hAnsi="Arial"/>
          <w:sz w:val="18"/>
          <w:szCs w:val="18"/>
          <w:color w:val="auto"/>
        </w:rPr>
        <w:t>(in collaboration with Almirall, S.A. in Europe).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monoclonal antibody designed for the treatment of autoimmune diseases.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b w:val="1"/>
          <w:bCs w:val="1"/>
          <w:color w:val="auto"/>
        </w:rPr>
        <w:t>Tirzepatide* (Q4 2018)</w:t>
      </w:r>
      <w:r>
        <w:rPr>
          <w:rFonts w:ascii="Arial" w:cs="Arial" w:eastAsia="Arial" w:hAnsi="Arial"/>
          <w:sz w:val="18"/>
          <w:szCs w:val="18"/>
          <w:color w:val="auto"/>
        </w:rPr>
        <w:t>—a long-acting, combination therapy of glucose-dependent insulinotropic polypeptide (GIP) and glucagon-like peptide 1 for the treatment of type 2 diabetes and obesity.</w:t>
      </w:r>
    </w:p>
    <w:p>
      <w:pPr>
        <w:spacing w:after="0" w:line="67" w:lineRule="exact"/>
        <w:rPr>
          <w:sz w:val="20"/>
          <w:szCs w:val="20"/>
          <w:color w:val="auto"/>
        </w:rPr>
      </w:pPr>
    </w:p>
    <w:p>
      <w:pPr>
        <w:ind w:left="340" w:right="4100" w:hanging="8"/>
        <w:spacing w:after="0" w:line="37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2020:</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8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5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6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58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10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160" w:type="dxa"/>
            <w:vAlign w:val="bottom"/>
            <w:tcBorders>
              <w:top w:val="single" w:sz="8" w:color="auto"/>
              <w:bottom w:val="single" w:sz="8" w:color="auto"/>
              <w:right w:val="single" w:sz="8" w:color="auto"/>
            </w:tcBorders>
            <w:shd w:val="clear" w:color="auto" w:fill="D8D8D8"/>
          </w:tcPr>
          <w:p>
            <w:pPr>
              <w:jc w:val="right"/>
              <w:ind w:right="530"/>
              <w:spacing w:after="0"/>
              <w:rPr>
                <w:sz w:val="20"/>
                <w:szCs w:val="20"/>
                <w:color w:val="auto"/>
              </w:rPr>
            </w:pPr>
            <w:r>
              <w:rPr>
                <w:rFonts w:ascii="Arial" w:cs="Arial" w:eastAsia="Arial" w:hAnsi="Arial"/>
                <w:sz w:val="18"/>
                <w:szCs w:val="18"/>
                <w:b w:val="1"/>
                <w:bCs w:val="1"/>
                <w:color w:val="auto"/>
                <w:w w:val="99"/>
              </w:rPr>
              <w:t>Japan</w:t>
            </w:r>
          </w:p>
        </w:tc>
        <w:tc>
          <w:tcPr>
            <w:tcW w:w="43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Baqsimi</w:t>
            </w:r>
          </w:p>
        </w:tc>
        <w:tc>
          <w:tcPr>
            <w:tcW w:w="1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Severe</w:t>
            </w:r>
          </w:p>
        </w:tc>
        <w:tc>
          <w:tcPr>
            <w:tcW w:w="600" w:type="dxa"/>
            <w:vAlign w:val="bottom"/>
          </w:tcPr>
          <w:p>
            <w:pPr>
              <w:spacing w:after="0"/>
              <w:rPr>
                <w:sz w:val="19"/>
                <w:szCs w:val="19"/>
                <w:color w:val="auto"/>
              </w:rPr>
            </w:pPr>
          </w:p>
        </w:tc>
        <w:tc>
          <w:tcPr>
            <w:tcW w:w="1680" w:type="dxa"/>
            <w:vAlign w:val="bottom"/>
            <w:gridSpan w:val="2"/>
            <w:vMerge w:val="restart"/>
          </w:tcPr>
          <w:p>
            <w:pPr>
              <w:ind w:left="260"/>
              <w:spacing w:after="0"/>
              <w:rPr>
                <w:sz w:val="20"/>
                <w:szCs w:val="20"/>
                <w:color w:val="auto"/>
              </w:rPr>
            </w:pPr>
            <w:r>
              <w:rPr>
                <w:rFonts w:ascii="Arial" w:cs="Arial" w:eastAsia="Arial" w:hAnsi="Arial"/>
                <w:sz w:val="18"/>
                <w:szCs w:val="18"/>
                <w:color w:val="auto"/>
              </w:rPr>
              <w:t>Launched</w:t>
            </w:r>
          </w:p>
        </w:tc>
        <w:tc>
          <w:tcPr>
            <w:tcW w:w="24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Japan in the first quarter of 2020.</w:t>
            </w: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hypoglycemia</w:t>
            </w:r>
          </w:p>
        </w:tc>
        <w:tc>
          <w:tcPr>
            <w:tcW w:w="60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 in Europe in the second quarter of 2020.</w:t>
            </w:r>
          </w:p>
        </w:tc>
        <w:tc>
          <w:tcPr>
            <w:tcW w:w="0" w:type="dxa"/>
            <w:vAlign w:val="bottom"/>
          </w:tcPr>
          <w:p>
            <w:pPr>
              <w:spacing w:after="0"/>
              <w:rPr>
                <w:sz w:val="1"/>
                <w:szCs w:val="1"/>
                <w:color w:val="auto"/>
              </w:rPr>
            </w:pPr>
          </w:p>
        </w:tc>
      </w:tr>
      <w:tr>
        <w:trPr>
          <w:trHeight w:val="115"/>
        </w:trPr>
        <w:tc>
          <w:tcPr>
            <w:tcW w:w="1680" w:type="dxa"/>
            <w:vAlign w:val="bottom"/>
            <w:tcBorders>
              <w:left w:val="single" w:sz="8" w:color="auto"/>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Type 2 diabetes</w:t>
            </w: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8"/>
              </w:rPr>
              <w:t>Phase III</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Obesity</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vMerge w:val="restart"/>
          </w:tcPr>
          <w:p>
            <w:pPr>
              <w:jc w:val="center"/>
              <w:ind w:left="110"/>
              <w:spacing w:after="0"/>
              <w:rPr>
                <w:sz w:val="20"/>
                <w:szCs w:val="20"/>
                <w:color w:val="auto"/>
              </w:rPr>
            </w:pPr>
            <w:r>
              <w:rPr>
                <w:rFonts w:ascii="Arial" w:cs="Arial" w:eastAsia="Arial" w:hAnsi="Arial"/>
                <w:sz w:val="18"/>
                <w:szCs w:val="18"/>
                <w:color w:val="auto"/>
                <w:w w:val="98"/>
              </w:rPr>
              <w:t>Phase III</w:t>
            </w:r>
          </w:p>
        </w:tc>
        <w:tc>
          <w:tcPr>
            <w:tcW w:w="2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42"/>
        </w:trPr>
        <w:tc>
          <w:tcPr>
            <w:tcW w:w="1680" w:type="dxa"/>
            <w:vAlign w:val="bottom"/>
            <w:tcBorders>
              <w:left w:val="single" w:sz="8" w:color="auto"/>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43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68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Europe and Japan in the first quarter of</w:t>
            </w: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Lyumjev</w:t>
            </w:r>
          </w:p>
        </w:tc>
        <w:tc>
          <w:tcPr>
            <w:tcW w:w="15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Type 1 and 2</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vMerge w:val="restart"/>
          </w:tcPr>
          <w:p>
            <w:pPr>
              <w:jc w:val="center"/>
              <w:ind w:left="110"/>
              <w:spacing w:after="0"/>
              <w:rPr>
                <w:sz w:val="20"/>
                <w:szCs w:val="20"/>
                <w:color w:val="auto"/>
              </w:rPr>
            </w:pPr>
            <w:r>
              <w:rPr>
                <w:rFonts w:ascii="Arial" w:cs="Arial" w:eastAsia="Arial" w:hAnsi="Arial"/>
                <w:sz w:val="18"/>
                <w:szCs w:val="18"/>
                <w:color w:val="auto"/>
                <w:w w:val="98"/>
              </w:rPr>
              <w:t>Launched</w:t>
            </w:r>
          </w:p>
        </w:tc>
        <w:tc>
          <w:tcPr>
            <w:tcW w:w="2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2020. Approved in the U.S. in the second quarter of</w:t>
            </w: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diabetes</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2020. Launched in Japan in the second quarter of</w:t>
            </w:r>
          </w:p>
        </w:tc>
        <w:tc>
          <w:tcPr>
            <w:tcW w:w="0" w:type="dxa"/>
            <w:vAlign w:val="bottom"/>
          </w:tcPr>
          <w:p>
            <w:pPr>
              <w:spacing w:after="0"/>
              <w:rPr>
                <w:sz w:val="1"/>
                <w:szCs w:val="1"/>
                <w:color w:val="auto"/>
              </w:rPr>
            </w:pPr>
          </w:p>
        </w:tc>
      </w:tr>
      <w:tr>
        <w:trPr>
          <w:trHeight w:val="94"/>
        </w:trPr>
        <w:tc>
          <w:tcPr>
            <w:tcW w:w="1680" w:type="dxa"/>
            <w:vAlign w:val="bottom"/>
            <w:tcBorders>
              <w:left w:val="single" w:sz="8" w:color="auto"/>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4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2020. Launched in the U.S. and Europe in July 2020.</w:t>
            </w: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68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Acquired in the Dermira acquisition in February 2020.</w:t>
            </w:r>
          </w:p>
        </w:tc>
        <w:tc>
          <w:tcPr>
            <w:tcW w:w="0" w:type="dxa"/>
            <w:vAlign w:val="bottom"/>
          </w:tcPr>
          <w:p>
            <w:pPr>
              <w:spacing w:after="0"/>
              <w:rPr>
                <w:sz w:val="1"/>
                <w:szCs w:val="1"/>
                <w:color w:val="auto"/>
              </w:rPr>
            </w:pPr>
          </w:p>
        </w:tc>
      </w:tr>
      <w:tr>
        <w:trPr>
          <w:trHeight w:val="175"/>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Atopic dermatitis</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vMerge w:val="restart"/>
          </w:tcPr>
          <w:p>
            <w:pPr>
              <w:jc w:val="center"/>
              <w:ind w:left="110"/>
              <w:spacing w:after="0"/>
              <w:rPr>
                <w:sz w:val="20"/>
                <w:szCs w:val="20"/>
                <w:color w:val="auto"/>
              </w:rPr>
            </w:pPr>
            <w:r>
              <w:rPr>
                <w:rFonts w:ascii="Arial" w:cs="Arial" w:eastAsia="Arial" w:hAnsi="Arial"/>
                <w:sz w:val="18"/>
                <w:szCs w:val="18"/>
                <w:color w:val="auto"/>
                <w:w w:val="98"/>
              </w:rPr>
              <w:t>Phase III</w:t>
            </w:r>
          </w:p>
        </w:tc>
        <w:tc>
          <w:tcPr>
            <w:tcW w:w="24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Granted Fast Track Designation</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by the U.S. Food</w:t>
            </w:r>
          </w:p>
        </w:tc>
        <w:tc>
          <w:tcPr>
            <w:tcW w:w="0" w:type="dxa"/>
            <w:vAlign w:val="bottom"/>
          </w:tcPr>
          <w:p>
            <w:pPr>
              <w:spacing w:after="0"/>
              <w:rPr>
                <w:sz w:val="1"/>
                <w:szCs w:val="1"/>
                <w:color w:val="auto"/>
              </w:rPr>
            </w:pPr>
          </w:p>
        </w:tc>
      </w:tr>
      <w:tr>
        <w:trPr>
          <w:trHeight w:val="122"/>
        </w:trPr>
        <w:tc>
          <w:tcPr>
            <w:tcW w:w="168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43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and Drug Administration (FDA). Phase III trials are</w:t>
            </w:r>
          </w:p>
        </w:tc>
        <w:tc>
          <w:tcPr>
            <w:tcW w:w="0" w:type="dxa"/>
            <w:vAlign w:val="bottom"/>
          </w:tcPr>
          <w:p>
            <w:pPr>
              <w:spacing w:after="0"/>
              <w:rPr>
                <w:sz w:val="1"/>
                <w:szCs w:val="1"/>
                <w:color w:val="auto"/>
              </w:rPr>
            </w:pPr>
          </w:p>
        </w:tc>
      </w:tr>
      <w:tr>
        <w:trPr>
          <w:trHeight w:val="53"/>
        </w:trPr>
        <w:tc>
          <w:tcPr>
            <w:tcW w:w="1680" w:type="dxa"/>
            <w:vAlign w:val="bottom"/>
            <w:tcBorders>
              <w:left w:val="single" w:sz="8" w:color="auto"/>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43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44"/>
        </w:trPr>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gridSpan w:val="2"/>
          </w:tcPr>
          <w:p>
            <w:pPr>
              <w:jc w:val="right"/>
              <w:ind w:right="1070"/>
              <w:spacing w:after="0"/>
              <w:rPr>
                <w:sz w:val="20"/>
                <w:szCs w:val="20"/>
                <w:color w:val="auto"/>
              </w:rPr>
            </w:pPr>
            <w:r>
              <w:rPr>
                <w:rFonts w:ascii="Arial" w:cs="Arial" w:eastAsia="Arial" w:hAnsi="Arial"/>
                <w:sz w:val="18"/>
                <w:szCs w:val="18"/>
                <w:color w:val="auto"/>
              </w:rPr>
              <w:t>39</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8" w:right="31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64"/>
        </w:trPr>
        <w:tc>
          <w:tcPr>
            <w:tcW w:w="168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5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11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34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Europe</w:t>
            </w:r>
          </w:p>
        </w:tc>
        <w:tc>
          <w:tcPr>
            <w:tcW w:w="11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Crohn's Disease</w:t>
            </w:r>
          </w:p>
        </w:tc>
        <w:tc>
          <w:tcPr>
            <w:tcW w:w="1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60" w:type="dxa"/>
            <w:vAlign w:val="bottom"/>
            <w:tcBorders>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Psoriasis</w:t>
            </w:r>
          </w:p>
        </w:tc>
        <w:tc>
          <w:tcPr>
            <w:tcW w:w="1180" w:type="dxa"/>
            <w:vAlign w:val="bottom"/>
          </w:tcPr>
          <w:p>
            <w:pPr>
              <w:spacing w:after="0"/>
              <w:rPr>
                <w:sz w:val="19"/>
                <w:szCs w:val="19"/>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July 2020, announced Phase III trials met the</w:t>
            </w: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primary and all key secondary endpoints.</w:t>
            </w:r>
          </w:p>
        </w:tc>
        <w:tc>
          <w:tcPr>
            <w:tcW w:w="0" w:type="dxa"/>
            <w:vAlign w:val="bottom"/>
          </w:tcPr>
          <w:p>
            <w:pPr>
              <w:spacing w:after="0"/>
              <w:rPr>
                <w:sz w:val="1"/>
                <w:szCs w:val="1"/>
                <w:color w:val="auto"/>
              </w:rPr>
            </w:pPr>
          </w:p>
        </w:tc>
      </w:tr>
      <w:tr>
        <w:trPr>
          <w:trHeight w:val="115"/>
        </w:trPr>
        <w:tc>
          <w:tcPr>
            <w:tcW w:w="1680" w:type="dxa"/>
            <w:vAlign w:val="bottom"/>
            <w:tcBorders>
              <w:left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Ulcerative colitis</w:t>
            </w:r>
          </w:p>
        </w:tc>
        <w:tc>
          <w:tcPr>
            <w:tcW w:w="1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60" w:type="dxa"/>
            <w:vAlign w:val="bottom"/>
            <w:tcBorders>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80" w:type="dxa"/>
            <w:vAlign w:val="bottom"/>
            <w:tcBorders>
              <w:left w:val="single" w:sz="8" w:color="auto"/>
              <w:right w:val="single" w:sz="8" w:color="auto"/>
            </w:tcBorders>
          </w:tcPr>
          <w:p>
            <w:pPr>
              <w:spacing w:after="0"/>
              <w:rPr>
                <w:sz w:val="24"/>
                <w:szCs w:val="24"/>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Cluster headache</w:t>
            </w:r>
          </w:p>
        </w:tc>
        <w:tc>
          <w:tcPr>
            <w:tcW w:w="1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Launched</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Not approved</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Not pursuing</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European Medicines Agency did not approve in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approval</w:t>
            </w:r>
          </w:p>
        </w:tc>
        <w:tc>
          <w:tcPr>
            <w:tcW w:w="438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7"/>
                <w:szCs w:val="17"/>
                <w:color w:val="auto"/>
              </w:rPr>
              <w:t>second quarter of 2020. We do not plan to pursue</w:t>
            </w: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Emgality</w:t>
            </w:r>
          </w:p>
        </w:tc>
        <w:tc>
          <w:tcPr>
            <w:tcW w:w="152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approval in Europe.</w:t>
            </w:r>
          </w:p>
        </w:tc>
        <w:tc>
          <w:tcPr>
            <w:tcW w:w="0" w:type="dxa"/>
            <w:vAlign w:val="bottom"/>
          </w:tcPr>
          <w:p>
            <w:pPr>
              <w:spacing w:after="0"/>
              <w:rPr>
                <w:sz w:val="1"/>
                <w:szCs w:val="1"/>
                <w:color w:val="auto"/>
              </w:rPr>
            </w:pPr>
          </w:p>
        </w:tc>
      </w:tr>
      <w:tr>
        <w:trPr>
          <w:trHeight w:val="122"/>
        </w:trPr>
        <w:tc>
          <w:tcPr>
            <w:tcW w:w="168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68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Migraine</w:t>
            </w:r>
          </w:p>
        </w:tc>
        <w:tc>
          <w:tcPr>
            <w:tcW w:w="2520" w:type="dxa"/>
            <w:vAlign w:val="bottom"/>
            <w:tcBorders>
              <w:right w:val="single" w:sz="8" w:color="auto"/>
            </w:tcBorders>
            <w:gridSpan w:val="2"/>
            <w:vMerge w:val="restart"/>
          </w:tcPr>
          <w:p>
            <w:pPr>
              <w:ind w:left="860"/>
              <w:spacing w:after="0"/>
              <w:rPr>
                <w:sz w:val="20"/>
                <w:szCs w:val="20"/>
                <w:color w:val="auto"/>
              </w:rPr>
            </w:pPr>
            <w:r>
              <w:rPr>
                <w:rFonts w:ascii="Arial" w:cs="Arial" w:eastAsia="Arial" w:hAnsi="Arial"/>
                <w:sz w:val="18"/>
                <w:szCs w:val="18"/>
                <w:color w:val="auto"/>
              </w:rPr>
              <w:t>Launched</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Japanese regulatory authorities in the</w:t>
            </w: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tcPr>
          <w:p>
            <w:pPr>
              <w:spacing w:after="0"/>
              <w:rPr>
                <w:sz w:val="9"/>
                <w:szCs w:val="9"/>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prevention</w:t>
            </w:r>
          </w:p>
        </w:tc>
        <w:tc>
          <w:tcPr>
            <w:tcW w:w="2520" w:type="dxa"/>
            <w:vAlign w:val="bottom"/>
            <w:tcBorders>
              <w:right w:val="single" w:sz="8" w:color="auto"/>
            </w:tcBorders>
            <w:gridSpan w:val="2"/>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 quarter of 2020.</w:t>
            </w:r>
          </w:p>
        </w:tc>
        <w:tc>
          <w:tcPr>
            <w:tcW w:w="0" w:type="dxa"/>
            <w:vAlign w:val="bottom"/>
          </w:tcPr>
          <w:p>
            <w:pPr>
              <w:spacing w:after="0"/>
              <w:rPr>
                <w:sz w:val="1"/>
                <w:szCs w:val="1"/>
                <w:color w:val="auto"/>
              </w:rPr>
            </w:pPr>
          </w:p>
        </w:tc>
      </w:tr>
      <w:tr>
        <w:trPr>
          <w:trHeight w:val="115"/>
        </w:trPr>
        <w:tc>
          <w:tcPr>
            <w:tcW w:w="1680" w:type="dxa"/>
            <w:vAlign w:val="bottom"/>
            <w:tcBorders>
              <w:left w:val="single" w:sz="8" w:color="auto"/>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8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Alzheimer's</w:t>
            </w:r>
          </w:p>
        </w:tc>
        <w:tc>
          <w:tcPr>
            <w:tcW w:w="118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Tauvid</w:t>
            </w:r>
          </w:p>
        </w:tc>
        <w:tc>
          <w:tcPr>
            <w:tcW w:w="15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disease</w:t>
            </w:r>
          </w:p>
        </w:tc>
        <w:tc>
          <w:tcPr>
            <w:tcW w:w="11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Approved</w:t>
            </w:r>
          </w:p>
        </w:tc>
        <w:tc>
          <w:tcPr>
            <w:tcW w:w="25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Not pursuing approval</w:t>
            </w:r>
          </w:p>
        </w:tc>
        <w:tc>
          <w:tcPr>
            <w:tcW w:w="4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Approved in the U.S. in the second quarter of 2020.</w:t>
            </w:r>
          </w:p>
        </w:tc>
        <w:tc>
          <w:tcPr>
            <w:tcW w:w="0" w:type="dxa"/>
            <w:vAlign w:val="bottom"/>
          </w:tcPr>
          <w:p>
            <w:pPr>
              <w:spacing w:after="0"/>
              <w:rPr>
                <w:sz w:val="1"/>
                <w:szCs w:val="1"/>
                <w:color w:val="auto"/>
              </w:rPr>
            </w:pPr>
          </w:p>
        </w:tc>
      </w:tr>
      <w:tr>
        <w:trPr>
          <w:trHeight w:val="224"/>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diagnostic</w:t>
            </w: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Acute treatment of</w:t>
            </w:r>
          </w:p>
        </w:tc>
        <w:tc>
          <w:tcPr>
            <w:tcW w:w="118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Received Schedule V classification from the Drug</w:t>
            </w:r>
          </w:p>
        </w:tc>
        <w:tc>
          <w:tcPr>
            <w:tcW w:w="0" w:type="dxa"/>
            <w:vAlign w:val="bottom"/>
          </w:tcPr>
          <w:p>
            <w:pPr>
              <w:spacing w:after="0"/>
              <w:rPr>
                <w:sz w:val="1"/>
                <w:szCs w:val="1"/>
                <w:color w:val="auto"/>
              </w:rPr>
            </w:pPr>
          </w:p>
        </w:tc>
      </w:tr>
      <w:tr>
        <w:trPr>
          <w:trHeight w:val="95"/>
        </w:trPr>
        <w:tc>
          <w:tcPr>
            <w:tcW w:w="168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Reyvow</w:t>
            </w:r>
          </w:p>
        </w:tc>
        <w:tc>
          <w:tcPr>
            <w:tcW w:w="152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ind w:left="180"/>
              <w:spacing w:after="0" w:line="202" w:lineRule="exact"/>
              <w:rPr>
                <w:sz w:val="20"/>
                <w:szCs w:val="20"/>
                <w:color w:val="auto"/>
              </w:rPr>
            </w:pPr>
            <w:r>
              <w:rPr>
                <w:rFonts w:ascii="Arial" w:cs="Arial" w:eastAsia="Arial" w:hAnsi="Arial"/>
                <w:sz w:val="18"/>
                <w:szCs w:val="18"/>
                <w:color w:val="auto"/>
              </w:rPr>
              <w:t>Launched</w:t>
            </w:r>
          </w:p>
        </w:tc>
        <w:tc>
          <w:tcPr>
            <w:tcW w:w="2500" w:type="dxa"/>
            <w:vAlign w:val="bottom"/>
            <w:tcBorders>
              <w:right w:val="single" w:sz="8" w:color="auto"/>
            </w:tcBorders>
            <w:gridSpan w:val="2"/>
            <w:vMerge w:val="restart"/>
          </w:tcPr>
          <w:p>
            <w:pPr>
              <w:jc w:val="center"/>
              <w:spacing w:after="0" w:line="202" w:lineRule="exact"/>
              <w:rPr>
                <w:sz w:val="20"/>
                <w:szCs w:val="20"/>
                <w:color w:val="auto"/>
              </w:rPr>
            </w:pPr>
            <w:r>
              <w:rPr>
                <w:rFonts w:ascii="Arial" w:cs="Arial" w:eastAsia="Arial" w:hAnsi="Arial"/>
                <w:sz w:val="18"/>
                <w:szCs w:val="18"/>
                <w:color w:val="auto"/>
              </w:rPr>
              <w:t>Phase III</w:t>
            </w:r>
          </w:p>
        </w:tc>
        <w:tc>
          <w:tcPr>
            <w:tcW w:w="43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Enforcement Agency and launched in the U.S. in the</w:t>
            </w: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migraine</w:t>
            </w:r>
          </w:p>
        </w:tc>
        <w:tc>
          <w:tcPr>
            <w:tcW w:w="118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gridSpan w:val="2"/>
            <w:vMerge w:val="continue"/>
          </w:tcPr>
          <w:p>
            <w:pPr>
              <w:spacing w:after="0"/>
              <w:rPr>
                <w:sz w:val="9"/>
                <w:szCs w:val="9"/>
                <w:color w:val="auto"/>
              </w:rPr>
            </w:pPr>
          </w:p>
        </w:tc>
        <w:tc>
          <w:tcPr>
            <w:tcW w:w="4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 quarter of 2020.</w:t>
            </w:r>
          </w:p>
        </w:tc>
        <w:tc>
          <w:tcPr>
            <w:tcW w:w="0" w:type="dxa"/>
            <w:vAlign w:val="bottom"/>
          </w:tcPr>
          <w:p>
            <w:pPr>
              <w:spacing w:after="0"/>
              <w:rPr>
                <w:sz w:val="1"/>
                <w:szCs w:val="1"/>
                <w:color w:val="auto"/>
              </w:rPr>
            </w:pPr>
          </w:p>
        </w:tc>
      </w:tr>
      <w:tr>
        <w:trPr>
          <w:trHeight w:val="115"/>
        </w:trPr>
        <w:tc>
          <w:tcPr>
            <w:tcW w:w="1680" w:type="dxa"/>
            <w:vAlign w:val="bottom"/>
            <w:tcBorders>
              <w:left w:val="single" w:sz="8" w:color="auto"/>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8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the first quarter of 2020 that a Phase III</w:t>
            </w: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Preclinical</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trial for people with dominantly inherited Alzheimer's</w:t>
            </w:r>
          </w:p>
        </w:tc>
        <w:tc>
          <w:tcPr>
            <w:tcW w:w="0" w:type="dxa"/>
            <w:vAlign w:val="bottom"/>
          </w:tcPr>
          <w:p>
            <w:pPr>
              <w:spacing w:after="0"/>
              <w:rPr>
                <w:sz w:val="1"/>
                <w:szCs w:val="1"/>
                <w:color w:val="auto"/>
              </w:rPr>
            </w:pPr>
          </w:p>
        </w:tc>
      </w:tr>
      <w:tr>
        <w:trPr>
          <w:trHeight w:val="95"/>
        </w:trPr>
        <w:tc>
          <w:tcPr>
            <w:tcW w:w="1680" w:type="dxa"/>
            <w:vAlign w:val="bottom"/>
            <w:tcBorders>
              <w:left w:val="single" w:sz="8" w:color="auto"/>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43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w w:val="99"/>
              </w:rPr>
              <w:t>disease (DIAD) did not meet the primary endpoint. We</w:t>
            </w: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Solanezumab</w:t>
            </w:r>
          </w:p>
        </w:tc>
        <w:tc>
          <w:tcPr>
            <w:tcW w:w="15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Alzheimer's</w:t>
            </w:r>
          </w:p>
        </w:tc>
        <w:tc>
          <w:tcPr>
            <w:tcW w:w="1180" w:type="dxa"/>
            <w:vAlign w:val="bottom"/>
          </w:tcPr>
          <w:p>
            <w:pPr>
              <w:spacing w:after="0"/>
              <w:rPr>
                <w:sz w:val="9"/>
                <w:szCs w:val="9"/>
                <w:color w:val="auto"/>
              </w:rPr>
            </w:pPr>
          </w:p>
        </w:tc>
        <w:tc>
          <w:tcPr>
            <w:tcW w:w="13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16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8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43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do not plan to pursue submission for DIAD. Phase III</w:t>
            </w: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tcPr>
          <w:p>
            <w:pPr>
              <w:spacing w:after="0"/>
              <w:rPr>
                <w:sz w:val="9"/>
                <w:szCs w:val="9"/>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disease</w:t>
            </w: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trial is ongoing for Anti-Amyloid Treatment in</w:t>
            </w:r>
          </w:p>
        </w:tc>
        <w:tc>
          <w:tcPr>
            <w:tcW w:w="0" w:type="dxa"/>
            <w:vAlign w:val="bottom"/>
          </w:tcPr>
          <w:p>
            <w:pPr>
              <w:spacing w:after="0"/>
              <w:rPr>
                <w:sz w:val="1"/>
                <w:szCs w:val="1"/>
                <w:color w:val="auto"/>
              </w:rPr>
            </w:pPr>
          </w:p>
        </w:tc>
      </w:tr>
      <w:tr>
        <w:trPr>
          <w:trHeight w:val="94"/>
        </w:trPr>
        <w:tc>
          <w:tcPr>
            <w:tcW w:w="1680" w:type="dxa"/>
            <w:vAlign w:val="bottom"/>
            <w:tcBorders>
              <w:left w:val="single" w:sz="8" w:color="auto"/>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4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Asymptomatic Alzheimer's.</w:t>
            </w:r>
          </w:p>
        </w:tc>
        <w:tc>
          <w:tcPr>
            <w:tcW w:w="0" w:type="dxa"/>
            <w:vAlign w:val="bottom"/>
          </w:tcPr>
          <w:p>
            <w:pPr>
              <w:spacing w:after="0"/>
              <w:rPr>
                <w:sz w:val="1"/>
                <w:szCs w:val="1"/>
                <w:color w:val="auto"/>
              </w:rPr>
            </w:pPr>
          </w:p>
        </w:tc>
      </w:tr>
      <w:tr>
        <w:trPr>
          <w:trHeight w:val="229"/>
        </w:trPr>
        <w:tc>
          <w:tcPr>
            <w:tcW w:w="168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partnership with Pfizer, we submitted to the FDA in</w:t>
            </w: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Osteoarthritis pain</w:t>
            </w:r>
          </w:p>
        </w:tc>
        <w:tc>
          <w:tcPr>
            <w:tcW w:w="252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Submitted</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fourth quarter of 2019 and submitted in Europe in</w:t>
            </w: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Tanezumab</w:t>
            </w:r>
          </w:p>
        </w:tc>
        <w:tc>
          <w:tcPr>
            <w:tcW w:w="152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gridSpan w:val="2"/>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43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the first quarter of 2020. We intend to pursue</w:t>
            </w:r>
          </w:p>
        </w:tc>
        <w:tc>
          <w:tcPr>
            <w:tcW w:w="0" w:type="dxa"/>
            <w:vAlign w:val="bottom"/>
          </w:tcPr>
          <w:p>
            <w:pPr>
              <w:spacing w:after="0"/>
              <w:rPr>
                <w:sz w:val="1"/>
                <w:szCs w:val="1"/>
                <w:color w:val="auto"/>
              </w:rPr>
            </w:pPr>
          </w:p>
        </w:tc>
      </w:tr>
      <w:tr>
        <w:trPr>
          <w:trHeight w:val="94"/>
        </w:trPr>
        <w:tc>
          <w:tcPr>
            <w:tcW w:w="168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4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80" w:type="dxa"/>
            <w:vAlign w:val="bottom"/>
            <w:tcBorders>
              <w:left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submission in Japan in 2020.</w:t>
            </w: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 pain</w:t>
            </w:r>
          </w:p>
        </w:tc>
        <w:tc>
          <w:tcPr>
            <w:tcW w:w="1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60" w:type="dxa"/>
            <w:vAlign w:val="bottom"/>
            <w:tcBorders>
              <w:bottom w:val="single" w:sz="8" w:color="auto"/>
              <w:right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Thyroid cancer</w:t>
            </w:r>
          </w:p>
        </w:tc>
        <w:tc>
          <w:tcPr>
            <w:tcW w:w="11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Launched</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Submitted</w:t>
            </w:r>
          </w:p>
        </w:tc>
        <w:tc>
          <w:tcPr>
            <w:tcW w:w="11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4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Granted accelerated approval</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by the FDA based on</w:t>
            </w:r>
          </w:p>
        </w:tc>
        <w:tc>
          <w:tcPr>
            <w:tcW w:w="0" w:type="dxa"/>
            <w:vAlign w:val="bottom"/>
          </w:tcPr>
          <w:p>
            <w:pPr>
              <w:spacing w:after="0"/>
              <w:rPr>
                <w:sz w:val="1"/>
                <w:szCs w:val="1"/>
                <w:color w:val="auto"/>
              </w:rPr>
            </w:pPr>
          </w:p>
        </w:tc>
      </w:tr>
      <w:tr>
        <w:trPr>
          <w:trHeight w:val="81"/>
        </w:trPr>
        <w:tc>
          <w:tcPr>
            <w:tcW w:w="1680" w:type="dxa"/>
            <w:vAlign w:val="bottom"/>
            <w:tcBorders>
              <w:left w:val="single" w:sz="8" w:color="auto"/>
              <w:right w:val="single" w:sz="8" w:color="auto"/>
            </w:tcBorders>
            <w:vMerge w:val="restart"/>
          </w:tcPr>
          <w:p>
            <w:pPr>
              <w:ind w:left="40"/>
              <w:spacing w:after="0" w:line="161" w:lineRule="exact"/>
              <w:rPr>
                <w:sz w:val="20"/>
                <w:szCs w:val="20"/>
                <w:color w:val="auto"/>
              </w:rPr>
            </w:pPr>
            <w:r>
              <w:rPr>
                <w:rFonts w:ascii="Arial" w:cs="Arial" w:eastAsia="Arial" w:hAnsi="Arial"/>
                <w:sz w:val="18"/>
                <w:szCs w:val="18"/>
                <w:color w:val="auto"/>
              </w:rPr>
              <w:t>Retevmo</w:t>
            </w:r>
          </w:p>
        </w:tc>
        <w:tc>
          <w:tcPr>
            <w:tcW w:w="152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4380" w:type="dxa"/>
            <w:vAlign w:val="bottom"/>
            <w:tcBorders>
              <w:right w:val="single" w:sz="8" w:color="auto"/>
            </w:tcBorders>
            <w:vMerge w:val="restart"/>
          </w:tcPr>
          <w:p>
            <w:pPr>
              <w:ind w:left="20"/>
              <w:spacing w:after="0" w:line="161" w:lineRule="exact"/>
              <w:rPr>
                <w:sz w:val="20"/>
                <w:szCs w:val="20"/>
                <w:color w:val="auto"/>
              </w:rPr>
            </w:pPr>
            <w:r>
              <w:rPr>
                <w:rFonts w:ascii="Arial" w:cs="Arial" w:eastAsia="Arial" w:hAnsi="Arial"/>
                <w:sz w:val="18"/>
                <w:szCs w:val="18"/>
                <w:color w:val="auto"/>
              </w:rPr>
              <w:t>Phase II data and launched in the U.S. in the second</w:t>
            </w:r>
          </w:p>
        </w:tc>
        <w:tc>
          <w:tcPr>
            <w:tcW w:w="0" w:type="dxa"/>
            <w:vAlign w:val="bottom"/>
          </w:tcPr>
          <w:p>
            <w:pPr>
              <w:spacing w:after="0"/>
              <w:rPr>
                <w:sz w:val="1"/>
                <w:szCs w:val="1"/>
                <w:color w:val="auto"/>
              </w:rPr>
            </w:pPr>
          </w:p>
        </w:tc>
      </w:tr>
      <w:tr>
        <w:trPr>
          <w:trHeight w:val="60"/>
        </w:trPr>
        <w:tc>
          <w:tcPr>
            <w:tcW w:w="1680" w:type="dxa"/>
            <w:vAlign w:val="bottom"/>
            <w:tcBorders>
              <w:left w:val="single" w:sz="8" w:color="auto"/>
              <w:right w:val="single" w:sz="8" w:color="auto"/>
            </w:tcBorders>
            <w:vMerge w:val="continue"/>
          </w:tcPr>
          <w:p>
            <w:pPr>
              <w:spacing w:after="0"/>
              <w:rPr>
                <w:sz w:val="5"/>
                <w:szCs w:val="5"/>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Lung cancer</w:t>
            </w:r>
          </w:p>
        </w:tc>
        <w:tc>
          <w:tcPr>
            <w:tcW w:w="1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Launched</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Submitted</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vMerge w:val="continue"/>
          </w:tcPr>
          <w:p>
            <w:pPr>
              <w:spacing w:after="0"/>
              <w:rPr>
                <w:sz w:val="18"/>
                <w:szCs w:val="18"/>
                <w:color w:val="auto"/>
              </w:rPr>
            </w:pPr>
          </w:p>
        </w:tc>
        <w:tc>
          <w:tcPr>
            <w:tcW w:w="1180" w:type="dxa"/>
            <w:vAlign w:val="bottom"/>
            <w:tcBorders>
              <w:bottom w:val="single" w:sz="8" w:color="auto"/>
              <w:right w:val="single" w:sz="8" w:color="auto"/>
            </w:tcBorders>
            <w:vMerge w:val="continue"/>
          </w:tcPr>
          <w:p>
            <w:pPr>
              <w:spacing w:after="0"/>
              <w:rPr>
                <w:sz w:val="18"/>
                <w:szCs w:val="18"/>
                <w:color w:val="auto"/>
              </w:rPr>
            </w:pPr>
          </w:p>
        </w:tc>
        <w:tc>
          <w:tcPr>
            <w:tcW w:w="1340" w:type="dxa"/>
            <w:vAlign w:val="bottom"/>
            <w:tcBorders>
              <w:bottom w:val="single" w:sz="8" w:color="auto"/>
              <w:right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vMerge w:val="continue"/>
          </w:tcPr>
          <w:p>
            <w:pPr>
              <w:spacing w:after="0"/>
              <w:rPr>
                <w:sz w:val="18"/>
                <w:szCs w:val="18"/>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of 2020. Phase III trials are ongoing.</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Fast Track Designation is designed to expedite the development and review of new therapies to treat serious conditions and address unmet medical needs.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7"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December 2018, and our use patents expired in August 2019 in major European markets and the U.S. Both the formulation patent and the use patent expired in August 2019 in Japan. We expect further volume decline as a result of the entry of generic and biosimilar competition following the loss of patent exclusivity in these markets. In the aggregate, we expect that the decline in revenue will have a material adverse effect on our consolidated results of operations and cash flows.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19" w:right="319" w:bottom="1440" w:gutter="0" w:footer="0" w:header="0"/>
        </w:sectPr>
      </w:pPr>
    </w:p>
    <w:bookmarkStart w:id="40" w:name="page41"/>
    <w:bookmarkEnd w:id="40"/>
    <w:p>
      <w:pPr>
        <w:ind w:right="20"/>
        <w:spacing w:after="0" w:line="235" w:lineRule="auto"/>
        <w:rPr>
          <w:sz w:val="20"/>
          <w:szCs w:val="20"/>
          <w:color w:val="auto"/>
        </w:rPr>
      </w:pPr>
      <w:r>
        <w:rPr>
          <w:rFonts w:ascii="Arial" w:cs="Arial" w:eastAsia="Arial" w:hAnsi="Arial"/>
          <w:sz w:val="18"/>
          <w:szCs w:val="18"/>
          <w:color w:val="auto"/>
        </w:rPr>
        <w:t>The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vitamin regimen patents, which we expect to provide us with patent protection for Alimta through June 2021 in Japan and major European countries, and through May 2022 in the U.S., have been challenged in each of these jurisdictions. In the U.S., most challenges have been finally resolved in our favor and two remain in active litigation. We and Eagle Pharmaceuticals, Inc. (Eagle) reached an agreement in December 2019 to settle all pending litigation, allowing Eagle a limited initial entry into the market with its product starting February 2022 (up to an approximate three-week supply) and subsequent unlimited entry starting April 2022. An unfavorable outcome to patent challenges in the U.S. could have a material adverse impact on our future consolidated results of operations, liquidity, and financial position. We are aware that several companies have received approval to market generic versions of pemetrexed in major European markets (including generics currently on the market at risk in France and the Netherlands) and that additional generic competitors may choose to launch at risk. Following a final decision in the Supreme Court of Germany in July 2020 overturning the lower court and upholding the validity of our Alimta patent, </w:t>
      </w:r>
      <w:r>
        <w:rPr>
          <w:rFonts w:ascii="Arial" w:cs="Arial" w:eastAsia="Arial" w:hAnsi="Arial"/>
          <w:sz w:val="19"/>
          <w:szCs w:val="19"/>
          <w:color w:val="auto"/>
        </w:rPr>
        <w:t>several generics who were on the market at risk in Germany left. We have removed the remaining generics from the</w:t>
      </w:r>
      <w:r>
        <w:rPr>
          <w:rFonts w:ascii="Arial" w:cs="Arial" w:eastAsia="Arial" w:hAnsi="Arial"/>
          <w:sz w:val="18"/>
          <w:szCs w:val="18"/>
          <w:color w:val="auto"/>
        </w:rPr>
        <w:t xml:space="preserve"> </w:t>
      </w:r>
      <w:r>
        <w:rPr>
          <w:rFonts w:ascii="Arial" w:cs="Arial" w:eastAsia="Arial" w:hAnsi="Arial"/>
          <w:sz w:val="19"/>
          <w:szCs w:val="19"/>
          <w:color w:val="auto"/>
        </w:rPr>
        <w:t xml:space="preserve">market in Germany by obtaining preliminary injunctions in our favor. </w:t>
      </w:r>
      <w:r>
        <w:rPr>
          <w:rFonts w:ascii="Arial" w:cs="Arial" w:eastAsia="Arial" w:hAnsi="Arial"/>
          <w:sz w:val="17"/>
          <w:szCs w:val="17"/>
          <w:color w:val="auto"/>
        </w:rPr>
        <w:t>Although we will continue to seek to remove any such products in</w:t>
      </w:r>
      <w:r>
        <w:rPr>
          <w:rFonts w:ascii="Arial" w:cs="Arial" w:eastAsia="Arial" w:hAnsi="Arial"/>
          <w:sz w:val="19"/>
          <w:szCs w:val="19"/>
          <w:color w:val="auto"/>
        </w:rPr>
        <w:t xml:space="preserve"> </w:t>
      </w:r>
      <w:r>
        <w:rPr>
          <w:rFonts w:ascii="Arial" w:cs="Arial" w:eastAsia="Arial" w:hAnsi="Arial"/>
          <w:sz w:val="17"/>
          <w:szCs w:val="17"/>
          <w:color w:val="auto"/>
        </w:rPr>
        <w:t>other European countries, generic product entry is resulting in some loss in revenue in these jurisdictions. Our vitamin regimen patents have also been challenged in other smaller European jurisdictions. We expect that further entry of generic competition for Alimta following the loss of effective patent protection will cause a rapid and severe decline in future revenue for the product. See Note 10 to the consolidated condensed financial statements for a more detailed account of the legal proceedings currently pending in the U.S., Europe, and Japan regarding our Alimta patents.</w:t>
      </w:r>
    </w:p>
    <w:p>
      <w:pPr>
        <w:spacing w:after="0" w:line="9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w:t>
      </w:r>
    </w:p>
    <w:p>
      <w:pPr>
        <w:spacing w:after="0" w:line="10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compound patent protection for Cymbalta expired in Japan in January 2020. We expect generics to enter the market in mid 2021. We expect that the entry of generic competition will cause a rapid and severe decline in revenue and that the decline in revenue will have a material adverse effect on our consolidated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Currency Exchange Rates</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expenses. While there is uncertainty in the future movements in foreign exchange rates, fluctuations in these rates could negatively impact our future consolidated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initiatives affecting biopharmaceuticals include:</w:t>
      </w:r>
    </w:p>
    <w:p>
      <w:pPr>
        <w:spacing w:after="0" w:line="94" w:lineRule="exact"/>
        <w:rPr>
          <w:sz w:val="20"/>
          <w:szCs w:val="20"/>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Coronavirus Aid, Relief and Economic Security (CARES) Act and subsequent stimulus bills that focus on ensuring availability and access to lifesaving drugs during a public health crisis,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reference pricing in Medicare and private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modifications to Medicare Parts B and 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that would allow the Department of Health and Human Services to negotiate prices for biologics and drugs in Medicare,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reduction in biologic data exclusivity,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proposals related to Medicaid prescription drug coverage and manufacturer drug rebates,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proposals that would require biopharmaceutical manufacturers to disclose proprietary drug pricing information,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41" w:name="page42"/>
    <w:bookmarkEnd w:id="41"/>
    <w:p>
      <w:pPr>
        <w:ind w:left="660" w:right="18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state-level proposals related to prescription drug prices and reducing the cost of pharmaceuticals purchased by government health care programs.</w:t>
      </w:r>
    </w:p>
    <w:p>
      <w:pPr>
        <w:spacing w:after="0" w:line="33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On July 24, U.S. President Donald Trump signed four Executive Orders related to the 340B Prescription Drug Program, rebate reform in Medicare Part D, drug importation including insulin, and foreign reference pricing. We are currently reviewing those Executive Orders which have been issued, the impact of which is uncertain at this time.</w:t>
      </w:r>
    </w:p>
    <w:p>
      <w:pPr>
        <w:spacing w:after="0" w:line="23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California and several other states have enacted legislation related to prescription drug pricing transparency and it is unclear the effect this legislation will have on our business. Several states passed importation legislation, including Colorado, Florida, Maine, and Vermont. Specifically, the state of Florida is working with the Administration to implement an importation program from Canada as early as 2020. We are currently reviewing this state legislation, as well as corresponding proposed federal rulemaking and guidance published by the Department of Health and Human Services and the FDA, the impact of which is uncertain at this time. Minnesota recently passed legislation requiring the establishment of two insulin patient assistance programs, effective July 1, 2020, the impact of which is uncertain at this time.</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pharmaceuticals. Health plans, pharmacy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Value-based agreements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future consolidated results of operations. In addition to formulary placement, changes in insurance designs continue to drive greater consumer cost sharing through high deductible plans and higher co-insurance or co-pays (including co-pay accumulator and maximizer programs). We continue to invest in patient affordability solutions (resulting in lower revenue) in an effort to assist patients in affording their medicines.</w:t>
      </w:r>
    </w:p>
    <w:p>
      <w:pPr>
        <w:spacing w:after="0" w:line="1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could adversely affect our effective tax rate, results of operations, and cash flows. Countries around the world, including the U.S., actively consider and enact</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42" w:name="page43"/>
    <w:bookmarkEnd w:id="42"/>
    <w:p>
      <w:pPr>
        <w:ind w:right="60"/>
        <w:spacing w:after="0" w:line="254" w:lineRule="auto"/>
        <w:rPr>
          <w:sz w:val="20"/>
          <w:szCs w:val="20"/>
          <w:color w:val="auto"/>
        </w:rPr>
      </w:pPr>
      <w:r>
        <w:rPr>
          <w:rFonts w:ascii="Arial" w:cs="Arial" w:eastAsia="Arial" w:hAnsi="Arial"/>
          <w:sz w:val="18"/>
          <w:szCs w:val="18"/>
          <w:color w:val="auto"/>
        </w:rPr>
        <w:t>tax law changes. Further, actions taken with respect to tax-related matters by associations such as the Organisation for Economic Co-operation and Development and the European Commission could influence tax policy in countries in which we operate. Modifications to U.S. and foreign tax laws or regulations are frequently enacted and could result in material impacts to our results of operations and financial position.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strategically invest in external research and technologies that we believe to complement and strengthen our own efforts. These investments can take many forms, including licensing arrangements, collaborations, and acquisitions. We view our business development activity as an important way to achieve our strategies, as we seek to bolster our pipeline and enhance shareholder value. We continue to evaluate business development transactions that have the potential to strengthen our business.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2019, we acquired all shares of Loxo for a purchase price of $6.92 billion, net of cash acquired. Under the terms of the agreement, we acquired a pipeline of investigational medicines, including selpercatinib (Retevmo), an oral RET inhibitor, and LOXO-305, an oral BTK inhibitor. In the second quarter of 2020, the FDA approved selpercatinib (Retevmo) under its Accelerated Approval regulations and continued approval may be contingent upon verification and description of clinical benefit in confirmatory trials.</w:t>
      </w:r>
    </w:p>
    <w:p>
      <w:pPr>
        <w:spacing w:after="0" w:line="9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February 2020, we acquired all shares of Dermira for a purchase price of $849.3 million, net of cash acquired. Under terms of the agreement, we acquired lebrikizumab, a novel, investigational, monoclonal antibody being evaluated for the treatment of moderate-to-severe atopic dermatitis. Lebrikizumab was granted Fast Track designation from the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cloth, a medicated cloth for the topical treatment of primary axillary hyperhidrosis (uncontrolled excessive underarm sweating).</w:t>
      </w:r>
    </w:p>
    <w:p>
      <w:pPr>
        <w:spacing w:after="0" w:line="109" w:lineRule="exact"/>
        <w:rPr>
          <w:sz w:val="20"/>
          <w:szCs w:val="20"/>
          <w:color w:val="auto"/>
        </w:rPr>
      </w:pPr>
    </w:p>
    <w:p>
      <w:pPr>
        <w:ind w:right="1720"/>
        <w:spacing w:after="0" w:line="375" w:lineRule="auto"/>
        <w:rPr>
          <w:sz w:val="20"/>
          <w:szCs w:val="20"/>
          <w:color w:val="auto"/>
        </w:rPr>
      </w:pPr>
      <w:r>
        <w:rPr>
          <w:rFonts w:ascii="Arial" w:cs="Arial" w:eastAsia="Arial" w:hAnsi="Arial"/>
          <w:sz w:val="18"/>
          <w:szCs w:val="18"/>
          <w:color w:val="auto"/>
        </w:rPr>
        <w:t xml:space="preserve">See Note 3 to the consolidated condensed financial statements for further discussion regarding our recent acquisitions. </w:t>
      </w:r>
      <w:r>
        <w:rPr>
          <w:rFonts w:ascii="Arial" w:cs="Arial" w:eastAsia="Arial" w:hAnsi="Arial"/>
          <w:sz w:val="18"/>
          <w:szCs w:val="18"/>
          <w:i w:val="1"/>
          <w:iCs w:val="1"/>
          <w:u w:val="single" w:color="auto"/>
          <w:color w:val="auto"/>
        </w:rPr>
        <w:t>Legal Matters</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Information regarding contingencies relating to certain legal proceedings can be found in Item 1, "Legal Proceedings," of Part II of this Quarterly Report on Form 10-Q and is incorporated here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43" w:name="page44"/>
    <w:bookmarkEnd w:id="43"/>
    <w:p>
      <w:pPr>
        <w:jc w:val="center"/>
        <w:ind w:right="6280"/>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tcPr>
          <w:p>
            <w:pPr>
              <w:jc w:val="right"/>
              <w:ind w:right="615"/>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96"/>
        </w:trPr>
        <w:tc>
          <w:tcPr>
            <w:tcW w:w="4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162"/>
        </w:trPr>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6"/>
        </w:trPr>
        <w:tc>
          <w:tcPr>
            <w:tcW w:w="4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56"/>
        </w:trPr>
        <w:tc>
          <w:tcPr>
            <w:tcW w:w="41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U.S.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3,144.8</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3,252.5</w:t>
            </w:r>
          </w:p>
        </w:tc>
        <w:tc>
          <w:tcPr>
            <w:tcW w:w="94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6,473.6</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6,143.3</w:t>
            </w:r>
          </w:p>
        </w:tc>
        <w:tc>
          <w:tcPr>
            <w:tcW w:w="96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5</w:t>
            </w:r>
          </w:p>
        </w:tc>
      </w:tr>
      <w:tr>
        <w:trPr>
          <w:trHeight w:val="25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2,354.6</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2,384.2</w:t>
            </w:r>
          </w:p>
        </w:tc>
        <w:tc>
          <w:tcPr>
            <w:tcW w:w="94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(1)</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4,885.6</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4,585.6</w:t>
            </w:r>
          </w:p>
        </w:tc>
        <w:tc>
          <w:tcPr>
            <w:tcW w:w="96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7</w:t>
            </w:r>
          </w:p>
        </w:tc>
      </w:tr>
      <w:tr>
        <w:trPr>
          <w:trHeight w:val="26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5,499.4</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5,636.7</w:t>
            </w:r>
          </w:p>
        </w:tc>
        <w:tc>
          <w:tcPr>
            <w:tcW w:w="94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11,359.2</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10,728.9</w:t>
            </w:r>
          </w:p>
        </w:tc>
        <w:tc>
          <w:tcPr>
            <w:tcW w:w="96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jc w:val="center"/>
              <w:ind w:right="59"/>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Pr>
          <w:p>
            <w:pPr>
              <w:spacing w:after="0"/>
              <w:rPr>
                <w:sz w:val="14"/>
                <w:szCs w:val="14"/>
                <w:color w:val="auto"/>
              </w:rPr>
            </w:pPr>
          </w:p>
        </w:tc>
      </w:tr>
      <w:tr>
        <w:trPr>
          <w:trHeight w:val="196"/>
        </w:trPr>
        <w:tc>
          <w:tcPr>
            <w:tcW w:w="30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1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7"/>
                <w:szCs w:val="17"/>
                <w:color w:val="auto"/>
              </w:rPr>
            </w:pPr>
          </w:p>
        </w:tc>
      </w:tr>
      <w:tr>
        <w:trPr>
          <w:trHeight w:val="209"/>
        </w:trPr>
        <w:tc>
          <w:tcPr>
            <w:tcW w:w="30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 vs. 2019</w:t>
            </w:r>
          </w:p>
        </w:tc>
        <w:tc>
          <w:tcPr>
            <w:tcW w:w="1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2020 vs. 2019</w:t>
            </w:r>
          </w:p>
        </w:tc>
        <w:tc>
          <w:tcPr>
            <w:tcW w:w="1260" w:type="dxa"/>
            <w:vAlign w:val="bottom"/>
            <w:tcBorders>
              <w:bottom w:val="single" w:sz="8" w:color="auto"/>
            </w:tcBorders>
          </w:tcPr>
          <w:p>
            <w:pPr>
              <w:spacing w:after="0"/>
              <w:rPr>
                <w:sz w:val="18"/>
                <w:szCs w:val="18"/>
                <w:color w:val="auto"/>
              </w:rPr>
            </w:pPr>
          </w:p>
        </w:tc>
      </w:tr>
      <w:tr>
        <w:trPr>
          <w:trHeight w:val="209"/>
        </w:trPr>
        <w:tc>
          <w:tcPr>
            <w:tcW w:w="30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Outside U.S.</w:t>
            </w:r>
          </w:p>
        </w:tc>
        <w:tc>
          <w:tcPr>
            <w:tcW w:w="15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Consolidated</w:t>
            </w: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U.S.</w:t>
            </w: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Outside U.S.</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7 %</w:t>
            </w:r>
          </w:p>
        </w:tc>
        <w:tc>
          <w:tcPr>
            <w:tcW w:w="1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16 %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520" w:type="dxa"/>
            <w:vAlign w:val="bottom"/>
          </w:tcPr>
          <w:p>
            <w:pPr>
              <w:jc w:val="right"/>
              <w:ind w:right="279"/>
              <w:spacing w:after="0"/>
              <w:rPr>
                <w:sz w:val="20"/>
                <w:szCs w:val="20"/>
                <w:color w:val="auto"/>
              </w:rPr>
            </w:pPr>
            <w:r>
              <w:rPr>
                <w:rFonts w:ascii="Arial" w:cs="Arial" w:eastAsia="Arial" w:hAnsi="Arial"/>
                <w:sz w:val="18"/>
                <w:szCs w:val="18"/>
                <w:color w:val="auto"/>
              </w:rPr>
              <w:t>(7)</w:t>
            </w:r>
          </w:p>
        </w:tc>
        <w:tc>
          <w:tcPr>
            <w:tcW w:w="1540" w:type="dxa"/>
            <w:vAlign w:val="bottom"/>
          </w:tcPr>
          <w:p>
            <w:pPr>
              <w:jc w:val="right"/>
              <w:ind w:right="434"/>
              <w:spacing w:after="0"/>
              <w:rPr>
                <w:sz w:val="20"/>
                <w:szCs w:val="20"/>
                <w:color w:val="auto"/>
              </w:rPr>
            </w:pPr>
            <w:r>
              <w:rPr>
                <w:rFonts w:ascii="Arial" w:cs="Arial" w:eastAsia="Arial" w:hAnsi="Arial"/>
                <w:sz w:val="18"/>
                <w:szCs w:val="18"/>
                <w:color w:val="auto"/>
              </w:rPr>
              <w:t>(7)</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(6)</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(7)</w:t>
            </w:r>
          </w:p>
        </w:tc>
      </w:tr>
      <w:tr>
        <w:trPr>
          <w:trHeight w:val="25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8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(2)</w:t>
            </w:r>
          </w:p>
        </w:tc>
        <w:tc>
          <w:tcPr>
            <w:tcW w:w="15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w:t>
            </w:r>
          </w:p>
        </w:tc>
      </w:tr>
      <w:tr>
        <w:trPr>
          <w:trHeight w:val="263"/>
        </w:trPr>
        <w:tc>
          <w:tcPr>
            <w:tcW w:w="302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8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7 %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estimate that the COVID-19 pandemic negatively impacted worldwide revenue for the three months ended June 30, 2020 by approximately $250 million of decreased customer buying that largely offset product stocking that occurred in the first quarter of 2020 and approximately $250 million resulting from delayed new patient prescription trends. We estimate that the COVID-19 pandemic negatively impacted worldwide revenue for the six months ended June 30, 2020 by approximately $ 250 million due to delayed new patient prescription trends, while product stocking in the first quarter of 2020 was largely offset by decreased customer buying in the second quarter of 2020. We estimate that the decreased customer buying in second quarter of 2020 that largely offset product stocking that occurred in the first quarter of 2020 lowered revenue in the U.S. by $200 million and revenue outside the U.S. by approximately $ 50 million for the three months ended June 30, 2020. We estimate that the delayed new patient prescription trends decreased revenue in the U.S. by approximately $150 million and revenue outside the U.S. by approximately $100 million for both the three and six months ended June 30, 2020.</w:t>
      </w:r>
    </w:p>
    <w:p>
      <w:pPr>
        <w:spacing w:after="0" w:line="10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U.S. for the three and six months ended June 30, 2020 the decrease in realized prices was driven primarily by changes to estimates for rebates and discounts, mainly for diabetes products, reflecting both a favorable adjustment in the Medicaid segment in the second quarter of 2019 and an unfavorable adjustment in the commercial segment in the second quarter of 2020. The decrease in realized prices in the U.S. also reflects higher growth in lower net price segments across numerous products and increased rebates to gain and maintain broad commercial access across the portfolio. In the U.S. for the three months ended June 30, 2020 the increase in volume was primarily driven by Trulicity, Taltz</w:t>
      </w:r>
      <w:r>
        <w:rPr>
          <w:rFonts w:ascii="Arial" w:cs="Arial" w:eastAsia="Arial" w:hAnsi="Arial"/>
          <w:sz w:val="23"/>
          <w:szCs w:val="23"/>
          <w:color w:val="auto"/>
          <w:vertAlign w:val="superscript"/>
        </w:rPr>
        <w:t>®</w:t>
      </w:r>
      <w:r>
        <w:rPr>
          <w:rFonts w:ascii="Arial" w:cs="Arial" w:eastAsia="Arial" w:hAnsi="Arial"/>
          <w:sz w:val="18"/>
          <w:szCs w:val="18"/>
          <w:color w:val="auto"/>
        </w:rPr>
        <w:t>, Emgality, and Verzenio</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lower volume for products including Trajenta</w:t>
      </w:r>
      <w:r>
        <w:rPr>
          <w:rFonts w:ascii="Arial" w:cs="Arial" w:eastAsia="Arial" w:hAnsi="Arial"/>
          <w:sz w:val="23"/>
          <w:szCs w:val="23"/>
          <w:color w:val="auto"/>
          <w:vertAlign w:val="superscript"/>
        </w:rPr>
        <w:t>®</w:t>
      </w:r>
      <w:r>
        <w:rPr>
          <w:rFonts w:ascii="Arial" w:cs="Arial" w:eastAsia="Arial" w:hAnsi="Arial"/>
          <w:sz w:val="18"/>
          <w:szCs w:val="18"/>
          <w:color w:val="auto"/>
        </w:rPr>
        <w:t>, Forteo, and Alimta. In the U.S. for the six months ended June 30, 2020 the volume increase was primarily driven by Trulicity, Taltz, Humalog, Emgality, Verzenio, and Humulin</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decreased volume for Cialis</w:t>
      </w:r>
      <w:r>
        <w:rPr>
          <w:rFonts w:ascii="Arial" w:cs="Arial" w:eastAsia="Arial" w:hAnsi="Arial"/>
          <w:sz w:val="23"/>
          <w:szCs w:val="23"/>
          <w:color w:val="auto"/>
          <w:vertAlign w:val="superscript"/>
        </w:rPr>
        <w:t>®</w:t>
      </w:r>
      <w:r>
        <w:rPr>
          <w:rFonts w:ascii="Arial" w:cs="Arial" w:eastAsia="Arial" w:hAnsi="Arial"/>
          <w:sz w:val="18"/>
          <w:szCs w:val="18"/>
          <w:color w:val="auto"/>
        </w:rPr>
        <w:t>, Trajenta and Forteo.</w:t>
      </w:r>
    </w:p>
    <w:p>
      <w:pPr>
        <w:spacing w:after="0" w:line="21"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Outside the U.S. for the three and six months ended June 30, 2020, the decrease in realized prices was driven primarily by the inclusion of Tyvyt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Alimta in government reimbursement programs in China and bi-annual government mandated price decreases in Japan. Outside the U.S. for the three months ended June 30, 2020, the increase in volume was primarily driven by Tyvyt, Trulicity, Olumiant</w:t>
      </w:r>
      <w:r>
        <w:rPr>
          <w:rFonts w:ascii="Arial" w:cs="Arial" w:eastAsia="Arial" w:hAnsi="Arial"/>
          <w:sz w:val="23"/>
          <w:szCs w:val="23"/>
          <w:color w:val="auto"/>
          <w:vertAlign w:val="superscript"/>
        </w:rPr>
        <w:t>®</w:t>
      </w:r>
      <w:r>
        <w:rPr>
          <w:rFonts w:ascii="Arial" w:cs="Arial" w:eastAsia="Arial" w:hAnsi="Arial"/>
          <w:sz w:val="18"/>
          <w:szCs w:val="18"/>
          <w:color w:val="auto"/>
        </w:rPr>
        <w:t>, Verzenio, Gemzar</w:t>
      </w:r>
      <w:r>
        <w:rPr>
          <w:rFonts w:ascii="Arial" w:cs="Arial" w:eastAsia="Arial" w:hAnsi="Arial"/>
          <w:sz w:val="23"/>
          <w:szCs w:val="23"/>
          <w:color w:val="auto"/>
          <w:vertAlign w:val="superscript"/>
        </w:rPr>
        <w:t>®</w:t>
      </w:r>
      <w:r>
        <w:rPr>
          <w:rFonts w:ascii="Arial" w:cs="Arial" w:eastAsia="Arial" w:hAnsi="Arial"/>
          <w:sz w:val="18"/>
          <w:szCs w:val="18"/>
          <w:color w:val="auto"/>
        </w:rPr>
        <w:t>, Jardiance</w:t>
      </w:r>
      <w:r>
        <w:rPr>
          <w:rFonts w:ascii="Arial" w:cs="Arial" w:eastAsia="Arial" w:hAnsi="Arial"/>
          <w:sz w:val="23"/>
          <w:szCs w:val="23"/>
          <w:color w:val="auto"/>
          <w:vertAlign w:val="superscript"/>
        </w:rPr>
        <w:t>®</w:t>
      </w:r>
      <w:r>
        <w:rPr>
          <w:rFonts w:ascii="Arial" w:cs="Arial" w:eastAsia="Arial" w:hAnsi="Arial"/>
          <w:sz w:val="18"/>
          <w:szCs w:val="18"/>
          <w:color w:val="auto"/>
        </w:rPr>
        <w:t>, and Taltz, partially offset by decreased volume for Cialis, Forteo, Trajenta, and Strattera</w:t>
      </w:r>
      <w:r>
        <w:rPr>
          <w:rFonts w:ascii="Arial" w:cs="Arial" w:eastAsia="Arial" w:hAnsi="Arial"/>
          <w:sz w:val="23"/>
          <w:szCs w:val="23"/>
          <w:color w:val="auto"/>
          <w:vertAlign w:val="superscript"/>
        </w:rPr>
        <w:t>®</w:t>
      </w:r>
      <w:r>
        <w:rPr>
          <w:rFonts w:ascii="Arial" w:cs="Arial" w:eastAsia="Arial" w:hAnsi="Arial"/>
          <w:sz w:val="18"/>
          <w:szCs w:val="18"/>
          <w:color w:val="auto"/>
        </w:rPr>
        <w:t>. Outside the U.S. for the six months ended June 30, 2020, the volume increase was primarily driven by Tyvyt, Trulicity, Alimta, Olumiant, Verzenio, Taltz, Jardiance, Cymbalta</w:t>
      </w:r>
      <w:r>
        <w:rPr>
          <w:rFonts w:ascii="Arial" w:cs="Arial" w:eastAsia="Arial" w:hAnsi="Arial"/>
          <w:sz w:val="23"/>
          <w:szCs w:val="23"/>
          <w:color w:val="auto"/>
          <w:vertAlign w:val="superscript"/>
        </w:rPr>
        <w:t>®</w:t>
      </w:r>
      <w:r>
        <w:rPr>
          <w:rFonts w:ascii="Arial" w:cs="Arial" w:eastAsia="Arial" w:hAnsi="Arial"/>
          <w:sz w:val="18"/>
          <w:szCs w:val="18"/>
          <w:color w:val="auto"/>
        </w:rPr>
        <w:t>, and Cyramza</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decreased volume for Strattera, Trajenta, Forteo, and Cialis.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summarizes our revenue activity by product for the three months ended June 30, 2020 and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6"/>
        </w:trPr>
        <w:tc>
          <w:tcPr>
            <w:tcW w:w="4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09"/>
        </w:trPr>
        <w:tc>
          <w:tcPr>
            <w:tcW w:w="4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400" w:type="dxa"/>
            <w:vAlign w:val="bottom"/>
          </w:tcPr>
          <w:p>
            <w:pPr>
              <w:spacing w:after="0"/>
              <w:rPr>
                <w:sz w:val="18"/>
                <w:szCs w:val="18"/>
                <w:color w:val="auto"/>
              </w:rPr>
            </w:pPr>
          </w:p>
        </w:tc>
      </w:tr>
      <w:tr>
        <w:trPr>
          <w:trHeight w:val="21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Outside U.S.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952.5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277.2</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1,229.8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1,028.5</w:t>
            </w:r>
          </w:p>
        </w:tc>
        <w:tc>
          <w:tcPr>
            <w:tcW w:w="14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20</w:t>
            </w:r>
          </w:p>
        </w:tc>
      </w:tr>
      <w:tr>
        <w:trPr>
          <w:trHeight w:val="257"/>
        </w:trPr>
        <w:tc>
          <w:tcPr>
            <w:tcW w:w="41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Humalog </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281.7</w:t>
            </w:r>
          </w:p>
        </w:tc>
        <w:tc>
          <w:tcPr>
            <w:tcW w:w="300" w:type="dxa"/>
            <w:vAlign w:val="bottom"/>
          </w:tcPr>
          <w:p>
            <w:pPr>
              <w:spacing w:after="0"/>
              <w:rPr>
                <w:sz w:val="22"/>
                <w:szCs w:val="22"/>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273.3</w:t>
            </w:r>
          </w:p>
        </w:tc>
        <w:tc>
          <w:tcPr>
            <w:tcW w:w="5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555.1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677.6</w:t>
            </w:r>
          </w:p>
        </w:tc>
        <w:tc>
          <w:tcPr>
            <w:tcW w:w="1400" w:type="dxa"/>
            <w:vAlign w:val="bottom"/>
          </w:tcPr>
          <w:p>
            <w:pPr>
              <w:jc w:val="center"/>
              <w:ind w:left="31"/>
              <w:spacing w:after="0"/>
              <w:rPr>
                <w:sz w:val="20"/>
                <w:szCs w:val="20"/>
                <w:color w:val="auto"/>
              </w:rPr>
            </w:pPr>
            <w:r>
              <w:rPr>
                <w:rFonts w:ascii="Arial" w:cs="Arial" w:eastAsia="Arial" w:hAnsi="Arial"/>
                <w:sz w:val="18"/>
                <w:szCs w:val="18"/>
                <w:color w:val="auto"/>
                <w:w w:val="99"/>
              </w:rPr>
              <w:t>(18)</w:t>
            </w: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317.2</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221.9</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577.8</w:t>
            </w:r>
          </w:p>
        </w:tc>
        <w:tc>
          <w:tcPr>
            <w:tcW w:w="14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Taltz</w:t>
            </w:r>
          </w:p>
        </w:tc>
        <w:tc>
          <w:tcPr>
            <w:tcW w:w="28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289.2</w:t>
            </w: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106.0</w:t>
            </w:r>
          </w:p>
        </w:tc>
        <w:tc>
          <w:tcPr>
            <w:tcW w:w="5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395.2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353.8</w:t>
            </w:r>
          </w:p>
        </w:tc>
        <w:tc>
          <w:tcPr>
            <w:tcW w:w="1400" w:type="dxa"/>
            <w:vAlign w:val="bottom"/>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6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Humulin</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214.3</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99.3</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322.6</w:t>
            </w:r>
          </w:p>
        </w:tc>
        <w:tc>
          <w:tcPr>
            <w:tcW w:w="14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w:t>
            </w:r>
          </w:p>
        </w:tc>
      </w:tr>
      <w:tr>
        <w:trPr>
          <w:trHeight w:val="256"/>
        </w:trPr>
        <w:tc>
          <w:tcPr>
            <w:tcW w:w="4160" w:type="dxa"/>
            <w:vAlign w:val="bottom"/>
          </w:tcPr>
          <w:p>
            <w:pPr>
              <w:ind w:left="20"/>
              <w:spacing w:after="0" w:line="256"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p>
        </w:tc>
        <w:tc>
          <w:tcPr>
            <w:tcW w:w="28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229.7</w:t>
            </w:r>
          </w:p>
        </w:tc>
        <w:tc>
          <w:tcPr>
            <w:tcW w:w="300" w:type="dxa"/>
            <w:vAlign w:val="bottom"/>
          </w:tcPr>
          <w:p>
            <w:pPr>
              <w:spacing w:after="0"/>
              <w:rPr>
                <w:sz w:val="22"/>
                <w:szCs w:val="22"/>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60.7</w:t>
            </w:r>
          </w:p>
        </w:tc>
        <w:tc>
          <w:tcPr>
            <w:tcW w:w="5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290.4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290.7</w:t>
            </w:r>
          </w:p>
        </w:tc>
        <w:tc>
          <w:tcPr>
            <w:tcW w:w="140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r>
      <w:tr>
        <w:trPr>
          <w:trHeight w:val="257"/>
        </w:trPr>
        <w:tc>
          <w:tcPr>
            <w:tcW w:w="41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145.1</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116.9</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262.0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231.9</w:t>
            </w:r>
          </w:p>
        </w:tc>
        <w:tc>
          <w:tcPr>
            <w:tcW w:w="14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57"/>
        </w:trPr>
        <w:tc>
          <w:tcPr>
            <w:tcW w:w="4160" w:type="dxa"/>
            <w:vAlign w:val="bottom"/>
          </w:tcPr>
          <w:p>
            <w:pPr>
              <w:ind w:left="20"/>
              <w:spacing w:after="0" w:line="256"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28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94.1</w:t>
            </w:r>
          </w:p>
        </w:tc>
        <w:tc>
          <w:tcPr>
            <w:tcW w:w="300" w:type="dxa"/>
            <w:vAlign w:val="bottom"/>
          </w:tcPr>
          <w:p>
            <w:pPr>
              <w:spacing w:after="0"/>
              <w:rPr>
                <w:sz w:val="22"/>
                <w:szCs w:val="22"/>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162.7</w:t>
            </w:r>
          </w:p>
        </w:tc>
        <w:tc>
          <w:tcPr>
            <w:tcW w:w="5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256.7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241.8</w:t>
            </w:r>
          </w:p>
        </w:tc>
        <w:tc>
          <w:tcPr>
            <w:tcW w:w="1400" w:type="dxa"/>
            <w:vAlign w:val="bottom"/>
          </w:tcPr>
          <w:p>
            <w:pPr>
              <w:jc w:val="center"/>
              <w:ind w:left="11"/>
              <w:spacing w:after="0"/>
              <w:rPr>
                <w:sz w:val="20"/>
                <w:szCs w:val="20"/>
                <w:color w:val="auto"/>
              </w:rPr>
            </w:pPr>
            <w:r>
              <w:rPr>
                <w:rFonts w:ascii="Arial" w:cs="Arial" w:eastAsia="Arial" w:hAnsi="Arial"/>
                <w:sz w:val="18"/>
                <w:szCs w:val="18"/>
                <w:color w:val="auto"/>
                <w:w w:val="99"/>
              </w:rPr>
              <w:t>6</w:t>
            </w: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Forteo</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119.6</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133.0</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360.8</w:t>
            </w:r>
          </w:p>
        </w:tc>
        <w:tc>
          <w:tcPr>
            <w:tcW w:w="14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(30)</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Verzenio</w:t>
            </w:r>
          </w:p>
        </w:tc>
        <w:tc>
          <w:tcPr>
            <w:tcW w:w="28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141.7</w:t>
            </w: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66.9</w:t>
            </w:r>
          </w:p>
        </w:tc>
        <w:tc>
          <w:tcPr>
            <w:tcW w:w="5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133.9</w:t>
            </w:r>
          </w:p>
        </w:tc>
        <w:tc>
          <w:tcPr>
            <w:tcW w:w="1400" w:type="dxa"/>
            <w:vAlign w:val="bottom"/>
          </w:tcPr>
          <w:p>
            <w:pPr>
              <w:jc w:val="center"/>
              <w:ind w:left="31"/>
              <w:spacing w:after="0"/>
              <w:rPr>
                <w:sz w:val="20"/>
                <w:szCs w:val="20"/>
                <w:color w:val="auto"/>
              </w:rPr>
            </w:pPr>
            <w:r>
              <w:rPr>
                <w:rFonts w:ascii="Arial" w:cs="Arial" w:eastAsia="Arial" w:hAnsi="Arial"/>
                <w:sz w:val="18"/>
                <w:szCs w:val="18"/>
                <w:color w:val="auto"/>
                <w:w w:val="99"/>
              </w:rPr>
              <w:t>56</w:t>
            </w:r>
          </w:p>
        </w:tc>
      </w:tr>
      <w:tr>
        <w:trPr>
          <w:trHeight w:val="26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Cymbalta</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7.7</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172.1</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187.2</w:t>
            </w:r>
          </w:p>
        </w:tc>
        <w:tc>
          <w:tcPr>
            <w:tcW w:w="14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(4)</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Olumiant</w:t>
            </w:r>
          </w:p>
        </w:tc>
        <w:tc>
          <w:tcPr>
            <w:tcW w:w="28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13.2</w:t>
            </w: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131.8</w:t>
            </w:r>
          </w:p>
        </w:tc>
        <w:tc>
          <w:tcPr>
            <w:tcW w:w="5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102.4</w:t>
            </w:r>
          </w:p>
        </w:tc>
        <w:tc>
          <w:tcPr>
            <w:tcW w:w="1400" w:type="dxa"/>
            <w:vAlign w:val="bottom"/>
          </w:tcPr>
          <w:p>
            <w:pPr>
              <w:jc w:val="center"/>
              <w:ind w:left="31"/>
              <w:spacing w:after="0"/>
              <w:rPr>
                <w:sz w:val="20"/>
                <w:szCs w:val="20"/>
                <w:color w:val="auto"/>
              </w:rPr>
            </w:pPr>
            <w:r>
              <w:rPr>
                <w:rFonts w:ascii="Arial" w:cs="Arial" w:eastAsia="Arial" w:hAnsi="Arial"/>
                <w:sz w:val="18"/>
                <w:szCs w:val="18"/>
                <w:color w:val="auto"/>
                <w:w w:val="99"/>
              </w:rPr>
              <w:t>42</w:t>
            </w:r>
          </w:p>
        </w:tc>
      </w:tr>
      <w:tr>
        <w:trPr>
          <w:trHeight w:val="26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Cialis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23.4</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107.3</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200.2</w:t>
            </w:r>
          </w:p>
        </w:tc>
        <w:tc>
          <w:tcPr>
            <w:tcW w:w="14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(35)</w:t>
            </w:r>
          </w:p>
        </w:tc>
      </w:tr>
      <w:tr>
        <w:trPr>
          <w:trHeight w:val="257"/>
        </w:trPr>
        <w:tc>
          <w:tcPr>
            <w:tcW w:w="4160" w:type="dxa"/>
            <w:vAlign w:val="bottom"/>
          </w:tcPr>
          <w:p>
            <w:pPr>
              <w:ind w:left="20"/>
              <w:spacing w:after="0" w:line="256"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28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115.8</w:t>
            </w:r>
          </w:p>
        </w:tc>
        <w:tc>
          <w:tcPr>
            <w:tcW w:w="300" w:type="dxa"/>
            <w:vAlign w:val="bottom"/>
          </w:tcPr>
          <w:p>
            <w:pPr>
              <w:spacing w:after="0"/>
              <w:rPr>
                <w:sz w:val="22"/>
                <w:szCs w:val="22"/>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13.7</w:t>
            </w:r>
          </w:p>
        </w:tc>
        <w:tc>
          <w:tcPr>
            <w:tcW w:w="5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129.5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159.3</w:t>
            </w:r>
          </w:p>
        </w:tc>
        <w:tc>
          <w:tcPr>
            <w:tcW w:w="1400" w:type="dxa"/>
            <w:vAlign w:val="bottom"/>
          </w:tcPr>
          <w:p>
            <w:pPr>
              <w:jc w:val="center"/>
              <w:ind w:left="31"/>
              <w:spacing w:after="0"/>
              <w:rPr>
                <w:sz w:val="20"/>
                <w:szCs w:val="20"/>
                <w:color w:val="auto"/>
              </w:rPr>
            </w:pPr>
            <w:r>
              <w:rPr>
                <w:rFonts w:ascii="Arial" w:cs="Arial" w:eastAsia="Arial" w:hAnsi="Arial"/>
                <w:sz w:val="18"/>
                <w:szCs w:val="18"/>
                <w:color w:val="auto"/>
                <w:w w:val="99"/>
              </w:rPr>
              <w:t>(19)</w:t>
            </w:r>
          </w:p>
        </w:tc>
      </w:tr>
      <w:tr>
        <w:trPr>
          <w:trHeight w:val="256"/>
        </w:trPr>
        <w:tc>
          <w:tcPr>
            <w:tcW w:w="41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9.1</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87.5</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104.3</w:t>
            </w:r>
          </w:p>
        </w:tc>
        <w:tc>
          <w:tcPr>
            <w:tcW w:w="14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Emgality</w:t>
            </w:r>
          </w:p>
        </w:tc>
        <w:tc>
          <w:tcPr>
            <w:tcW w:w="28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80.6</w:t>
            </w: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6.8</w:t>
            </w:r>
          </w:p>
        </w:tc>
        <w:tc>
          <w:tcPr>
            <w:tcW w:w="5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34.3</w:t>
            </w:r>
          </w:p>
        </w:tc>
        <w:tc>
          <w:tcPr>
            <w:tcW w:w="140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63"/>
        </w:trPr>
        <w:tc>
          <w:tcPr>
            <w:tcW w:w="416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16.4</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60.5</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153.9</w:t>
            </w:r>
          </w:p>
        </w:tc>
        <w:tc>
          <w:tcPr>
            <w:tcW w:w="14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(50)</w:t>
            </w:r>
          </w:p>
        </w:tc>
      </w:tr>
      <w:tr>
        <w:trPr>
          <w:trHeight w:val="25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93.5</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257.0</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350.3</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475.7</w:t>
            </w:r>
          </w:p>
        </w:tc>
        <w:tc>
          <w:tcPr>
            <w:tcW w:w="1400" w:type="dxa"/>
            <w:vAlign w:val="bottom"/>
            <w:tcBorders>
              <w:bottom w:val="single" w:sz="8" w:color="CCEEFF"/>
            </w:tcBorders>
          </w:tcPr>
          <w:p>
            <w:pPr>
              <w:jc w:val="center"/>
              <w:ind w:left="31"/>
              <w:spacing w:after="0"/>
              <w:rPr>
                <w:sz w:val="20"/>
                <w:szCs w:val="20"/>
                <w:color w:val="auto"/>
              </w:rPr>
            </w:pPr>
            <w:r>
              <w:rPr>
                <w:rFonts w:ascii="Arial" w:cs="Arial" w:eastAsia="Arial" w:hAnsi="Arial"/>
                <w:sz w:val="18"/>
                <w:szCs w:val="18"/>
                <w:color w:val="auto"/>
                <w:w w:val="99"/>
              </w:rPr>
              <w:t>(26)</w:t>
            </w:r>
          </w:p>
        </w:tc>
      </w:tr>
      <w:tr>
        <w:trPr>
          <w:trHeight w:val="263"/>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3,144.8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2,354.6</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5,499.4</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5,636.7</w:t>
            </w:r>
          </w:p>
        </w:tc>
        <w:tc>
          <w:tcPr>
            <w:tcW w:w="14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8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67"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summarizes our revenue activity by product for the six months ended June 30, 2020 and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4"/>
          </w:tcPr>
          <w:p>
            <w:pPr>
              <w:ind w:left="58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6"/>
        </w:trPr>
        <w:tc>
          <w:tcPr>
            <w:tcW w:w="4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4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380" w:type="dxa"/>
            <w:vAlign w:val="bottom"/>
          </w:tcPr>
          <w:p>
            <w:pPr>
              <w:spacing w:after="0"/>
              <w:rPr>
                <w:sz w:val="18"/>
                <w:szCs w:val="18"/>
                <w:color w:val="auto"/>
              </w:rPr>
            </w:pPr>
          </w:p>
        </w:tc>
      </w:tr>
      <w:tr>
        <w:trPr>
          <w:trHeight w:val="21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Outside U.S.</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1,882.0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577.1</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2,459.1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1,908.3</w:t>
            </w:r>
          </w:p>
        </w:tc>
        <w:tc>
          <w:tcPr>
            <w:tcW w:w="13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29</w:t>
            </w:r>
          </w:p>
        </w:tc>
      </w:tr>
      <w:tr>
        <w:trPr>
          <w:trHeight w:val="257"/>
        </w:trPr>
        <w:tc>
          <w:tcPr>
            <w:tcW w:w="41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Humalog </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680.3</w:t>
            </w:r>
          </w:p>
        </w:tc>
        <w:tc>
          <w:tcPr>
            <w:tcW w:w="30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570.5</w:t>
            </w:r>
          </w:p>
        </w:tc>
        <w:tc>
          <w:tcPr>
            <w:tcW w:w="48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1,250.8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1,408.4</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99"/>
              </w:rPr>
              <w:t>(11)</w:t>
            </w: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641.5</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457.7</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1,099.2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1,076.9</w:t>
            </w:r>
          </w:p>
        </w:tc>
        <w:tc>
          <w:tcPr>
            <w:tcW w:w="13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Taltz</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616.7</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222.0</w:t>
            </w: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838.7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606.3</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99"/>
              </w:rPr>
              <w:t>38</w:t>
            </w:r>
          </w:p>
        </w:tc>
      </w:tr>
      <w:tr>
        <w:trPr>
          <w:trHeight w:val="26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Humulin</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428.4</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200.8</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629.3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620.3</w:t>
            </w:r>
          </w:p>
        </w:tc>
        <w:tc>
          <w:tcPr>
            <w:tcW w:w="13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Basaglar</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460.1</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134.0</w:t>
            </w: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594.1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542.1</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99"/>
              </w:rPr>
              <w:t>10</w:t>
            </w:r>
          </w:p>
        </w:tc>
      </w:tr>
      <w:tr>
        <w:trPr>
          <w:trHeight w:val="263"/>
        </w:trPr>
        <w:tc>
          <w:tcPr>
            <w:tcW w:w="416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289.7</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239.8</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435.5</w:t>
            </w:r>
          </w:p>
        </w:tc>
        <w:tc>
          <w:tcPr>
            <w:tcW w:w="13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22</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Forteo</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242.2</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282.9</w:t>
            </w: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673.7</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99"/>
              </w:rPr>
              <w:t>(22)</w:t>
            </w:r>
          </w:p>
        </w:tc>
      </w:tr>
      <w:tr>
        <w:trPr>
          <w:trHeight w:val="26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Cyramza</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183.2</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312.5</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495.7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440.0</w:t>
            </w:r>
          </w:p>
        </w:tc>
        <w:tc>
          <w:tcPr>
            <w:tcW w:w="13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13</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Verzenio</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271.1</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125.6</w:t>
            </w: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396.7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243.3</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99"/>
              </w:rPr>
              <w:t>63</w:t>
            </w:r>
          </w:p>
        </w:tc>
      </w:tr>
      <w:tr>
        <w:trPr>
          <w:trHeight w:val="26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Cymbalta</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19.3</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370.9</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390.3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351.3</w:t>
            </w:r>
          </w:p>
        </w:tc>
        <w:tc>
          <w:tcPr>
            <w:tcW w:w="13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11</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Cialis</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49.5</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274.3</w:t>
            </w: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323.8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508.4</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99"/>
              </w:rPr>
              <w:t>(36)</w:t>
            </w:r>
          </w:p>
        </w:tc>
      </w:tr>
      <w:tr>
        <w:trPr>
          <w:trHeight w:val="26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24.5</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260.2</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184.5</w:t>
            </w:r>
          </w:p>
        </w:tc>
        <w:tc>
          <w:tcPr>
            <w:tcW w:w="13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54</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Erbitux</w:t>
            </w:r>
          </w:p>
        </w:tc>
        <w:tc>
          <w:tcPr>
            <w:tcW w:w="2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233.7</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26.7</w:t>
            </w: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260.3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277.7</w:t>
            </w:r>
          </w:p>
        </w:tc>
        <w:tc>
          <w:tcPr>
            <w:tcW w:w="1380" w:type="dxa"/>
            <w:vAlign w:val="bottom"/>
          </w:tcPr>
          <w:p>
            <w:pPr>
              <w:jc w:val="center"/>
              <w:ind w:left="31"/>
              <w:spacing w:after="0"/>
              <w:rPr>
                <w:sz w:val="20"/>
                <w:szCs w:val="20"/>
                <w:color w:val="auto"/>
              </w:rPr>
            </w:pPr>
            <w:r>
              <w:rPr>
                <w:rFonts w:ascii="Arial" w:cs="Arial" w:eastAsia="Arial" w:hAnsi="Arial"/>
                <w:sz w:val="18"/>
                <w:szCs w:val="18"/>
                <w:color w:val="auto"/>
                <w:w w:val="99"/>
              </w:rPr>
              <w:t>(6)</w:t>
            </w:r>
          </w:p>
        </w:tc>
      </w:tr>
      <w:tr>
        <w:trPr>
          <w:trHeight w:val="26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Zyprexa</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20.3</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174.7</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195.0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211.5</w:t>
            </w:r>
          </w:p>
        </w:tc>
        <w:tc>
          <w:tcPr>
            <w:tcW w:w="13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(8)</w:t>
            </w:r>
          </w:p>
        </w:tc>
      </w:tr>
      <w:tr>
        <w:trPr>
          <w:trHeight w:val="257"/>
        </w:trPr>
        <w:tc>
          <w:tcPr>
            <w:tcW w:w="41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(4)</w:t>
            </w:r>
          </w:p>
        </w:tc>
        <w:tc>
          <w:tcPr>
            <w:tcW w:w="2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45.1</w:t>
            </w:r>
          </w:p>
        </w:tc>
        <w:tc>
          <w:tcPr>
            <w:tcW w:w="30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124.9</w:t>
            </w:r>
          </w:p>
        </w:tc>
        <w:tc>
          <w:tcPr>
            <w:tcW w:w="48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170.0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285.9</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99"/>
              </w:rPr>
              <w:t>(41)</w:t>
            </w:r>
          </w:p>
        </w:tc>
      </w:tr>
      <w:tr>
        <w:trPr>
          <w:trHeight w:val="25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Emgality</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147.9</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13.6</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48.5</w:t>
            </w:r>
          </w:p>
        </w:tc>
        <w:tc>
          <w:tcPr>
            <w:tcW w:w="13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5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238.1</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517.6</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755.6</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906.1</w:t>
            </w:r>
          </w:p>
        </w:tc>
        <w:tc>
          <w:tcPr>
            <w:tcW w:w="13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(17)</w:t>
            </w:r>
          </w:p>
        </w:tc>
      </w:tr>
      <w:tr>
        <w:trPr>
          <w:trHeight w:val="264"/>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6,473.6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4,885.6</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11,359.2</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10,728.9</w:t>
            </w:r>
          </w:p>
        </w:tc>
        <w:tc>
          <w:tcPr>
            <w:tcW w:w="138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3"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Trajenta revenue includes Jentadueto.</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increased 20 percent and 29 percent in the U.S. during the three and six months ended June 30, 2020, respectively, driven by increased demand, partially offset by lower realized prices. Trulicity's lower realized prices in the U.S. were primarily due to higher contracted rebates and changes in segment mix, partially offset by higher list prices. Revenue outside the U.S. increased 17 percent and 28 percent during the three and six months ended June 30, 2020, respectively, driven by increased volume, partially offset by the unfavorable impact of foreign exchange rates and lower realized prices.</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of Humalog, an injectable human insulin analog for the treatment of diabetes, decreased 29 percent and 19 percent in the U.S. during the three and six months ended June 30, 2020, respectively, driven by lower realized prices due to changes in estimates for rebates and discounts, reflecting both a favorable adjustment in the Medicaid segment in the second quarter of 2019 and an unfavorable adjustment in the commercial segment in the second quarter of 2020. Revenue outside the U.S. decreased 3 percent during the three months ended June 30, 2020, primarily driven by unfavorable impact of foreign exchange rates. Revenue outside the U.S. increased 1 percent during the six months ended June 30, 2020, driven primarily by increased volume, partially offset by the unfavorable impact of foreign exchange rates. Included in the revenue of Humalog in the U.S. are our own insulin lispro authorized generics, which began launching in the second quarter of 2019 in order to lower out-of-pocket costs for patients. While it is difficult to estimate the severity of the impact of similar insulin lispro products entering the market, we do not expect and have not experienced a rapid and severe decline in revenue. Due to the impact of competition and due to pricing pressure in the U.S. and some international markets, we expect some price decline and loss of market share to continue over time.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16" w:right="439" w:bottom="1440" w:gutter="0" w:footer="0" w:header="0"/>
        </w:sectPr>
      </w:pPr>
    </w:p>
    <w:bookmarkStart w:id="46" w:name="page47"/>
    <w:bookmarkEnd w:id="46"/>
    <w:p>
      <w:pPr>
        <w:ind w:right="40"/>
        <w:spacing w:after="0" w:line="252" w:lineRule="auto"/>
        <w:rPr>
          <w:sz w:val="20"/>
          <w:szCs w:val="20"/>
          <w:color w:val="auto"/>
        </w:rPr>
      </w:pPr>
      <w:r>
        <w:rPr>
          <w:rFonts w:ascii="Arial" w:cs="Arial" w:eastAsia="Arial" w:hAnsi="Arial"/>
          <w:sz w:val="18"/>
          <w:szCs w:val="18"/>
          <w:color w:val="auto"/>
        </w:rPr>
        <w:t>Revenue of Alimta, a treatment for various cancers, decreased 7 percent in the U.S. during the three months ended June 30, 2020, driven by decreased demand, partially offset by higher realized prices. Revenue increased 3 percent in the U.S. during the six months ended June 30, 2020, primarily driven by higher realized prices. Revenue outside the U.S. decreased 6 percent during the three months ended June 30, 2020, primarily driven by lower realized prices, partially offset by increased volume. Revenue outside the U.S. increased 1 percent in the six months ended June 30, 2020, primarily driven by increased volume, offset by lower realized prices. We have faced and remain exposed to generic entry in multiple countries, which has eroded revenue and is likely to continue to erode revenue in those countries from current levels.</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of Taltz, a treatment for moderate-to-severe plaque psoriasis, active psoriatic arthritis, ankylosing spondylitis, and active non-radiographic axial spondyloarthritis, increased 8 percent in the U.S. during the three months ended June 30, 2020, driven by increased demand, partially offset by lower realized prices. Revenue increased 37 percent in the U.S. during the six months ended June 30, 2020, driven by increased volume and, to a lesser extent, higher realized prices primarily due to changes in estimates for rebates and discounts. Revenue outside the U.S. increased 24 percent and 41 percent during the three and six months ended June 30, 2020, respectively, primarily driven by increased volume, partially offset by lower realized prices and the unfavorable impact of foreign exchange rates.</w:t>
      </w:r>
    </w:p>
    <w:p>
      <w:pPr>
        <w:spacing w:after="0" w:line="100"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Revenue of Humulin, an injectable human insulin for the treatment of diabetes, decreased 3 percent in the U.S. during the three months ended June 30, 2020, driven by lower realized prices due to changes in segment mix and, to a lesser extent, lower demand. Revenue increased 2 percent in the U.S. during the six months ended June 30, 2020, driven by increased volume, partially offset by lower realized prices. Revenue outside the U.S. decreased 3 percent due to the unfavorable impact of foreign exchange rates, partially offset by higher realized prices. Revenue outside the U.S. increased 1 percent during the six months ended June 30, 2020, due to increased volume and higher realized prices, partially offset by the unfavorable impact of foreign exchange rates.</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 of Basaglar, a long-acting human insulin analog for the treatment of diabetes, decreased 1 percent in the U.S. during the three months ended June 30, 2020, driven by lower realized prices, partially offset by increased demand. Revenue in the U.S. increased 7 percent during six months ended June 30, 2020, primarily driven by increased demand. Revenue outside the U.S. increased 4 percent and 20 percent during the three and six months ended June 30, 2020, respectively, driven by increased volume, partially offset by the unfavorable impact of foreign exchange rates and lower realized prices. See Note 4 to the consolidated condensed financial statements for information regarding our collaboration with Boehringer Ingelheim involving Basaglar.</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2 percent and 8 percent in the U.S. during the three and six months ended June 30, 2020, respectively, driven by increased demand. Revenue outside the U.S. increased 31 percent and 43 percent during the three and six months ended June 30, 2020, respectively, driven by increased volume. See Note 4 to the consolidated condensed financial statements for information regarding our collaboration with Boehringer Ingelheim involving Jardiance.</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31 percent and 19 percent in the U.S. during the three and six months ended June 30, 2020, respectively, driven by lower demand and lower realized prices primarily due to the unfavorable impact of higher contracted rates. Revenue outside the U.S. decreased 29 percent and 25 percent during the three and six months ended June 30, 2020, respectively, primarily driven by decreased volume and lower realized prices. We expect further volume decline as a result of competitive dynamics in the U.S. and the entry of generic and biosimilar competition following the loss of patent exclusivity in the third quarter of 2019 in the U.S., Japan, and major European markets. See "Executive Overview - Other Matters - Patent Matters" for more information.</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of Cyramza, a treatment for various cancers, increased 5 percent in the U.S. during the three months ended June 30, 2020 driven by higher realized prices and increased demand. Revenue in the U.S. for the six months ended June 30, 2020 increased 11 percent primarily driven by increased demand. Revenue outside the U.S. increased 7 percent and 14 percent during the three and six months ended June 30, 2020, respectively, driven by increased volume, partially offset by lower realized prices.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 of Verzenio, a treatment for certain type of metastatic breast cancer, increased 35 percent and 36 percent in the U.S. during the three and six months ended June 30, 2020, respectively, driven by increased demand, and to a lesser extent higher realized prices. Revenue outside the U.S. increased $38.3 million and $81.0 million during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27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Gross margin as a percent of revenue decreased 2.2 percentage points to 77.8 percent and 0.4 percentage points to 78.5 percent for the three and six months ended June 30, 2020, respectively. The decrease in gross margin percent for the three months ended June 30, 2020 was primarily due to the impact of lower realized prices on revenue and higher intangibles amortization expense associated with the launch of Retevmo. The decrease for the six months ended June 30, 2020 was due to the impact of lower realized prices on revenue and higher intangibles amortization expense associated with the launch of Retevmo, partially offset by the charges in 2019 resulting from the withdrawal of Lartruvo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favorable product mix.</w:t>
      </w:r>
    </w:p>
    <w:p>
      <w:pPr>
        <w:spacing w:after="0" w:line="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Research and development expenses decreased 1 percent to $1.39 billion and increased 6 percent to $2.78 billion for the three and six months ended June 30, 2020, respectively. The decrease in research and development expenses for the three months ended June 30, 2020 was driven primarily by lower development expenses for late-stage assets and our pause in new clinical trial initiations and patient enrollment as a result of the COVID-19 pandemic. The increase in research and development expenses for the six months ended June 30, 2020 was driven by higher development expenses for late-stage assets.</w:t>
      </w:r>
    </w:p>
    <w:p>
      <w:pPr>
        <w:spacing w:after="0" w:line="9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Marketing, selling, and administrative expenses decreased 9 percent to $1.45 billion and 3 percent to $3.00 billion for the three and six months ended June 30, 2020, respectively, due to lower marketing expenses.</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recognized $241.8 million and $294.1 million of acquired IPR&amp;D charges for the three and six months ended June 30, 2020, respectively. The charges for the three months ended June 30, 2020 were related to the acquisition of a pre-clinical stage company as well as collaborations with AbCellera Biologics, Junshi Biosciences, and Evox Therapeutics Ltd. The charges for the six months ended June 30, 2020 also included a charge related to the collaboration with Sitryx. We recognized $ 25.0 million and $161.9 million of acquired IPR&amp;D charges for the three and six months ended June 30, 2019, respectively. The charge for the three months ended June 30, 2019 related to the collaboration with Avidity Biosciences. The charges for the six months ended June 30, 2019 also included charges related to the collaborations with AC Immune and ImmuNext. See Note 3 to the consolidated condensed financial statements for additional information.</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recognized asset impairment, restructuring, and other special charges of $59.9 million for the six months ended June 30, 2020, primarily related to acquisition and integration costs as part of the closing of the acquisition of Dermira. We recognized asset impairment, restructuring, and other special charges of $423.9 million during the six months ended June 30, 2019, which included $400.7 million related to the acquisition of Loxo, substantially all of which was associated with the accelerated vesting of Loxo employee equity awards.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Other–net, (income) expense was income of $ 446.9 million and $ 536.0 million for the three and six months ended June 30, 2020, respectively, compared with expense of $32.4 million and income of $53.6 million for the three and six months ended June 30, 2019, respectively. The increase in other income was driven by favorable mark-to-market adjustments on investment securities, including equity positions that we hold in Asian biopharmaceutical companies as well as two U.S.-based companies that had successful initial public offerings in the second quarter of 2020.</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effective tax rate was 14.1 percent for the three months ended June 30, 2020, compared with 9.5 percent for the three months ended June 30, 2019. The higher effective tax rate for the three months ended June 30, 2020 was driven by a mix of earnings in higher tax jurisdictions, a lower net discrete tax benefit, and a nondeductible acquired IPR&amp;D charge. The effective tax rate was 13.7 percent for the six months ended June 30, 2020, compared with 14.1 percent for the six months ended June 30, 2019. The lower effective tax rate was driven by non-recurring 2019 events, primarily the non-deductibility of the accelerated vesting of Loxo employee equity awards as part of the closing of the acquisition of Loxo, as well as tax expenses associated with the withdrawal of Lartruvo, offset by a mix of earnings in higher tax jurisdictions in 2020.</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and cash equivalents increased to $ 2.37 billion as of June 30, 2020, compared with $2.34 billion as of December 31, 2019. Net cash provided by operating activities for the six months ended June 30, 2019 included approximately $360 million of cash paid to settle the accelerated vesting of Loxo employee equity awards (see Note 6 to the consolidated condensed financial statements). Refer to the consolidated condensed statements of cash flows for additional information on the significant sources and uses of cash for the six months ended June 30, 2020 and 2019.</w:t>
      </w:r>
    </w:p>
    <w:p>
      <w:pPr>
        <w:spacing w:after="0" w:line="9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In addition to our cash and cash equivalents, we held total investments of $2.43 billion and $2.06 billion as of June 30, 2020 and December 31, 2019, respectively. See Note 7 to the consolidated condensed financial statements for additional information.</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Total debt increased to $16.33 billion as of June 30, 2020, compared with $15.32 billion as of December 31, 2019. The increase primarily related to the net proceeds from the issuance of $1.00 billion of 2.25 percent fixed-rate notes in May 2020. We used the net proceeds from the sale of these notes for general corporate purposes, which included the repayment of outstanding commercial paper used to fund a portion of the purchase price for our acquisition of Dermira. See Note 7 to the consolidated condensed financial statements for additional information.</w:t>
      </w:r>
    </w:p>
    <w:p>
      <w:pPr>
        <w:spacing w:after="0" w:line="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June 30, 2020, we had a total of $ 5.21 billion of committed bank credit facilities, $5.00 billion of which is available to support our commercial paper program. We believe that amounts accessible through existing commercial paper markets should be adequate to fund short-term borrowing needs.</w:t>
      </w:r>
    </w:p>
    <w:p>
      <w:pPr>
        <w:spacing w:after="0" w:line="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six months ended June 30, 2020, we repurchased $500.0 million of shares under our $8.00 billion share repurchase program authorized in June 2018. As of June 30, 2020, we had $1.00 billion remaining under this program.</w:t>
      </w:r>
    </w:p>
    <w:p>
      <w:pPr>
        <w:spacing w:after="0" w:line="9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 July 2020, we declared a dividend for the third quarter of 2020 of $0.74 per share on outstanding common stock. The dividend of approximately $700 million is payable September 10, 2020 to shareholders of record at the close of business on August 14, 2020.</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installment payments of the one-time repatriation transition tax under the U.S. Tax Cuts and Jobs Act of 2017 (also known as the Toll Tax), dividends paid to shareholders, share repurchases under our share repurchase program, and 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886" w:right="5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have updated certain elements of our 2020 financial guidance to reflect management's current expectations for underlying business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is uncertainty in our 2020 financial guidance surrounding the extent and duration of the impact of the COVID-19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assumptions related to the COVID-19 pandemic that support our 2020 guidance include:</w:t>
      </w:r>
    </w:p>
    <w:p>
      <w:pPr>
        <w:spacing w:after="0" w:line="117" w:lineRule="exact"/>
        <w:rPr>
          <w:sz w:val="20"/>
          <w:szCs w:val="20"/>
          <w:color w:val="auto"/>
        </w:rPr>
      </w:pPr>
    </w:p>
    <w:p>
      <w:pPr>
        <w:ind w:left="660" w:right="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Healthcare activity, including non-COVID-19 related patient visits with their physicians, will align more closely with historical levels in the second half of 2020;</w:t>
      </w:r>
    </w:p>
    <w:p>
      <w:pPr>
        <w:spacing w:after="0" w:line="89"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New-to-brand prescription trends will improve in the U.S. in the second half of 2020, exceeding pre-pandemic levels by the fourth quarter of 2020 for most brands;</w:t>
      </w:r>
    </w:p>
    <w:p>
      <w:pPr>
        <w:spacing w:after="0" w:line="8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utilization of patient affordability programs and changes in segment mix due to higher U.S. unemployment will have a modestly negative impact on U.S. pricing;</w:t>
      </w:r>
    </w:p>
    <w:p>
      <w:pPr>
        <w:spacing w:after="0" w:line="89"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Promotional spend will constitute a mix of in-person customer interactions, direct-to-consumer advertising and investments in digital promotion;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 enrollment in existing studies, as well as initiation of new clinical trials, will resume in the second half of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in COVID-19 related research, testing and support will continue throughout 2020.</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Full-year 2020 EPS is now anticipated to be in the range of $6.48 to $6.68. We still expect 2020 revenue between $23.7 billion and $24.2 billion. Revenue growth is still expected to be driven by volume from Trulicity, Taltz, Basaglar, Jardiance, Verzenio, Cyramza, Olumiant, Emgality, Baqsimi, Tyvyt, and Retevmo. Revenue growth is expected to be partially offset by lower revenue for products that have lost patent exclusivity. Revenue growth is also expected to be partially offset by a mid-single digit net price decline in the U.S. (driven primarily by rebates and legislated increases to Medicare Part D cost sharing, and patient affordability programs), as well as net price declines in China, Japan and Europe.</w:t>
      </w:r>
    </w:p>
    <w:p>
      <w:pPr>
        <w:spacing w:after="0" w:line="1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Gross margin as a percent of revenue is now expected to be approximately 78 percent. Marketing, selling, and administrative expenses are now expected to be in the range of $6.0 billion to $6.2 billion. Research and development expenses are still expected to be in the range of $5.6 billion to $5.9 billion. Other—net, (income) expense is now expected to be between $350 million to $500 million of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2020 effective tax rate is now expected to be approximately 14 percent.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hanging="652"/>
        <w:spacing w:after="0" w:line="258"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24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June 30, 2020, and concluded that they were effective.</w:t>
      </w:r>
    </w:p>
    <w:p>
      <w:pPr>
        <w:spacing w:after="0" w:line="75" w:lineRule="exact"/>
        <w:rPr>
          <w:rFonts w:ascii="Arial" w:cs="Arial" w:eastAsia="Arial" w:hAnsi="Arial"/>
          <w:sz w:val="18"/>
          <w:szCs w:val="18"/>
          <w:color w:val="auto"/>
        </w:rPr>
      </w:pPr>
    </w:p>
    <w:p>
      <w:pPr>
        <w:ind w:left="660" w:right="640" w:hanging="652"/>
        <w:spacing w:after="0" w:line="313" w:lineRule="auto"/>
        <w:tabs>
          <w:tab w:leader="none" w:pos="65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Changes in Internal Controls</w:t>
      </w:r>
      <w:r>
        <w:rPr>
          <w:rFonts w:ascii="Arial" w:cs="Arial" w:eastAsia="Arial" w:hAnsi="Arial"/>
          <w:sz w:val="17"/>
          <w:szCs w:val="17"/>
          <w:color w:val="auto"/>
        </w:rPr>
        <w:t>. During the second quarter of 2020, there were no changes in our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51" w:name="page52"/>
    <w:bookmarkEnd w:id="51"/>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consolidated condensed financial statements for information on various legal proceedings, including but not limited to:</w:t>
      </w:r>
    </w:p>
    <w:p>
      <w:pPr>
        <w:spacing w:after="0" w:line="63"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Jardiance, Taltz, and Emgality;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litigation related to the Cosmopolis facility in Brazil;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5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the Legal Proceedings disclosures in our Annual Report on </w:t>
      </w:r>
      <w:hyperlink r:id="rId17">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(Part I, Item 3) and our Quarterly Report on </w:t>
      </w:r>
      <w:hyperlink r:id="rId16">
        <w:r>
          <w:rPr>
            <w:rFonts w:ascii="Arial" w:cs="Arial" w:eastAsia="Arial" w:hAnsi="Arial"/>
            <w:sz w:val="18"/>
            <w:szCs w:val="18"/>
            <w:u w:val="single" w:color="auto"/>
            <w:color w:val="0000FF"/>
          </w:rPr>
          <w:t>Form</w:t>
        </w:r>
        <w:r>
          <w:rPr>
            <w:rFonts w:ascii="Arial" w:cs="Arial" w:eastAsia="Arial" w:hAnsi="Arial"/>
            <w:sz w:val="18"/>
            <w:szCs w:val="18"/>
            <w:u w:val="single" w:color="auto"/>
            <w:color w:val="auto"/>
          </w:rPr>
          <w:t xml:space="preserve"> </w:t>
        </w:r>
      </w:hyperlink>
      <w:r>
        <w:rPr>
          <w:rFonts w:ascii="Arial" w:cs="Arial" w:eastAsia="Arial" w:hAnsi="Arial"/>
          <w:sz w:val="18"/>
          <w:szCs w:val="18"/>
          <w:color w:val="0000FF"/>
        </w:rPr>
        <w:t>10</w:t>
      </w:r>
      <w:hyperlink r:id="rId16">
        <w:r>
          <w:rPr>
            <w:rFonts w:ascii="Arial" w:cs="Arial" w:eastAsia="Arial" w:hAnsi="Arial"/>
            <w:sz w:val="18"/>
            <w:szCs w:val="18"/>
            <w:u w:val="single" w:color="auto"/>
            <w:color w:val="0000FF"/>
          </w:rPr>
          <w:t>-Q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2020 (Part II, Item 1).</w:t>
      </w:r>
    </w:p>
    <w:p>
      <w:pPr>
        <w:spacing w:after="0" w:line="12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39" w:lineRule="exact"/>
        <w:rPr>
          <w:rFonts w:ascii="Arial" w:cs="Arial" w:eastAsia="Arial" w:hAnsi="Arial"/>
          <w:sz w:val="18"/>
          <w:szCs w:val="18"/>
          <w:color w:val="auto"/>
        </w:rPr>
      </w:pPr>
    </w:p>
    <w:p>
      <w:pPr>
        <w:ind w:right="240"/>
        <w:spacing w:after="0" w:line="250" w:lineRule="auto"/>
        <w:rPr>
          <w:sz w:val="20"/>
          <w:szCs w:val="20"/>
          <w:color w:val="auto"/>
        </w:rPr>
      </w:pPr>
      <w:r>
        <w:rPr>
          <w:rFonts w:ascii="Arial" w:cs="Arial" w:eastAsia="Arial" w:hAnsi="Arial"/>
          <w:sz w:val="18"/>
          <w:szCs w:val="18"/>
          <w:color w:val="auto"/>
        </w:rPr>
        <w:t>We are named as a defendant in approximately 350 Cialis product liability lawsuits in the U.S.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multidistrict litigation (MDL) in the U.S. District Court for the Northern District of California, alongside an existing coordinated proceeding involving Viagra</w:t>
      </w:r>
      <w:r>
        <w:rPr>
          <w:rFonts w:ascii="Arial" w:cs="Arial" w:eastAsia="Arial" w:hAnsi="Arial"/>
          <w:sz w:val="7"/>
          <w:szCs w:val="7"/>
          <w:color w:val="auto"/>
        </w:rPr>
        <w:t>®</w:t>
      </w:r>
      <w:r>
        <w:rPr>
          <w:rFonts w:ascii="Arial" w:cs="Arial" w:eastAsia="Arial" w:hAnsi="Arial"/>
          <w:sz w:val="18"/>
          <w:szCs w:val="18"/>
          <w:color w:val="auto"/>
        </w:rPr>
        <w:t xml:space="preserve">. The JPML ordered the transfer of the existing cases to the now-renamed MDL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Viagra (Sildenafil Citrate) and Cialis (Tadalafil) Products Liability Litigation</w:t>
      </w:r>
      <w:r>
        <w:rPr>
          <w:rFonts w:ascii="Arial" w:cs="Arial" w:eastAsia="Arial" w:hAnsi="Arial"/>
          <w:sz w:val="18"/>
          <w:szCs w:val="18"/>
          <w:color w:val="auto"/>
        </w:rPr>
        <w:t>. In April 2020, the MDL court granted summary judgment to the</w:t>
      </w:r>
    </w:p>
    <w:p>
      <w:pPr>
        <w:spacing w:after="0" w:line="2" w:lineRule="exact"/>
        <w:rPr>
          <w:rFonts w:ascii="Arial" w:cs="Arial" w:eastAsia="Arial" w:hAnsi="Arial"/>
          <w:sz w:val="18"/>
          <w:szCs w:val="18"/>
          <w:color w:val="auto"/>
        </w:rPr>
      </w:pPr>
    </w:p>
    <w:p>
      <w:pPr>
        <w:ind w:right="180"/>
        <w:spacing w:after="0" w:line="261" w:lineRule="auto"/>
        <w:rPr>
          <w:sz w:val="20"/>
          <w:szCs w:val="20"/>
          <w:color w:val="auto"/>
        </w:rPr>
      </w:pPr>
      <w:r>
        <w:rPr>
          <w:rFonts w:ascii="Arial" w:cs="Arial" w:eastAsia="Arial" w:hAnsi="Arial"/>
          <w:sz w:val="18"/>
          <w:szCs w:val="18"/>
          <w:color w:val="auto"/>
        </w:rPr>
        <w:t>defendants on all of the claims brought against them by the plaintiffs. In May 2020, plaintiffs filed an appeal in the U.S. Court of Appeals for the Ninth Circuit. We believe these claims are without merit and are defending against them vigorously.</w:t>
      </w:r>
    </w:p>
    <w:p>
      <w:pPr>
        <w:spacing w:after="0" w:line="13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39" w:lineRule="exact"/>
        <w:rPr>
          <w:rFonts w:ascii="Arial" w:cs="Arial" w:eastAsia="Arial" w:hAnsi="Arial"/>
          <w:sz w:val="18"/>
          <w:szCs w:val="18"/>
          <w:color w:val="auto"/>
        </w:rPr>
      </w:pPr>
    </w:p>
    <w:p>
      <w:pPr>
        <w:ind w:right="60"/>
        <w:spacing w:after="0" w:line="237" w:lineRule="auto"/>
        <w:rPr>
          <w:sz w:val="20"/>
          <w:szCs w:val="20"/>
          <w:color w:val="auto"/>
        </w:rPr>
      </w:pPr>
      <w:r>
        <w:rPr>
          <w:rFonts w:ascii="Arial" w:cs="Arial" w:eastAsia="Arial" w:hAnsi="Arial"/>
          <w:sz w:val="18"/>
          <w:szCs w:val="18"/>
          <w:color w:val="auto"/>
        </w:rPr>
        <w:t>We are named as a defendant in a lawsuit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U.S. Department of Justice’s motion to dismiss the relator’s second amended complaint. In January 2020, the relator appealed the District Court’s dismissal to the U.S. Court of Appeals for the Fifth Circuit. We are also named as a defendant in two similar lawsuits filed in Texas and New Jersey state courts seeking damages under the Texas Medicaid Fraud Prevention Act and New Jersey Medicaid False Claims Act, respectively. We believe these lawsuits are without merit and are defending against them vigorously.</w:t>
      </w:r>
    </w:p>
    <w:p>
      <w:pPr>
        <w:spacing w:after="0" w:line="338" w:lineRule="exact"/>
        <w:rPr>
          <w:rFonts w:ascii="Arial" w:cs="Arial" w:eastAsia="Arial" w:hAnsi="Arial"/>
          <w:sz w:val="18"/>
          <w:szCs w:val="18"/>
          <w:color w:val="auto"/>
        </w:rPr>
      </w:pPr>
    </w:p>
    <w:p>
      <w:pPr>
        <w:ind w:right="160"/>
        <w:spacing w:after="0" w:line="261"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rFonts w:ascii="Arial" w:cs="Arial" w:eastAsia="Arial" w:hAnsi="Arial"/>
          <w:sz w:val="18"/>
          <w:szCs w:val="18"/>
          <w:color w:val="auto"/>
        </w:rPr>
      </w:pPr>
    </w:p>
    <w:p>
      <w:pPr>
        <w:ind w:right="18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Item 1A of our Annual Report on </w:t>
      </w:r>
      <w:hyperlink r:id="rId82">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The following represents a change in our risk factors from those listed in Part I, Item 1A of our Annual Report on Form 10-K for the year ended December 31, 2019.</w:t>
      </w:r>
    </w:p>
    <w:p>
      <w:pPr>
        <w:spacing w:after="0" w:line="72" w:lineRule="exact"/>
        <w:rPr>
          <w:rFonts w:ascii="Arial" w:cs="Arial" w:eastAsia="Arial" w:hAnsi="Arial"/>
          <w:sz w:val="18"/>
          <w:szCs w:val="18"/>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The novel coronavirus (COVID-19) pandemic and efforts to reduce its spread has impacted, and may in future periods negatively impact, our business and operations.</w:t>
      </w:r>
    </w:p>
    <w:p>
      <w:pPr>
        <w:spacing w:after="0" w:line="67" w:lineRule="exact"/>
        <w:rPr>
          <w:rFonts w:ascii="Arial" w:cs="Arial" w:eastAsia="Arial" w:hAnsi="Arial"/>
          <w:sz w:val="18"/>
          <w:szCs w:val="18"/>
          <w:color w:val="auto"/>
        </w:rPr>
      </w:pPr>
    </w:p>
    <w:p>
      <w:pPr>
        <w:spacing w:after="0" w:line="252" w:lineRule="auto"/>
        <w:rPr>
          <w:sz w:val="20"/>
          <w:szCs w:val="20"/>
          <w:color w:val="auto"/>
        </w:rPr>
      </w:pPr>
      <w:r>
        <w:rPr>
          <w:rFonts w:ascii="Arial" w:cs="Arial" w:eastAsia="Arial" w:hAnsi="Arial"/>
          <w:sz w:val="18"/>
          <w:szCs w:val="18"/>
          <w:color w:val="auto"/>
        </w:rPr>
        <w:t>The COVID-19 pandemic has substantially burdened healthcare systems worldwide, delaying enrollment in and progression of many of our clinical trials. Required inspections and reviews by regulatory agencies may also be delayed due to the focus of resources on COVID-19 as well as travel and other restrictions. Significant delays in the timing of our clinical trials and in regulatory reviews could adversely affect our ability to commercialize some assets in our product pipeline. Lack of normal access by patients to the healthcare system, along with concern about the continued supply of medications, has also resulted in changes in buying patterns throughout the supply chain, including by patients, which could increase or decrease demand for our products. Similarly, where disease outbreak continues we have temporarily halted in-person interactions by our employees with healthcare providers and are resuming such activity when it is safe to do so. This may decrease demand for our products. COVID-19 could also</w:t>
      </w:r>
    </w:p>
    <w:p>
      <w:pPr>
        <w:sectPr>
          <w:pgSz w:w="11900" w:h="16838" w:orient="portrait"/>
          <w:cols w:equalWidth="0" w:num="1">
            <w:col w:w="11220"/>
          </w:cols>
          <w:pgMar w:left="320" w:top="905" w:right="35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type w:val="continuous"/>
        </w:sectPr>
      </w:pPr>
    </w:p>
    <w:bookmarkStart w:id="52" w:name="page53"/>
    <w:bookmarkEnd w:id="52"/>
    <w:p>
      <w:pPr>
        <w:ind w:right="80"/>
        <w:spacing w:after="0" w:line="251" w:lineRule="auto"/>
        <w:rPr>
          <w:sz w:val="20"/>
          <w:szCs w:val="20"/>
          <w:color w:val="auto"/>
        </w:rPr>
      </w:pPr>
      <w:r>
        <w:rPr>
          <w:rFonts w:ascii="Arial" w:cs="Arial" w:eastAsia="Arial" w:hAnsi="Arial"/>
          <w:sz w:val="18"/>
          <w:szCs w:val="18"/>
          <w:color w:val="auto"/>
        </w:rPr>
        <w:t>have an adverse impact on our manufacturing operations, supply chain and distribution systems, which could impact our ability to produce and distribute our products and the ability of third parties on which we rely to fulfill their obligations to us, and could increase our expenses. Therapeutics that we may develop to address COVID-19 will be subject to risks in addition to those normally associated with pharmaceutical research, development, and commercialization, such as higher risk of technical failure, lower and transient opportunities for revenue, higher manufacturing costs, product safety or efficacy risks related to an expedited research and development timeline, and novel liability theories. These risks may affect our ability to commercialize these therapeutics for COVID-19 or any other current or future indication. In addition, the conditions created by the pandemic may intensify other risks inherent in our business, including, among other things, risks related to drug pricing and access, intellectual property protection, product safety and efficacy concerns, product liability and other litigation, and the impact of adverse global and local economic conditions.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result, while the financial impact on us has not been material to date, given the rapid and evolving nature of the virus, the COVID-19 pandemic could negatively affect our results of operations, financial condition, liquidity and cash flows in future periods, perhaps materially. The degree to which the COVID-19 pandemic affects us will depend on developments that are highly uncertain and beyond our knowledge or control, including, but not limited to, the duration and severity of the pandemic, the actions taken to reduce its transmission, and the speed with which, and extent to which, more stable economic and operating conditions resume. Should the COVID-19 pandemic and any associated recession or depression continue for a prolonged period, our results of operations, financial condition, liquidity, and cash flows could be materially impacted by lower revenues and profitability and a lower likelihood of effectively and efficiently developing and launching new medicines.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June 30, 2020:</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 Number of Shares</w:t>
            </w:r>
          </w:p>
        </w:tc>
        <w:tc>
          <w:tcPr>
            <w:tcW w:w="2180" w:type="dxa"/>
            <w:vAlign w:val="bottom"/>
          </w:tcPr>
          <w:p>
            <w:pPr>
              <w:jc w:val="center"/>
              <w:ind w:right="16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Purchased as Part of</w:t>
            </w: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700" w:type="dxa"/>
            <w:vAlign w:val="bottom"/>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 Number of</w:t>
            </w:r>
          </w:p>
        </w:tc>
        <w:tc>
          <w:tcPr>
            <w:tcW w:w="1720" w:type="dxa"/>
            <w:vAlign w:val="bottom"/>
          </w:tcPr>
          <w:p>
            <w:pPr>
              <w:spacing w:after="0"/>
              <w:rPr>
                <w:sz w:val="14"/>
                <w:szCs w:val="14"/>
                <w:color w:val="auto"/>
              </w:rPr>
            </w:pPr>
          </w:p>
        </w:tc>
        <w:tc>
          <w:tcPr>
            <w:tcW w:w="2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Publicly Announced</w:t>
            </w:r>
          </w:p>
        </w:tc>
        <w:tc>
          <w:tcPr>
            <w:tcW w:w="2180" w:type="dxa"/>
            <w:vAlign w:val="bottom"/>
          </w:tcPr>
          <w:p>
            <w:pPr>
              <w:jc w:val="center"/>
              <w:ind w:right="16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700" w:type="dxa"/>
            <w:vAlign w:val="bottom"/>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 Purchased</w:t>
            </w:r>
          </w:p>
        </w:tc>
        <w:tc>
          <w:tcPr>
            <w:tcW w:w="1720" w:type="dxa"/>
            <w:vAlign w:val="bottom"/>
          </w:tcPr>
          <w:p>
            <w:pPr>
              <w:ind w:left="40"/>
              <w:spacing w:after="0"/>
              <w:rPr>
                <w:sz w:val="20"/>
                <w:szCs w:val="20"/>
                <w:color w:val="auto"/>
              </w:rPr>
            </w:pPr>
            <w:r>
              <w:rPr>
                <w:rFonts w:ascii="Arial" w:cs="Arial" w:eastAsia="Arial" w:hAnsi="Arial"/>
                <w:sz w:val="14"/>
                <w:szCs w:val="14"/>
                <w:b w:val="1"/>
                <w:bCs w:val="1"/>
                <w:color w:val="auto"/>
              </w:rPr>
              <w:t>Average Price Paid</w:t>
            </w: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Plans or Programs</w:t>
            </w:r>
          </w:p>
        </w:tc>
        <w:tc>
          <w:tcPr>
            <w:tcW w:w="2180" w:type="dxa"/>
            <w:vAlign w:val="bottom"/>
          </w:tcPr>
          <w:p>
            <w:pPr>
              <w:jc w:val="center"/>
              <w:ind w:right="10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per Share</w:t>
            </w:r>
          </w:p>
        </w:tc>
        <w:tc>
          <w:tcPr>
            <w:tcW w:w="2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20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   $</w:t>
            </w:r>
          </w:p>
        </w:tc>
        <w:tc>
          <w:tcPr>
            <w:tcW w:w="218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1,000.0</w:t>
            </w:r>
          </w:p>
        </w:tc>
      </w:tr>
      <w:tr>
        <w:trPr>
          <w:trHeight w:val="250"/>
        </w:trPr>
        <w:tc>
          <w:tcPr>
            <w:tcW w:w="2700" w:type="dxa"/>
            <w:vAlign w:val="bottom"/>
          </w:tcPr>
          <w:p>
            <w:pPr>
              <w:ind w:left="20"/>
              <w:spacing w:after="0"/>
              <w:rPr>
                <w:sz w:val="20"/>
                <w:szCs w:val="20"/>
                <w:color w:val="auto"/>
              </w:rPr>
            </w:pPr>
            <w:r>
              <w:rPr>
                <w:rFonts w:ascii="Arial" w:cs="Arial" w:eastAsia="Arial" w:hAnsi="Arial"/>
                <w:sz w:val="18"/>
                <w:szCs w:val="18"/>
                <w:color w:val="auto"/>
              </w:rPr>
              <w:t>May 2020</w:t>
            </w:r>
          </w:p>
        </w:tc>
        <w:tc>
          <w:tcPr>
            <w:tcW w:w="202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20" w:type="dxa"/>
            <w:vAlign w:val="bottom"/>
          </w:tcPr>
          <w:p>
            <w:pPr>
              <w:ind w:left="1260"/>
              <w:spacing w:after="0"/>
              <w:rPr>
                <w:sz w:val="20"/>
                <w:szCs w:val="20"/>
                <w:color w:val="auto"/>
              </w:rPr>
            </w:pPr>
            <w:r>
              <w:rPr>
                <w:rFonts w:ascii="Arial" w:cs="Arial" w:eastAsia="Arial" w:hAnsi="Arial"/>
                <w:sz w:val="18"/>
                <w:szCs w:val="18"/>
                <w:color w:val="auto"/>
              </w:rPr>
              <w:t>—</w:t>
            </w:r>
          </w:p>
        </w:tc>
        <w:tc>
          <w:tcPr>
            <w:tcW w:w="258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81"/>
              <w:spacing w:after="0"/>
              <w:rPr>
                <w:sz w:val="20"/>
                <w:szCs w:val="20"/>
                <w:color w:val="auto"/>
              </w:rPr>
            </w:pPr>
            <w:r>
              <w:rPr>
                <w:rFonts w:ascii="Arial" w:cs="Arial" w:eastAsia="Arial" w:hAnsi="Arial"/>
                <w:sz w:val="18"/>
                <w:szCs w:val="18"/>
                <w:color w:val="auto"/>
              </w:rPr>
              <w:t>1,000.0</w:t>
            </w:r>
          </w:p>
        </w:tc>
      </w:tr>
      <w:tr>
        <w:trPr>
          <w:trHeight w:val="25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2020</w:t>
            </w:r>
          </w:p>
        </w:tc>
        <w:tc>
          <w:tcPr>
            <w:tcW w:w="17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218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1,000.0</w:t>
            </w:r>
          </w:p>
        </w:tc>
      </w:tr>
      <w:tr>
        <w:trPr>
          <w:trHeight w:val="263"/>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720" w:type="dxa"/>
            <w:vAlign w:val="bottom"/>
          </w:tcPr>
          <w:p>
            <w:pPr>
              <w:ind w:left="12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18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During the three months ended June 30, 2020, we did not repurchase any shares under our $8.00 billion share repurchase program authorized in June 2018.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220"/>
          </w:cols>
          <w:pgMar w:left="320" w:top="886" w:right="359" w:bottom="1440" w:gutter="0" w:footer="0" w:header="0"/>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Amended Articles of Incorporation</w:t>
      </w:r>
    </w:p>
    <w:p>
      <w:pPr>
        <w:spacing w:after="0" w:line="200" w:lineRule="exact"/>
        <w:rPr>
          <w:sz w:val="20"/>
          <w:szCs w:val="20"/>
          <w:color w:val="auto"/>
        </w:rPr>
      </w:pPr>
    </w:p>
    <w:p>
      <w:pPr>
        <w:sectPr>
          <w:pgSz w:w="11900" w:h="16838" w:orient="portrait"/>
          <w:cols w:equalWidth="0" w:num="2">
            <w:col w:w="1860" w:space="720"/>
            <w:col w:w="8640"/>
          </w:cols>
          <w:pgMar w:left="320" w:top="886" w:right="35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860" w:space="720"/>
            <w:col w:w="8640"/>
          </w:cols>
          <w:pgMar w:left="320" w:top="886" w:right="35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860" w:space="720"/>
            <w:col w:w="8640"/>
          </w:cols>
          <w:pgMar w:left="320" w:top="886" w:right="359" w:bottom="1440" w:gutter="0" w:footer="0" w:header="0"/>
          <w:type w:val="continuous"/>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Joshua L. Smiley, Senior Vice President and Chief Financial Officer</w:t>
      </w:r>
    </w:p>
    <w:p>
      <w:pPr>
        <w:spacing w:after="0" w:line="200" w:lineRule="exact"/>
        <w:rPr>
          <w:sz w:val="20"/>
          <w:szCs w:val="20"/>
          <w:color w:val="auto"/>
        </w:rPr>
      </w:pPr>
    </w:p>
    <w:p>
      <w:pPr>
        <w:sectPr>
          <w:pgSz w:w="11900" w:h="16838" w:orient="portrait"/>
          <w:cols w:equalWidth="0" w:num="2">
            <w:col w:w="1860" w:space="720"/>
            <w:col w:w="8640"/>
          </w:cols>
          <w:pgMar w:left="320" w:top="886" w:right="359" w:bottom="1440" w:gutter="0" w:footer="0" w:header="0"/>
          <w:type w:val="continuous"/>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Section 1350 Certification</w:t>
      </w:r>
    </w:p>
    <w:p>
      <w:pPr>
        <w:spacing w:after="0" w:line="200" w:lineRule="exact"/>
        <w:rPr>
          <w:sz w:val="20"/>
          <w:szCs w:val="20"/>
          <w:color w:val="auto"/>
        </w:rPr>
      </w:pPr>
    </w:p>
    <w:p>
      <w:pPr>
        <w:sectPr>
          <w:pgSz w:w="11900" w:h="16838" w:orient="portrait"/>
          <w:cols w:equalWidth="0" w:num="2">
            <w:col w:w="1860" w:space="720"/>
            <w:col w:w="8640"/>
          </w:cols>
          <w:pgMar w:left="320" w:top="886" w:right="359" w:bottom="1440" w:gutter="0" w:footer="0" w:header="0"/>
          <w:type w:val="continuous"/>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Interactive Data Files</w:t>
      </w:r>
    </w:p>
    <w:p>
      <w:pPr>
        <w:spacing w:after="0" w:line="200" w:lineRule="exact"/>
        <w:rPr>
          <w:sz w:val="20"/>
          <w:szCs w:val="20"/>
          <w:color w:val="auto"/>
        </w:rPr>
      </w:pPr>
    </w:p>
    <w:p>
      <w:pPr>
        <w:sectPr>
          <w:pgSz w:w="11900" w:h="16838" w:orient="portrait"/>
          <w:cols w:equalWidth="0" w:num="2">
            <w:col w:w="1860" w:space="720"/>
            <w:col w:w="8640"/>
          </w:cols>
          <w:pgMar w:left="320" w:top="886" w:right="35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w:t>
      </w:r>
    </w:p>
    <w:p>
      <w:pPr>
        <w:spacing w:after="0" w:line="200" w:lineRule="exact"/>
        <w:rPr>
          <w:sz w:val="20"/>
          <w:szCs w:val="20"/>
          <w:color w:val="auto"/>
        </w:rPr>
      </w:pPr>
    </w:p>
    <w:p>
      <w:pPr>
        <w:sectPr>
          <w:pgSz w:w="11900" w:h="16838" w:orient="portrait"/>
          <w:cols w:equalWidth="0" w:num="2">
            <w:col w:w="1860" w:space="720"/>
            <w:col w:w="8640"/>
          </w:cols>
          <w:pgMar w:left="320" w:top="886" w:right="359" w:bottom="1440" w:gutter="0" w:footer="0" w:header="0"/>
          <w:type w:val="continuous"/>
        </w:sectPr>
      </w:pPr>
    </w:p>
    <w:p>
      <w:pPr>
        <w:spacing w:after="0" w:line="131" w:lineRule="exact"/>
        <w:rPr>
          <w:sz w:val="20"/>
          <w:szCs w:val="20"/>
          <w:color w:val="auto"/>
        </w:rPr>
      </w:pPr>
    </w:p>
    <w:p>
      <w:pPr>
        <w:ind w:firstLine="8"/>
        <w:spacing w:after="0" w:line="246"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debt instruments under which the total amount of securities authorized does not exceed 10% of our consolidated assets are not filed as exhibits to this report. We will furnish a copy of these agreements to the SEC upon request.</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Index to Exhibits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a part of this Report:</w:t>
      </w:r>
    </w:p>
    <w:p>
      <w:pPr>
        <w:sectPr>
          <w:pgSz w:w="11900" w:h="16838" w:orient="portrait"/>
          <w:cols w:equalWidth="0" w:num="1">
            <w:col w:w="11220"/>
          </w:cols>
          <w:pgMar w:left="320" w:top="886" w:right="359" w:bottom="1440" w:gutter="0" w:footer="0" w:header="0"/>
        </w:sect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Exhibit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3.1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31.1</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31.2</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32.</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101.</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right="260"/>
        <w:spacing w:after="0" w:line="227" w:lineRule="auto"/>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Amended Articles of Incorporation are incorporated by reference to Exhibit 3.1 to the Company's Report on</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Form 10-K for the year ended December 31, 2013</w:t>
        </w:r>
      </w:hyperlink>
    </w:p>
    <w:p>
      <w:pPr>
        <w:spacing w:after="0" w:line="283" w:lineRule="exact"/>
        <w:rPr>
          <w:sz w:val="20"/>
          <w:szCs w:val="20"/>
          <w:color w:val="auto"/>
        </w:rPr>
      </w:pPr>
    </w:p>
    <w:p>
      <w:pPr>
        <w:ind w:right="360"/>
        <w:spacing w:after="0" w:line="227"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Bylaws, as amended, are incorporated by reference to Exhibit 99.1 to the Company's Report on Form 8-K</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dated on December 20, 2019</w:t>
        </w:r>
      </w:hyperlink>
    </w:p>
    <w:p>
      <w:pPr>
        <w:spacing w:after="0" w:line="283" w:lineRule="exact"/>
        <w:rPr>
          <w:sz w:val="20"/>
          <w:szCs w:val="20"/>
          <w:color w:val="auto"/>
        </w:rPr>
      </w:pPr>
    </w:p>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Rule 13a-14(a) Certification of David A. Ricks, Chairman, President, and Chief Executive Officer</w:t>
        </w:r>
      </w:hyperlink>
    </w:p>
    <w:p>
      <w:pPr>
        <w:spacing w:after="0" w:line="320" w:lineRule="exact"/>
        <w:rPr>
          <w:sz w:val="20"/>
          <w:szCs w:val="20"/>
          <w:color w:val="auto"/>
        </w:rPr>
      </w:pPr>
    </w:p>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Rule 13a-14(a) Certification of Joshua L. Smiley, Senior Vice President and Chief Financial Officer</w:t>
        </w:r>
      </w:hyperlink>
    </w:p>
    <w:p>
      <w:pPr>
        <w:spacing w:after="0" w:line="320" w:lineRule="exact"/>
        <w:rPr>
          <w:sz w:val="20"/>
          <w:szCs w:val="20"/>
          <w:color w:val="auto"/>
        </w:rPr>
      </w:pPr>
    </w:p>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Section 1350 Certification</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 (embedded within the Inline XBRL document)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31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ectPr>
          <w:pgSz w:w="11900" w:h="16838" w:orient="portrait"/>
          <w:cols w:equalWidth="0" w:num="2">
            <w:col w:w="1740" w:space="720"/>
            <w:col w:w="8760"/>
          </w:cols>
          <w:pgMar w:left="320" w:top="886" w:right="359" w:bottom="1440" w:gutter="0" w:footer="0" w:header="0"/>
          <w:type w:val="continuous"/>
        </w:sect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77"/>
        </w:trPr>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540" w:type="dxa"/>
            <w:vAlign w:val="bottom"/>
          </w:tcPr>
          <w:p>
            <w:pPr>
              <w:spacing w:after="0"/>
              <w:rPr>
                <w:sz w:val="24"/>
                <w:szCs w:val="24"/>
                <w:color w:val="auto"/>
              </w:rPr>
            </w:pPr>
          </w:p>
        </w:tc>
      </w:tr>
      <w:tr>
        <w:trPr>
          <w:trHeight w:val="53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Pr>
          <w:p>
            <w:pPr>
              <w:ind w:left="140"/>
              <w:spacing w:after="0"/>
              <w:rPr>
                <w:sz w:val="20"/>
                <w:szCs w:val="20"/>
                <w:color w:val="auto"/>
              </w:rPr>
            </w:pPr>
            <w:r>
              <w:rPr>
                <w:rFonts w:ascii="Arial" w:cs="Arial" w:eastAsia="Arial" w:hAnsi="Arial"/>
                <w:sz w:val="18"/>
                <w:szCs w:val="18"/>
                <w:color w:val="auto"/>
              </w:rPr>
              <w:t>July 31, 2020</w:t>
            </w:r>
          </w:p>
        </w:tc>
        <w:tc>
          <w:tcPr>
            <w:tcW w:w="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43"/>
        </w:trPr>
        <w:tc>
          <w:tcPr>
            <w:tcW w:w="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0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Pr>
          <w:p>
            <w:pPr>
              <w:ind w:left="140"/>
              <w:spacing w:after="0"/>
              <w:rPr>
                <w:sz w:val="20"/>
                <w:szCs w:val="20"/>
                <w:color w:val="auto"/>
              </w:rPr>
            </w:pPr>
            <w:r>
              <w:rPr>
                <w:rFonts w:ascii="Arial" w:cs="Arial" w:eastAsia="Arial" w:hAnsi="Arial"/>
                <w:sz w:val="18"/>
                <w:szCs w:val="18"/>
                <w:color w:val="auto"/>
              </w:rPr>
              <w:t>July 31, 2020</w:t>
            </w:r>
          </w:p>
        </w:tc>
        <w:tc>
          <w:tcPr>
            <w:tcW w:w="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57"/>
        </w:trPr>
        <w:tc>
          <w:tcPr>
            <w:tcW w:w="5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878"/>
        </w:trPr>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700" w:type="dxa"/>
            <w:vAlign w:val="bottom"/>
            <w:gridSpan w:val="3"/>
          </w:tcPr>
          <w:p>
            <w:pPr>
              <w:jc w:val="right"/>
              <w:ind w:right="550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20"/>
          </w:cols>
          <w:pgMar w:left="320" w:top="886"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tab/>
        <w:t>July 31, 2020</w:t>
      </w:r>
    </w:p>
    <w:p>
      <w:pPr>
        <w:spacing w:after="0" w:line="320"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6690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David A. Ricks</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20"/>
          </w:cols>
          <w:pgMar w:left="320" w:top="116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tab/>
        <w:t>July 31, 2020</w:t>
      </w:r>
    </w:p>
    <w:p>
      <w:pPr>
        <w:spacing w:after="0" w:line="320"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6690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20"/>
          </w:cols>
          <w:pgMar w:left="320" w:top="116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Quarterly Report on Form 10-Q for the quarter ended June 30,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660" w:val="left"/>
          <w:tab w:leader="none" w:pos="5820" w:val="left"/>
        </w:tabs>
        <w:rPr>
          <w:sz w:val="20"/>
          <w:szCs w:val="20"/>
          <w:color w:val="auto"/>
        </w:rPr>
      </w:pPr>
      <w:r>
        <w:rPr>
          <w:rFonts w:ascii="Arial" w:cs="Arial" w:eastAsia="Arial" w:hAnsi="Arial"/>
          <w:sz w:val="18"/>
          <w:szCs w:val="18"/>
          <w:color w:val="auto"/>
        </w:rPr>
        <w:t>Date:</w:t>
        <w:tab/>
        <w:t>July 31, 2020</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David A. Ricks</w:t>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60" w:val="left"/>
          <w:tab w:leader="none" w:pos="5820" w:val="left"/>
        </w:tabs>
        <w:rPr>
          <w:sz w:val="20"/>
          <w:szCs w:val="20"/>
          <w:color w:val="auto"/>
        </w:rPr>
      </w:pPr>
      <w:r>
        <w:rPr>
          <w:rFonts w:ascii="Arial" w:cs="Arial" w:eastAsia="Arial" w:hAnsi="Arial"/>
          <w:sz w:val="18"/>
          <w:szCs w:val="18"/>
          <w:color w:val="auto"/>
        </w:rPr>
        <w:t>Date:</w:t>
        <w:tab/>
        <w:t>July 31, 2020</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120"/>
      </w:cols>
      <w:pgMar w:left="320" w:top="10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4"/>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lowerRoman"/>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16" Type="http://schemas.openxmlformats.org/officeDocument/2006/relationships/hyperlink" Target="http://www.sec.gov/Archives/edgar/data/59478/000005947820000104/lly-3312020x10q.htm" TargetMode="External"/><Relationship Id="rId17" Type="http://schemas.openxmlformats.org/officeDocument/2006/relationships/hyperlink" Target="http://www.sec.gov/Archives/edgar/data/59478/000005947820000057/lly-20191231x10xk.htm" TargetMode="External"/><Relationship Id="rId82" Type="http://schemas.openxmlformats.org/officeDocument/2006/relationships/hyperlink" Target="http://www.sec.gov/Archives/edgar/data/59478/000005947819000082/lly-20181231x10xk.htm" TargetMode="External"/><Relationship Id="rId86" Type="http://schemas.openxmlformats.org/officeDocument/2006/relationships/hyperlink" Target="http://www.sec.gov/Archives/edgar/data/59478/000005947814000078/lly-20131231x10kexhibit31.htm" TargetMode="External"/><Relationship Id="rId87" Type="http://schemas.openxmlformats.org/officeDocument/2006/relationships/hyperlink" Target="http://www.sec.gov/Archives/edgar/data/59478/000005947819000335/elilillyandcompany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2020-07-31T11:05:56Z</dcterms:created>
  <dcterms:modified xsi:type="dcterms:W3CDTF">2020-07-31T11:05:56Z</dcterms:modified>
</cp:coreProperties>
</file>