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6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6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63"/>
        <w:spacing w:after="0"/>
        <w:rPr>
          <w:sz w:val="20"/>
          <w:szCs w:val="20"/>
          <w:color w:val="auto"/>
        </w:rPr>
      </w:pPr>
      <w:r>
        <w:rPr>
          <w:rFonts w:ascii="Arial" w:cs="Arial" w:eastAsia="Arial" w:hAnsi="Arial"/>
          <w:sz w:val="32"/>
          <w:szCs w:val="32"/>
          <w:b w:val="1"/>
          <w:bCs w:val="1"/>
          <w:color w:val="auto"/>
        </w:rPr>
        <w:t>SCHEDULE 13G/A</w:t>
      </w:r>
    </w:p>
    <w:p>
      <w:pPr>
        <w:spacing w:after="0" w:line="226"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(Amendment No. 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63"/>
        <w:spacing w:after="0"/>
        <w:rPr>
          <w:sz w:val="20"/>
          <w:szCs w:val="20"/>
          <w:color w:val="auto"/>
        </w:rPr>
      </w:pPr>
      <w:r>
        <w:rPr>
          <w:rFonts w:ascii="Arial" w:cs="Arial" w:eastAsia="Arial" w:hAnsi="Arial"/>
          <w:sz w:val="40"/>
          <w:szCs w:val="40"/>
          <w:b w:val="1"/>
          <w:bCs w:val="1"/>
          <w:color w:val="auto"/>
        </w:rPr>
        <w:t>Aeglea BioTherapeutics, Inc.</w:t>
      </w:r>
    </w:p>
    <w:p>
      <w:pPr>
        <w:spacing w:after="0" w:line="35"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(Name of Issuer)</w:t>
      </w:r>
    </w:p>
    <w:p>
      <w:pPr>
        <w:spacing w:after="0" w:line="205"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Common Stock, $0.0001 par value</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(Title of Class of Securities)</w:t>
      </w:r>
    </w:p>
    <w:p>
      <w:pPr>
        <w:spacing w:after="0" w:line="192"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00773J103</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(CUSIP Number)</w:t>
      </w:r>
    </w:p>
    <w:p>
      <w:pPr>
        <w:spacing w:after="0" w:line="192"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December 31, 2021</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ind w:left="4"/>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52"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52"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sz w:val="24"/>
          <w:szCs w:val="24"/>
          <w:color w:val="auto"/>
        </w:rPr>
      </w:pPr>
    </w:p>
    <w:p>
      <w:pPr>
        <w:ind w:left="424" w:hanging="424"/>
        <w:spacing w:after="0" w:line="308" w:lineRule="auto"/>
        <w:tabs>
          <w:tab w:leader="none" w:pos="424"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46" w:lineRule="exact"/>
        <w:rPr>
          <w:sz w:val="24"/>
          <w:szCs w:val="24"/>
          <w:color w:val="auto"/>
        </w:rPr>
      </w:pPr>
    </w:p>
    <w:p>
      <w:pPr>
        <w:ind w:left="4" w:right="20"/>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151130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194310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44"/>
          </w:cols>
          <w:pgMar w:left="436" w:top="517" w:right="519" w:bottom="1440" w:gutter="0" w:footer="0" w:header="0"/>
        </w:sectPr>
      </w:pPr>
    </w:p>
    <w:bookmarkStart w:id="1" w:name="page2"/>
    <w:bookmarkEnd w:id="1"/>
    <w:p>
      <w:pPr>
        <w:ind w:left="664" w:right="8180" w:hanging="417"/>
        <w:spacing w:after="0" w:line="457" w:lineRule="auto"/>
        <w:tabs>
          <w:tab w:leader="none" w:pos="664" w:val="left"/>
        </w:tabs>
        <w:numPr>
          <w:ilvl w:val="0"/>
          <w:numId w:val="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Names of Reporting Persons Lilly Ventures Fund I LLC</w:t>
      </w:r>
    </w:p>
    <w:p>
      <w:pPr>
        <w:spacing w:after="0" w:line="1" w:lineRule="exact"/>
        <w:rPr>
          <w:rFonts w:ascii="Arial" w:cs="Arial" w:eastAsia="Arial" w:hAnsi="Arial"/>
          <w:sz w:val="16"/>
          <w:szCs w:val="16"/>
          <w:color w:val="auto"/>
        </w:rPr>
      </w:pPr>
    </w:p>
    <w:p>
      <w:pPr>
        <w:ind w:left="664" w:hanging="417"/>
        <w:spacing w:after="0"/>
        <w:tabs>
          <w:tab w:leader="none" w:pos="664"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-575945</wp:posOffset>
            </wp:positionV>
            <wp:extent cx="6926580" cy="52203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ind w:left="664"/>
        <w:spacing w:after="0" w:line="205" w:lineRule="exact"/>
        <w:tabs>
          <w:tab w:leader="none" w:pos="144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64" w:hanging="417"/>
        <w:spacing w:after="0"/>
        <w:tabs>
          <w:tab w:leader="none" w:pos="664"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664" w:right="7620" w:hanging="417"/>
        <w:spacing w:after="0" w:line="406" w:lineRule="auto"/>
        <w:tabs>
          <w:tab w:leader="none" w:pos="664"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1" w:lineRule="exact"/>
        <w:rPr>
          <w:rFonts w:ascii="Arial" w:cs="Arial" w:eastAsia="Arial" w:hAnsi="Arial"/>
          <w:sz w:val="18"/>
          <w:szCs w:val="18"/>
          <w:color w:val="auto"/>
        </w:rPr>
      </w:pPr>
    </w:p>
    <w:p>
      <w:pPr>
        <w:ind w:left="2044" w:hanging="424"/>
        <w:spacing w:after="0"/>
        <w:tabs>
          <w:tab w:leader="none" w:pos="2044" w:val="left"/>
        </w:tabs>
        <w:numPr>
          <w:ilvl w:val="1"/>
          <w:numId w:val="5"/>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52" w:lineRule="exact"/>
        <w:rPr>
          <w:sz w:val="20"/>
          <w:szCs w:val="20"/>
          <w:color w:val="auto"/>
        </w:rPr>
      </w:pPr>
    </w:p>
    <w:tbl>
      <w:tblPr>
        <w:tblLayout w:type="fixed"/>
        <w:tblInd w:w="204" w:type="dxa"/>
        <w:tblCellMar>
          <w:top w:w="0" w:type="dxa"/>
          <w:left w:w="0" w:type="dxa"/>
          <w:bottom w:w="0" w:type="dxa"/>
          <w:right w:w="0" w:type="dxa"/>
        </w:tblCellMar>
      </w:tblPr>
      <w:tr>
        <w:trPr>
          <w:trHeight w:val="244"/>
        </w:trPr>
        <w:tc>
          <w:tcPr>
            <w:tcW w:w="130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400" w:type="dxa"/>
            <w:vAlign w:val="bottom"/>
            <w:tcBorders>
              <w:bottom w:val="single" w:sz="8" w:color="auto"/>
            </w:tcBorders>
          </w:tcPr>
          <w:p>
            <w:pPr>
              <w:spacing w:after="0"/>
              <w:rPr>
                <w:sz w:val="21"/>
                <w:szCs w:val="21"/>
                <w:color w:val="auto"/>
              </w:rPr>
            </w:pPr>
          </w:p>
        </w:tc>
        <w:tc>
          <w:tcPr>
            <w:tcW w:w="90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1300" w:type="dxa"/>
            <w:vAlign w:val="bottom"/>
          </w:tcPr>
          <w:p>
            <w:pPr>
              <w:jc w:val="center"/>
              <w:spacing w:after="0"/>
              <w:rPr>
                <w:sz w:val="20"/>
                <w:szCs w:val="20"/>
                <w:color w:val="auto"/>
              </w:rPr>
            </w:pPr>
            <w:r>
              <w:rPr>
                <w:rFonts w:ascii="Arial" w:cs="Arial" w:eastAsia="Arial" w:hAnsi="Arial"/>
                <w:sz w:val="18"/>
                <w:szCs w:val="18"/>
                <w:color w:val="auto"/>
                <w:w w:val="94"/>
              </w:rPr>
              <w:t>SHARES</w:t>
            </w: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9000" w:type="dxa"/>
            <w:vAlign w:val="bottom"/>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9"/>
              </w:rPr>
              <w:t>BENEFICIALLY</w:t>
            </w:r>
          </w:p>
        </w:tc>
        <w:tc>
          <w:tcPr>
            <w:tcW w:w="400" w:type="dxa"/>
            <w:vAlign w:val="bottom"/>
          </w:tcPr>
          <w:p>
            <w:pPr>
              <w:spacing w:after="0"/>
              <w:rPr>
                <w:sz w:val="18"/>
                <w:szCs w:val="18"/>
                <w:color w:val="auto"/>
              </w:rPr>
            </w:pPr>
          </w:p>
        </w:tc>
        <w:tc>
          <w:tcPr>
            <w:tcW w:w="9000" w:type="dxa"/>
            <w:vAlign w:val="bottom"/>
            <w:vMerge w:val="restart"/>
          </w:tcPr>
          <w:p>
            <w:pPr>
              <w:ind w:left="140"/>
              <w:spacing w:after="0"/>
              <w:rPr>
                <w:sz w:val="20"/>
                <w:szCs w:val="20"/>
                <w:color w:val="auto"/>
              </w:rPr>
            </w:pPr>
            <w:r>
              <w:rPr>
                <w:rFonts w:ascii="Arial" w:cs="Arial" w:eastAsia="Arial" w:hAnsi="Arial"/>
                <w:sz w:val="18"/>
                <w:szCs w:val="18"/>
                <w:color w:val="auto"/>
              </w:rPr>
              <w:t>1,526,516</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30"/>
        </w:trPr>
        <w:tc>
          <w:tcPr>
            <w:tcW w:w="130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400" w:type="dxa"/>
            <w:vAlign w:val="bottom"/>
            <w:tcBorders>
              <w:bottom w:val="single" w:sz="8" w:color="auto"/>
            </w:tcBorders>
          </w:tcPr>
          <w:p>
            <w:pPr>
              <w:spacing w:after="0"/>
              <w:rPr>
                <w:sz w:val="20"/>
                <w:szCs w:val="20"/>
                <w:color w:val="auto"/>
              </w:rPr>
            </w:pPr>
          </w:p>
        </w:tc>
        <w:tc>
          <w:tcPr>
            <w:tcW w:w="90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300" w:type="dxa"/>
            <w:vAlign w:val="bottom"/>
          </w:tcPr>
          <w:p>
            <w:pPr>
              <w:jc w:val="center"/>
              <w:spacing w:after="0" w:line="182" w:lineRule="exact"/>
              <w:rPr>
                <w:sz w:val="20"/>
                <w:szCs w:val="20"/>
                <w:color w:val="auto"/>
              </w:rPr>
            </w:pPr>
            <w:r>
              <w:rPr>
                <w:rFonts w:ascii="Arial" w:cs="Arial" w:eastAsia="Arial" w:hAnsi="Arial"/>
                <w:sz w:val="18"/>
                <w:szCs w:val="18"/>
                <w:color w:val="auto"/>
                <w:w w:val="99"/>
              </w:rPr>
              <w:t>EACH</w:t>
            </w:r>
          </w:p>
        </w:tc>
        <w:tc>
          <w:tcPr>
            <w:tcW w:w="400" w:type="dxa"/>
            <w:vAlign w:val="bottom"/>
          </w:tcPr>
          <w:p>
            <w:pPr>
              <w:jc w:val="right"/>
              <w:ind w:right="50"/>
              <w:spacing w:after="0" w:line="182" w:lineRule="exact"/>
              <w:rPr>
                <w:sz w:val="20"/>
                <w:szCs w:val="20"/>
                <w:color w:val="auto"/>
              </w:rPr>
            </w:pPr>
            <w:r>
              <w:rPr>
                <w:rFonts w:ascii="Arial" w:cs="Arial" w:eastAsia="Arial" w:hAnsi="Arial"/>
                <w:sz w:val="18"/>
                <w:szCs w:val="18"/>
                <w:color w:val="auto"/>
              </w:rPr>
              <w:t>7.</w:t>
            </w:r>
          </w:p>
        </w:tc>
        <w:tc>
          <w:tcPr>
            <w:tcW w:w="9000" w:type="dxa"/>
            <w:vAlign w:val="bottom"/>
          </w:tcPr>
          <w:p>
            <w:pPr>
              <w:ind w:left="14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400" w:type="dxa"/>
            <w:vAlign w:val="bottom"/>
          </w:tcPr>
          <w:p>
            <w:pPr>
              <w:spacing w:after="0"/>
              <w:rPr>
                <w:sz w:val="18"/>
                <w:szCs w:val="18"/>
                <w:color w:val="auto"/>
              </w:rPr>
            </w:pPr>
          </w:p>
        </w:tc>
        <w:tc>
          <w:tcPr>
            <w:tcW w:w="9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0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400" w:type="dxa"/>
            <w:vAlign w:val="bottom"/>
          </w:tcPr>
          <w:p>
            <w:pPr>
              <w:spacing w:after="0"/>
              <w:rPr>
                <w:sz w:val="18"/>
                <w:szCs w:val="18"/>
                <w:color w:val="auto"/>
              </w:rPr>
            </w:pPr>
          </w:p>
        </w:tc>
        <w:tc>
          <w:tcPr>
            <w:tcW w:w="9000" w:type="dxa"/>
            <w:vAlign w:val="bottom"/>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WITH</w:t>
            </w:r>
          </w:p>
        </w:tc>
        <w:tc>
          <w:tcPr>
            <w:tcW w:w="400" w:type="dxa"/>
            <w:vAlign w:val="bottom"/>
            <w:tcBorders>
              <w:bottom w:val="single" w:sz="8" w:color="auto"/>
            </w:tcBorders>
          </w:tcPr>
          <w:p>
            <w:pPr>
              <w:spacing w:after="0"/>
              <w:rPr>
                <w:sz w:val="5"/>
                <w:szCs w:val="5"/>
                <w:color w:val="auto"/>
              </w:rPr>
            </w:pPr>
          </w:p>
        </w:tc>
        <w:tc>
          <w:tcPr>
            <w:tcW w:w="90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300" w:type="dxa"/>
            <w:vAlign w:val="bottom"/>
            <w:vMerge w:val="continue"/>
          </w:tcPr>
          <w:p>
            <w:pPr>
              <w:spacing w:after="0"/>
              <w:rPr>
                <w:sz w:val="12"/>
                <w:szCs w:val="12"/>
                <w:color w:val="auto"/>
              </w:rPr>
            </w:pPr>
          </w:p>
        </w:tc>
        <w:tc>
          <w:tcPr>
            <w:tcW w:w="400" w:type="dxa"/>
            <w:vAlign w:val="bottom"/>
            <w:vMerge w:val="restart"/>
          </w:tcPr>
          <w:p>
            <w:pPr>
              <w:jc w:val="right"/>
              <w:ind w:right="50"/>
              <w:spacing w:after="0"/>
              <w:rPr>
                <w:sz w:val="20"/>
                <w:szCs w:val="20"/>
                <w:color w:val="auto"/>
              </w:rPr>
            </w:pPr>
            <w:r>
              <w:rPr>
                <w:rFonts w:ascii="Arial" w:cs="Arial" w:eastAsia="Arial" w:hAnsi="Arial"/>
                <w:sz w:val="18"/>
                <w:szCs w:val="18"/>
                <w:color w:val="auto"/>
              </w:rPr>
              <w:t>8.</w:t>
            </w:r>
          </w:p>
        </w:tc>
        <w:tc>
          <w:tcPr>
            <w:tcW w:w="9000" w:type="dxa"/>
            <w:vAlign w:val="bottom"/>
            <w:vMerge w:val="restart"/>
          </w:tcPr>
          <w:p>
            <w:pPr>
              <w:ind w:left="1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9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044"/>
        <w:spacing w:after="0"/>
        <w:rPr>
          <w:sz w:val="20"/>
          <w:szCs w:val="20"/>
          <w:color w:val="auto"/>
        </w:rPr>
      </w:pPr>
      <w:r>
        <w:rPr>
          <w:rFonts w:ascii="Arial" w:cs="Arial" w:eastAsia="Arial" w:hAnsi="Arial"/>
          <w:sz w:val="18"/>
          <w:szCs w:val="18"/>
          <w:color w:val="auto"/>
        </w:rPr>
        <w:t>1,526,516</w:t>
      </w:r>
      <w:r>
        <w:rPr>
          <w:rFonts w:ascii="Arial" w:cs="Arial" w:eastAsia="Arial" w:hAnsi="Arial"/>
          <w:sz w:val="15"/>
          <w:szCs w:val="15"/>
          <w:color w:val="auto"/>
        </w:rPr>
        <w:t>(1)</w:t>
      </w:r>
    </w:p>
    <w:p>
      <w:pPr>
        <w:spacing w:after="0" w:line="36" w:lineRule="exact"/>
        <w:rPr>
          <w:sz w:val="20"/>
          <w:szCs w:val="20"/>
          <w:color w:val="auto"/>
        </w:rPr>
      </w:pPr>
    </w:p>
    <w:p>
      <w:pPr>
        <w:ind w:left="664" w:right="5460" w:hanging="417"/>
        <w:spacing w:after="0" w:line="406" w:lineRule="auto"/>
        <w:tabs>
          <w:tab w:leader="none" w:pos="654" w:val="left"/>
        </w:tabs>
        <w:numPr>
          <w:ilvl w:val="1"/>
          <w:numId w:val="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1,526,516</w:t>
      </w:r>
      <w:r>
        <w:rPr>
          <w:rFonts w:ascii="Arial" w:cs="Arial" w:eastAsia="Arial" w:hAnsi="Arial"/>
          <w:sz w:val="15"/>
          <w:szCs w:val="15"/>
          <w:color w:val="auto"/>
        </w:rPr>
        <w:t>(1)</w:t>
      </w:r>
    </w:p>
    <w:p>
      <w:pPr>
        <w:spacing w:after="0" w:line="1" w:lineRule="exact"/>
        <w:rPr>
          <w:rFonts w:ascii="Arial" w:cs="Arial" w:eastAsia="Arial" w:hAnsi="Arial"/>
          <w:sz w:val="18"/>
          <w:szCs w:val="18"/>
          <w:color w:val="auto"/>
        </w:rPr>
      </w:pPr>
    </w:p>
    <w:p>
      <w:pPr>
        <w:ind w:left="664" w:hanging="507"/>
        <w:spacing w:after="0"/>
        <w:tabs>
          <w:tab w:leader="none" w:pos="664" w:val="left"/>
        </w:tabs>
        <w:numPr>
          <w:ilvl w:val="1"/>
          <w:numId w:val="6"/>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w:t>
      </w:r>
    </w:p>
    <w:p>
      <w:pPr>
        <w:spacing w:after="0" w:line="219" w:lineRule="exact"/>
        <w:rPr>
          <w:rFonts w:ascii="Arial" w:cs="Arial" w:eastAsia="Arial" w:hAnsi="Arial"/>
          <w:sz w:val="18"/>
          <w:szCs w:val="18"/>
          <w:color w:val="auto"/>
        </w:rPr>
      </w:pPr>
    </w:p>
    <w:p>
      <w:pPr>
        <w:ind w:left="66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64" w:hanging="507"/>
        <w:spacing w:after="0"/>
        <w:tabs>
          <w:tab w:leader="none" w:pos="664" w:val="left"/>
        </w:tabs>
        <w:numPr>
          <w:ilvl w:val="1"/>
          <w:numId w:val="6"/>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44"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3.1%</w:t>
      </w:r>
      <w:r>
        <w:rPr>
          <w:rFonts w:ascii="Arial" w:cs="Arial" w:eastAsia="Arial" w:hAnsi="Arial"/>
          <w:sz w:val="15"/>
          <w:szCs w:val="15"/>
          <w:color w:val="auto"/>
        </w:rPr>
        <w:t>(2)</w:t>
      </w:r>
    </w:p>
    <w:p>
      <w:pPr>
        <w:spacing w:after="0" w:line="36" w:lineRule="exact"/>
        <w:rPr>
          <w:rFonts w:ascii="Arial" w:cs="Arial" w:eastAsia="Arial" w:hAnsi="Arial"/>
          <w:sz w:val="18"/>
          <w:szCs w:val="18"/>
          <w:color w:val="auto"/>
        </w:rPr>
      </w:pPr>
    </w:p>
    <w:p>
      <w:pPr>
        <w:ind w:left="644" w:hanging="487"/>
        <w:spacing w:after="0"/>
        <w:tabs>
          <w:tab w:leader="none" w:pos="644" w:val="left"/>
        </w:tabs>
        <w:numPr>
          <w:ilvl w:val="1"/>
          <w:numId w:val="6"/>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79" w:lineRule="exact"/>
        <w:rPr>
          <w:rFonts w:ascii="Arial" w:cs="Arial" w:eastAsia="Arial" w:hAnsi="Arial"/>
          <w:sz w:val="18"/>
          <w:szCs w:val="18"/>
          <w:color w:val="auto"/>
        </w:rPr>
      </w:pPr>
    </w:p>
    <w:p>
      <w:pPr>
        <w:ind w:left="424" w:right="60" w:hanging="424"/>
        <w:spacing w:after="0" w:line="255" w:lineRule="auto"/>
        <w:tabs>
          <w:tab w:leader="none" w:pos="424" w:val="left"/>
        </w:tabs>
        <w:numPr>
          <w:ilvl w:val="0"/>
          <w:numId w:val="7"/>
        </w:numPr>
        <w:rPr>
          <w:rFonts w:ascii="Arial" w:cs="Arial" w:eastAsia="Arial" w:hAnsi="Arial"/>
          <w:sz w:val="15"/>
          <w:szCs w:val="15"/>
          <w:color w:val="auto"/>
        </w:rPr>
      </w:pPr>
      <w:r>
        <w:rPr>
          <w:rFonts w:ascii="Arial" w:cs="Arial" w:eastAsia="Arial" w:hAnsi="Arial"/>
          <w:sz w:val="18"/>
          <w:szCs w:val="18"/>
          <w:color w:val="auto"/>
        </w:rPr>
        <w:t>As described in Items 5-9 above, Lilly Ventures Fund I LLC (“LV”) directly holds 1,526,516 shares of the Issuer’s Common Stock. Eli Lilly and Company (“Eli Lilly”) has voting and dispositive power over the shares held by LV. As such, each of the Reporting Persons share voting and dispositive power with respect to the shares held by LV.</w:t>
      </w:r>
    </w:p>
    <w:p>
      <w:pPr>
        <w:spacing w:after="0" w:line="2" w:lineRule="exact"/>
        <w:rPr>
          <w:rFonts w:ascii="Arial" w:cs="Arial" w:eastAsia="Arial" w:hAnsi="Arial"/>
          <w:sz w:val="15"/>
          <w:szCs w:val="15"/>
          <w:color w:val="auto"/>
        </w:rPr>
      </w:pPr>
    </w:p>
    <w:p>
      <w:pPr>
        <w:ind w:left="424" w:right="340" w:hanging="424"/>
        <w:spacing w:after="0" w:line="260" w:lineRule="auto"/>
        <w:tabs>
          <w:tab w:leader="none" w:pos="424" w:val="left"/>
        </w:tabs>
        <w:numPr>
          <w:ilvl w:val="0"/>
          <w:numId w:val="7"/>
        </w:numPr>
        <w:rPr>
          <w:rFonts w:ascii="Arial" w:cs="Arial" w:eastAsia="Arial" w:hAnsi="Arial"/>
          <w:sz w:val="15"/>
          <w:szCs w:val="15"/>
          <w:color w:val="auto"/>
        </w:rPr>
      </w:pPr>
      <w:r>
        <w:rPr>
          <w:rFonts w:ascii="Arial" w:cs="Arial" w:eastAsia="Arial" w:hAnsi="Arial"/>
          <w:sz w:val="18"/>
          <w:szCs w:val="18"/>
          <w:color w:val="auto"/>
        </w:rPr>
        <w:t>This percentage is calculated based upon 49,319,958 outstanding shares of Common Stock of the Issuer, as set forth in the Issuer’s Quarterly Report on Form 10-Q, filed on November 4, 2021.</w:t>
      </w:r>
    </w:p>
    <w:p>
      <w:pPr>
        <w:sectPr>
          <w:pgSz w:w="11900" w:h="16838" w:orient="portrait"/>
          <w:cols w:equalWidth="0" w:num="1">
            <w:col w:w="10904"/>
          </w:cols>
          <w:pgMar w:left="436" w:top="287" w:right="559" w:bottom="1440" w:gutter="0" w:footer="0" w:header="0"/>
        </w:sectPr>
      </w:pPr>
    </w:p>
    <w:bookmarkStart w:id="2" w:name="page3"/>
    <w:bookmarkEnd w:id="2"/>
    <w:p>
      <w:pPr>
        <w:ind w:left="664" w:right="8180" w:hanging="417"/>
        <w:spacing w:after="0" w:line="457" w:lineRule="auto"/>
        <w:tabs>
          <w:tab w:leader="none" w:pos="664" w:val="left"/>
        </w:tabs>
        <w:numPr>
          <w:ilvl w:val="0"/>
          <w:numId w:val="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Names of Reporting Persons Eli Lilly and Company</w:t>
      </w:r>
    </w:p>
    <w:p>
      <w:pPr>
        <w:spacing w:after="0" w:line="1" w:lineRule="exact"/>
        <w:rPr>
          <w:rFonts w:ascii="Arial" w:cs="Arial" w:eastAsia="Arial" w:hAnsi="Arial"/>
          <w:sz w:val="16"/>
          <w:szCs w:val="16"/>
          <w:color w:val="auto"/>
        </w:rPr>
      </w:pPr>
    </w:p>
    <w:p>
      <w:pPr>
        <w:ind w:left="664" w:hanging="417"/>
        <w:spacing w:after="0"/>
        <w:tabs>
          <w:tab w:leader="none" w:pos="664"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-575945</wp:posOffset>
            </wp:positionV>
            <wp:extent cx="6926580" cy="52203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ind w:left="664"/>
        <w:spacing w:after="0" w:line="205" w:lineRule="exact"/>
        <w:tabs>
          <w:tab w:leader="none" w:pos="144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64" w:hanging="417"/>
        <w:spacing w:after="0"/>
        <w:tabs>
          <w:tab w:leader="none" w:pos="664" w:val="left"/>
        </w:tabs>
        <w:numPr>
          <w:ilvl w:val="0"/>
          <w:numId w:val="9"/>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664" w:right="7620" w:hanging="417"/>
        <w:spacing w:after="0" w:line="406" w:lineRule="auto"/>
        <w:tabs>
          <w:tab w:leader="none" w:pos="664" w:val="left"/>
        </w:tabs>
        <w:numPr>
          <w:ilvl w:val="0"/>
          <w:numId w:val="9"/>
        </w:numPr>
        <w:rPr>
          <w:rFonts w:ascii="Arial" w:cs="Arial" w:eastAsia="Arial" w:hAnsi="Arial"/>
          <w:sz w:val="18"/>
          <w:szCs w:val="18"/>
          <w:color w:val="auto"/>
        </w:rPr>
      </w:pPr>
      <w:r>
        <w:rPr>
          <w:rFonts w:ascii="Arial" w:cs="Arial" w:eastAsia="Arial" w:hAnsi="Arial"/>
          <w:sz w:val="18"/>
          <w:szCs w:val="18"/>
          <w:color w:val="auto"/>
        </w:rPr>
        <w:t>Citizenship or Place of Organization Indiana</w:t>
      </w:r>
    </w:p>
    <w:p>
      <w:pPr>
        <w:spacing w:after="0" w:line="1" w:lineRule="exact"/>
        <w:rPr>
          <w:rFonts w:ascii="Arial" w:cs="Arial" w:eastAsia="Arial" w:hAnsi="Arial"/>
          <w:sz w:val="18"/>
          <w:szCs w:val="18"/>
          <w:color w:val="auto"/>
        </w:rPr>
      </w:pPr>
    </w:p>
    <w:p>
      <w:pPr>
        <w:ind w:left="2044" w:hanging="424"/>
        <w:spacing w:after="0"/>
        <w:tabs>
          <w:tab w:leader="none" w:pos="2044" w:val="left"/>
        </w:tabs>
        <w:numPr>
          <w:ilvl w:val="1"/>
          <w:numId w:val="9"/>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52" w:lineRule="exact"/>
        <w:rPr>
          <w:sz w:val="20"/>
          <w:szCs w:val="20"/>
          <w:color w:val="auto"/>
        </w:rPr>
      </w:pPr>
    </w:p>
    <w:tbl>
      <w:tblPr>
        <w:tblLayout w:type="fixed"/>
        <w:tblInd w:w="204" w:type="dxa"/>
        <w:tblCellMar>
          <w:top w:w="0" w:type="dxa"/>
          <w:left w:w="0" w:type="dxa"/>
          <w:bottom w:w="0" w:type="dxa"/>
          <w:right w:w="0" w:type="dxa"/>
        </w:tblCellMar>
      </w:tblPr>
      <w:tr>
        <w:trPr>
          <w:trHeight w:val="244"/>
        </w:trPr>
        <w:tc>
          <w:tcPr>
            <w:tcW w:w="130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400" w:type="dxa"/>
            <w:vAlign w:val="bottom"/>
            <w:tcBorders>
              <w:bottom w:val="single" w:sz="8" w:color="auto"/>
            </w:tcBorders>
          </w:tcPr>
          <w:p>
            <w:pPr>
              <w:spacing w:after="0"/>
              <w:rPr>
                <w:sz w:val="21"/>
                <w:szCs w:val="21"/>
                <w:color w:val="auto"/>
              </w:rPr>
            </w:pPr>
          </w:p>
        </w:tc>
        <w:tc>
          <w:tcPr>
            <w:tcW w:w="90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1300" w:type="dxa"/>
            <w:vAlign w:val="bottom"/>
          </w:tcPr>
          <w:p>
            <w:pPr>
              <w:jc w:val="center"/>
              <w:spacing w:after="0"/>
              <w:rPr>
                <w:sz w:val="20"/>
                <w:szCs w:val="20"/>
                <w:color w:val="auto"/>
              </w:rPr>
            </w:pPr>
            <w:r>
              <w:rPr>
                <w:rFonts w:ascii="Arial" w:cs="Arial" w:eastAsia="Arial" w:hAnsi="Arial"/>
                <w:sz w:val="18"/>
                <w:szCs w:val="18"/>
                <w:color w:val="auto"/>
                <w:w w:val="94"/>
              </w:rPr>
              <w:t>SHARES</w:t>
            </w: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9000" w:type="dxa"/>
            <w:vAlign w:val="bottom"/>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9"/>
              </w:rPr>
              <w:t>BENEFICIALLY</w:t>
            </w:r>
          </w:p>
        </w:tc>
        <w:tc>
          <w:tcPr>
            <w:tcW w:w="400" w:type="dxa"/>
            <w:vAlign w:val="bottom"/>
          </w:tcPr>
          <w:p>
            <w:pPr>
              <w:spacing w:after="0"/>
              <w:rPr>
                <w:sz w:val="18"/>
                <w:szCs w:val="18"/>
                <w:color w:val="auto"/>
              </w:rPr>
            </w:pPr>
          </w:p>
        </w:tc>
        <w:tc>
          <w:tcPr>
            <w:tcW w:w="9000" w:type="dxa"/>
            <w:vAlign w:val="bottom"/>
            <w:vMerge w:val="restart"/>
          </w:tcPr>
          <w:p>
            <w:pPr>
              <w:ind w:left="140"/>
              <w:spacing w:after="0"/>
              <w:rPr>
                <w:sz w:val="20"/>
                <w:szCs w:val="20"/>
                <w:color w:val="auto"/>
              </w:rPr>
            </w:pPr>
            <w:r>
              <w:rPr>
                <w:rFonts w:ascii="Arial" w:cs="Arial" w:eastAsia="Arial" w:hAnsi="Arial"/>
                <w:sz w:val="18"/>
                <w:szCs w:val="18"/>
                <w:color w:val="auto"/>
              </w:rPr>
              <w:t>1,526,516</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30"/>
        </w:trPr>
        <w:tc>
          <w:tcPr>
            <w:tcW w:w="130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400" w:type="dxa"/>
            <w:vAlign w:val="bottom"/>
            <w:tcBorders>
              <w:bottom w:val="single" w:sz="8" w:color="auto"/>
            </w:tcBorders>
          </w:tcPr>
          <w:p>
            <w:pPr>
              <w:spacing w:after="0"/>
              <w:rPr>
                <w:sz w:val="20"/>
                <w:szCs w:val="20"/>
                <w:color w:val="auto"/>
              </w:rPr>
            </w:pPr>
          </w:p>
        </w:tc>
        <w:tc>
          <w:tcPr>
            <w:tcW w:w="90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300" w:type="dxa"/>
            <w:vAlign w:val="bottom"/>
          </w:tcPr>
          <w:p>
            <w:pPr>
              <w:jc w:val="center"/>
              <w:spacing w:after="0" w:line="182" w:lineRule="exact"/>
              <w:rPr>
                <w:sz w:val="20"/>
                <w:szCs w:val="20"/>
                <w:color w:val="auto"/>
              </w:rPr>
            </w:pPr>
            <w:r>
              <w:rPr>
                <w:rFonts w:ascii="Arial" w:cs="Arial" w:eastAsia="Arial" w:hAnsi="Arial"/>
                <w:sz w:val="18"/>
                <w:szCs w:val="18"/>
                <w:color w:val="auto"/>
                <w:w w:val="99"/>
              </w:rPr>
              <w:t>EACH</w:t>
            </w:r>
          </w:p>
        </w:tc>
        <w:tc>
          <w:tcPr>
            <w:tcW w:w="400" w:type="dxa"/>
            <w:vAlign w:val="bottom"/>
          </w:tcPr>
          <w:p>
            <w:pPr>
              <w:jc w:val="right"/>
              <w:ind w:right="50"/>
              <w:spacing w:after="0" w:line="182" w:lineRule="exact"/>
              <w:rPr>
                <w:sz w:val="20"/>
                <w:szCs w:val="20"/>
                <w:color w:val="auto"/>
              </w:rPr>
            </w:pPr>
            <w:r>
              <w:rPr>
                <w:rFonts w:ascii="Arial" w:cs="Arial" w:eastAsia="Arial" w:hAnsi="Arial"/>
                <w:sz w:val="18"/>
                <w:szCs w:val="18"/>
                <w:color w:val="auto"/>
              </w:rPr>
              <w:t>7.</w:t>
            </w:r>
          </w:p>
        </w:tc>
        <w:tc>
          <w:tcPr>
            <w:tcW w:w="9000" w:type="dxa"/>
            <w:vAlign w:val="bottom"/>
          </w:tcPr>
          <w:p>
            <w:pPr>
              <w:ind w:left="14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400" w:type="dxa"/>
            <w:vAlign w:val="bottom"/>
          </w:tcPr>
          <w:p>
            <w:pPr>
              <w:spacing w:after="0"/>
              <w:rPr>
                <w:sz w:val="18"/>
                <w:szCs w:val="18"/>
                <w:color w:val="auto"/>
              </w:rPr>
            </w:pPr>
          </w:p>
        </w:tc>
        <w:tc>
          <w:tcPr>
            <w:tcW w:w="9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0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400" w:type="dxa"/>
            <w:vAlign w:val="bottom"/>
          </w:tcPr>
          <w:p>
            <w:pPr>
              <w:spacing w:after="0"/>
              <w:rPr>
                <w:sz w:val="18"/>
                <w:szCs w:val="18"/>
                <w:color w:val="auto"/>
              </w:rPr>
            </w:pPr>
          </w:p>
        </w:tc>
        <w:tc>
          <w:tcPr>
            <w:tcW w:w="9000" w:type="dxa"/>
            <w:vAlign w:val="bottom"/>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WITH</w:t>
            </w:r>
          </w:p>
        </w:tc>
        <w:tc>
          <w:tcPr>
            <w:tcW w:w="400" w:type="dxa"/>
            <w:vAlign w:val="bottom"/>
            <w:tcBorders>
              <w:bottom w:val="single" w:sz="8" w:color="auto"/>
            </w:tcBorders>
          </w:tcPr>
          <w:p>
            <w:pPr>
              <w:spacing w:after="0"/>
              <w:rPr>
                <w:sz w:val="5"/>
                <w:szCs w:val="5"/>
                <w:color w:val="auto"/>
              </w:rPr>
            </w:pPr>
          </w:p>
        </w:tc>
        <w:tc>
          <w:tcPr>
            <w:tcW w:w="90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300" w:type="dxa"/>
            <w:vAlign w:val="bottom"/>
            <w:vMerge w:val="continue"/>
          </w:tcPr>
          <w:p>
            <w:pPr>
              <w:spacing w:after="0"/>
              <w:rPr>
                <w:sz w:val="12"/>
                <w:szCs w:val="12"/>
                <w:color w:val="auto"/>
              </w:rPr>
            </w:pPr>
          </w:p>
        </w:tc>
        <w:tc>
          <w:tcPr>
            <w:tcW w:w="400" w:type="dxa"/>
            <w:vAlign w:val="bottom"/>
            <w:vMerge w:val="restart"/>
          </w:tcPr>
          <w:p>
            <w:pPr>
              <w:jc w:val="right"/>
              <w:ind w:right="50"/>
              <w:spacing w:after="0"/>
              <w:rPr>
                <w:sz w:val="20"/>
                <w:szCs w:val="20"/>
                <w:color w:val="auto"/>
              </w:rPr>
            </w:pPr>
            <w:r>
              <w:rPr>
                <w:rFonts w:ascii="Arial" w:cs="Arial" w:eastAsia="Arial" w:hAnsi="Arial"/>
                <w:sz w:val="18"/>
                <w:szCs w:val="18"/>
                <w:color w:val="auto"/>
              </w:rPr>
              <w:t>8.</w:t>
            </w:r>
          </w:p>
        </w:tc>
        <w:tc>
          <w:tcPr>
            <w:tcW w:w="9000" w:type="dxa"/>
            <w:vAlign w:val="bottom"/>
            <w:vMerge w:val="restart"/>
          </w:tcPr>
          <w:p>
            <w:pPr>
              <w:ind w:left="1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9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044"/>
        <w:spacing w:after="0"/>
        <w:rPr>
          <w:sz w:val="20"/>
          <w:szCs w:val="20"/>
          <w:color w:val="auto"/>
        </w:rPr>
      </w:pPr>
      <w:r>
        <w:rPr>
          <w:rFonts w:ascii="Arial" w:cs="Arial" w:eastAsia="Arial" w:hAnsi="Arial"/>
          <w:sz w:val="18"/>
          <w:szCs w:val="18"/>
          <w:color w:val="auto"/>
        </w:rPr>
        <w:t>1,526,516</w:t>
      </w:r>
      <w:r>
        <w:rPr>
          <w:rFonts w:ascii="Arial" w:cs="Arial" w:eastAsia="Arial" w:hAnsi="Arial"/>
          <w:sz w:val="15"/>
          <w:szCs w:val="15"/>
          <w:color w:val="auto"/>
        </w:rPr>
        <w:t>(1)</w:t>
      </w:r>
    </w:p>
    <w:p>
      <w:pPr>
        <w:spacing w:after="0" w:line="36" w:lineRule="exact"/>
        <w:rPr>
          <w:sz w:val="20"/>
          <w:szCs w:val="20"/>
          <w:color w:val="auto"/>
        </w:rPr>
      </w:pPr>
    </w:p>
    <w:p>
      <w:pPr>
        <w:ind w:left="664" w:right="5460" w:hanging="417"/>
        <w:spacing w:after="0" w:line="406" w:lineRule="auto"/>
        <w:tabs>
          <w:tab w:leader="none" w:pos="654" w:val="left"/>
        </w:tabs>
        <w:numPr>
          <w:ilvl w:val="1"/>
          <w:numId w:val="10"/>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1,526,516</w:t>
      </w:r>
      <w:r>
        <w:rPr>
          <w:rFonts w:ascii="Arial" w:cs="Arial" w:eastAsia="Arial" w:hAnsi="Arial"/>
          <w:sz w:val="15"/>
          <w:szCs w:val="15"/>
          <w:color w:val="auto"/>
        </w:rPr>
        <w:t>(1)</w:t>
      </w:r>
    </w:p>
    <w:p>
      <w:pPr>
        <w:spacing w:after="0" w:line="1" w:lineRule="exact"/>
        <w:rPr>
          <w:rFonts w:ascii="Arial" w:cs="Arial" w:eastAsia="Arial" w:hAnsi="Arial"/>
          <w:sz w:val="18"/>
          <w:szCs w:val="18"/>
          <w:color w:val="auto"/>
        </w:rPr>
      </w:pPr>
    </w:p>
    <w:p>
      <w:pPr>
        <w:ind w:left="664" w:hanging="507"/>
        <w:spacing w:after="0"/>
        <w:tabs>
          <w:tab w:leader="none" w:pos="664" w:val="left"/>
        </w:tabs>
        <w:numPr>
          <w:ilvl w:val="1"/>
          <w:numId w:val="10"/>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w:t>
      </w:r>
    </w:p>
    <w:p>
      <w:pPr>
        <w:spacing w:after="0" w:line="219" w:lineRule="exact"/>
        <w:rPr>
          <w:rFonts w:ascii="Arial" w:cs="Arial" w:eastAsia="Arial" w:hAnsi="Arial"/>
          <w:sz w:val="18"/>
          <w:szCs w:val="18"/>
          <w:color w:val="auto"/>
        </w:rPr>
      </w:pPr>
    </w:p>
    <w:p>
      <w:pPr>
        <w:ind w:left="66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64" w:hanging="507"/>
        <w:spacing w:after="0"/>
        <w:tabs>
          <w:tab w:leader="none" w:pos="664" w:val="left"/>
        </w:tabs>
        <w:numPr>
          <w:ilvl w:val="1"/>
          <w:numId w:val="10"/>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44"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3.1%</w:t>
      </w:r>
      <w:r>
        <w:rPr>
          <w:rFonts w:ascii="Arial" w:cs="Arial" w:eastAsia="Arial" w:hAnsi="Arial"/>
          <w:sz w:val="15"/>
          <w:szCs w:val="15"/>
          <w:color w:val="auto"/>
        </w:rPr>
        <w:t>(2)</w:t>
      </w:r>
    </w:p>
    <w:p>
      <w:pPr>
        <w:spacing w:after="0" w:line="36" w:lineRule="exact"/>
        <w:rPr>
          <w:rFonts w:ascii="Arial" w:cs="Arial" w:eastAsia="Arial" w:hAnsi="Arial"/>
          <w:sz w:val="18"/>
          <w:szCs w:val="18"/>
          <w:color w:val="auto"/>
        </w:rPr>
      </w:pPr>
    </w:p>
    <w:p>
      <w:pPr>
        <w:ind w:left="644" w:hanging="487"/>
        <w:spacing w:after="0"/>
        <w:tabs>
          <w:tab w:leader="none" w:pos="644" w:val="left"/>
        </w:tabs>
        <w:numPr>
          <w:ilvl w:val="1"/>
          <w:numId w:val="10"/>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CO</w:t>
      </w:r>
    </w:p>
    <w:p>
      <w:pPr>
        <w:spacing w:after="0" w:line="279" w:lineRule="exact"/>
        <w:rPr>
          <w:rFonts w:ascii="Arial" w:cs="Arial" w:eastAsia="Arial" w:hAnsi="Arial"/>
          <w:sz w:val="18"/>
          <w:szCs w:val="18"/>
          <w:color w:val="auto"/>
        </w:rPr>
      </w:pPr>
    </w:p>
    <w:p>
      <w:pPr>
        <w:ind w:left="424" w:right="200" w:hanging="424"/>
        <w:spacing w:after="0" w:line="291" w:lineRule="auto"/>
        <w:tabs>
          <w:tab w:leader="none" w:pos="424" w:val="left"/>
        </w:tabs>
        <w:numPr>
          <w:ilvl w:val="0"/>
          <w:numId w:val="11"/>
        </w:numPr>
        <w:rPr>
          <w:rFonts w:ascii="Arial" w:cs="Arial" w:eastAsia="Arial" w:hAnsi="Arial"/>
          <w:sz w:val="13"/>
          <w:szCs w:val="13"/>
          <w:color w:val="auto"/>
        </w:rPr>
      </w:pPr>
      <w:r>
        <w:rPr>
          <w:rFonts w:ascii="Arial" w:cs="Arial" w:eastAsia="Arial" w:hAnsi="Arial"/>
          <w:sz w:val="16"/>
          <w:szCs w:val="16"/>
          <w:color w:val="auto"/>
        </w:rPr>
        <w:t>As described in Items 5-9 above, LV directly holds 1,526,516 shares of the Issuer’s Common Stock. Eli Lilly has voting and dispositive power over the shares held by LV. As such, each of the Reporting Persons share voting and dispositive power with respect to the shares held by LV.</w:t>
      </w:r>
    </w:p>
    <w:p>
      <w:pPr>
        <w:ind w:left="424" w:right="340" w:hanging="424"/>
        <w:spacing w:after="0" w:line="260" w:lineRule="auto"/>
        <w:tabs>
          <w:tab w:leader="none" w:pos="424" w:val="left"/>
        </w:tabs>
        <w:numPr>
          <w:ilvl w:val="0"/>
          <w:numId w:val="11"/>
        </w:numPr>
        <w:rPr>
          <w:rFonts w:ascii="Arial" w:cs="Arial" w:eastAsia="Arial" w:hAnsi="Arial"/>
          <w:sz w:val="15"/>
          <w:szCs w:val="15"/>
          <w:color w:val="auto"/>
        </w:rPr>
      </w:pPr>
      <w:r>
        <w:rPr>
          <w:rFonts w:ascii="Arial" w:cs="Arial" w:eastAsia="Arial" w:hAnsi="Arial"/>
          <w:sz w:val="18"/>
          <w:szCs w:val="18"/>
          <w:color w:val="auto"/>
        </w:rPr>
        <w:t>This percentage is calculated based upon 49,319,958 outstanding shares of Common Stock of the Issuer, as set forth in the Issuer’s Quarterly Report on Form 10-Q, filed on November 4, 2021.</w:t>
      </w:r>
    </w:p>
    <w:p>
      <w:pPr>
        <w:sectPr>
          <w:pgSz w:w="11900" w:h="16838" w:orient="portrait"/>
          <w:cols w:equalWidth="0" w:num="1">
            <w:col w:w="10904"/>
          </w:cols>
          <w:pgMar w:left="436" w:top="287" w:right="559" w:bottom="1440" w:gutter="0" w:footer="0" w:header="0"/>
        </w:sectPr>
      </w:pPr>
    </w:p>
    <w:bookmarkStart w:id="3" w:name="page4"/>
    <w:bookmarkEnd w:id="3"/>
    <w:p>
      <w:pPr>
        <w:spacing w:after="0"/>
        <w:tabs>
          <w:tab w:leader="none" w:pos="10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1.</w:t>
      </w:r>
      <w:r>
        <w:rPr>
          <w:sz w:val="20"/>
          <w:szCs w:val="20"/>
          <w:color w:val="auto"/>
        </w:rPr>
        <w:tab/>
      </w:r>
      <w:r>
        <w:rPr>
          <w:rFonts w:ascii="Arial" w:cs="Arial" w:eastAsia="Arial" w:hAnsi="Arial"/>
          <w:sz w:val="16"/>
          <w:szCs w:val="16"/>
          <w:b w:val="1"/>
          <w:bCs w:val="1"/>
          <w:color w:val="auto"/>
        </w:rPr>
        <w:t>Name of Issuer</w:t>
      </w:r>
    </w:p>
    <w:p>
      <w:pPr>
        <w:spacing w:after="0" w:line="135" w:lineRule="exact"/>
        <w:rPr>
          <w:sz w:val="20"/>
          <w:szCs w:val="20"/>
          <w:color w:val="auto"/>
        </w:rPr>
      </w:pPr>
    </w:p>
    <w:p>
      <w:pPr>
        <w:ind w:left="1520" w:hanging="431"/>
        <w:spacing w:after="0"/>
        <w:tabs>
          <w:tab w:leader="none" w:pos="1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3"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Aeglea BioTherapeutics, Inc.</w:t>
      </w:r>
    </w:p>
    <w:p>
      <w:pPr>
        <w:spacing w:after="0" w:line="116" w:lineRule="exact"/>
        <w:rPr>
          <w:rFonts w:ascii="Arial" w:cs="Arial" w:eastAsia="Arial" w:hAnsi="Arial"/>
          <w:sz w:val="18"/>
          <w:szCs w:val="18"/>
          <w:color w:val="auto"/>
        </w:rPr>
      </w:pPr>
    </w:p>
    <w:p>
      <w:pPr>
        <w:ind w:left="1540" w:right="4719" w:hanging="451"/>
        <w:spacing w:after="0" w:line="258" w:lineRule="auto"/>
        <w:tabs>
          <w:tab w:leader="none" w:pos="1523"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Address of Issuer’s Principal Executive Offices: 805 Las Cimas Parkway Suite 100</w:t>
      </w:r>
    </w:p>
    <w:p>
      <w:pPr>
        <w:spacing w:after="0" w:line="1"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Austin, Texas 78746</w:t>
      </w:r>
    </w:p>
    <w:p>
      <w:pPr>
        <w:spacing w:after="0" w:line="35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Name of Person Filing</w:t>
      </w:r>
    </w:p>
    <w:p>
      <w:pPr>
        <w:spacing w:after="0" w:line="135" w:lineRule="exact"/>
        <w:rPr>
          <w:sz w:val="20"/>
          <w:szCs w:val="20"/>
          <w:color w:val="auto"/>
        </w:rPr>
      </w:pPr>
    </w:p>
    <w:p>
      <w:pPr>
        <w:ind w:left="1520" w:hanging="431"/>
        <w:spacing w:after="0"/>
        <w:tabs>
          <w:tab w:leader="none" w:pos="1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Name:</w:t>
      </w:r>
    </w:p>
    <w:p>
      <w:pPr>
        <w:spacing w:after="0" w:line="117" w:lineRule="exact"/>
        <w:rPr>
          <w:rFonts w:ascii="Arial" w:cs="Arial" w:eastAsia="Arial" w:hAnsi="Arial"/>
          <w:sz w:val="18"/>
          <w:szCs w:val="18"/>
          <w:color w:val="auto"/>
        </w:rPr>
      </w:pPr>
    </w:p>
    <w:p>
      <w:pPr>
        <w:ind w:left="1540" w:right="6559"/>
        <w:spacing w:after="0" w:line="308" w:lineRule="auto"/>
        <w:rPr>
          <w:rFonts w:ascii="Arial" w:cs="Arial" w:eastAsia="Arial" w:hAnsi="Arial"/>
          <w:sz w:val="18"/>
          <w:szCs w:val="18"/>
          <w:color w:val="auto"/>
        </w:rPr>
      </w:pPr>
      <w:r>
        <w:rPr>
          <w:rFonts w:ascii="Arial" w:cs="Arial" w:eastAsia="Arial" w:hAnsi="Arial"/>
          <w:sz w:val="17"/>
          <w:szCs w:val="17"/>
          <w:color w:val="auto"/>
        </w:rPr>
        <w:t>Lilly Ventures Fund I LLC Eli Lilly and Company</w:t>
      </w:r>
    </w:p>
    <w:p>
      <w:pPr>
        <w:spacing w:after="0" w:line="51" w:lineRule="exact"/>
        <w:rPr>
          <w:rFonts w:ascii="Arial" w:cs="Arial" w:eastAsia="Arial" w:hAnsi="Arial"/>
          <w:sz w:val="18"/>
          <w:szCs w:val="18"/>
          <w:color w:val="auto"/>
        </w:rPr>
      </w:pPr>
    </w:p>
    <w:p>
      <w:pPr>
        <w:ind w:left="1520" w:hanging="431"/>
        <w:spacing w:after="0"/>
        <w:tabs>
          <w:tab w:leader="none" w:pos="1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Address of Principal Business Office:</w:t>
      </w:r>
    </w:p>
    <w:p>
      <w:pPr>
        <w:spacing w:after="0" w:line="117" w:lineRule="exact"/>
        <w:rPr>
          <w:rFonts w:ascii="Arial" w:cs="Arial" w:eastAsia="Arial" w:hAnsi="Arial"/>
          <w:sz w:val="18"/>
          <w:szCs w:val="18"/>
          <w:color w:val="auto"/>
        </w:rPr>
      </w:pPr>
    </w:p>
    <w:p>
      <w:pPr>
        <w:ind w:left="1540" w:right="6459"/>
        <w:spacing w:after="0" w:line="342" w:lineRule="auto"/>
        <w:rPr>
          <w:rFonts w:ascii="Arial" w:cs="Arial" w:eastAsia="Arial" w:hAnsi="Arial"/>
          <w:sz w:val="18"/>
          <w:szCs w:val="18"/>
          <w:color w:val="auto"/>
        </w:rPr>
      </w:pPr>
      <w:r>
        <w:rPr>
          <w:rFonts w:ascii="Arial" w:cs="Arial" w:eastAsia="Arial" w:hAnsi="Arial"/>
          <w:sz w:val="16"/>
          <w:szCs w:val="16"/>
          <w:color w:val="auto"/>
        </w:rPr>
        <w:t>c/o Lilly Corporate Center Indianapolis, Indiana 46285</w:t>
      </w:r>
    </w:p>
    <w:p>
      <w:pPr>
        <w:spacing w:after="0" w:line="29" w:lineRule="exact"/>
        <w:rPr>
          <w:rFonts w:ascii="Arial" w:cs="Arial" w:eastAsia="Arial" w:hAnsi="Arial"/>
          <w:sz w:val="18"/>
          <w:szCs w:val="18"/>
          <w:color w:val="auto"/>
        </w:rPr>
      </w:pPr>
    </w:p>
    <w:p>
      <w:pPr>
        <w:ind w:left="1520" w:hanging="431"/>
        <w:spacing w:after="0"/>
        <w:tabs>
          <w:tab w:leader="none" w:pos="1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Citizenship:</w:t>
      </w:r>
    </w:p>
    <w:p>
      <w:pPr>
        <w:sectPr>
          <w:pgSz w:w="11900" w:h="16838" w:orient="portrait"/>
          <w:cols w:equalWidth="0" w:num="1">
            <w:col w:w="10019"/>
          </w:cols>
          <w:pgMar w:left="440" w:top="270" w:right="1440" w:bottom="1440" w:gutter="0" w:footer="0" w:header="0"/>
        </w:sectPr>
      </w:pPr>
    </w:p>
    <w:p>
      <w:pPr>
        <w:spacing w:after="0" w:line="117" w:lineRule="exact"/>
        <w:rPr>
          <w:sz w:val="20"/>
          <w:szCs w:val="20"/>
          <w:color w:val="auto"/>
        </w:rPr>
      </w:pPr>
    </w:p>
    <w:p>
      <w:pPr>
        <w:ind w:left="1540"/>
        <w:spacing w:after="0"/>
        <w:rPr>
          <w:sz w:val="20"/>
          <w:szCs w:val="20"/>
          <w:color w:val="auto"/>
        </w:rPr>
      </w:pPr>
      <w:r>
        <w:rPr>
          <w:rFonts w:ascii="Arial" w:cs="Arial" w:eastAsia="Arial" w:hAnsi="Arial"/>
          <w:sz w:val="17"/>
          <w:szCs w:val="17"/>
          <w:color w:val="auto"/>
        </w:rPr>
        <w:t>Lilly Ventures Fund I LLC</w:t>
      </w:r>
    </w:p>
    <w:p>
      <w:pPr>
        <w:spacing w:after="0" w:line="35"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Eli Lilly and Company</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color w:val="auto"/>
        </w:rPr>
        <w:t>Delaware limited liability company</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Indiana corporation</w:t>
      </w:r>
    </w:p>
    <w:p>
      <w:pPr>
        <w:spacing w:after="0" w:line="116" w:lineRule="exact"/>
        <w:rPr>
          <w:sz w:val="20"/>
          <w:szCs w:val="20"/>
          <w:color w:val="auto"/>
        </w:rPr>
      </w:pPr>
    </w:p>
    <w:p>
      <w:pPr>
        <w:sectPr>
          <w:pgSz w:w="11900" w:h="16838" w:orient="portrait"/>
          <w:cols w:equalWidth="0" w:num="2">
            <w:col w:w="3820" w:space="720"/>
            <w:col w:w="5479"/>
          </w:cols>
          <w:pgMar w:left="440" w:top="270" w:right="1440" w:bottom="1440" w:gutter="0" w:footer="0" w:header="0"/>
          <w:type w:val="continuous"/>
        </w:sectPr>
      </w:pPr>
    </w:p>
    <w:p>
      <w:pPr>
        <w:ind w:left="1540" w:right="5979" w:hanging="451"/>
        <w:spacing w:after="0" w:line="431" w:lineRule="auto"/>
        <w:tabs>
          <w:tab w:leader="none" w:pos="1523" w:val="left"/>
        </w:tabs>
        <w:numPr>
          <w:ilvl w:val="0"/>
          <w:numId w:val="14"/>
        </w:numPr>
        <w:rPr>
          <w:rFonts w:ascii="Arial" w:cs="Arial" w:eastAsia="Arial" w:hAnsi="Arial"/>
          <w:sz w:val="16"/>
          <w:szCs w:val="16"/>
          <w:color w:val="auto"/>
        </w:rPr>
      </w:pPr>
      <w:r>
        <w:rPr>
          <w:rFonts w:ascii="Arial" w:cs="Arial" w:eastAsia="Arial" w:hAnsi="Arial"/>
          <w:sz w:val="16"/>
          <w:szCs w:val="16"/>
          <w:color w:val="auto"/>
        </w:rPr>
        <w:t>Title of Class of Securities: Common Stock, $0.0001 par value</w:t>
      </w:r>
    </w:p>
    <w:p>
      <w:pPr>
        <w:ind w:left="1540" w:right="7299" w:hanging="451"/>
        <w:spacing w:after="0" w:line="483" w:lineRule="auto"/>
        <w:tabs>
          <w:tab w:leader="none" w:pos="1523" w:val="left"/>
        </w:tabs>
        <w:numPr>
          <w:ilvl w:val="0"/>
          <w:numId w:val="14"/>
        </w:numPr>
        <w:rPr>
          <w:rFonts w:ascii="Arial" w:cs="Arial" w:eastAsia="Arial" w:hAnsi="Arial"/>
          <w:sz w:val="16"/>
          <w:szCs w:val="16"/>
          <w:color w:val="auto"/>
        </w:rPr>
      </w:pPr>
      <w:r>
        <w:rPr>
          <w:rFonts w:ascii="Arial" w:cs="Arial" w:eastAsia="Arial" w:hAnsi="Arial"/>
          <w:sz w:val="16"/>
          <w:szCs w:val="16"/>
          <w:color w:val="auto"/>
        </w:rPr>
        <w:t>CUSIP Number: 00773J103</w:t>
      </w:r>
    </w:p>
    <w:p>
      <w:pPr>
        <w:sectPr>
          <w:pgSz w:w="11900" w:h="16838" w:orient="portrait"/>
          <w:cols w:equalWidth="0" w:num="1">
            <w:col w:w="10019"/>
          </w:cols>
          <w:pgMar w:left="440" w:top="270" w:right="1440" w:bottom="1440" w:gutter="0" w:footer="0" w:header="0"/>
          <w:type w:val="continuous"/>
        </w:sectPr>
      </w:pP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this statement is filed pursuant to § 240.13d-1(b) or § 240.13d-2(b) or (c), check whether the person filing is a:</w:t>
      </w:r>
    </w:p>
    <w:p>
      <w:pPr>
        <w:spacing w:after="0" w:line="144" w:lineRule="exact"/>
        <w:rPr>
          <w:sz w:val="20"/>
          <w:szCs w:val="20"/>
          <w:color w:val="auto"/>
        </w:rPr>
      </w:pPr>
    </w:p>
    <w:p>
      <w:pPr>
        <w:sectPr>
          <w:pgSz w:w="11900" w:h="16838" w:orient="portrait"/>
          <w:cols w:equalWidth="0" w:num="2">
            <w:col w:w="540" w:space="540"/>
            <w:col w:w="8939"/>
          </w:cols>
          <w:pgMar w:left="440" w:top="270" w:right="1440" w:bottom="1440" w:gutter="0" w:footer="0" w:header="0"/>
          <w:type w:val="continuous"/>
        </w:sectPr>
      </w:pPr>
    </w:p>
    <w:p>
      <w:pPr>
        <w:ind w:left="1100"/>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1">
            <w:col w:w="10019"/>
          </w:cols>
          <w:pgMar w:left="440" w:top="270" w:right="1440" w:bottom="1440" w:gutter="0" w:footer="0" w:header="0"/>
          <w:type w:val="continuous"/>
        </w:sectPr>
      </w:pPr>
    </w:p>
    <w:p>
      <w:pPr>
        <w:spacing w:after="0" w:line="3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w:t>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Ownership.</w:t>
      </w:r>
    </w:p>
    <w:p>
      <w:pPr>
        <w:spacing w:after="0" w:line="144" w:lineRule="exact"/>
        <w:rPr>
          <w:sz w:val="20"/>
          <w:szCs w:val="20"/>
          <w:color w:val="auto"/>
        </w:rPr>
      </w:pPr>
    </w:p>
    <w:p>
      <w:pPr>
        <w:sectPr>
          <w:pgSz w:w="11900" w:h="16838" w:orient="portrait"/>
          <w:cols w:equalWidth="0" w:num="2">
            <w:col w:w="540" w:space="540"/>
            <w:col w:w="8939"/>
          </w:cols>
          <w:pgMar w:left="440" w:top="270" w:right="1440" w:bottom="1440" w:gutter="0" w:footer="0" w:header="0"/>
          <w:type w:val="continuous"/>
        </w:sectPr>
      </w:pPr>
    </w:p>
    <w:p>
      <w:pPr>
        <w:spacing w:after="0"/>
        <w:rPr>
          <w:sz w:val="20"/>
          <w:szCs w:val="20"/>
          <w:color w:val="auto"/>
        </w:rPr>
      </w:pPr>
      <w:r>
        <w:rPr>
          <w:rFonts w:ascii="Arial" w:cs="Arial" w:eastAsia="Arial" w:hAnsi="Arial"/>
          <w:sz w:val="18"/>
          <w:szCs w:val="18"/>
          <w:color w:val="auto"/>
        </w:rPr>
        <w:t>All ownership information is as of December 31, 2021.</w:t>
      </w:r>
    </w:p>
    <w:p>
      <w:pPr>
        <w:spacing w:after="0" w:line="131" w:lineRule="exact"/>
        <w:rPr>
          <w:sz w:val="20"/>
          <w:szCs w:val="20"/>
          <w:color w:val="auto"/>
        </w:rPr>
      </w:pPr>
    </w:p>
    <w:p>
      <w:pPr>
        <w:ind w:left="1520" w:hanging="431"/>
        <w:spacing w:after="0"/>
        <w:tabs>
          <w:tab w:leader="none" w:pos="1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Amount Beneficially Owned: See Item 9 of Cover Sheet.</w:t>
      </w:r>
    </w:p>
    <w:p>
      <w:pPr>
        <w:spacing w:after="0" w:line="130" w:lineRule="exact"/>
        <w:rPr>
          <w:rFonts w:ascii="Arial" w:cs="Arial" w:eastAsia="Arial" w:hAnsi="Arial"/>
          <w:sz w:val="18"/>
          <w:szCs w:val="18"/>
          <w:color w:val="auto"/>
        </w:rPr>
      </w:pPr>
    </w:p>
    <w:p>
      <w:pPr>
        <w:ind w:left="1520" w:hanging="431"/>
        <w:spacing w:after="0"/>
        <w:tabs>
          <w:tab w:leader="none" w:pos="1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Percent of Class: See Item 11 of Cover Sheet.</w:t>
      </w:r>
    </w:p>
    <w:p>
      <w:pPr>
        <w:spacing w:after="0" w:line="130" w:lineRule="exact"/>
        <w:rPr>
          <w:rFonts w:ascii="Arial" w:cs="Arial" w:eastAsia="Arial" w:hAnsi="Arial"/>
          <w:sz w:val="18"/>
          <w:szCs w:val="18"/>
          <w:color w:val="auto"/>
        </w:rPr>
      </w:pPr>
    </w:p>
    <w:p>
      <w:pPr>
        <w:ind w:left="1520" w:hanging="431"/>
        <w:spacing w:after="0"/>
        <w:tabs>
          <w:tab w:leader="none" w:pos="1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130" w:lineRule="exact"/>
        <w:rPr>
          <w:rFonts w:ascii="Arial" w:cs="Arial" w:eastAsia="Arial" w:hAnsi="Arial"/>
          <w:sz w:val="18"/>
          <w:szCs w:val="18"/>
          <w:color w:val="auto"/>
        </w:rPr>
      </w:pPr>
    </w:p>
    <w:p>
      <w:pPr>
        <w:ind w:left="2080" w:hanging="545"/>
        <w:spacing w:after="0"/>
        <w:tabs>
          <w:tab w:leader="none" w:pos="20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sole power to vote or to direct the vote: See Item 5 of Cover Sheet.</w:t>
      </w:r>
    </w:p>
    <w:p>
      <w:pPr>
        <w:spacing w:after="0" w:line="130" w:lineRule="exact"/>
        <w:rPr>
          <w:rFonts w:ascii="Arial" w:cs="Arial" w:eastAsia="Arial" w:hAnsi="Arial"/>
          <w:sz w:val="18"/>
          <w:szCs w:val="18"/>
          <w:color w:val="auto"/>
        </w:rPr>
      </w:pPr>
    </w:p>
    <w:p>
      <w:pPr>
        <w:ind w:left="2080" w:hanging="545"/>
        <w:spacing w:after="0"/>
        <w:tabs>
          <w:tab w:leader="none" w:pos="20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shared power to vote or to direct the vote: See Item 6 of Cover Sheet.</w:t>
      </w:r>
    </w:p>
    <w:p>
      <w:pPr>
        <w:spacing w:after="0" w:line="130" w:lineRule="exact"/>
        <w:rPr>
          <w:rFonts w:ascii="Arial" w:cs="Arial" w:eastAsia="Arial" w:hAnsi="Arial"/>
          <w:sz w:val="18"/>
          <w:szCs w:val="18"/>
          <w:color w:val="auto"/>
        </w:rPr>
      </w:pPr>
    </w:p>
    <w:p>
      <w:pPr>
        <w:ind w:left="2080" w:hanging="545"/>
        <w:spacing w:after="0"/>
        <w:tabs>
          <w:tab w:leader="none" w:pos="2080" w:val="left"/>
        </w:tabs>
        <w:numPr>
          <w:ilvl w:val="1"/>
          <w:numId w:val="15"/>
        </w:numPr>
        <w:rPr>
          <w:rFonts w:ascii="Arial" w:cs="Arial" w:eastAsia="Arial" w:hAnsi="Arial"/>
          <w:sz w:val="16"/>
          <w:szCs w:val="16"/>
          <w:color w:val="auto"/>
        </w:rPr>
      </w:pPr>
      <w:r>
        <w:rPr>
          <w:rFonts w:ascii="Arial" w:cs="Arial" w:eastAsia="Arial" w:hAnsi="Arial"/>
          <w:sz w:val="16"/>
          <w:szCs w:val="16"/>
          <w:color w:val="auto"/>
        </w:rPr>
        <w:t>sole power to dispose or to direct the disposition of: See Item 7 of Cover Sheet.</w:t>
      </w:r>
    </w:p>
    <w:p>
      <w:pPr>
        <w:spacing w:after="0" w:line="153" w:lineRule="exact"/>
        <w:rPr>
          <w:rFonts w:ascii="Arial" w:cs="Arial" w:eastAsia="Arial" w:hAnsi="Arial"/>
          <w:sz w:val="16"/>
          <w:szCs w:val="16"/>
          <w:color w:val="auto"/>
        </w:rPr>
      </w:pPr>
    </w:p>
    <w:p>
      <w:pPr>
        <w:ind w:left="2080" w:hanging="545"/>
        <w:spacing w:after="0"/>
        <w:tabs>
          <w:tab w:leader="none" w:pos="2080" w:val="left"/>
        </w:tabs>
        <w:numPr>
          <w:ilvl w:val="1"/>
          <w:numId w:val="15"/>
        </w:numPr>
        <w:rPr>
          <w:rFonts w:ascii="Arial" w:cs="Arial" w:eastAsia="Arial" w:hAnsi="Arial"/>
          <w:sz w:val="16"/>
          <w:szCs w:val="16"/>
          <w:color w:val="auto"/>
        </w:rPr>
      </w:pPr>
      <w:r>
        <w:rPr>
          <w:rFonts w:ascii="Arial" w:cs="Arial" w:eastAsia="Arial" w:hAnsi="Arial"/>
          <w:sz w:val="16"/>
          <w:szCs w:val="16"/>
          <w:color w:val="auto"/>
        </w:rPr>
        <w:t>shared power to dispose or to direct the disposition of: See Item 8 of Cover Sheet.</w:t>
      </w:r>
    </w:p>
    <w:p>
      <w:pPr>
        <w:sectPr>
          <w:pgSz w:w="11900" w:h="16838" w:orient="portrait"/>
          <w:cols w:equalWidth="0" w:num="1">
            <w:col w:w="10019"/>
          </w:cols>
          <w:pgMar w:left="440" w:top="270" w:right="1440" w:bottom="1440" w:gutter="0" w:footer="0" w:header="0"/>
          <w:type w:val="continuous"/>
        </w:sectPr>
      </w:pPr>
    </w:p>
    <w:bookmarkStart w:id="4" w:name="page5"/>
    <w:bookmarkEnd w:id="4"/>
    <w:p>
      <w:pPr>
        <w:spacing w:after="0"/>
        <w:tabs>
          <w:tab w:leader="none" w:pos="10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ind w:left="110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Persons have ceased to be the beneficial owners of more than five percent of the Common Stock, check the following: </w:t>
      </w:r>
      <w:r>
        <w:rPr>
          <w:rFonts w:ascii="MS PGothic" w:cs="MS PGothic" w:eastAsia="MS PGothic" w:hAnsi="MS PGothic"/>
          <w:sz w:val="18"/>
          <w:szCs w:val="18"/>
          <w:color w:val="auto"/>
        </w:rPr>
        <w:t>☒</w:t>
      </w:r>
    </w:p>
    <w:p>
      <w:pPr>
        <w:spacing w:after="0" w:line="327"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1080" w:right="380" w:hanging="1092"/>
        <w:spacing w:after="0" w:line="282" w:lineRule="auto"/>
        <w:tabs>
          <w:tab w:leader="none" w:pos="10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w:t>
      </w:r>
    </w:p>
    <w:p>
      <w:pPr>
        <w:spacing w:after="0" w:line="58"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 of the Group</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0820"/>
          </w:cols>
          <w:pgMar w:left="440" w:top="270" w:right="639" w:bottom="1440" w:gutter="0" w:footer="0" w:header="0"/>
        </w:sectPr>
      </w:pPr>
    </w:p>
    <w:bookmarkStart w:id="5" w:name="page6"/>
    <w:bookmarkEnd w:id="5"/>
    <w:p>
      <w:pPr>
        <w:jc w:val="center"/>
        <w:ind w:right="-1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97"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Dated: February 10, 2022</w:t>
      </w:r>
      <w:r>
        <w:rPr>
          <w:sz w:val="20"/>
          <w:szCs w:val="20"/>
          <w:color w:val="auto"/>
        </w:rPr>
        <w:tab/>
      </w:r>
      <w:r>
        <w:rPr>
          <w:rFonts w:ascii="Arial" w:cs="Arial" w:eastAsia="Arial" w:hAnsi="Arial"/>
          <w:sz w:val="17"/>
          <w:szCs w:val="17"/>
          <w:color w:val="auto"/>
        </w:rPr>
        <w:t>LILLY VENTURES FUND I LLC</w:t>
      </w:r>
    </w:p>
    <w:p>
      <w:pPr>
        <w:spacing w:after="0" w:line="225" w:lineRule="exact"/>
        <w:rPr>
          <w:sz w:val="20"/>
          <w:szCs w:val="20"/>
          <w:color w:val="auto"/>
        </w:rPr>
      </w:pPr>
    </w:p>
    <w:p>
      <w:pPr>
        <w:ind w:left="5620"/>
        <w:spacing w:after="0"/>
        <w:tabs>
          <w:tab w:leader="none" w:pos="6040" w:val="left"/>
        </w:tabs>
        <w:rPr>
          <w:sz w:val="20"/>
          <w:szCs w:val="20"/>
          <w:color w:val="auto"/>
        </w:rPr>
      </w:pPr>
      <w:r>
        <w:rPr>
          <w:rFonts w:ascii="Arial" w:cs="Arial" w:eastAsia="Arial" w:hAnsi="Arial"/>
          <w:sz w:val="18"/>
          <w:szCs w:val="18"/>
          <w:color w:val="auto"/>
        </w:rPr>
        <w:t>By:</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Authorized Signatory</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ELI LILLY AND COMPANY</w:t>
      </w:r>
    </w:p>
    <w:p>
      <w:pPr>
        <w:spacing w:after="0" w:line="225" w:lineRule="exact"/>
        <w:rPr>
          <w:sz w:val="20"/>
          <w:szCs w:val="20"/>
          <w:color w:val="auto"/>
        </w:rPr>
      </w:pPr>
    </w:p>
    <w:p>
      <w:pPr>
        <w:ind w:left="5620"/>
        <w:spacing w:after="0"/>
        <w:tabs>
          <w:tab w:leader="none" w:pos="6040" w:val="left"/>
        </w:tabs>
        <w:rPr>
          <w:sz w:val="20"/>
          <w:szCs w:val="20"/>
          <w:color w:val="auto"/>
        </w:rPr>
      </w:pPr>
      <w:r>
        <w:rPr>
          <w:rFonts w:ascii="Arial" w:cs="Arial" w:eastAsia="Arial" w:hAnsi="Arial"/>
          <w:sz w:val="18"/>
          <w:szCs w:val="18"/>
          <w:color w:val="auto"/>
        </w:rPr>
        <w:t>By:</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Authorized Signatory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/s/ Christopher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14605</wp:posOffset>
            </wp:positionV>
            <wp:extent cx="24860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1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Christopher Anderson</w:t>
      </w:r>
    </w:p>
    <w:p>
      <w:pPr>
        <w:spacing w:after="0" w:line="2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Attorney-in-Fact</w:t>
      </w:r>
    </w:p>
    <w:p>
      <w:pPr>
        <w:spacing w:after="0" w:line="21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This Schedule 13G was executed pursuant to a Power of Attorney for Lilly Ventures Fund I LLC filed on the date hereof with the Securities and Exchange Commission and attached as an exhibit hereto.</w:t>
      </w:r>
    </w:p>
    <w:p>
      <w:pPr>
        <w:spacing w:after="0" w:line="19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Christopher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wp:posOffset>
            </wp:positionH>
            <wp:positionV relativeFrom="paragraph">
              <wp:posOffset>14605</wp:posOffset>
            </wp:positionV>
            <wp:extent cx="24257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Christopher Anderson</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Attorney-in-Fact</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Schedule 13G was executed pursuant to a Power of Attorney for Eli Lilly and Company filed on the date hereof with the Securities and Exchange Commission and attached as an exhibit hereto.</w:t>
      </w:r>
    </w:p>
    <w:p>
      <w:pPr>
        <w:sectPr>
          <w:pgSz w:w="11900" w:h="16838" w:orient="portrait"/>
          <w:cols w:equalWidth="0" w:num="1">
            <w:col w:w="10860"/>
          </w:cols>
          <w:pgMar w:left="440" w:top="270" w:right="59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229" w:lineRule="exact"/>
        <w:rPr>
          <w:sz w:val="20"/>
          <w:szCs w:val="20"/>
          <w:color w:val="auto"/>
        </w:rPr>
      </w:pPr>
    </w:p>
    <w:p>
      <w:pPr>
        <w:ind w:right="220"/>
        <w:spacing w:after="0" w:line="311" w:lineRule="auto"/>
        <w:rPr>
          <w:sz w:val="20"/>
          <w:szCs w:val="20"/>
          <w:color w:val="auto"/>
        </w:rPr>
      </w:pPr>
      <w:r>
        <w:rPr>
          <w:rFonts w:ascii="Arial" w:cs="Arial" w:eastAsia="Arial" w:hAnsi="Arial"/>
          <w:sz w:val="16"/>
          <w:szCs w:val="16"/>
          <w:color w:val="auto"/>
        </w:rPr>
        <w:t>IN ACCORDANCE WITH Rule 13d-1(k) under the Securities Exchange Act of 1934, as amended, the undersigned hereby agree to the joint filing on behalf of each of them of a statement on Schedule 13G (including amendments thereto) with respect to the Common Shares, par value $0.0001 per share, of Aeglea BioTherapeutics, Inc., a Delaware corporation, and that this Joint Filing Agreement be included as an exhibit to such joint filing.</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color w:val="auto"/>
        </w:rPr>
        <w:t>This Joint Filing Agreement may be executed in any number of counterparts, all of which together shall constitute one and the same instrument.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hereby execute this Joint Filing Agreement as of this 10th day of February 2022.</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LILLY VENTURES FUND I LLC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Authorized Signatory</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ELI LILLY AND COMPANY</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Authorized Signatory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/s/ Christopher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14605</wp:posOffset>
            </wp:positionV>
            <wp:extent cx="24860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1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Christopher Anderson</w:t>
      </w:r>
    </w:p>
    <w:p>
      <w:pPr>
        <w:spacing w:after="0" w:line="2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Attorney-in-Fact</w:t>
      </w:r>
    </w:p>
    <w:p>
      <w:pPr>
        <w:spacing w:after="0" w:line="211"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This Schedule 13G was executed pursuant to a Power of Attorney for Lilly Ventures Fund I LLC filed on the date hereof with the Securities and Exchange Commission and attached as an exhibit hereto.</w:t>
      </w:r>
    </w:p>
    <w:p>
      <w:pPr>
        <w:spacing w:after="0" w:line="19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Christopher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wp:posOffset>
            </wp:positionH>
            <wp:positionV relativeFrom="paragraph">
              <wp:posOffset>14605</wp:posOffset>
            </wp:positionV>
            <wp:extent cx="242570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Christopher Anderson</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Attorney-in-Fact</w:t>
      </w:r>
    </w:p>
    <w:p>
      <w:pPr>
        <w:spacing w:after="0" w:line="21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This Schedule 13G was executed pursuant to a Power of Attorney for Eli Lilly and Company filed on the date hereof with the Securities and Exchange Commission and attached as an exhibit hereto.</w:t>
      </w:r>
    </w:p>
    <w:p>
      <w:pPr>
        <w:sectPr>
          <w:pgSz w:w="11900" w:h="16838" w:orient="portrait"/>
          <w:cols w:equalWidth="0" w:num="1">
            <w:col w:w="11020"/>
          </w:cols>
          <w:pgMar w:left="440" w:top="121" w:right="4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The undersigned, LILLY VENTURES FUND I LLC, a Delaware limited liability company (the “Company”), does hereby make, constitute and appoint each of Anat Hakim, Christopher Anderson and Jonathan Groff acting severally, as its true and lawful attorneys-in-fact, for the purpose of, from time to time, executing in its name and on its behalf, whether the Company is acting individually or as representative of others, any and all documents, certificates, instruments, statements, other filings and amendments to the foregoing (collectively, “documents”) determined by such person to 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72"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This power of attorney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has caused this power of attorney to be executed as of this 10th day of February, 2022.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Lilly Ventures Fund I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Eli Lilly and Company, its Managing Member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Anat Ashkenazi</w:t>
            </w:r>
          </w:p>
        </w:tc>
      </w:tr>
      <w:tr>
        <w:trPr>
          <w:trHeight w:val="209"/>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Pr>
          <w:p>
            <w:pPr>
              <w:spacing w:after="0"/>
              <w:rPr>
                <w:sz w:val="20"/>
                <w:szCs w:val="20"/>
                <w:color w:val="auto"/>
              </w:rPr>
            </w:pPr>
            <w:r>
              <w:rPr>
                <w:rFonts w:ascii="Arial" w:cs="Arial" w:eastAsia="Arial" w:hAnsi="Arial"/>
                <w:sz w:val="18"/>
                <w:szCs w:val="18"/>
                <w:color w:val="auto"/>
              </w:rPr>
              <w:t>Anat Ashkenazi</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Pr>
          <w:p>
            <w:pPr>
              <w:spacing w:after="0"/>
              <w:rPr>
                <w:sz w:val="20"/>
                <w:szCs w:val="20"/>
                <w:color w:val="auto"/>
              </w:rPr>
            </w:pPr>
            <w:r>
              <w:rPr>
                <w:rFonts w:ascii="Arial" w:cs="Arial" w:eastAsia="Arial" w:hAnsi="Arial"/>
                <w:sz w:val="18"/>
                <w:szCs w:val="18"/>
                <w:color w:val="auto"/>
              </w:rPr>
              <w:t>Senior Vice President</w:t>
            </w:r>
          </w:p>
        </w:tc>
      </w:tr>
      <w:tr>
        <w:trPr>
          <w:trHeight w:val="230"/>
        </w:trPr>
        <w:tc>
          <w:tcPr>
            <w:tcW w:w="620" w:type="dxa"/>
            <w:vAlign w:val="bottom"/>
          </w:tcPr>
          <w:p>
            <w:pPr>
              <w:spacing w:after="0"/>
              <w:rPr>
                <w:sz w:val="20"/>
                <w:szCs w:val="20"/>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and Chief Financial Officer</w:t>
            </w:r>
          </w:p>
        </w:tc>
      </w:tr>
    </w:tbl>
    <w:p>
      <w:pPr>
        <w:sectPr>
          <w:pgSz w:w="11900" w:h="16838" w:orient="portrait"/>
          <w:cols w:equalWidth="0" w:num="1">
            <w:col w:w="11020"/>
          </w:cols>
          <w:pgMar w:left="440" w:top="121" w:right="4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99.3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The undersigned, ELI LILLY AND COMPANY, a corporation duly organized under the laws of the State of Indiana, United States (the “Company”), does hereby make, constitute and appoint each of Anat Hakim, Christopher Anderson and Jonathan Groff acting severally, as its true and lawful attorneys-in-fact, for the purpose of, from time to time, executing in its name and on its behalf, whether the Company is acting individually or as representative of others, any and all documents, certificates, instruments, statements, other filings and amendments to the foregoing (collectively, “documents”) determined by such person to 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79"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This power of attorney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has caused this power of attorney to be executed as of this 10th day of February, 2022.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 Lilly and Company</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Anat Ashkenazi</w:t>
            </w:r>
          </w:p>
        </w:tc>
      </w:tr>
      <w:tr>
        <w:trPr>
          <w:trHeight w:val="209"/>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Pr>
          <w:p>
            <w:pPr>
              <w:spacing w:after="0"/>
              <w:rPr>
                <w:sz w:val="20"/>
                <w:szCs w:val="20"/>
                <w:color w:val="auto"/>
              </w:rPr>
            </w:pPr>
            <w:r>
              <w:rPr>
                <w:rFonts w:ascii="Arial" w:cs="Arial" w:eastAsia="Arial" w:hAnsi="Arial"/>
                <w:sz w:val="18"/>
                <w:szCs w:val="18"/>
                <w:color w:val="auto"/>
              </w:rPr>
              <w:t>Anat Ashkenazi</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Pr>
          <w:p>
            <w:pPr>
              <w:spacing w:after="0"/>
              <w:rPr>
                <w:sz w:val="20"/>
                <w:szCs w:val="20"/>
                <w:color w:val="auto"/>
              </w:rPr>
            </w:pPr>
            <w:r>
              <w:rPr>
                <w:rFonts w:ascii="Arial" w:cs="Arial" w:eastAsia="Arial" w:hAnsi="Arial"/>
                <w:sz w:val="18"/>
                <w:szCs w:val="18"/>
                <w:color w:val="auto"/>
              </w:rPr>
              <w:t>Senior Vice President</w:t>
            </w:r>
          </w:p>
        </w:tc>
      </w:tr>
      <w:tr>
        <w:trPr>
          <w:trHeight w:val="230"/>
        </w:trPr>
        <w:tc>
          <w:tcPr>
            <w:tcW w:w="620" w:type="dxa"/>
            <w:vAlign w:val="bottom"/>
          </w:tcPr>
          <w:p>
            <w:pPr>
              <w:spacing w:after="0"/>
              <w:rPr>
                <w:sz w:val="20"/>
                <w:szCs w:val="20"/>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and Chief Financial Officer</w:t>
            </w:r>
          </w:p>
        </w:tc>
      </w:tr>
    </w:tbl>
    <w:p>
      <w:pPr>
        <w:spacing w:after="0" w:line="1" w:lineRule="exact"/>
        <w:rPr>
          <w:sz w:val="20"/>
          <w:szCs w:val="20"/>
          <w:color w:val="auto"/>
        </w:rPr>
      </w:pP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1."/>
      <w:numFmt w:val="decimal"/>
      <w:start w:val="3"/>
    </w:lvl>
    <w:lvl w:ilvl="1">
      <w:lvlJc w:val="left"/>
      <w:lvlText w:val="%2."/>
      <w:numFmt w:val="decimal"/>
      <w:start w:val="5"/>
    </w:lvl>
  </w:abstractNum>
  <w:abstractNum w:abstractNumId="5">
    <w:nsid w:val="216231B"/>
    <w:multiLevelType w:val="hybridMultilevel"/>
    <w:lvl w:ilvl="0">
      <w:lvlJc w:val="left"/>
      <w:lvlText w:val="%1"/>
      <w:numFmt w:val="decimal"/>
      <w:start w:val="1"/>
    </w:lvl>
    <w:lvl w:ilvl="1">
      <w:lvlJc w:val="left"/>
      <w:lvlText w:val="%2."/>
      <w:numFmt w:val="decimal"/>
      <w:start w:val="9"/>
    </w:lvl>
  </w:abstractNum>
  <w:abstractNum w:abstractNumId="6">
    <w:nsid w:val="1F16E9E8"/>
    <w:multiLevelType w:val="hybridMultilevel"/>
    <w:lvl w:ilvl="0">
      <w:lvlJc w:val="left"/>
      <w:lvlText w:val="(%1)"/>
      <w:numFmt w:val="decimal"/>
      <w:start w:val="1"/>
    </w:lvl>
    <w:lvl w:ilvl="1">
      <w:lvlJc w:val="left"/>
      <w:lvlText w:val="%2"/>
      <w:numFmt w:val="decimal"/>
      <w:start w:val="1"/>
    </w:lvl>
  </w:abstractNum>
  <w:abstractNum w:abstractNumId="7">
    <w:nsid w:val="1190CDE7"/>
    <w:multiLevelType w:val="hybridMultilevel"/>
    <w:lvl w:ilvl="0">
      <w:lvlJc w:val="left"/>
      <w:lvlText w:val="%1."/>
      <w:numFmt w:val="decimal"/>
      <w:start w:val="1"/>
    </w:lvl>
  </w:abstractNum>
  <w:abstractNum w:abstractNumId="8">
    <w:nsid w:val="66EF438D"/>
    <w:multiLevelType w:val="hybridMultilevel"/>
    <w:lvl w:ilvl="0">
      <w:lvlJc w:val="left"/>
      <w:lvlText w:val="%1."/>
      <w:numFmt w:val="decimal"/>
      <w:start w:val="3"/>
    </w:lvl>
    <w:lvl w:ilvl="1">
      <w:lvlJc w:val="left"/>
      <w:lvlText w:val="%2."/>
      <w:numFmt w:val="decimal"/>
      <w:start w:val="5"/>
    </w:lvl>
  </w:abstractNum>
  <w:abstractNum w:abstractNumId="9">
    <w:nsid w:val="140E0F76"/>
    <w:multiLevelType w:val="hybridMultilevel"/>
    <w:lvl w:ilvl="0">
      <w:lvlJc w:val="left"/>
      <w:lvlText w:val="%1"/>
      <w:numFmt w:val="decimal"/>
      <w:start w:val="1"/>
    </w:lvl>
    <w:lvl w:ilvl="1">
      <w:lvlJc w:val="left"/>
      <w:lvlText w:val="%2."/>
      <w:numFmt w:val="decimal"/>
      <w:start w:val="9"/>
    </w:lvl>
  </w:abstractNum>
  <w:abstractNum w:abstractNumId="10">
    <w:nsid w:val="3352255A"/>
    <w:multiLevelType w:val="hybridMultilevel"/>
    <w:lvl w:ilvl="0">
      <w:lvlJc w:val="left"/>
      <w:lvlText w:val="(%1)"/>
      <w:numFmt w:val="decimal"/>
      <w:start w:val="1"/>
    </w:lvl>
    <w:lvl w:ilvl="1">
      <w:lvlJc w:val="left"/>
      <w:lvlText w:val="%2"/>
      <w:numFmt w:val="decimal"/>
      <w:start w:val="1"/>
    </w:lvl>
  </w:abstractNum>
  <w:abstractNum w:abstractNumId="11">
    <w:nsid w:val="109CF92E"/>
    <w:multiLevelType w:val="hybridMultilevel"/>
    <w:lvl w:ilvl="0">
      <w:lvlJc w:val="left"/>
      <w:lvlText w:val="(%1)"/>
      <w:numFmt w:val="lowerLetter"/>
      <w:start w:val="1"/>
    </w:lvl>
  </w:abstractNum>
  <w:abstractNum w:abstractNumId="12">
    <w:nsid w:val="DED7263"/>
    <w:multiLevelType w:val="hybridMultilevel"/>
    <w:lvl w:ilvl="0">
      <w:lvlJc w:val="left"/>
      <w:lvlText w:val="(%1)"/>
      <w:numFmt w:val="lowerLetter"/>
      <w:start w:val="1"/>
    </w:lvl>
  </w:abstractNum>
  <w:abstractNum w:abstractNumId="13">
    <w:nsid w:val="7FDCC233"/>
    <w:multiLevelType w:val="hybridMultilevel"/>
    <w:lvl w:ilvl="0">
      <w:lvlJc w:val="left"/>
      <w:lvlText w:val="(%1)"/>
      <w:numFmt w:val="lowerLetter"/>
      <w:start w:val="4"/>
    </w:lvl>
  </w:abstractNum>
  <w:abstractNum w:abstractNumId="14">
    <w:nsid w:val="1BEFD79F"/>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2022-02-11T22:56:19Z</dcterms:created>
  <dcterms:modified xsi:type="dcterms:W3CDTF">2022-02-11T22:56:19Z</dcterms:modified>
</cp:coreProperties>
</file>