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-27305</wp:posOffset>
            </wp:positionV>
            <wp:extent cx="152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321" w:lineRule="exact"/>
        <w:rPr>
          <w:sz w:val="24"/>
          <w:szCs w:val="24"/>
          <w:color w:val="auto"/>
        </w:rPr>
      </w:pPr>
    </w:p>
    <w:p>
      <w:pPr>
        <w:ind w:left="720" w:hanging="539"/>
        <w:spacing w:after="0"/>
        <w:tabs>
          <w:tab w:leader="none" w:pos="720" w:val="left"/>
        </w:tabs>
        <w:numPr>
          <w:ilvl w:val="0"/>
          <w:numId w:val="1"/>
        </w:numPr>
        <w:rPr>
          <w:rFonts w:ascii="Arial" w:cs="Arial" w:eastAsia="Arial" w:hAnsi="Arial"/>
          <w:sz w:val="25"/>
          <w:szCs w:val="25"/>
          <w:color w:val="auto"/>
          <w:vertAlign w:val="superscript"/>
        </w:rPr>
      </w:pPr>
      <w:r>
        <w:rPr>
          <w:rFonts w:ascii="Arial" w:cs="Arial" w:eastAsia="Arial" w:hAnsi="Arial"/>
          <w:sz w:val="13"/>
          <w:szCs w:val="13"/>
          <w:color w:val="auto"/>
        </w:rPr>
        <w:t>Preliminary Proxy Statement</w:t>
      </w:r>
    </w:p>
    <w:p>
      <w:pPr>
        <w:spacing w:after="0" w:line="89" w:lineRule="exact"/>
        <w:rPr>
          <w:rFonts w:ascii="Arial" w:cs="Arial" w:eastAsia="Arial" w:hAnsi="Arial"/>
          <w:sz w:val="25"/>
          <w:szCs w:val="25"/>
          <w:color w:val="auto"/>
          <w:vertAlign w:val="superscript"/>
        </w:rPr>
      </w:pPr>
    </w:p>
    <w:p>
      <w:pPr>
        <w:ind w:left="720" w:hanging="539"/>
        <w:spacing w:after="0" w:line="182" w:lineRule="auto"/>
        <w:tabs>
          <w:tab w:leader="none" w:pos="720" w:val="left"/>
        </w:tabs>
        <w:numPr>
          <w:ilvl w:val="0"/>
          <w:numId w:val="1"/>
        </w:numPr>
        <w:rPr>
          <w:rFonts w:ascii="Arial" w:cs="Arial" w:eastAsia="Arial" w:hAnsi="Arial"/>
          <w:sz w:val="19"/>
          <w:szCs w:val="19"/>
          <w:color w:val="auto"/>
          <w:vertAlign w:val="superscript"/>
        </w:rPr>
      </w:pPr>
      <w:r>
        <w:rPr>
          <w:rFonts w:ascii="Arial" w:cs="Arial" w:eastAsia="Arial" w:hAnsi="Arial"/>
          <w:sz w:val="10"/>
          <w:szCs w:val="10"/>
          <w:color w:val="auto"/>
        </w:rPr>
        <w:t>Confidential, for Use of the Commission Only (as permitted by Rule 14a-6(e)(2))</w:t>
      </w:r>
    </w:p>
    <w:p>
      <w:pPr>
        <w:ind w:left="720" w:hanging="539"/>
        <w:spacing w:after="0" w:line="226" w:lineRule="auto"/>
        <w:tabs>
          <w:tab w:leader="none" w:pos="720" w:val="left"/>
        </w:tabs>
        <w:numPr>
          <w:ilvl w:val="0"/>
          <w:numId w:val="2"/>
        </w:numPr>
        <w:rPr>
          <w:rFonts w:ascii="Arial" w:cs="Arial" w:eastAsia="Arial" w:hAnsi="Arial"/>
          <w:sz w:val="25"/>
          <w:szCs w:val="25"/>
          <w:color w:val="auto"/>
          <w:vertAlign w:val="superscript"/>
        </w:rPr>
      </w:pPr>
      <w:r>
        <w:rPr>
          <w:rFonts w:ascii="Arial" w:cs="Arial" w:eastAsia="Arial" w:hAnsi="Arial"/>
          <w:sz w:val="13"/>
          <w:szCs w:val="13"/>
          <w:color w:val="auto"/>
        </w:rPr>
        <w:t>Definitive Proxy Statement</w:t>
      </w:r>
    </w:p>
    <w:p>
      <w:pPr>
        <w:ind w:left="720" w:hanging="539"/>
        <w:spacing w:after="0" w:line="225" w:lineRule="auto"/>
        <w:tabs>
          <w:tab w:leader="none" w:pos="720" w:val="left"/>
        </w:tabs>
        <w:numPr>
          <w:ilvl w:val="0"/>
          <w:numId w:val="3"/>
        </w:numPr>
        <w:rPr>
          <w:rFonts w:ascii="Arial" w:cs="Arial" w:eastAsia="Arial" w:hAnsi="Arial"/>
          <w:sz w:val="25"/>
          <w:szCs w:val="25"/>
          <w:color w:val="auto"/>
          <w:vertAlign w:val="superscript"/>
        </w:rPr>
      </w:pPr>
      <w:r>
        <w:rPr>
          <w:rFonts w:ascii="Arial" w:cs="Arial" w:eastAsia="Arial" w:hAnsi="Arial"/>
          <w:sz w:val="13"/>
          <w:szCs w:val="13"/>
          <w:color w:val="auto"/>
        </w:rPr>
        <w:t>Definitive Additional Materials</w:t>
      </w:r>
    </w:p>
    <w:p>
      <w:pPr>
        <w:spacing w:after="0" w:line="118" w:lineRule="exact"/>
        <w:rPr>
          <w:rFonts w:ascii="Arial" w:cs="Arial" w:eastAsia="Arial" w:hAnsi="Arial"/>
          <w:sz w:val="25"/>
          <w:szCs w:val="25"/>
          <w:color w:val="auto"/>
          <w:vertAlign w:val="superscript"/>
        </w:rPr>
      </w:pPr>
    </w:p>
    <w:p>
      <w:pPr>
        <w:ind w:left="720" w:hanging="539"/>
        <w:spacing w:after="0" w:line="186" w:lineRule="auto"/>
        <w:tabs>
          <w:tab w:leader="none" w:pos="720" w:val="left"/>
        </w:tabs>
        <w:numPr>
          <w:ilvl w:val="0"/>
          <w:numId w:val="3"/>
        </w:numPr>
        <w:rPr>
          <w:rFonts w:ascii="Arial" w:cs="Arial" w:eastAsia="Arial" w:hAnsi="Arial"/>
          <w:sz w:val="17"/>
          <w:szCs w:val="17"/>
          <w:color w:val="auto"/>
          <w:vertAlign w:val="superscript"/>
        </w:rPr>
      </w:pPr>
      <w:r>
        <w:rPr>
          <w:rFonts w:ascii="Arial" w:cs="Arial" w:eastAsia="Arial" w:hAnsi="Arial"/>
          <w:sz w:val="10"/>
          <w:szCs w:val="10"/>
          <w:color w:val="auto"/>
        </w:rPr>
        <w:t>Soliciting Material Pursuant to §240.14a-12</w:t>
      </w:r>
    </w:p>
    <w:p>
      <w:pPr>
        <w:spacing w:after="0" w:line="28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62" w:lineRule="exact"/>
        <w:rPr>
          <w:sz w:val="24"/>
          <w:szCs w:val="24"/>
          <w:color w:val="auto"/>
        </w:rPr>
      </w:pPr>
    </w:p>
    <w:p>
      <w:pPr>
        <w:ind w:left="180"/>
        <w:spacing w:after="0"/>
        <w:rPr>
          <w:sz w:val="20"/>
          <w:szCs w:val="20"/>
          <w:color w:val="auto"/>
        </w:rPr>
      </w:pPr>
      <w:r>
        <w:rPr>
          <w:rFonts w:ascii="Arial" w:cs="Arial" w:eastAsia="Arial" w:hAnsi="Arial"/>
          <w:sz w:val="13"/>
          <w:szCs w:val="13"/>
          <w:color w:val="auto"/>
        </w:rPr>
        <w:t>Payment of Filing Fee (Check all boxes that apply):</w:t>
      </w:r>
    </w:p>
    <w:p>
      <w:pPr>
        <w:spacing w:after="0" w:line="26" w:lineRule="exact"/>
        <w:rPr>
          <w:sz w:val="24"/>
          <w:szCs w:val="24"/>
          <w:color w:val="auto"/>
        </w:rPr>
      </w:pPr>
    </w:p>
    <w:p>
      <w:pPr>
        <w:ind w:left="180"/>
        <w:spacing w:after="0"/>
        <w:rPr>
          <w:sz w:val="20"/>
          <w:szCs w:val="20"/>
          <w:color w:val="auto"/>
        </w:rPr>
      </w:pPr>
      <w:r>
        <w:rPr>
          <w:rFonts w:ascii="Arial" w:cs="Arial" w:eastAsia="Arial" w:hAnsi="Arial"/>
          <w:sz w:val="13"/>
          <w:szCs w:val="13"/>
          <w:color w:val="auto"/>
        </w:rPr>
        <w:t>x</w:t>
      </w:r>
    </w:p>
    <w:p>
      <w:pPr>
        <w:spacing w:after="0" w:line="13" w:lineRule="exact"/>
        <w:rPr>
          <w:sz w:val="24"/>
          <w:szCs w:val="24"/>
          <w:color w:val="auto"/>
        </w:rPr>
      </w:pPr>
    </w:p>
    <w:p>
      <w:pPr>
        <w:ind w:left="680"/>
        <w:spacing w:after="0"/>
        <w:rPr>
          <w:sz w:val="20"/>
          <w:szCs w:val="20"/>
          <w:color w:val="auto"/>
        </w:rPr>
      </w:pPr>
      <w:r>
        <w:rPr>
          <w:rFonts w:ascii="Arial" w:cs="Arial" w:eastAsia="Arial" w:hAnsi="Arial"/>
          <w:sz w:val="13"/>
          <w:szCs w:val="13"/>
          <w:color w:val="auto"/>
        </w:rPr>
        <w:t>No fee required</w:t>
      </w:r>
    </w:p>
    <w:p>
      <w:pPr>
        <w:spacing w:after="0" w:line="26" w:lineRule="exact"/>
        <w:rPr>
          <w:sz w:val="24"/>
          <w:szCs w:val="24"/>
          <w:color w:val="auto"/>
        </w:rPr>
      </w:pPr>
    </w:p>
    <w:p>
      <w:pPr>
        <w:ind w:left="180"/>
        <w:spacing w:after="0"/>
        <w:rPr>
          <w:sz w:val="20"/>
          <w:szCs w:val="20"/>
          <w:color w:val="auto"/>
        </w:rPr>
      </w:pPr>
      <w:r>
        <w:rPr>
          <w:rFonts w:ascii="Arial" w:cs="Arial" w:eastAsia="Arial" w:hAnsi="Arial"/>
          <w:sz w:val="13"/>
          <w:szCs w:val="13"/>
          <w:color w:val="auto"/>
        </w:rPr>
        <w:t>o</w:t>
      </w:r>
    </w:p>
    <w:p>
      <w:pPr>
        <w:spacing w:after="0" w:line="13" w:lineRule="exact"/>
        <w:rPr>
          <w:sz w:val="24"/>
          <w:szCs w:val="24"/>
          <w:color w:val="auto"/>
        </w:rPr>
      </w:pPr>
    </w:p>
    <w:p>
      <w:pPr>
        <w:ind w:left="680"/>
        <w:spacing w:after="0"/>
        <w:rPr>
          <w:sz w:val="20"/>
          <w:szCs w:val="20"/>
          <w:color w:val="auto"/>
        </w:rPr>
      </w:pPr>
      <w:r>
        <w:rPr>
          <w:rFonts w:ascii="Arial" w:cs="Arial" w:eastAsia="Arial" w:hAnsi="Arial"/>
          <w:sz w:val="13"/>
          <w:szCs w:val="13"/>
          <w:color w:val="auto"/>
        </w:rPr>
        <w:t>Fee paid previously with preliminary materials</w:t>
      </w:r>
    </w:p>
    <w:p>
      <w:pPr>
        <w:spacing w:after="0" w:line="26" w:lineRule="exact"/>
        <w:rPr>
          <w:sz w:val="24"/>
          <w:szCs w:val="24"/>
          <w:color w:val="auto"/>
        </w:rPr>
      </w:pPr>
    </w:p>
    <w:p>
      <w:pPr>
        <w:ind w:left="680" w:hanging="492"/>
        <w:spacing w:after="0"/>
        <w:tabs>
          <w:tab w:leader="none" w:pos="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computed on table in exhibit required by Item 25(b) per Exchange Act Rules 14a-6(i)(1) and 0-11</w:t>
      </w:r>
    </w:p>
    <w:p>
      <w:pPr>
        <w:sectPr>
          <w:pgSz w:w="11900" w:h="16838" w:orient="portrait"/>
          <w:cols w:equalWidth="0" w:num="1">
            <w:col w:w="10139"/>
          </w:cols>
          <w:pgMar w:left="320" w:top="98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2763520</wp:posOffset>
            </wp:positionV>
            <wp:extent cx="4114800" cy="2237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1148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Notice of 2022</w:t>
      </w:r>
    </w:p>
    <w:p>
      <w:pPr>
        <w:spacing w:after="0" w:line="89"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Annual Meeting of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YOUR VOTE IS IMPORTANT</w:t>
      </w:r>
    </w:p>
    <w:p>
      <w:pPr>
        <w:spacing w:after="0" w:line="116" w:lineRule="exact"/>
        <w:rPr>
          <w:sz w:val="20"/>
          <w:szCs w:val="20"/>
          <w:color w:val="auto"/>
        </w:rPr>
      </w:pPr>
    </w:p>
    <w:p>
      <w:pPr>
        <w:ind w:left="20"/>
        <w:spacing w:after="0" w:line="271" w:lineRule="auto"/>
        <w:rPr>
          <w:sz w:val="20"/>
          <w:szCs w:val="20"/>
          <w:color w:val="auto"/>
        </w:rPr>
      </w:pPr>
      <w:r>
        <w:rPr>
          <w:rFonts w:ascii="Arial" w:cs="Arial" w:eastAsia="Arial" w:hAnsi="Arial"/>
          <w:sz w:val="20"/>
          <w:szCs w:val="20"/>
          <w:b w:val="1"/>
          <w:bCs w:val="1"/>
          <w:color w:val="auto"/>
        </w:rPr>
        <w:t>Please vote online, by telephone, or, if you received or requested paper copies of your proxy materials, by signing, dating, and returning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p>
      <w:pPr>
        <w:spacing w:after="0" w:line="17" w:lineRule="exact"/>
        <w:rPr>
          <w:sz w:val="20"/>
          <w:szCs w:val="20"/>
          <w:color w:val="auto"/>
        </w:rPr>
      </w:pPr>
    </w:p>
    <w:p>
      <w:pPr>
        <w:jc w:val="both"/>
        <w:ind w:left="20" w:right="460"/>
        <w:spacing w:after="0" w:line="286" w:lineRule="auto"/>
        <w:rPr>
          <w:sz w:val="20"/>
          <w:szCs w:val="20"/>
          <w:color w:val="auto"/>
        </w:rPr>
      </w:pPr>
      <w:r>
        <w:rPr>
          <w:rFonts w:ascii="Arial" w:cs="Arial" w:eastAsia="Arial" w:hAnsi="Arial"/>
          <w:sz w:val="16"/>
          <w:szCs w:val="16"/>
          <w:b w:val="1"/>
          <w:bCs w:val="1"/>
          <w:color w:val="EE2724"/>
        </w:rPr>
        <w:t>Important notice regarding the availability of proxy materials for the shareholder meeting to be held May 2, 2022: The annual report to shareholders and proxy statement are available at ProxyVote.com as well as on our website at lilly.com/policies-reports/annual-report.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500380</wp:posOffset>
            </wp:positionV>
            <wp:extent cx="1937385"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From Our Chair and Lead Independent Director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Dear fellow Lilly shareholders,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Thank you for your continued support of, and investment in, Eli Lilly and Company. We are proud of Lilly's achievements in 2021. We delivered on important pipeline advancements that help people with diabetes, immune disorders, neurodegenerative disorders, and cancer, continued our efforts to fight COVID-19, and strengthened our initiatives in support of patients and communities. We also worked hard to deliver value to you, our shareholders. We generated strong total shareholder returns through December 31, 2021, in terms of both share price appreciation and dividends.</w:t>
      </w:r>
    </w:p>
    <w:p>
      <w:pPr>
        <w:spacing w:after="0" w:line="9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To support the health and well-being of our employees, board of directors, shareholders, and other meeting participants, and to facilitate broad shareholder attendance and provide a consistent experience to all shareholders, regardless of location, the 2022 Annual Meeting of Shareholders (the Annual Meeting) will be held virtually via live webcast. We learned during the virtual annual meetings held in 2020 and 2021 that this format, in addition to being safer during the COVID-19 pandemic, actually enables more shareholders to attend, and gives our leadership team time to address more questions from those in attendance.</w:t>
      </w:r>
    </w:p>
    <w:p>
      <w:pPr>
        <w:spacing w:after="0" w:line="81"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As part of our mission to improve lives around the world, we are committed to creating a safe, supportive, ethical, and rewarding work environment. Lilly’s core values of integrity, excellence, and respect for people, and our dedication to diversity, equity, and inclusion (DEI) are critical components of how we do business. We take a holistic approach because we’re a stronger company when we have a workforce of top talent from different backgrounds—people who are respected, valued, welcomed, and heard. To fulfill our purpose, we must look at challenges from multiple viewpoints and understand the diverse experiences of the patients who depend on us. In short, our differences make a difference—to patients and to our business.</w:t>
      </w:r>
    </w:p>
    <w:p>
      <w:pPr>
        <w:spacing w:after="0" w:line="10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board recognizes that one of its key responsibilities is to ensure that Lilly is governed in a manner that provides both independent oversight and efficient and effective decision-making. Our chief executive officer brings to the role of chair of our board substantial strategic and operational perspectives and a unique understanding of Lilly's opportunities and challenges. This familiarity with our business, as well as extensive experience and leadership in our industry, positions our CEO to establish the agenda and drive strategy at the board level. Further, our lead independent director, currently CEO of a Fortune 100 company, elucidates an "outside in" analysis of company decisions and performance, maintains frequent contact with our chair to ensure a productive partnership between our independent directors and management, and leads our independent directors in their important oversight function.</w:t>
      </w:r>
    </w:p>
    <w:p>
      <w:pPr>
        <w:spacing w:after="0" w:line="83" w:lineRule="exact"/>
        <w:rPr>
          <w:sz w:val="20"/>
          <w:szCs w:val="20"/>
          <w:color w:val="auto"/>
        </w:rPr>
      </w:pPr>
    </w:p>
    <w:p>
      <w:pPr>
        <w:ind w:right="520"/>
        <w:spacing w:after="0" w:line="235" w:lineRule="auto"/>
        <w:rPr>
          <w:sz w:val="20"/>
          <w:szCs w:val="20"/>
          <w:color w:val="auto"/>
        </w:rPr>
      </w:pPr>
      <w:r>
        <w:rPr>
          <w:rFonts w:ascii="Arial" w:cs="Arial" w:eastAsia="Arial" w:hAnsi="Arial"/>
          <w:sz w:val="16"/>
          <w:szCs w:val="16"/>
          <w:color w:val="auto"/>
        </w:rPr>
        <w:t>Our board continues to prioritize meaningful engagement with our shareholders and other key stakeholders. Since our 2021 annual meeting, we have spoken with a number of investors on an array of subjects, including: board leadership; environmental social and governance topics; drug pricing transparency and global access to our products; product quality and safety; key enterprise risks; executive compensation; DEI; and human capital management.</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appreciate the thoughtful and constructive feedback that we receive from our stakeholders. As a result of this input, as in past years, the board is putting forward management proposals at the Annual Meeting to eliminate the classified board structure and supermajority voting requirements in our articles of incorporation. In addition, the board is putting forward a management proposal to amend our articles of incorporation to provide shareholders the ability to amend our bylaws.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remain committed to serving you and the millions of patients around the world whose lives it is our mission to make better. We look forward to welcoming you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190500</wp:posOffset>
            </wp:positionV>
            <wp:extent cx="15259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38608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121920</wp:posOffset>
            </wp:positionV>
            <wp:extent cx="159448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5226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A. Ricks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Juan Luciano</w:t>
      </w:r>
    </w:p>
    <w:p>
      <w:pPr>
        <w:spacing w:after="0" w:line="59" w:lineRule="exact"/>
        <w:rPr>
          <w:sz w:val="20"/>
          <w:szCs w:val="20"/>
          <w:color w:val="auto"/>
        </w:rPr>
      </w:pPr>
    </w:p>
    <w:p>
      <w:pPr>
        <w:sectPr>
          <w:pgSz w:w="11900" w:h="16838" w:orient="portrait"/>
          <w:cols w:equalWidth="0" w:num="2">
            <w:col w:w="7400" w:space="720"/>
            <w:col w:w="310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Chair, 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Lead Independent Director</w:t>
      </w:r>
    </w:p>
    <w:p>
      <w:pPr>
        <w:sectPr>
          <w:pgSz w:w="11900" w:h="16838" w:orient="portrait"/>
          <w:cols w:equalWidth="0" w:num="2">
            <w:col w:w="7400" w:space="720"/>
            <w:col w:w="3100"/>
          </w:cols>
          <w:pgMar w:left="320" w:top="1440"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b w:val="1"/>
          <w:bCs w:val="1"/>
          <w:color w:val="1CA8E1"/>
        </w:rPr>
        <w:t>Table of Contents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500" w:type="dxa"/>
            <w:vAlign w:val="bottom"/>
          </w:tcPr>
          <w:p>
            <w:pPr>
              <w:spacing w:after="0"/>
              <w:rPr>
                <w:rFonts w:ascii="Arial" w:cs="Arial" w:eastAsia="Arial" w:hAnsi="Arial"/>
                <w:sz w:val="16"/>
                <w:szCs w:val="16"/>
                <w:b w:val="1"/>
                <w:bCs w:val="1"/>
                <w:color w:val="EE2724"/>
              </w:rPr>
            </w:pPr>
            <w:hyperlink w:anchor="page5">
              <w:r>
                <w:rPr>
                  <w:rFonts w:ascii="Arial" w:cs="Arial" w:eastAsia="Arial" w:hAnsi="Arial"/>
                  <w:sz w:val="16"/>
                  <w:szCs w:val="16"/>
                  <w:b w:val="1"/>
                  <w:bCs w:val="1"/>
                  <w:color w:val="EE2724"/>
                </w:rPr>
                <w:t>Notice of 2022 Annual Meeting of Shareholders</w:t>
              </w:r>
            </w:hyperlink>
          </w:p>
        </w:tc>
        <w:tc>
          <w:tcPr>
            <w:tcW w:w="80" w:type="dxa"/>
            <w:vAlign w:val="bottom"/>
          </w:tcPr>
          <w:p>
            <w:pPr>
              <w:spacing w:after="0"/>
              <w:rPr>
                <w:sz w:val="17"/>
                <w:szCs w:val="17"/>
                <w:color w:val="auto"/>
              </w:rPr>
            </w:pPr>
          </w:p>
        </w:tc>
        <w:tc>
          <w:tcPr>
            <w:tcW w:w="120" w:type="dxa"/>
            <w:vAlign w:val="bottom"/>
            <w:tcBorders>
              <w:bottom w:val="single" w:sz="8" w:color="0000FF"/>
            </w:tcBorders>
            <w:gridSpan w:val="2"/>
          </w:tcPr>
          <w:p>
            <w:pPr>
              <w:jc w:val="right"/>
              <w:ind w:right="20"/>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1</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Proxy Statement Summary</w:t>
            </w:r>
          </w:p>
        </w:tc>
        <w:tc>
          <w:tcPr>
            <w:tcW w:w="80" w:type="dxa"/>
            <w:vAlign w:val="bottom"/>
          </w:tcPr>
          <w:p>
            <w:pPr>
              <w:spacing w:after="0"/>
              <w:rPr>
                <w:sz w:val="24"/>
                <w:szCs w:val="24"/>
                <w:color w:val="auto"/>
              </w:rPr>
            </w:pPr>
          </w:p>
        </w:tc>
        <w:tc>
          <w:tcPr>
            <w:tcW w:w="120" w:type="dxa"/>
            <w:vAlign w:val="bottom"/>
            <w:tcBorders>
              <w:bottom w:val="single" w:sz="8" w:color="0000FF"/>
            </w:tcBorders>
            <w:gridSpan w:val="2"/>
          </w:tcPr>
          <w:p>
            <w:pPr>
              <w:jc w:val="right"/>
              <w:ind w:right="20"/>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3</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Governance</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11</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1 - Election of Directors</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11</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16">
              <w:r>
                <w:rPr>
                  <w:rFonts w:ascii="Arial" w:cs="Arial" w:eastAsia="Arial" w:hAnsi="Arial"/>
                  <w:sz w:val="16"/>
                  <w:szCs w:val="16"/>
                  <w:color w:val="auto"/>
                </w:rPr>
                <w:t>Board Operations and Governance</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11</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3">
              <w:r>
                <w:rPr>
                  <w:rFonts w:ascii="Arial" w:cs="Arial" w:eastAsia="Arial" w:hAnsi="Arial"/>
                  <w:sz w:val="16"/>
                  <w:szCs w:val="16"/>
                  <w:color w:val="auto"/>
                </w:rPr>
                <w:t>Director Qualifications and Nomination Process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3">
              <w:r>
                <w:rPr>
                  <w:rFonts w:ascii="Arial" w:cs="Arial" w:eastAsia="Arial" w:hAnsi="Arial"/>
                  <w:sz w:val="16"/>
                  <w:szCs w:val="16"/>
                  <w:color w:val="0000FF"/>
                  <w:w w:val="89"/>
                </w:rPr>
                <w:t>19</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5">
              <w:r>
                <w:rPr>
                  <w:rFonts w:ascii="Arial" w:cs="Arial" w:eastAsia="Arial" w:hAnsi="Arial"/>
                  <w:sz w:val="16"/>
                  <w:szCs w:val="16"/>
                  <w:color w:val="auto"/>
                </w:rPr>
                <w:t>Director Compensation</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20</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7">
              <w:r>
                <w:rPr>
                  <w:rFonts w:ascii="Arial" w:cs="Arial" w:eastAsia="Arial" w:hAnsi="Arial"/>
                  <w:sz w:val="16"/>
                  <w:szCs w:val="16"/>
                  <w:color w:val="auto"/>
                </w:rPr>
                <w:t>Director Independence</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22</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7">
              <w:r>
                <w:rPr>
                  <w:rFonts w:ascii="Arial" w:cs="Arial" w:eastAsia="Arial" w:hAnsi="Arial"/>
                  <w:sz w:val="16"/>
                  <w:szCs w:val="16"/>
                  <w:color w:val="auto"/>
                </w:rPr>
                <w:t>Committees of the Board of Directors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22</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7">
              <w:r>
                <w:rPr>
                  <w:rFonts w:ascii="Arial" w:cs="Arial" w:eastAsia="Arial" w:hAnsi="Arial"/>
                  <w:sz w:val="16"/>
                  <w:szCs w:val="16"/>
                  <w:color w:val="auto"/>
                </w:rPr>
                <w:t>Membership and Meetings of the Board and Its Committees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23</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29">
              <w:r>
                <w:rPr>
                  <w:rFonts w:ascii="Arial" w:cs="Arial" w:eastAsia="Arial" w:hAnsi="Arial"/>
                  <w:sz w:val="16"/>
                  <w:szCs w:val="16"/>
                  <w:color w:val="auto"/>
                </w:rPr>
                <w:t>Board Oversight of Strategy, Compliance, and Risk Management</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25</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30">
              <w:r>
                <w:rPr>
                  <w:rFonts w:ascii="Arial" w:cs="Arial" w:eastAsia="Arial" w:hAnsi="Arial"/>
                  <w:sz w:val="16"/>
                  <w:szCs w:val="16"/>
                  <w:color w:val="auto"/>
                </w:rPr>
                <w:t>Highlights of the Company's Corporate Governance</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25</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39">
              <w:r>
                <w:rPr>
                  <w:rFonts w:ascii="Arial" w:cs="Arial" w:eastAsia="Arial" w:hAnsi="Arial"/>
                  <w:sz w:val="16"/>
                  <w:szCs w:val="16"/>
                  <w:color w:val="auto"/>
                </w:rPr>
                <w:t>Communication with the Board of Directors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34</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Shareholder Engagement on Governance Issues</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0"/>
                <w:szCs w:val="10"/>
                <w:color w:val="0000FF"/>
                <w:w w:val="71"/>
              </w:rPr>
            </w:pPr>
            <w:hyperlink w:anchor="page39">
              <w:r>
                <w:rPr>
                  <w:rFonts w:ascii="Arial" w:cs="Arial" w:eastAsia="Arial" w:hAnsi="Arial"/>
                  <w:sz w:val="10"/>
                  <w:szCs w:val="10"/>
                  <w:color w:val="0000FF"/>
                  <w:w w:val="71"/>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500" w:type="dxa"/>
            <w:vAlign w:val="bottom"/>
          </w:tcPr>
          <w:p>
            <w:pPr>
              <w:ind w:left="360"/>
              <w:spacing w:after="0"/>
              <w:rPr>
                <w:rFonts w:ascii="Arial" w:cs="Arial" w:eastAsia="Arial" w:hAnsi="Arial"/>
                <w:sz w:val="16"/>
                <w:szCs w:val="16"/>
                <w:color w:val="auto"/>
              </w:rPr>
            </w:pPr>
            <w:hyperlink w:anchor="page39">
              <w:r>
                <w:rPr>
                  <w:rFonts w:ascii="Arial" w:cs="Arial" w:eastAsia="Arial" w:hAnsi="Arial"/>
                  <w:sz w:val="16"/>
                  <w:szCs w:val="16"/>
                  <w:color w:val="auto"/>
                </w:rPr>
                <w:t xml:space="preserve">Management Proposals to Eliminate Classified Board, </w:t>
              </w:r>
            </w:hyperlink>
            <w:r>
              <w:rPr>
                <w:rFonts w:ascii="Arial" w:cs="Arial" w:eastAsia="Arial" w:hAnsi="Arial"/>
                <w:sz w:val="16"/>
                <w:szCs w:val="16"/>
                <w:color w:val="auto"/>
              </w:rPr>
              <w:t xml:space="preserve">to Eliminate </w:t>
            </w:r>
            <w:hyperlink w:anchor="page39">
              <w:r>
                <w:rPr>
                  <w:rFonts w:ascii="Arial" w:cs="Arial" w:eastAsia="Arial" w:hAnsi="Arial"/>
                  <w:sz w:val="16"/>
                  <w:szCs w:val="16"/>
                  <w:color w:val="auto"/>
                </w:rPr>
                <w:t xml:space="preserve">Supermajority Voting Provisions, </w:t>
              </w:r>
            </w:hyperlink>
            <w:r>
              <w:rPr>
                <w:rFonts w:ascii="Arial" w:cs="Arial" w:eastAsia="Arial" w:hAnsi="Arial"/>
                <w:sz w:val="16"/>
                <w:szCs w:val="16"/>
                <w:color w:val="auto"/>
              </w:rPr>
              <w:t>and to</w:t>
            </w:r>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34</w:t>
              </w:r>
            </w:hyperlink>
          </w:p>
        </w:tc>
        <w:tc>
          <w:tcPr>
            <w:tcW w:w="0" w:type="dxa"/>
            <w:vAlign w:val="bottom"/>
          </w:tcPr>
          <w:p>
            <w:pPr>
              <w:spacing w:after="0"/>
              <w:rPr>
                <w:sz w:val="1"/>
                <w:szCs w:val="1"/>
                <w:color w:val="auto"/>
              </w:rPr>
            </w:pPr>
          </w:p>
        </w:tc>
      </w:tr>
      <w:tr>
        <w:trPr>
          <w:trHeight w:val="52"/>
        </w:trPr>
        <w:tc>
          <w:tcPr>
            <w:tcW w:w="8500" w:type="dxa"/>
            <w:vAlign w:val="bottom"/>
            <w:vMerge w:val="restart"/>
          </w:tcPr>
          <w:p>
            <w:pPr>
              <w:ind w:left="360"/>
              <w:spacing w:after="0"/>
              <w:rPr>
                <w:sz w:val="20"/>
                <w:szCs w:val="20"/>
                <w:color w:val="auto"/>
              </w:rPr>
            </w:pPr>
            <w:r>
              <w:rPr>
                <w:rFonts w:ascii="Arial" w:cs="Arial" w:eastAsia="Arial" w:hAnsi="Arial"/>
                <w:sz w:val="16"/>
                <w:szCs w:val="16"/>
                <w:color w:val="auto"/>
              </w:rPr>
              <w:t>Give Shareholders the Ability to Amend Bylaws</w:t>
            </w: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500" w:type="dxa"/>
            <w:vAlign w:val="bottom"/>
            <w:vMerge w:val="continue"/>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500" w:type="dxa"/>
            <w:vAlign w:val="bottom"/>
            <w:vMerge w:val="continue"/>
          </w:tcPr>
          <w:p>
            <w:pPr>
              <w:spacing w:after="0"/>
              <w:rPr>
                <w:sz w:val="10"/>
                <w:szCs w:val="10"/>
                <w:color w:val="auto"/>
              </w:rPr>
            </w:pPr>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281"/>
        </w:trPr>
        <w:tc>
          <w:tcPr>
            <w:tcW w:w="8500" w:type="dxa"/>
            <w:vAlign w:val="bottom"/>
          </w:tcPr>
          <w:p>
            <w:pPr>
              <w:ind w:left="360"/>
              <w:spacing w:after="0"/>
              <w:rPr>
                <w:rFonts w:ascii="Arial" w:cs="Arial" w:eastAsia="Arial" w:hAnsi="Arial"/>
                <w:sz w:val="16"/>
                <w:szCs w:val="16"/>
                <w:color w:val="auto"/>
              </w:rPr>
            </w:pPr>
            <w:hyperlink w:anchor="page39">
              <w:r>
                <w:rPr>
                  <w:rFonts w:ascii="Arial" w:cs="Arial" w:eastAsia="Arial" w:hAnsi="Arial"/>
                  <w:sz w:val="16"/>
                  <w:szCs w:val="16"/>
                  <w:color w:val="auto"/>
                </w:rPr>
                <w:t>Shareholder Proposals</w:t>
              </w:r>
            </w:hyperlink>
          </w:p>
        </w:tc>
        <w:tc>
          <w:tcPr>
            <w:tcW w:w="200" w:type="dxa"/>
            <w:vAlign w:val="bottom"/>
            <w:tcBorders>
              <w:bottom w:val="single" w:sz="8" w:color="0000FF"/>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40">
              <w:r>
                <w:rPr>
                  <w:rFonts w:ascii="Arial" w:cs="Arial" w:eastAsia="Arial" w:hAnsi="Arial"/>
                  <w:sz w:val="16"/>
                  <w:szCs w:val="16"/>
                  <w:color w:val="auto"/>
                </w:rPr>
                <w:t>Shareholder Recommendations and Nominations for Director Candidates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35</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Ownership of Company Stock</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36</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Compensation</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37</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2 - Advisory Vote on Compensation Paid to Named Executive Officers</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37</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43">
              <w:r>
                <w:rPr>
                  <w:rFonts w:ascii="Arial" w:cs="Arial" w:eastAsia="Arial" w:hAnsi="Arial"/>
                  <w:sz w:val="16"/>
                  <w:szCs w:val="16"/>
                  <w:color w:val="auto"/>
                </w:rPr>
                <w:t>Compensation Committee Matters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3">
              <w:r>
                <w:rPr>
                  <w:rFonts w:ascii="Arial" w:cs="Arial" w:eastAsia="Arial" w:hAnsi="Arial"/>
                  <w:sz w:val="16"/>
                  <w:szCs w:val="16"/>
                  <w:color w:val="0000FF"/>
                  <w:w w:val="89"/>
                </w:rPr>
                <w:t>38</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44">
              <w:r>
                <w:rPr>
                  <w:rFonts w:ascii="Arial" w:cs="Arial" w:eastAsia="Arial" w:hAnsi="Arial"/>
                  <w:sz w:val="16"/>
                  <w:szCs w:val="16"/>
                  <w:color w:val="auto"/>
                </w:rPr>
                <w:t>Compensation Discussion and Analysis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39</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59">
              <w:r>
                <w:rPr>
                  <w:rFonts w:ascii="Arial" w:cs="Arial" w:eastAsia="Arial" w:hAnsi="Arial"/>
                  <w:sz w:val="16"/>
                  <w:szCs w:val="16"/>
                  <w:color w:val="auto"/>
                </w:rPr>
                <w:t>Executive Compensation</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55</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rFonts w:ascii="Arial" w:cs="Arial" w:eastAsia="Arial" w:hAnsi="Arial"/>
                <w:sz w:val="16"/>
                <w:szCs w:val="16"/>
                <w:color w:val="auto"/>
              </w:rPr>
            </w:pPr>
            <w:hyperlink w:anchor="page69">
              <w:r>
                <w:rPr>
                  <w:rFonts w:ascii="Arial" w:cs="Arial" w:eastAsia="Arial" w:hAnsi="Arial"/>
                  <w:sz w:val="16"/>
                  <w:szCs w:val="16"/>
                  <w:color w:val="auto"/>
                </w:rPr>
                <w:t>CEO Pay Ratio</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64</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Audit Matters</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64</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3 - Ratification of the Appointment of the Independent Auditor</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64</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Management Proposals</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0"/>
                <w:szCs w:val="10"/>
                <w:color w:val="0000FF"/>
                <w:w w:val="71"/>
              </w:rPr>
            </w:pPr>
            <w:hyperlink w:anchor="page71">
              <w:r>
                <w:rPr>
                  <w:rFonts w:ascii="Arial" w:cs="Arial" w:eastAsia="Arial" w:hAnsi="Arial"/>
                  <w:sz w:val="10"/>
                  <w:szCs w:val="10"/>
                  <w:color w:val="0000FF"/>
                  <w:w w:val="71"/>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500" w:type="dxa"/>
            <w:vAlign w:val="bottom"/>
          </w:tcPr>
          <w:p>
            <w:pPr>
              <w:ind w:left="360"/>
              <w:spacing w:after="0"/>
              <w:rPr>
                <w:rFonts w:ascii="Arial" w:cs="Arial" w:eastAsia="Arial" w:hAnsi="Arial"/>
                <w:sz w:val="16"/>
                <w:szCs w:val="16"/>
                <w:b w:val="1"/>
                <w:bCs w:val="1"/>
                <w:color w:val="auto"/>
              </w:rPr>
            </w:pPr>
            <w:hyperlink w:anchor="page71">
              <w:r>
                <w:rPr>
                  <w:rFonts w:ascii="Arial" w:cs="Arial" w:eastAsia="Arial" w:hAnsi="Arial"/>
                  <w:sz w:val="16"/>
                  <w:szCs w:val="16"/>
                  <w:b w:val="1"/>
                  <w:bCs w:val="1"/>
                  <w:color w:val="auto"/>
                </w:rPr>
                <w:t>Item 4 - Proposal to Amend the Company's Articles of Incorporation to Eliminate the Classified Board</w:t>
              </w:r>
            </w:hyperlink>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71">
              <w:r>
                <w:rPr>
                  <w:rFonts w:ascii="Arial" w:cs="Arial" w:eastAsia="Arial" w:hAnsi="Arial"/>
                  <w:sz w:val="16"/>
                  <w:szCs w:val="16"/>
                  <w:color w:val="0000FF"/>
                  <w:w w:val="89"/>
                </w:rPr>
                <w:t>66</w:t>
              </w:r>
            </w:hyperlink>
          </w:p>
        </w:tc>
        <w:tc>
          <w:tcPr>
            <w:tcW w:w="0" w:type="dxa"/>
            <w:vAlign w:val="bottom"/>
          </w:tcPr>
          <w:p>
            <w:pPr>
              <w:spacing w:after="0"/>
              <w:rPr>
                <w:sz w:val="1"/>
                <w:szCs w:val="1"/>
                <w:color w:val="auto"/>
              </w:rPr>
            </w:pPr>
          </w:p>
        </w:tc>
      </w:tr>
      <w:tr>
        <w:trPr>
          <w:trHeight w:val="68"/>
        </w:trPr>
        <w:tc>
          <w:tcPr>
            <w:tcW w:w="8500" w:type="dxa"/>
            <w:vAlign w:val="bottom"/>
            <w:vMerge w:val="restart"/>
          </w:tcPr>
          <w:p>
            <w:pPr>
              <w:ind w:left="1000"/>
              <w:spacing w:after="0"/>
              <w:rPr>
                <w:rFonts w:ascii="Arial" w:cs="Arial" w:eastAsia="Arial" w:hAnsi="Arial"/>
                <w:sz w:val="16"/>
                <w:szCs w:val="16"/>
                <w:b w:val="1"/>
                <w:bCs w:val="1"/>
                <w:color w:val="auto"/>
              </w:rPr>
            </w:pPr>
            <w:hyperlink w:anchor="page71">
              <w:r>
                <w:rPr>
                  <w:rFonts w:ascii="Arial" w:cs="Arial" w:eastAsia="Arial" w:hAnsi="Arial"/>
                  <w:sz w:val="16"/>
                  <w:szCs w:val="16"/>
                  <w:b w:val="1"/>
                  <w:bCs w:val="1"/>
                  <w:color w:val="auto"/>
                </w:rPr>
                <w:t>Structure</w:t>
              </w:r>
            </w:hyperlink>
          </w:p>
        </w:tc>
        <w:tc>
          <w:tcPr>
            <w:tcW w:w="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500" w:type="dxa"/>
            <w:vAlign w:val="bottom"/>
          </w:tcPr>
          <w:p>
            <w:pPr>
              <w:ind w:left="360"/>
              <w:spacing w:after="0"/>
              <w:rPr>
                <w:rFonts w:ascii="Arial" w:cs="Arial" w:eastAsia="Arial" w:hAnsi="Arial"/>
                <w:sz w:val="16"/>
                <w:szCs w:val="16"/>
                <w:b w:val="1"/>
                <w:bCs w:val="1"/>
                <w:color w:val="auto"/>
              </w:rPr>
            </w:pPr>
            <w:hyperlink w:anchor="page72">
              <w:r>
                <w:rPr>
                  <w:rFonts w:ascii="Arial" w:cs="Arial" w:eastAsia="Arial" w:hAnsi="Arial"/>
                  <w:sz w:val="16"/>
                  <w:szCs w:val="16"/>
                  <w:b w:val="1"/>
                  <w:bCs w:val="1"/>
                  <w:color w:val="auto"/>
                </w:rPr>
                <w:t>Item 5 - Proposal to Amend the Company's Articles of Incorporation to Eliminate Supermajority</w:t>
              </w:r>
            </w:hyperlink>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67</w:t>
              </w:r>
            </w:hyperlink>
          </w:p>
        </w:tc>
        <w:tc>
          <w:tcPr>
            <w:tcW w:w="0" w:type="dxa"/>
            <w:vAlign w:val="bottom"/>
          </w:tcPr>
          <w:p>
            <w:pPr>
              <w:spacing w:after="0"/>
              <w:rPr>
                <w:sz w:val="1"/>
                <w:szCs w:val="1"/>
                <w:color w:val="auto"/>
              </w:rPr>
            </w:pPr>
          </w:p>
        </w:tc>
      </w:tr>
      <w:tr>
        <w:trPr>
          <w:trHeight w:val="68"/>
        </w:trPr>
        <w:tc>
          <w:tcPr>
            <w:tcW w:w="8500" w:type="dxa"/>
            <w:vAlign w:val="bottom"/>
            <w:vMerge w:val="restart"/>
          </w:tcPr>
          <w:p>
            <w:pPr>
              <w:ind w:left="1000"/>
              <w:spacing w:after="0"/>
              <w:rPr>
                <w:rFonts w:ascii="Arial" w:cs="Arial" w:eastAsia="Arial" w:hAnsi="Arial"/>
                <w:sz w:val="16"/>
                <w:szCs w:val="16"/>
                <w:b w:val="1"/>
                <w:bCs w:val="1"/>
                <w:color w:val="auto"/>
              </w:rPr>
            </w:pPr>
            <w:hyperlink w:anchor="page72">
              <w:r>
                <w:rPr>
                  <w:rFonts w:ascii="Arial" w:cs="Arial" w:eastAsia="Arial" w:hAnsi="Arial"/>
                  <w:sz w:val="16"/>
                  <w:szCs w:val="16"/>
                  <w:b w:val="1"/>
                  <w:bCs w:val="1"/>
                  <w:color w:val="auto"/>
                </w:rPr>
                <w:t>Voting Provisions</w:t>
              </w:r>
            </w:hyperlink>
          </w:p>
        </w:tc>
        <w:tc>
          <w:tcPr>
            <w:tcW w:w="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6 - Proposal to Amend the Company's Articles of Incorporation to Give Shareholders the Ability</w:t>
            </w:r>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73">
              <w:r>
                <w:rPr>
                  <w:rFonts w:ascii="Arial" w:cs="Arial" w:eastAsia="Arial" w:hAnsi="Arial"/>
                  <w:sz w:val="16"/>
                  <w:szCs w:val="16"/>
                  <w:color w:val="0000FF"/>
                  <w:w w:val="89"/>
                </w:rPr>
                <w:t>68</w:t>
              </w:r>
            </w:hyperlink>
          </w:p>
        </w:tc>
        <w:tc>
          <w:tcPr>
            <w:tcW w:w="0" w:type="dxa"/>
            <w:vAlign w:val="bottom"/>
          </w:tcPr>
          <w:p>
            <w:pPr>
              <w:spacing w:after="0"/>
              <w:rPr>
                <w:sz w:val="1"/>
                <w:szCs w:val="1"/>
                <w:color w:val="auto"/>
              </w:rPr>
            </w:pPr>
          </w:p>
        </w:tc>
      </w:tr>
      <w:tr>
        <w:trPr>
          <w:trHeight w:val="72"/>
        </w:trPr>
        <w:tc>
          <w:tcPr>
            <w:tcW w:w="8500" w:type="dxa"/>
            <w:vAlign w:val="bottom"/>
            <w:vMerge w:val="restart"/>
          </w:tcPr>
          <w:p>
            <w:pPr>
              <w:ind w:left="1000"/>
              <w:spacing w:after="0"/>
              <w:rPr>
                <w:sz w:val="20"/>
                <w:szCs w:val="20"/>
                <w:color w:val="auto"/>
              </w:rPr>
            </w:pPr>
            <w:r>
              <w:rPr>
                <w:rFonts w:ascii="Arial" w:cs="Arial" w:eastAsia="Arial" w:hAnsi="Arial"/>
                <w:sz w:val="16"/>
                <w:szCs w:val="16"/>
                <w:b w:val="1"/>
                <w:bCs w:val="1"/>
                <w:color w:val="auto"/>
              </w:rPr>
              <w:t>to Amend the Company’s Bylaws</w:t>
            </w:r>
          </w:p>
        </w:tc>
        <w:tc>
          <w:tcPr>
            <w:tcW w:w="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500" w:type="dxa"/>
            <w:vAlign w:val="bottom"/>
            <w:vMerge w:val="continue"/>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500" w:type="dxa"/>
            <w:vAlign w:val="bottom"/>
            <w:vMerge w:val="continue"/>
          </w:tcPr>
          <w:p>
            <w:pPr>
              <w:spacing w:after="0"/>
              <w:rPr>
                <w:sz w:val="10"/>
                <w:szCs w:val="10"/>
                <w:color w:val="auto"/>
              </w:rPr>
            </w:pPr>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69</w:t>
              </w:r>
            </w:hyperlink>
          </w:p>
        </w:tc>
        <w:tc>
          <w:tcPr>
            <w:tcW w:w="0" w:type="dxa"/>
            <w:vAlign w:val="bottom"/>
          </w:tcPr>
          <w:p>
            <w:pPr>
              <w:spacing w:after="0"/>
              <w:rPr>
                <w:sz w:val="1"/>
                <w:szCs w:val="1"/>
                <w:color w:val="auto"/>
              </w:rPr>
            </w:pPr>
          </w:p>
        </w:tc>
      </w:tr>
      <w:tr>
        <w:trPr>
          <w:trHeight w:val="281"/>
        </w:trPr>
        <w:tc>
          <w:tcPr>
            <w:tcW w:w="8500" w:type="dxa"/>
            <w:vAlign w:val="bottom"/>
          </w:tcPr>
          <w:p>
            <w:pPr>
              <w:spacing w:after="0"/>
              <w:rPr>
                <w:sz w:val="20"/>
                <w:szCs w:val="20"/>
                <w:color w:val="auto"/>
              </w:rPr>
            </w:pPr>
            <w:r>
              <w:rPr>
                <w:rFonts w:ascii="Arial" w:cs="Arial" w:eastAsia="Arial" w:hAnsi="Arial"/>
                <w:sz w:val="16"/>
                <w:szCs w:val="16"/>
                <w:b w:val="1"/>
                <w:bCs w:val="1"/>
                <w:color w:val="EE2724"/>
              </w:rPr>
              <w:t>Shareholder Proposals</w:t>
            </w:r>
          </w:p>
        </w:tc>
        <w:tc>
          <w:tcPr>
            <w:tcW w:w="200" w:type="dxa"/>
            <w:vAlign w:val="bottom"/>
            <w:tcBorders>
              <w:bottom w:val="single" w:sz="8" w:color="0000FF"/>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7 - Proposal to Amend the Bylaws to Require an Independent Board Chair</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70</w:t>
              </w:r>
            </w:hyperlink>
          </w:p>
        </w:tc>
        <w:tc>
          <w:tcPr>
            <w:tcW w:w="0" w:type="dxa"/>
            <w:vAlign w:val="bottom"/>
          </w:tcPr>
          <w:p>
            <w:pPr>
              <w:spacing w:after="0"/>
              <w:rPr>
                <w:sz w:val="1"/>
                <w:szCs w:val="1"/>
                <w:color w:val="auto"/>
              </w:rPr>
            </w:pPr>
          </w:p>
        </w:tc>
      </w:tr>
      <w:tr>
        <w:trPr>
          <w:trHeight w:val="385"/>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8 - Proposal to Publish an Annual Report Disclosing Lobbying Activities</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0"/>
                <w:szCs w:val="10"/>
                <w:color w:val="0000FF"/>
                <w:w w:val="71"/>
              </w:rPr>
            </w:pPr>
            <w:hyperlink w:anchor="page77">
              <w:r>
                <w:rPr>
                  <w:rFonts w:ascii="Arial" w:cs="Arial" w:eastAsia="Arial" w:hAnsi="Arial"/>
                  <w:sz w:val="10"/>
                  <w:szCs w:val="10"/>
                  <w:color w:val="0000FF"/>
                  <w:w w:val="71"/>
                </w:rPr>
                <w:t>72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500" w:type="dxa"/>
            <w:vAlign w:val="bottom"/>
          </w:tcPr>
          <w:p>
            <w:pPr>
              <w:ind w:left="360"/>
              <w:spacing w:after="0"/>
              <w:rPr>
                <w:rFonts w:ascii="Arial" w:cs="Arial" w:eastAsia="Arial" w:hAnsi="Arial"/>
                <w:sz w:val="16"/>
                <w:szCs w:val="16"/>
                <w:b w:val="1"/>
                <w:bCs w:val="1"/>
                <w:color w:val="auto"/>
              </w:rPr>
            </w:pPr>
            <w:hyperlink w:anchor="page80">
              <w:r>
                <w:rPr>
                  <w:rFonts w:ascii="Arial" w:cs="Arial" w:eastAsia="Arial" w:hAnsi="Arial"/>
                  <w:sz w:val="16"/>
                  <w:szCs w:val="16"/>
                  <w:b w:val="1"/>
                  <w:bCs w:val="1"/>
                  <w:color w:val="auto"/>
                </w:rPr>
                <w:t xml:space="preserve">Item </w:t>
              </w:r>
            </w:hyperlink>
            <w:r>
              <w:rPr>
                <w:rFonts w:ascii="Arial" w:cs="Arial" w:eastAsia="Arial" w:hAnsi="Arial"/>
                <w:sz w:val="16"/>
                <w:szCs w:val="16"/>
                <w:b w:val="1"/>
                <w:bCs w:val="1"/>
                <w:color w:val="auto"/>
              </w:rPr>
              <w:t xml:space="preserve">9 </w:t>
            </w:r>
            <w:hyperlink w:anchor="page80">
              <w:r>
                <w:rPr>
                  <w:rFonts w:ascii="Arial" w:cs="Arial" w:eastAsia="Arial" w:hAnsi="Arial"/>
                  <w:sz w:val="16"/>
                  <w:szCs w:val="16"/>
                  <w:b w:val="1"/>
                  <w:bCs w:val="1"/>
                  <w:color w:val="auto"/>
                </w:rPr>
                <w:t xml:space="preserve">- Proposal to Disclose </w:t>
              </w:r>
            </w:hyperlink>
            <w:r>
              <w:rPr>
                <w:rFonts w:ascii="Arial" w:cs="Arial" w:eastAsia="Arial" w:hAnsi="Arial"/>
                <w:sz w:val="16"/>
                <w:szCs w:val="16"/>
                <w:b w:val="1"/>
                <w:bCs w:val="1"/>
                <w:color w:val="auto"/>
              </w:rPr>
              <w:t>Lobbying Activities and Alignment with Public Policy Positions and</w:t>
            </w:r>
          </w:p>
        </w:tc>
        <w:tc>
          <w:tcPr>
            <w:tcW w:w="200" w:type="dxa"/>
            <w:vAlign w:val="bottom"/>
            <w:gridSpan w:val="3"/>
            <w:vMerge w:val="restart"/>
          </w:tcPr>
          <w:p>
            <w:pPr>
              <w:jc w:val="right"/>
              <w:ind w:right="20"/>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75</w:t>
              </w:r>
            </w:hyperlink>
          </w:p>
        </w:tc>
        <w:tc>
          <w:tcPr>
            <w:tcW w:w="0" w:type="dxa"/>
            <w:vAlign w:val="bottom"/>
          </w:tcPr>
          <w:p>
            <w:pPr>
              <w:spacing w:after="0"/>
              <w:rPr>
                <w:sz w:val="1"/>
                <w:szCs w:val="1"/>
                <w:color w:val="auto"/>
              </w:rPr>
            </w:pPr>
          </w:p>
        </w:tc>
      </w:tr>
      <w:tr>
        <w:trPr>
          <w:trHeight w:val="68"/>
        </w:trPr>
        <w:tc>
          <w:tcPr>
            <w:tcW w:w="8500" w:type="dxa"/>
            <w:vAlign w:val="bottom"/>
            <w:vMerge w:val="restart"/>
          </w:tcPr>
          <w:p>
            <w:pPr>
              <w:ind w:left="1000"/>
              <w:spacing w:after="0"/>
              <w:rPr>
                <w:sz w:val="20"/>
                <w:szCs w:val="20"/>
                <w:color w:val="auto"/>
              </w:rPr>
            </w:pPr>
            <w:r>
              <w:rPr>
                <w:rFonts w:ascii="Arial" w:cs="Arial" w:eastAsia="Arial" w:hAnsi="Arial"/>
                <w:sz w:val="16"/>
                <w:szCs w:val="16"/>
                <w:b w:val="1"/>
                <w:bCs w:val="1"/>
                <w:color w:val="auto"/>
              </w:rPr>
              <w:t>Statements</w:t>
            </w:r>
          </w:p>
        </w:tc>
        <w:tc>
          <w:tcPr>
            <w:tcW w:w="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8500" w:type="dxa"/>
            <w:vAlign w:val="bottom"/>
          </w:tcPr>
          <w:p>
            <w:pPr>
              <w:ind w:left="360"/>
              <w:spacing w:after="0"/>
              <w:rPr>
                <w:sz w:val="20"/>
                <w:szCs w:val="20"/>
                <w:color w:val="auto"/>
              </w:rPr>
            </w:pPr>
            <w:r>
              <w:rPr>
                <w:rFonts w:ascii="Arial" w:cs="Arial" w:eastAsia="Arial" w:hAnsi="Arial"/>
                <w:sz w:val="16"/>
                <w:szCs w:val="16"/>
                <w:b w:val="1"/>
                <w:bCs w:val="1"/>
                <w:color w:val="auto"/>
              </w:rPr>
              <w:t>Item 10- Proposal to Report Oversight of Risks Related to Anticompetitive Pricing Strategies</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82">
              <w:r>
                <w:rPr>
                  <w:rFonts w:ascii="Arial" w:cs="Arial" w:eastAsia="Arial" w:hAnsi="Arial"/>
                  <w:sz w:val="16"/>
                  <w:szCs w:val="16"/>
                  <w:color w:val="0000FF"/>
                  <w:w w:val="89"/>
                </w:rPr>
                <w:t>77</w:t>
              </w:r>
            </w:hyperlink>
          </w:p>
        </w:tc>
        <w:tc>
          <w:tcPr>
            <w:tcW w:w="0" w:type="dxa"/>
            <w:vAlign w:val="bottom"/>
          </w:tcPr>
          <w:p>
            <w:pPr>
              <w:spacing w:after="0"/>
              <w:rPr>
                <w:sz w:val="1"/>
                <w:szCs w:val="1"/>
                <w:color w:val="auto"/>
              </w:rPr>
            </w:pPr>
          </w:p>
        </w:tc>
      </w:tr>
      <w:tr>
        <w:trPr>
          <w:trHeight w:val="385"/>
        </w:trPr>
        <w:tc>
          <w:tcPr>
            <w:tcW w:w="8500" w:type="dxa"/>
            <w:vAlign w:val="bottom"/>
          </w:tcPr>
          <w:p>
            <w:pPr>
              <w:spacing w:after="0"/>
              <w:rPr>
                <w:sz w:val="20"/>
                <w:szCs w:val="20"/>
                <w:color w:val="auto"/>
              </w:rPr>
            </w:pPr>
            <w:r>
              <w:rPr>
                <w:rFonts w:ascii="Arial" w:cs="Arial" w:eastAsia="Arial" w:hAnsi="Arial"/>
                <w:sz w:val="16"/>
                <w:szCs w:val="16"/>
                <w:b w:val="1"/>
                <w:bCs w:val="1"/>
                <w:color w:val="EE2724"/>
              </w:rPr>
              <w:t>Other Information</w:t>
            </w:r>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80</w:t>
              </w:r>
            </w:hyperlink>
          </w:p>
        </w:tc>
        <w:tc>
          <w:tcPr>
            <w:tcW w:w="0" w:type="dxa"/>
            <w:vAlign w:val="bottom"/>
          </w:tcPr>
          <w:p>
            <w:pPr>
              <w:spacing w:after="0"/>
              <w:rPr>
                <w:sz w:val="1"/>
                <w:szCs w:val="1"/>
                <w:color w:val="auto"/>
              </w:rPr>
            </w:pPr>
          </w:p>
        </w:tc>
      </w:tr>
      <w:tr>
        <w:trPr>
          <w:trHeight w:val="385"/>
        </w:trPr>
        <w:tc>
          <w:tcPr>
            <w:tcW w:w="8500" w:type="dxa"/>
            <w:vAlign w:val="bottom"/>
            <w:vMerge w:val="restart"/>
          </w:tcPr>
          <w:p>
            <w:pPr>
              <w:ind w:left="360"/>
              <w:spacing w:after="0"/>
              <w:rPr>
                <w:rFonts w:ascii="Arial" w:cs="Arial" w:eastAsia="Arial" w:hAnsi="Arial"/>
                <w:sz w:val="16"/>
                <w:szCs w:val="16"/>
                <w:color w:val="auto"/>
              </w:rPr>
            </w:pPr>
            <w:hyperlink w:anchor="page85">
              <w:r>
                <w:rPr>
                  <w:rFonts w:ascii="Arial" w:cs="Arial" w:eastAsia="Arial" w:hAnsi="Arial"/>
                  <w:sz w:val="16"/>
                  <w:szCs w:val="16"/>
                  <w:color w:val="auto"/>
                </w:rPr>
                <w:t>Meeting and Voting Logistics</w:t>
              </w:r>
            </w:hyperlink>
          </w:p>
        </w:tc>
        <w:tc>
          <w:tcPr>
            <w:tcW w:w="200" w:type="dxa"/>
            <w:vAlign w:val="bottom"/>
            <w:tcBorders>
              <w:bottom w:val="single" w:sz="8" w:color="0000FF"/>
            </w:tcBorders>
            <w:gridSpan w:val="3"/>
          </w:tcPr>
          <w:p>
            <w:pPr>
              <w:jc w:val="right"/>
              <w:ind w:right="20"/>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80</w:t>
              </w:r>
            </w:hyperlink>
          </w:p>
        </w:tc>
        <w:tc>
          <w:tcPr>
            <w:tcW w:w="0" w:type="dxa"/>
            <w:vAlign w:val="bottom"/>
          </w:tcPr>
          <w:p>
            <w:pPr>
              <w:spacing w:after="0"/>
              <w:rPr>
                <w:sz w:val="1"/>
                <w:szCs w:val="1"/>
                <w:color w:val="auto"/>
              </w:rPr>
            </w:pPr>
          </w:p>
        </w:tc>
      </w:tr>
      <w:tr>
        <w:trPr>
          <w:trHeight w:val="42"/>
        </w:trPr>
        <w:tc>
          <w:tcPr>
            <w:tcW w:w="8500" w:type="dxa"/>
            <w:vAlign w:val="bottom"/>
            <w:vMerge w:val="continue"/>
          </w:tcPr>
          <w:p>
            <w:pPr>
              <w:spacing w:after="0"/>
              <w:rPr>
                <w:sz w:val="3"/>
                <w:szCs w:val="3"/>
                <w:color w:val="auto"/>
              </w:rPr>
            </w:pPr>
          </w:p>
        </w:tc>
        <w:tc>
          <w:tcPr>
            <w:tcW w:w="2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219"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ind w:left="360"/>
              <w:spacing w:after="0"/>
              <w:rPr>
                <w:rFonts w:ascii="Arial" w:cs="Arial" w:eastAsia="Arial" w:hAnsi="Arial"/>
                <w:sz w:val="16"/>
                <w:szCs w:val="16"/>
                <w:color w:val="auto"/>
              </w:rPr>
            </w:pPr>
            <w:hyperlink w:anchor="page88">
              <w:r>
                <w:rPr>
                  <w:rFonts w:ascii="Arial" w:cs="Arial" w:eastAsia="Arial" w:hAnsi="Arial"/>
                  <w:sz w:val="16"/>
                  <w:szCs w:val="16"/>
                  <w:color w:val="auto"/>
                </w:rPr>
                <w:t>Other Matters</w:t>
              </w:r>
            </w:hyperlink>
          </w:p>
        </w:tc>
        <w:tc>
          <w:tcPr>
            <w:tcW w:w="48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88">
              <w:r>
                <w:rPr>
                  <w:rFonts w:ascii="Arial" w:cs="Arial" w:eastAsia="Arial" w:hAnsi="Arial"/>
                  <w:sz w:val="16"/>
                  <w:szCs w:val="16"/>
                  <w:color w:val="0000FF"/>
                  <w:w w:val="89"/>
                </w:rPr>
                <w:t>83</w:t>
              </w:r>
            </w:hyperlink>
          </w:p>
        </w:tc>
      </w:tr>
      <w:tr>
        <w:trPr>
          <w:trHeight w:val="385"/>
        </w:trPr>
        <w:tc>
          <w:tcPr>
            <w:tcW w:w="8020" w:type="dxa"/>
            <w:vAlign w:val="bottom"/>
          </w:tcPr>
          <w:p>
            <w:pPr>
              <w:spacing w:after="0"/>
              <w:rPr>
                <w:sz w:val="20"/>
                <w:szCs w:val="20"/>
                <w:color w:val="auto"/>
              </w:rPr>
            </w:pPr>
            <w:r>
              <w:rPr>
                <w:rFonts w:ascii="Arial" w:cs="Arial" w:eastAsia="Arial" w:hAnsi="Arial"/>
                <w:sz w:val="16"/>
                <w:szCs w:val="16"/>
                <w:b w:val="1"/>
                <w:bCs w:val="1"/>
                <w:color w:val="EE2724"/>
              </w:rPr>
              <w:t>Appendix A - Summary of Adjustments Related to the Annual Cash Bonus and Performance Award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88">
              <w:r>
                <w:rPr>
                  <w:rFonts w:ascii="Arial" w:cs="Arial" w:eastAsia="Arial" w:hAnsi="Arial"/>
                  <w:sz w:val="16"/>
                  <w:szCs w:val="16"/>
                  <w:color w:val="0000FF"/>
                  <w:w w:val="89"/>
                </w:rPr>
                <w:t>1</w:t>
              </w:r>
            </w:hyperlink>
          </w:p>
        </w:tc>
      </w:tr>
      <w:tr>
        <w:trPr>
          <w:trHeight w:val="385"/>
        </w:trPr>
        <w:tc>
          <w:tcPr>
            <w:tcW w:w="8020" w:type="dxa"/>
            <w:vAlign w:val="bottom"/>
          </w:tcPr>
          <w:p>
            <w:pPr>
              <w:spacing w:after="0"/>
              <w:rPr>
                <w:sz w:val="20"/>
                <w:szCs w:val="20"/>
                <w:color w:val="auto"/>
              </w:rPr>
            </w:pPr>
            <w:r>
              <w:rPr>
                <w:rFonts w:ascii="Arial" w:cs="Arial" w:eastAsia="Arial" w:hAnsi="Arial"/>
                <w:sz w:val="16"/>
                <w:szCs w:val="16"/>
                <w:b w:val="1"/>
                <w:bCs w:val="1"/>
                <w:color w:val="EE2724"/>
              </w:rPr>
              <w:t>Appendix B - Proposed Amendments to the Company's Articles of Incorporation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B-</w:t>
            </w:r>
          </w:p>
        </w:tc>
        <w:tc>
          <w:tcPr>
            <w:tcW w:w="10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1</w:t>
              </w:r>
            </w:hyperlink>
          </w:p>
        </w:tc>
      </w:tr>
      <w:tr>
        <w:trPr>
          <w:trHeight w:val="385"/>
        </w:trPr>
        <w:tc>
          <w:tcPr>
            <w:tcW w:w="8020" w:type="dxa"/>
            <w:vAlign w:val="bottom"/>
          </w:tcPr>
          <w:p>
            <w:pPr>
              <w:spacing w:after="0"/>
              <w:rPr>
                <w:sz w:val="20"/>
                <w:szCs w:val="20"/>
                <w:color w:val="auto"/>
              </w:rPr>
            </w:pPr>
            <w:r>
              <w:rPr>
                <w:rFonts w:ascii="Arial" w:cs="Arial" w:eastAsia="Arial" w:hAnsi="Arial"/>
                <w:sz w:val="16"/>
                <w:szCs w:val="16"/>
                <w:b w:val="1"/>
                <w:bCs w:val="1"/>
                <w:color w:val="EE2724"/>
              </w:rPr>
              <w:t>Appendix C - Proposed Amendments to the Company's Articles of Incorporation</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C-</w:t>
            </w: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94">
              <w:r>
                <w:rPr>
                  <w:rFonts w:ascii="Arial" w:cs="Arial" w:eastAsia="Arial" w:hAnsi="Arial"/>
                  <w:sz w:val="15"/>
                  <w:szCs w:val="15"/>
                  <w:color w:val="0000FF"/>
                  <w:w w:val="71"/>
                </w:rPr>
                <w:t>1</w:t>
              </w:r>
            </w:hyperlink>
          </w:p>
        </w:tc>
      </w:tr>
    </w:tbl>
    <w:p>
      <w:pPr>
        <w:sectPr>
          <w:pgSz w:w="11900" w:h="16838" w:orient="portrait"/>
          <w:cols w:equalWidth="0" w:num="1">
            <w:col w:w="10119"/>
          </w:cols>
          <w:pgMar w:left="340" w:top="138" w:right="1440"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EF3729"/>
        </w:rPr>
        <w:t>Notice of 2022 Annual Meeting of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To the holders of common stock of Eli Lilly and Company:</w:t>
      </w:r>
    </w:p>
    <w:p>
      <w:pPr>
        <w:spacing w:after="0" w:line="113"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The 2022 Annual Meeting of Shareholders (the Annual Meeting) of Eli Lilly and Company (referred to as Lilly, we, us, or the company in this proxy statement) will be held at the time and location below:</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620" w:type="dxa"/>
            <w:vAlign w:val="bottom"/>
          </w:tcPr>
          <w:p>
            <w:pPr>
              <w:spacing w:after="0"/>
              <w:rPr>
                <w:sz w:val="20"/>
                <w:szCs w:val="20"/>
                <w:color w:val="auto"/>
              </w:rPr>
            </w:pPr>
            <w:r>
              <w:rPr>
                <w:rFonts w:ascii="Arial" w:cs="Arial" w:eastAsia="Arial" w:hAnsi="Arial"/>
                <w:sz w:val="19"/>
                <w:szCs w:val="19"/>
                <w:b w:val="1"/>
                <w:bCs w:val="1"/>
                <w:color w:val="00A1DE"/>
              </w:rPr>
              <w:t>TIME AND DATE</w:t>
            </w:r>
          </w:p>
        </w:tc>
        <w:tc>
          <w:tcPr>
            <w:tcW w:w="3300" w:type="dxa"/>
            <w:vAlign w:val="bottom"/>
          </w:tcPr>
          <w:p>
            <w:pPr>
              <w:ind w:left="140"/>
              <w:spacing w:after="0"/>
              <w:rPr>
                <w:sz w:val="20"/>
                <w:szCs w:val="20"/>
                <w:color w:val="auto"/>
              </w:rPr>
            </w:pPr>
            <w:r>
              <w:rPr>
                <w:rFonts w:ascii="Arial" w:cs="Arial" w:eastAsia="Arial" w:hAnsi="Arial"/>
                <w:sz w:val="19"/>
                <w:szCs w:val="19"/>
                <w:b w:val="1"/>
                <w:bCs w:val="1"/>
                <w:color w:val="00A1DE"/>
              </w:rPr>
              <w:t>LOCATION</w:t>
            </w:r>
          </w:p>
        </w:tc>
        <w:tc>
          <w:tcPr>
            <w:tcW w:w="3960" w:type="dxa"/>
            <w:vAlign w:val="bottom"/>
          </w:tcPr>
          <w:p>
            <w:pPr>
              <w:ind w:left="80"/>
              <w:spacing w:after="0"/>
              <w:rPr>
                <w:sz w:val="20"/>
                <w:szCs w:val="20"/>
                <w:color w:val="auto"/>
              </w:rPr>
            </w:pPr>
            <w:r>
              <w:rPr>
                <w:rFonts w:ascii="Arial" w:cs="Arial" w:eastAsia="Arial" w:hAnsi="Arial"/>
                <w:sz w:val="19"/>
                <w:szCs w:val="19"/>
                <w:b w:val="1"/>
                <w:bCs w:val="1"/>
                <w:color w:val="00A1DE"/>
              </w:rPr>
              <w:t>WHO CAN VOTE</w:t>
            </w:r>
          </w:p>
        </w:tc>
      </w:tr>
      <w:tr>
        <w:trPr>
          <w:trHeight w:val="147"/>
        </w:trPr>
        <w:tc>
          <w:tcPr>
            <w:tcW w:w="1620" w:type="dxa"/>
            <w:vAlign w:val="bottom"/>
          </w:tcPr>
          <w:p>
            <w:pPr>
              <w:spacing w:after="0" w:line="147" w:lineRule="exact"/>
              <w:rPr>
                <w:sz w:val="20"/>
                <w:szCs w:val="20"/>
                <w:color w:val="auto"/>
              </w:rPr>
            </w:pPr>
            <w:r>
              <w:rPr>
                <w:rFonts w:ascii="Arial" w:cs="Arial" w:eastAsia="Arial" w:hAnsi="Arial"/>
                <w:sz w:val="13"/>
                <w:szCs w:val="13"/>
                <w:color w:val="auto"/>
              </w:rPr>
              <w:t>11:00 a.m. EDT,</w:t>
            </w:r>
          </w:p>
        </w:tc>
        <w:tc>
          <w:tcPr>
            <w:tcW w:w="3300" w:type="dxa"/>
            <w:vAlign w:val="bottom"/>
          </w:tcPr>
          <w:p>
            <w:pPr>
              <w:ind w:left="140"/>
              <w:spacing w:after="0" w:line="147" w:lineRule="exact"/>
              <w:rPr>
                <w:sz w:val="20"/>
                <w:szCs w:val="20"/>
                <w:color w:val="auto"/>
              </w:rPr>
            </w:pPr>
            <w:r>
              <w:rPr>
                <w:rFonts w:ascii="Arial" w:cs="Arial" w:eastAsia="Arial" w:hAnsi="Arial"/>
                <w:sz w:val="13"/>
                <w:szCs w:val="13"/>
                <w:b w:val="1"/>
                <w:bCs w:val="1"/>
                <w:color w:val="auto"/>
                <w:w w:val="97"/>
              </w:rPr>
              <w:t xml:space="preserve">Virtually at </w:t>
            </w:r>
            <w:r>
              <w:rPr>
                <w:rFonts w:ascii="Arial" w:cs="Arial" w:eastAsia="Arial" w:hAnsi="Arial"/>
                <w:sz w:val="13"/>
                <w:szCs w:val="13"/>
                <w:b w:val="1"/>
                <w:bCs w:val="1"/>
                <w:color w:val="EE2724"/>
                <w:w w:val="97"/>
              </w:rPr>
              <w:t>virtualshareholdermeeting.com/LLY2022</w:t>
            </w:r>
          </w:p>
        </w:tc>
        <w:tc>
          <w:tcPr>
            <w:tcW w:w="3960" w:type="dxa"/>
            <w:vAlign w:val="bottom"/>
          </w:tcPr>
          <w:p>
            <w:pPr>
              <w:ind w:left="80"/>
              <w:spacing w:after="0" w:line="147" w:lineRule="exact"/>
              <w:rPr>
                <w:sz w:val="20"/>
                <w:szCs w:val="20"/>
                <w:color w:val="auto"/>
              </w:rPr>
            </w:pPr>
            <w:r>
              <w:rPr>
                <w:rFonts w:ascii="Arial" w:cs="Arial" w:eastAsia="Arial" w:hAnsi="Arial"/>
                <w:sz w:val="13"/>
                <w:szCs w:val="13"/>
                <w:color w:val="auto"/>
                <w:w w:val="96"/>
              </w:rPr>
              <w:t>Shareholders of record at the close of business on February 22, 2022</w:t>
            </w:r>
          </w:p>
        </w:tc>
      </w:tr>
      <w:tr>
        <w:trPr>
          <w:trHeight w:val="152"/>
        </w:trPr>
        <w:tc>
          <w:tcPr>
            <w:tcW w:w="1620" w:type="dxa"/>
            <w:vAlign w:val="bottom"/>
          </w:tcPr>
          <w:p>
            <w:pPr>
              <w:spacing w:after="0"/>
              <w:rPr>
                <w:sz w:val="20"/>
                <w:szCs w:val="20"/>
                <w:color w:val="auto"/>
              </w:rPr>
            </w:pPr>
            <w:r>
              <w:rPr>
                <w:rFonts w:ascii="Arial" w:cs="Arial" w:eastAsia="Arial" w:hAnsi="Arial"/>
                <w:sz w:val="13"/>
                <w:szCs w:val="13"/>
                <w:color w:val="auto"/>
              </w:rPr>
              <w:t>Monday, May 2, 2022</w:t>
            </w:r>
          </w:p>
        </w:tc>
        <w:tc>
          <w:tcPr>
            <w:tcW w:w="3300" w:type="dxa"/>
            <w:vAlign w:val="bottom"/>
          </w:tcPr>
          <w:p>
            <w:pPr>
              <w:spacing w:after="0"/>
              <w:rPr>
                <w:sz w:val="13"/>
                <w:szCs w:val="13"/>
                <w:color w:val="auto"/>
              </w:rPr>
            </w:pPr>
          </w:p>
        </w:tc>
        <w:tc>
          <w:tcPr>
            <w:tcW w:w="3960" w:type="dxa"/>
            <w:vAlign w:val="bottom"/>
          </w:tcPr>
          <w:p>
            <w:pPr>
              <w:spacing w:after="0"/>
              <w:rPr>
                <w:sz w:val="13"/>
                <w:szCs w:val="13"/>
                <w:color w:val="auto"/>
              </w:rPr>
            </w:pPr>
          </w:p>
        </w:tc>
      </w:tr>
    </w:tbl>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To support the health and well-being of our employees, board of directors, shareholders, and other meeting participants, the Annual Meeting will be held virtually via live webcast. We have designed the Annual Meeting live webcast to provide shareholders the opportunity to participate virtually to facilitate shareholder attendance and to provide a consistent experience to all shareholders, regardless of location.</w:t>
      </w:r>
    </w:p>
    <w:p>
      <w:pPr>
        <w:spacing w:after="0" w:line="8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This proxy statement is dated March 18, 2022. We mailed a notice of internet availability of proxy materials on or about that date to our shareholders of record as of February 22, 2022 (other than those who previously requested electronic or paper delivery of our proxy materials and certain participants in The Lilly Employee 401(k) plan (401(k) Plan)).</w:t>
      </w:r>
    </w:p>
    <w:p>
      <w:pPr>
        <w:sectPr>
          <w:pgSz w:w="11900" w:h="16838" w:orient="portrait"/>
          <w:cols w:equalWidth="0" w:num="1">
            <w:col w:w="11220"/>
          </w:cols>
          <w:pgMar w:left="320" w:top="1129" w:right="35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ITEMS OF BUSINESS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Governance</w:t>
      </w:r>
    </w:p>
    <w:p>
      <w:pPr>
        <w:spacing w:after="0" w:line="46"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3"/>
          <w:szCs w:val="13"/>
          <w:b w:val="1"/>
          <w:bCs w:val="1"/>
          <w:color w:val="EE2724"/>
        </w:rPr>
        <w:t>Item 1</w:t>
      </w:r>
      <w:r>
        <w:rPr>
          <w:sz w:val="20"/>
          <w:szCs w:val="20"/>
          <w:color w:val="auto"/>
        </w:rPr>
        <w:tab/>
      </w:r>
      <w:r>
        <w:rPr>
          <w:rFonts w:ascii="Arial" w:cs="Arial" w:eastAsia="Arial" w:hAnsi="Arial"/>
          <w:sz w:val="13"/>
          <w:szCs w:val="13"/>
          <w:color w:val="auto"/>
        </w:rPr>
        <w:t>Election of each of the three director nominees to serve three-year terms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w:t>
      </w:r>
    </w:p>
    <w:p>
      <w:pPr>
        <w:spacing w:after="0" w:line="87"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3"/>
          <w:szCs w:val="13"/>
          <w:b w:val="1"/>
          <w:bCs w:val="1"/>
          <w:color w:val="EE2724"/>
        </w:rPr>
        <w:t>Item 2</w:t>
      </w:r>
      <w:r>
        <w:rPr>
          <w:sz w:val="20"/>
          <w:szCs w:val="20"/>
          <w:color w:val="auto"/>
        </w:rPr>
        <w:tab/>
      </w:r>
      <w:r>
        <w:rPr>
          <w:rFonts w:ascii="Arial" w:cs="Arial" w:eastAsia="Arial" w:hAnsi="Arial"/>
          <w:sz w:val="13"/>
          <w:szCs w:val="13"/>
          <w:color w:val="auto"/>
        </w:rPr>
        <w:t>Approval, on an advisory basis, of the compensation paid to the company's named executive officers</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Audit Matters</w:t>
      </w:r>
    </w:p>
    <w:p>
      <w:pPr>
        <w:spacing w:after="0" w:line="87"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3"/>
          <w:szCs w:val="13"/>
          <w:b w:val="1"/>
          <w:bCs w:val="1"/>
          <w:color w:val="EE2724"/>
        </w:rPr>
        <w:t>Item 3</w:t>
      </w:r>
      <w:r>
        <w:rPr>
          <w:sz w:val="20"/>
          <w:szCs w:val="20"/>
          <w:color w:val="auto"/>
        </w:rPr>
        <w:tab/>
      </w:r>
      <w:r>
        <w:rPr>
          <w:rFonts w:ascii="Arial" w:cs="Arial" w:eastAsia="Arial" w:hAnsi="Arial"/>
          <w:sz w:val="13"/>
          <w:szCs w:val="13"/>
          <w:color w:val="auto"/>
        </w:rPr>
        <w:t>Ratification of the appointment of Ernst &amp; Young LLP as the independent auditor for 2022</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Management Proposals</w:t>
      </w:r>
    </w:p>
    <w:p>
      <w:pPr>
        <w:spacing w:after="0" w:line="87" w:lineRule="exact"/>
        <w:rPr>
          <w:sz w:val="20"/>
          <w:szCs w:val="20"/>
          <w:color w:val="auto"/>
        </w:rPr>
      </w:pPr>
    </w:p>
    <w:p>
      <w:pPr>
        <w:ind w:left="620" w:right="8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4</w:t>
      </w:r>
      <w:r>
        <w:rPr>
          <w:sz w:val="20"/>
          <w:szCs w:val="20"/>
          <w:color w:val="auto"/>
        </w:rPr>
        <w:tab/>
      </w:r>
      <w:r>
        <w:rPr>
          <w:rFonts w:ascii="Arial" w:cs="Arial" w:eastAsia="Arial" w:hAnsi="Arial"/>
          <w:sz w:val="13"/>
          <w:szCs w:val="13"/>
          <w:color w:val="auto"/>
        </w:rPr>
        <w:t>Approval of amendments to the company’s Articles of Incorporation to eliminate the classified board structure</w:t>
      </w:r>
    </w:p>
    <w:p>
      <w:pPr>
        <w:spacing w:after="0" w:line="70" w:lineRule="exact"/>
        <w:rPr>
          <w:sz w:val="20"/>
          <w:szCs w:val="20"/>
          <w:color w:val="auto"/>
        </w:rPr>
      </w:pPr>
    </w:p>
    <w:p>
      <w:pPr>
        <w:ind w:left="620" w:right="4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5</w:t>
      </w:r>
      <w:r>
        <w:rPr>
          <w:sz w:val="20"/>
          <w:szCs w:val="20"/>
          <w:color w:val="auto"/>
        </w:rPr>
        <w:tab/>
      </w:r>
      <w:r>
        <w:rPr>
          <w:rFonts w:ascii="Arial" w:cs="Arial" w:eastAsia="Arial" w:hAnsi="Arial"/>
          <w:sz w:val="13"/>
          <w:szCs w:val="13"/>
          <w:color w:val="auto"/>
        </w:rPr>
        <w:t>Approval of amendments to the company’s Articles of Incorporation to eliminate supermajority voting provisions</w:t>
      </w:r>
    </w:p>
    <w:p>
      <w:pPr>
        <w:spacing w:after="0" w:line="70" w:lineRule="exact"/>
        <w:rPr>
          <w:sz w:val="20"/>
          <w:szCs w:val="20"/>
          <w:color w:val="auto"/>
        </w:rPr>
      </w:pPr>
    </w:p>
    <w:p>
      <w:pPr>
        <w:ind w:left="62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6</w:t>
      </w:r>
      <w:r>
        <w:rPr>
          <w:sz w:val="20"/>
          <w:szCs w:val="20"/>
          <w:color w:val="auto"/>
        </w:rPr>
        <w:tab/>
      </w:r>
      <w:r>
        <w:rPr>
          <w:rFonts w:ascii="Arial" w:cs="Arial" w:eastAsia="Arial" w:hAnsi="Arial"/>
          <w:sz w:val="13"/>
          <w:szCs w:val="13"/>
          <w:color w:val="auto"/>
        </w:rPr>
        <w:t>Approval of amendments to the company's Articles of Incorporation to give shareholders the ability to amend the company's bylaws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Shareholder Proposals</w:t>
      </w:r>
    </w:p>
    <w:p>
      <w:pPr>
        <w:spacing w:after="0" w:line="87" w:lineRule="exact"/>
        <w:rPr>
          <w:sz w:val="20"/>
          <w:szCs w:val="20"/>
          <w:color w:val="auto"/>
        </w:rPr>
      </w:pPr>
    </w:p>
    <w:p>
      <w:pPr>
        <w:ind w:left="620" w:right="50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7</w:t>
      </w:r>
      <w:r>
        <w:rPr>
          <w:sz w:val="20"/>
          <w:szCs w:val="20"/>
          <w:color w:val="auto"/>
        </w:rPr>
        <w:tab/>
      </w:r>
      <w:r>
        <w:rPr>
          <w:rFonts w:ascii="Arial" w:cs="Arial" w:eastAsia="Arial" w:hAnsi="Arial"/>
          <w:sz w:val="13"/>
          <w:szCs w:val="13"/>
          <w:color w:val="auto"/>
        </w:rPr>
        <w:t>Shareholder proposal to amend the bylaws to require an independent board chair, if properly presented at the meeting</w:t>
      </w:r>
    </w:p>
    <w:p>
      <w:pPr>
        <w:spacing w:after="0" w:line="70" w:lineRule="exact"/>
        <w:rPr>
          <w:sz w:val="20"/>
          <w:szCs w:val="20"/>
          <w:color w:val="auto"/>
        </w:rPr>
      </w:pPr>
    </w:p>
    <w:p>
      <w:pPr>
        <w:ind w:left="620" w:right="6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8</w:t>
      </w:r>
      <w:r>
        <w:rPr>
          <w:sz w:val="20"/>
          <w:szCs w:val="20"/>
          <w:color w:val="auto"/>
        </w:rPr>
        <w:tab/>
      </w:r>
      <w:r>
        <w:rPr>
          <w:rFonts w:ascii="Arial" w:cs="Arial" w:eastAsia="Arial" w:hAnsi="Arial"/>
          <w:sz w:val="13"/>
          <w:szCs w:val="13"/>
          <w:color w:val="auto"/>
        </w:rPr>
        <w:t>Shareholder proposal to publish an annual report disclosing lobbying activities, if properly presented at the meeting</w:t>
      </w:r>
    </w:p>
    <w:p>
      <w:pPr>
        <w:spacing w:after="0" w:line="29" w:lineRule="exact"/>
        <w:rPr>
          <w:sz w:val="20"/>
          <w:szCs w:val="20"/>
          <w:color w:val="auto"/>
        </w:rPr>
      </w:pPr>
    </w:p>
    <w:p>
      <w:pPr>
        <w:ind w:left="620" w:right="180" w:hanging="496"/>
        <w:spacing w:after="0" w:line="280" w:lineRule="auto"/>
        <w:tabs>
          <w:tab w:leader="none" w:pos="600" w:val="left"/>
        </w:tabs>
        <w:rPr>
          <w:sz w:val="20"/>
          <w:szCs w:val="20"/>
          <w:color w:val="auto"/>
        </w:rPr>
      </w:pPr>
      <w:r>
        <w:rPr>
          <w:rFonts w:ascii="Arial" w:cs="Arial" w:eastAsia="Arial" w:hAnsi="Arial"/>
          <w:sz w:val="13"/>
          <w:szCs w:val="13"/>
          <w:b w:val="1"/>
          <w:bCs w:val="1"/>
          <w:color w:val="EE2724"/>
        </w:rPr>
        <w:t>Item 9</w:t>
      </w:r>
      <w:r>
        <w:rPr>
          <w:sz w:val="20"/>
          <w:szCs w:val="20"/>
          <w:color w:val="auto"/>
        </w:rPr>
        <w:tab/>
      </w:r>
      <w:r>
        <w:rPr>
          <w:rFonts w:ascii="Arial" w:cs="Arial" w:eastAsia="Arial" w:hAnsi="Arial"/>
          <w:sz w:val="13"/>
          <w:szCs w:val="13"/>
          <w:color w:val="auto"/>
        </w:rPr>
        <w:t>Shareholder proposal to disclose lobbying activities and alignment with public policy positions and statements, if properly presented at the meeting</w:t>
      </w:r>
    </w:p>
    <w:p>
      <w:pPr>
        <w:spacing w:after="0" w:line="70" w:lineRule="exact"/>
        <w:rPr>
          <w:sz w:val="20"/>
          <w:szCs w:val="20"/>
          <w:color w:val="auto"/>
        </w:rPr>
      </w:pPr>
    </w:p>
    <w:p>
      <w:pPr>
        <w:ind w:left="620" w:right="400" w:hanging="531"/>
        <w:spacing w:after="0" w:line="314" w:lineRule="auto"/>
        <w:rPr>
          <w:sz w:val="20"/>
          <w:szCs w:val="20"/>
          <w:color w:val="auto"/>
        </w:rPr>
      </w:pPr>
      <w:r>
        <w:rPr>
          <w:rFonts w:ascii="Arial" w:cs="Arial" w:eastAsia="Arial" w:hAnsi="Arial"/>
          <w:sz w:val="13"/>
          <w:szCs w:val="13"/>
          <w:b w:val="1"/>
          <w:bCs w:val="1"/>
          <w:color w:val="EE2724"/>
        </w:rPr>
        <w:t xml:space="preserve">Item 10 </w:t>
      </w:r>
      <w:r>
        <w:rPr>
          <w:rFonts w:ascii="Arial" w:cs="Arial" w:eastAsia="Arial" w:hAnsi="Arial"/>
          <w:sz w:val="13"/>
          <w:szCs w:val="13"/>
          <w:color w:val="000000"/>
        </w:rPr>
        <w:t>Shareholder proposal to report oversight of risks related to anticompetitive pricing strategies, if</w:t>
      </w:r>
      <w:r>
        <w:rPr>
          <w:rFonts w:ascii="Arial" w:cs="Arial" w:eastAsia="Arial" w:hAnsi="Arial"/>
          <w:sz w:val="13"/>
          <w:szCs w:val="13"/>
          <w:b w:val="1"/>
          <w:bCs w:val="1"/>
          <w:color w:val="EE2724"/>
        </w:rPr>
        <w:t xml:space="preserve"> </w:t>
      </w:r>
      <w:r>
        <w:rPr>
          <w:rFonts w:ascii="Arial" w:cs="Arial" w:eastAsia="Arial" w:hAnsi="Arial"/>
          <w:sz w:val="13"/>
          <w:szCs w:val="13"/>
          <w:color w:val="000000"/>
        </w:rPr>
        <w:t>properly presented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jc w:val="center"/>
              <w:spacing w:after="0"/>
              <w:rPr>
                <w:sz w:val="20"/>
                <w:szCs w:val="20"/>
                <w:color w:val="auto"/>
              </w:rPr>
            </w:pPr>
            <w:r>
              <w:rPr>
                <w:rFonts w:ascii="Arial" w:cs="Arial" w:eastAsia="Arial" w:hAnsi="Arial"/>
                <w:sz w:val="14"/>
                <w:szCs w:val="14"/>
                <w:b w:val="1"/>
                <w:bCs w:val="1"/>
                <w:color w:val="1CA8E1"/>
              </w:rPr>
              <w:t>Board Voting</w:t>
            </w:r>
          </w:p>
        </w:tc>
        <w:tc>
          <w:tcPr>
            <w:tcW w:w="7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1CA8E1"/>
              </w:rPr>
              <w:t>Page</w:t>
            </w:r>
          </w:p>
        </w:tc>
        <w:tc>
          <w:tcPr>
            <w:tcW w:w="0" w:type="dxa"/>
            <w:vAlign w:val="bottom"/>
          </w:tcPr>
          <w:p>
            <w:pPr>
              <w:spacing w:after="0"/>
              <w:rPr>
                <w:sz w:val="1"/>
                <w:szCs w:val="1"/>
                <w:color w:val="auto"/>
              </w:rPr>
            </w:pPr>
          </w:p>
        </w:tc>
      </w:tr>
      <w:tr>
        <w:trPr>
          <w:trHeight w:val="190"/>
        </w:trPr>
        <w:tc>
          <w:tcPr>
            <w:tcW w:w="1280" w:type="dxa"/>
            <w:vAlign w:val="bottom"/>
          </w:tcPr>
          <w:p>
            <w:pPr>
              <w:jc w:val="center"/>
              <w:ind w:right="12"/>
              <w:spacing w:after="0"/>
              <w:rPr>
                <w:sz w:val="20"/>
                <w:szCs w:val="20"/>
                <w:color w:val="auto"/>
              </w:rPr>
            </w:pPr>
            <w:r>
              <w:rPr>
                <w:rFonts w:ascii="Arial" w:cs="Arial" w:eastAsia="Arial" w:hAnsi="Arial"/>
                <w:sz w:val="14"/>
                <w:szCs w:val="14"/>
                <w:b w:val="1"/>
                <w:bCs w:val="1"/>
                <w:color w:val="1CA8E1"/>
              </w:rPr>
              <w:t>Recommendation</w:t>
            </w:r>
          </w:p>
        </w:tc>
        <w:tc>
          <w:tcPr>
            <w:tcW w:w="7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1CA8E1"/>
              </w:rPr>
              <w:t>Reference</w:t>
            </w:r>
          </w:p>
        </w:tc>
        <w:tc>
          <w:tcPr>
            <w:tcW w:w="0" w:type="dxa"/>
            <w:vAlign w:val="bottom"/>
          </w:tcPr>
          <w:p>
            <w:pPr>
              <w:spacing w:after="0"/>
              <w:rPr>
                <w:sz w:val="1"/>
                <w:szCs w:val="1"/>
                <w:color w:val="auto"/>
              </w:rPr>
            </w:pPr>
          </w:p>
        </w:tc>
      </w:tr>
      <w:tr>
        <w:trPr>
          <w:trHeight w:val="254"/>
        </w:trPr>
        <w:tc>
          <w:tcPr>
            <w:tcW w:w="1280" w:type="dxa"/>
            <w:vAlign w:val="bottom"/>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1280" w:type="dxa"/>
            <w:vAlign w:val="bottom"/>
          </w:tcPr>
          <w:p>
            <w:pPr>
              <w:jc w:val="center"/>
              <w:ind w:right="12"/>
              <w:spacing w:after="0" w:line="136" w:lineRule="exact"/>
              <w:rPr>
                <w:sz w:val="20"/>
                <w:szCs w:val="20"/>
                <w:color w:val="auto"/>
              </w:rPr>
            </w:pPr>
            <w:r>
              <w:rPr>
                <w:rFonts w:ascii="Arial" w:cs="Arial" w:eastAsia="Arial" w:hAnsi="Arial"/>
                <w:sz w:val="13"/>
                <w:szCs w:val="13"/>
                <w:color w:val="auto"/>
              </w:rPr>
              <w:t>each of the director</w:t>
            </w:r>
          </w:p>
        </w:tc>
        <w:tc>
          <w:tcPr>
            <w:tcW w:w="500" w:type="dxa"/>
            <w:vAlign w:val="bottom"/>
            <w:gridSpan w:val="2"/>
          </w:tcPr>
          <w:p>
            <w:pPr>
              <w:jc w:val="center"/>
              <w:ind w:left="292"/>
              <w:spacing w:after="0" w:line="136" w:lineRule="exact"/>
              <w:rPr>
                <w:rFonts w:ascii="Arial" w:cs="Arial" w:eastAsia="Arial" w:hAnsi="Arial"/>
                <w:sz w:val="13"/>
                <w:szCs w:val="13"/>
                <w:color w:val="0000FF"/>
                <w:w w:val="96"/>
              </w:rPr>
            </w:pPr>
            <w:hyperlink w:anchor="page16">
              <w:r>
                <w:rPr>
                  <w:rFonts w:ascii="Arial" w:cs="Arial" w:eastAsia="Arial" w:hAnsi="Arial"/>
                  <w:sz w:val="13"/>
                  <w:szCs w:val="13"/>
                  <w:color w:val="0000FF"/>
                  <w:w w:val="96"/>
                </w:rPr>
                <w:t>11</w:t>
              </w:r>
            </w:hyperlink>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80" w:type="dxa"/>
            <w:vAlign w:val="bottom"/>
          </w:tcPr>
          <w:p>
            <w:pPr>
              <w:jc w:val="center"/>
              <w:spacing w:after="0"/>
              <w:rPr>
                <w:sz w:val="20"/>
                <w:szCs w:val="20"/>
                <w:color w:val="auto"/>
              </w:rPr>
            </w:pPr>
            <w:r>
              <w:rPr>
                <w:rFonts w:ascii="Arial" w:cs="Arial" w:eastAsia="Arial" w:hAnsi="Arial"/>
                <w:sz w:val="13"/>
                <w:szCs w:val="13"/>
                <w:color w:val="auto"/>
              </w:rPr>
              <w:t>nominees</w:t>
            </w:r>
          </w:p>
        </w:tc>
        <w:tc>
          <w:tcPr>
            <w:tcW w:w="3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1280" w:type="dxa"/>
            <w:vAlign w:val="bottom"/>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500" w:type="dxa"/>
            <w:vAlign w:val="bottom"/>
            <w:gridSpan w:val="2"/>
          </w:tcPr>
          <w:p>
            <w:pPr>
              <w:jc w:val="center"/>
              <w:ind w:left="292"/>
              <w:spacing w:after="0"/>
              <w:rPr>
                <w:rFonts w:ascii="Arial" w:cs="Arial" w:eastAsia="Arial" w:hAnsi="Arial"/>
                <w:sz w:val="13"/>
                <w:szCs w:val="13"/>
                <w:color w:val="0000FF"/>
                <w:w w:val="96"/>
              </w:rPr>
            </w:pPr>
            <w:hyperlink w:anchor="page42">
              <w:r>
                <w:rPr>
                  <w:rFonts w:ascii="Arial" w:cs="Arial" w:eastAsia="Arial" w:hAnsi="Arial"/>
                  <w:sz w:val="13"/>
                  <w:szCs w:val="13"/>
                  <w:color w:val="0000FF"/>
                  <w:w w:val="96"/>
                </w:rPr>
                <w:t>37</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69">
              <w:r>
                <w:rPr>
                  <w:rFonts w:ascii="Arial" w:cs="Arial" w:eastAsia="Arial" w:hAnsi="Arial"/>
                  <w:sz w:val="13"/>
                  <w:szCs w:val="13"/>
                  <w:color w:val="0000FF"/>
                  <w:w w:val="96"/>
                </w:rPr>
                <w:t>64</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71">
              <w:r>
                <w:rPr>
                  <w:rFonts w:ascii="Arial" w:cs="Arial" w:eastAsia="Arial" w:hAnsi="Arial"/>
                  <w:sz w:val="13"/>
                  <w:szCs w:val="13"/>
                  <w:color w:val="0000FF"/>
                  <w:w w:val="96"/>
                </w:rPr>
                <w:t>66</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67</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FOR</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73">
              <w:r>
                <w:rPr>
                  <w:rFonts w:ascii="Arial" w:cs="Arial" w:eastAsia="Arial" w:hAnsi="Arial"/>
                  <w:sz w:val="13"/>
                  <w:szCs w:val="13"/>
                  <w:color w:val="0000FF"/>
                  <w:w w:val="96"/>
                </w:rPr>
                <w:t>68</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AGAINST</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75">
              <w:r>
                <w:rPr>
                  <w:rFonts w:ascii="Arial" w:cs="Arial" w:eastAsia="Arial" w:hAnsi="Arial"/>
                  <w:sz w:val="13"/>
                  <w:szCs w:val="13"/>
                  <w:color w:val="0000FF"/>
                  <w:w w:val="96"/>
                </w:rPr>
                <w:t>70</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AGAINST</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77">
              <w:r>
                <w:rPr>
                  <w:rFonts w:ascii="Arial" w:cs="Arial" w:eastAsia="Arial" w:hAnsi="Arial"/>
                  <w:sz w:val="13"/>
                  <w:szCs w:val="13"/>
                  <w:color w:val="0000FF"/>
                  <w:w w:val="96"/>
                </w:rPr>
                <w:t>72</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AGAINST</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80">
              <w:r>
                <w:rPr>
                  <w:rFonts w:ascii="Arial" w:cs="Arial" w:eastAsia="Arial" w:hAnsi="Arial"/>
                  <w:sz w:val="13"/>
                  <w:szCs w:val="13"/>
                  <w:color w:val="0000FF"/>
                  <w:w w:val="96"/>
                </w:rPr>
                <w:t>75</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AGAINST</w:t>
            </w: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80" w:type="dxa"/>
            <w:vAlign w:val="bottom"/>
            <w:vMerge w:val="continue"/>
          </w:tcPr>
          <w:p>
            <w:pPr>
              <w:spacing w:after="0"/>
              <w:rPr>
                <w:sz w:val="24"/>
                <w:szCs w:val="24"/>
                <w:color w:val="auto"/>
              </w:rPr>
            </w:pPr>
          </w:p>
        </w:tc>
        <w:tc>
          <w:tcPr>
            <w:tcW w:w="500" w:type="dxa"/>
            <w:vAlign w:val="bottom"/>
            <w:gridSpan w:val="2"/>
          </w:tcPr>
          <w:p>
            <w:pPr>
              <w:jc w:val="center"/>
              <w:ind w:left="292"/>
              <w:spacing w:after="0"/>
              <w:rPr>
                <w:rFonts w:ascii="Arial" w:cs="Arial" w:eastAsia="Arial" w:hAnsi="Arial"/>
                <w:sz w:val="13"/>
                <w:szCs w:val="13"/>
                <w:color w:val="0000FF"/>
                <w:w w:val="96"/>
              </w:rPr>
            </w:pPr>
            <w:hyperlink w:anchor="page82">
              <w:r>
                <w:rPr>
                  <w:rFonts w:ascii="Arial" w:cs="Arial" w:eastAsia="Arial" w:hAnsi="Arial"/>
                  <w:sz w:val="13"/>
                  <w:szCs w:val="13"/>
                  <w:color w:val="0000FF"/>
                  <w:w w:val="96"/>
                </w:rPr>
                <w:t>77</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ectPr>
          <w:pgSz w:w="11900" w:h="16838" w:orient="portrait"/>
          <w:cols w:equalWidth="0" w:num="2">
            <w:col w:w="6640" w:space="160"/>
            <w:col w:w="4420"/>
          </w:cols>
          <w:pgMar w:left="320" w:top="1129" w:right="35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Admission Procedure for Attending the Annual Meeting</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 will be able to attend the Annual Meeting, vote, and submit questions virtually via live webcast by visiting </w:t>
      </w:r>
      <w:r>
        <w:rPr>
          <w:rFonts w:ascii="Arial" w:cs="Arial" w:eastAsia="Arial" w:hAnsi="Arial"/>
          <w:sz w:val="16"/>
          <w:szCs w:val="16"/>
          <w:color w:val="EE2724"/>
        </w:rPr>
        <w:t>virtualshareholdermeeting.com/LLY2022</w:t>
      </w:r>
      <w:r>
        <w:rPr>
          <w:rFonts w:ascii="Arial" w:cs="Arial" w:eastAsia="Arial" w:hAnsi="Arial"/>
          <w:sz w:val="16"/>
          <w:szCs w:val="16"/>
          <w:color w:val="auto"/>
        </w:rPr>
        <w:t xml:space="preserve">. To be admitted to the Annual Meeting webcast, you must enter the 16-digit control number found on the proxy card, voting instruction form, or notice you received. You may vote during the Annual Meeting by following the instructions available on </w:t>
      </w:r>
      <w:r>
        <w:rPr>
          <w:rFonts w:ascii="Arial" w:cs="Arial" w:eastAsia="Arial" w:hAnsi="Arial"/>
          <w:sz w:val="16"/>
          <w:szCs w:val="16"/>
          <w:color w:val="EE2724"/>
        </w:rPr>
        <w:t>virtualshareholdermeeting.com/LLY2022</w:t>
      </w:r>
      <w:r>
        <w:rPr>
          <w:rFonts w:ascii="Arial" w:cs="Arial" w:eastAsia="Arial" w:hAnsi="Arial"/>
          <w:sz w:val="16"/>
          <w:szCs w:val="16"/>
          <w:color w:val="auto"/>
        </w:rPr>
        <w:t xml:space="preserve"> during the Annual Meeting.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on how to attend the Annual Meeting, see the section titled "Other Information—Meeting and Voting Logistics."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129" w:right="359" w:bottom="1440" w:gutter="0" w:footer="0" w:header="0"/>
          <w:type w:val="continuous"/>
        </w:sectPr>
      </w:pPr>
    </w:p>
    <w:bookmarkStart w:id="6" w:name="page7"/>
    <w:bookmarkEnd w:id="6"/>
    <w:p>
      <w:pPr>
        <w:spacing w:after="0" w:line="253" w:lineRule="auto"/>
        <w:rPr>
          <w:sz w:val="20"/>
          <w:szCs w:val="20"/>
          <w:color w:val="auto"/>
        </w:rPr>
      </w:pPr>
      <w:r>
        <w:rPr>
          <w:rFonts w:ascii="Arial" w:cs="Arial" w:eastAsia="Arial" w:hAnsi="Arial"/>
          <w:sz w:val="16"/>
          <w:szCs w:val="16"/>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instructions by mail, so that a quorum may be represented at the meeting.</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Ms. Anat Hakim</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Senior Vice President, General Counsel, and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Secretary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18, 2022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Indianapolis,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843" w:right="39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EF3729"/>
        </w:rPr>
        <w:t>Proxy Statement Summary</w:t>
      </w:r>
    </w:p>
    <w:p>
      <w:pPr>
        <w:spacing w:after="0" w:line="18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New in This Year's Proxy Statement</w:t>
      </w:r>
    </w:p>
    <w:p>
      <w:pPr>
        <w:spacing w:after="0" w:line="72"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In 2021, we focused on advancing our pipeline to help people with diabetes, immune disorders, neurodegenerative disorders, and cancer. In addition, we have continued to support patients, communities, and our employees affected by the COVID-19 pandemic.</w:t>
      </w:r>
    </w:p>
    <w:p>
      <w:pPr>
        <w:spacing w:after="0" w:line="88"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We have undertaken a detailed review of our sustainability efforts, how we communicate progress toward our Environmental, Social and Governance (ESG) goals, and our broader ESG strategy. In 2021, we established new 2030 sustainability goals and held an ESG stakeholder day to share our strategy and</w:t>
      </w:r>
    </w:p>
    <w:p>
      <w:pPr>
        <w:spacing w:after="0" w:line="34" w:lineRule="exact"/>
        <w:rPr>
          <w:sz w:val="20"/>
          <w:szCs w:val="20"/>
          <w:color w:val="auto"/>
        </w:rPr>
      </w:pPr>
    </w:p>
    <w:p>
      <w:pPr>
        <w:ind w:right="380"/>
        <w:spacing w:after="0" w:line="237" w:lineRule="auto"/>
        <w:rPr>
          <w:sz w:val="20"/>
          <w:szCs w:val="20"/>
          <w:color w:val="auto"/>
        </w:rPr>
      </w:pPr>
      <w:r>
        <w:rPr>
          <w:rFonts w:ascii="Arial" w:cs="Arial" w:eastAsia="Arial" w:hAnsi="Arial"/>
          <w:sz w:val="16"/>
          <w:szCs w:val="16"/>
          <w:color w:val="auto"/>
        </w:rPr>
        <w:t>progress. In 2021, we also issued Lilly’s first sustainability bond, which will help fund projects that will contribute to our ESG objectives. In this proxy statement, you will find additional information about our approach to ESG and sustainability. See "Governance—Highlights of the Company’s Corporate Governance—Environmental, Social and Governance."</w:t>
      </w:r>
    </w:p>
    <w:p>
      <w:pPr>
        <w:spacing w:after="0" w:line="10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addition, we recently enhanced our disclosures related to our lobbying and political activities. For additional information, see “Governance—Highlights of the Company’s Corporate Governance—Political and Policy Participation.”</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has approved, and recommends that our shareholders approve, three important management proposals at the Annual Meeting. As in past years, the board recommends approval of amendments to the company’s articles of incorporation to eliminate the classified board structure (see Item 4 herein) and to eliminate supermajority voting provisions (see Item 5 herein). The board also recommends approval of amendments to the company’s articles of incorporation to give shareholders the ability to amend our bylaws (see Item 6 herein). The board believes these three proposals balance shareholder interests and demonstrate its accountability and willingness to take steps that address concerns expressed by shareholders.</w:t>
      </w:r>
    </w:p>
    <w:p>
      <w:pPr>
        <w:spacing w:after="0" w:line="95"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Michael L. Eskew, who joined the board in 2008 and serves as the Chair of the Directors and Corporate Governance Committee, will retire from the board following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Highlights of 2021 Performance</w:t>
      </w:r>
    </w:p>
    <w:p>
      <w:pPr>
        <w:spacing w:after="0" w:line="85"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following provides a brief overview of our 2021 performance in four dimensions: operating performance, progress in our innovation pipeline, business development, and shareholder return, both absolute and relative. See our Annual Report on Form 10-K for the fiscal year ended December 31, 2021, for more details.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continued to progress our company's purpose and strategy in 2021 as we remained focused on:</w:t>
      </w:r>
    </w:p>
    <w:p>
      <w:pPr>
        <w:spacing w:after="0" w:line="113" w:lineRule="exact"/>
        <w:rPr>
          <w:sz w:val="20"/>
          <w:szCs w:val="20"/>
          <w:color w:val="auto"/>
        </w:rPr>
      </w:pPr>
    </w:p>
    <w:p>
      <w:pPr>
        <w:ind w:left="660" w:right="80" w:hanging="328"/>
        <w:spacing w:after="0" w:line="260"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discovering, developing, and acquiring first- or best-in-class medicines to address significant unmet needs in our core therapeutic areas—diabetes, immunology, neuroscience, and oncology;</w:t>
      </w:r>
    </w:p>
    <w:p>
      <w:pPr>
        <w:spacing w:after="0" w:line="87" w:lineRule="exact"/>
        <w:rPr>
          <w:rFonts w:ascii="Arial" w:cs="Arial" w:eastAsia="Arial" w:hAnsi="Arial"/>
          <w:sz w:val="16"/>
          <w:szCs w:val="16"/>
          <w:color w:val="auto"/>
        </w:rPr>
      </w:pPr>
    </w:p>
    <w:p>
      <w:pPr>
        <w:ind w:left="660" w:right="260" w:hanging="328"/>
        <w:spacing w:after="0" w:line="260"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reaching patients who can benefit from our innovative medicines around the world, directly and through partnership with healthcare systems and collaborators, providing broad access to safe, life-changing medicines;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focusing our time and resources on new medicines that patients value most, delivering volume-driven sustainable growth;</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our manufacturing footprint and bolstering our supply chain to support our growing portfolio; and</w:t>
      </w:r>
    </w:p>
    <w:p>
      <w:pPr>
        <w:spacing w:after="0" w:line="113" w:lineRule="exact"/>
        <w:rPr>
          <w:rFonts w:ascii="Arial" w:cs="Arial" w:eastAsia="Arial" w:hAnsi="Arial"/>
          <w:sz w:val="16"/>
          <w:szCs w:val="16"/>
          <w:color w:val="auto"/>
        </w:rPr>
      </w:pPr>
    </w:p>
    <w:p>
      <w:pPr>
        <w:ind w:left="660" w:right="760" w:hanging="328"/>
        <w:spacing w:after="0" w:line="260"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reinvesting in our business and our people to discover new medicines to address unmet medical needs, improve cost productivity, reduce environmental impact, and supply quality medicines, while returning capital to shareholders.</w:t>
      </w:r>
    </w:p>
    <w:p>
      <w:pPr>
        <w:spacing w:after="0" w:line="8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We believe our strategic choices, coupled with robust execution, delivered significant value for shareholders and patients in 2021. We reached over 47 million patients globally with our medicines, expanded our patient support programs, achieved significant pipeline advancements and key data readouts across our core therapeutic areas, leveraged external innovation to expand our pipeline, and delivered high total shareholder returns relative to our peers and the S&amp;P 500 index. The discussion below expands on our considerable success in 2021.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Performance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Performance highlights:</w:t>
      </w:r>
    </w:p>
    <w:p>
      <w:pPr>
        <w:spacing w:after="0" w:line="11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2021 revenue increased 15 percent to approximately $28.3 billion;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2021 earnings per share (EPS) on a reported basis were $6.12, compared to 2020 EPS on a reported basis of $6.79; and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 non-GAAP basis, 2021 EPS increased 20 percent to $8.16.</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Reported results were prepared in accordance with U.S. generally accepted accounting principles (GAAP) and include all revenue and expenses recognized during the periods. A reconciliation of EPS on a reported basis to EPS on a non-GAAP basis is included in Appendix A.</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129" w:right="3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2021 Innovation and Business Development Progress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made significant pipeline advances in 2021, including:</w:t>
      </w:r>
    </w:p>
    <w:p>
      <w:pPr>
        <w:spacing w:after="0" w:line="113"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approval of a new indication for Verzenio® (abemaciclib) for certain people with high-risk, early breast cancer;</w:t>
      </w:r>
    </w:p>
    <w:p>
      <w:pPr>
        <w:spacing w:after="0" w:line="99" w:lineRule="exact"/>
        <w:rPr>
          <w:rFonts w:ascii="Arial" w:cs="Arial" w:eastAsia="Arial" w:hAnsi="Arial"/>
          <w:sz w:val="16"/>
          <w:szCs w:val="16"/>
          <w:color w:val="auto"/>
        </w:rPr>
      </w:pPr>
    </w:p>
    <w:p>
      <w:pPr>
        <w:ind w:left="660" w:right="100" w:hanging="328"/>
        <w:spacing w:after="0" w:line="242"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collaboration with Boehringer Ingelheim International GmbH, U.S. and European Union approval of a new indication for Jardiance® in adults with heart failure with reduced ejection fraction, with and without diabetes;</w:t>
      </w:r>
    </w:p>
    <w:p>
      <w:pPr>
        <w:spacing w:after="0" w:line="101" w:lineRule="exact"/>
        <w:rPr>
          <w:rFonts w:ascii="Arial" w:cs="Arial" w:eastAsia="Arial" w:hAnsi="Arial"/>
          <w:sz w:val="16"/>
          <w:szCs w:val="16"/>
          <w:color w:val="auto"/>
        </w:rPr>
      </w:pPr>
    </w:p>
    <w:p>
      <w:pPr>
        <w:ind w:left="660" w:right="72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collaboration with AbCellera Biologics Inc. and Junshi Biosciences Co., Ltd., the U.S. FDA granted Emergency Use Authorization for the administration of bamlanivimab and etesevimab together as a treatment for COVID-19 in patients at high risk for hospitalization; and</w:t>
      </w:r>
    </w:p>
    <w:p>
      <w:pPr>
        <w:spacing w:after="0" w:line="87" w:lineRule="exact"/>
        <w:rPr>
          <w:rFonts w:ascii="Arial" w:cs="Arial" w:eastAsia="Arial" w:hAnsi="Arial"/>
          <w:sz w:val="16"/>
          <w:szCs w:val="16"/>
          <w:color w:val="auto"/>
        </w:rPr>
      </w:pPr>
    </w:p>
    <w:p>
      <w:pPr>
        <w:ind w:right="120" w:firstLine="332"/>
        <w:spacing w:after="0" w:line="387" w:lineRule="auto"/>
        <w:tabs>
          <w:tab w:leader="none" w:pos="61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collaboration with Incyte Corporation, approval in Japan for Olumiant® (baricitinib), in combination with remdesivir, as a treatment for COVID-19. We announced several key data readouts in 2021, including:</w:t>
      </w:r>
    </w:p>
    <w:p>
      <w:pPr>
        <w:ind w:left="660" w:right="20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topline results from four studies from tirzepatide’s Phase III type 2 diabetes program, SURPASS-2, 3, 4, and 5, and regulatory submission for tirzepatide for type 2 diabetes in the U.S. to which Lilly applied a priority review voucher, as well as submission in Europe and Japan;</w:t>
      </w:r>
    </w:p>
    <w:p>
      <w:pPr>
        <w:spacing w:after="0" w:line="87" w:lineRule="exact"/>
        <w:rPr>
          <w:rFonts w:ascii="Arial" w:cs="Arial" w:eastAsia="Arial" w:hAnsi="Arial"/>
          <w:sz w:val="16"/>
          <w:szCs w:val="16"/>
          <w:color w:val="auto"/>
        </w:rPr>
      </w:pPr>
    </w:p>
    <w:p>
      <w:pPr>
        <w:ind w:left="660" w:right="44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topline results from donanemab’s TRAILBLAZER-ALZ, a Phase II study evaluating the efficacy and safety of donanemab compared to placebo in patients with early symptomatic Alzheimer’s disease;</w:t>
      </w:r>
    </w:p>
    <w:p>
      <w:pPr>
        <w:spacing w:after="0" w:line="87" w:lineRule="exact"/>
        <w:rPr>
          <w:rFonts w:ascii="Arial" w:cs="Arial" w:eastAsia="Arial" w:hAnsi="Arial"/>
          <w:sz w:val="16"/>
          <w:szCs w:val="16"/>
          <w:color w:val="auto"/>
        </w:rPr>
      </w:pPr>
    </w:p>
    <w:p>
      <w:pPr>
        <w:ind w:left="660" w:right="4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updated data for pirtobrutinib from the LOXO-305 BRUIN Phase I/II clinical trial in mantle cell lymphoma and other non-Hodgkin lymphomas, as well as in chronic lymphocytic leukemia and small lymphocytic lymphoma, at the 2021 American Society of Hematology Annual Meeting;</w:t>
      </w:r>
    </w:p>
    <w:p>
      <w:pPr>
        <w:spacing w:after="0" w:line="87" w:lineRule="exact"/>
        <w:rPr>
          <w:rFonts w:ascii="Arial" w:cs="Arial" w:eastAsia="Arial" w:hAnsi="Arial"/>
          <w:sz w:val="16"/>
          <w:szCs w:val="16"/>
          <w:color w:val="auto"/>
        </w:rPr>
      </w:pPr>
    </w:p>
    <w:p>
      <w:pPr>
        <w:ind w:left="660" w:right="4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topline results from mirikizumab’s Phase III LUCENT-1 and 2 studies evaluating the efficacy and safety of mirikizumab compared to placebo for the treatment of patients with moderately-to-severely active ulcerative colitis;</w:t>
      </w:r>
    </w:p>
    <w:p>
      <w:pPr>
        <w:spacing w:after="0" w:line="87" w:lineRule="exact"/>
        <w:rPr>
          <w:rFonts w:ascii="Arial" w:cs="Arial" w:eastAsia="Arial" w:hAnsi="Arial"/>
          <w:sz w:val="16"/>
          <w:szCs w:val="16"/>
          <w:color w:val="auto"/>
        </w:rPr>
      </w:pPr>
    </w:p>
    <w:p>
      <w:pPr>
        <w:ind w:left="660" w:right="500" w:hanging="328"/>
        <w:spacing w:after="0" w:line="260"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topline results from three studies of lebrikizumab’s Phase III program evaluating the efficacy and safety of lebrikizumab in people with moderate-to-severe atopic dermatitis; and</w:t>
      </w:r>
    </w:p>
    <w:p>
      <w:pPr>
        <w:spacing w:after="0" w:line="73" w:lineRule="exact"/>
        <w:rPr>
          <w:rFonts w:ascii="Arial" w:cs="Arial" w:eastAsia="Arial" w:hAnsi="Arial"/>
          <w:sz w:val="16"/>
          <w:szCs w:val="16"/>
          <w:color w:val="auto"/>
        </w:rPr>
      </w:pPr>
    </w:p>
    <w:p>
      <w:pPr>
        <w:ind w:left="660" w:right="60" w:hanging="328"/>
        <w:spacing w:after="0" w:line="242" w:lineRule="auto"/>
        <w:tabs>
          <w:tab w:leader="none" w:pos="62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collaboration with Boehringer Ingelheim International GmbH, positive topline results from a Phase III study of Jardiance® (empagliflozin) in adults with heart failure with preserved ejection fraction, with and without diabetes, and submissions in the U.S., Europe, and Japan.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We also completed over fifteen acquisitions, license agreements, and research collaborations to complement our pipeline in 2021, including:</w:t>
      </w:r>
    </w:p>
    <w:p>
      <w:pPr>
        <w:spacing w:after="0" w:line="113" w:lineRule="exact"/>
        <w:rPr>
          <w:sz w:val="20"/>
          <w:szCs w:val="20"/>
          <w:color w:val="auto"/>
        </w:rPr>
      </w:pPr>
    </w:p>
    <w:p>
      <w:pPr>
        <w:ind w:left="660" w:right="180" w:hanging="328"/>
        <w:spacing w:after="0" w:line="260"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acquisition of Prevail Therapeutics Inc. to complement our existing expertise as we work to develop a gene therapy platform anchored by Prevail’s portfolio of clinical-stage and late pre-clinical stage gene therapies across a range of neurodegenerative disorders;</w:t>
      </w:r>
    </w:p>
    <w:p>
      <w:pPr>
        <w:spacing w:after="0" w:line="87" w:lineRule="exact"/>
        <w:rPr>
          <w:rFonts w:ascii="Arial" w:cs="Arial" w:eastAsia="Arial" w:hAnsi="Arial"/>
          <w:sz w:val="16"/>
          <w:szCs w:val="16"/>
          <w:color w:val="auto"/>
        </w:rPr>
      </w:pPr>
    </w:p>
    <w:p>
      <w:pPr>
        <w:ind w:left="660" w:right="120" w:hanging="328"/>
        <w:spacing w:after="0" w:line="260"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acquisition of Protomer Technologies Inc., a private biotechnology company whose proprietary peptide- and protein-engineering platform is used to identify and synthesize molecules that can sense glucose or other endogenous modulators of protein activity; and</w:t>
      </w:r>
    </w:p>
    <w:p>
      <w:pPr>
        <w:spacing w:after="0" w:line="87" w:lineRule="exact"/>
        <w:rPr>
          <w:rFonts w:ascii="Arial" w:cs="Arial" w:eastAsia="Arial" w:hAnsi="Arial"/>
          <w:sz w:val="16"/>
          <w:szCs w:val="16"/>
          <w:color w:val="auto"/>
        </w:rPr>
      </w:pPr>
    </w:p>
    <w:p>
      <w:pPr>
        <w:jc w:val="both"/>
        <w:ind w:left="660" w:hanging="328"/>
        <w:spacing w:after="0" w:line="260" w:lineRule="auto"/>
        <w:tabs>
          <w:tab w:leader="none" w:pos="622" w:val="left"/>
        </w:tabs>
        <w:numPr>
          <w:ilvl w:val="0"/>
          <w:numId w:val="8"/>
        </w:numPr>
        <w:rPr>
          <w:rFonts w:ascii="Arial" w:cs="Arial" w:eastAsia="Arial" w:hAnsi="Arial"/>
          <w:sz w:val="16"/>
          <w:szCs w:val="16"/>
          <w:color w:val="auto"/>
        </w:rPr>
      </w:pPr>
      <w:r>
        <w:rPr>
          <w:rFonts w:ascii="Arial" w:cs="Arial" w:eastAsia="Arial" w:hAnsi="Arial"/>
          <w:sz w:val="16"/>
          <w:szCs w:val="16"/>
          <w:color w:val="auto"/>
        </w:rPr>
        <w:t>entry into a global exclusive license agreement and strategic collaboration with Rigel Pharmaceuticals, Inc. to co-develop and commercialize Rigel’s R552, a receptor-interacting serine/threonine-protein kinase 1 (RIPK1) inhibitor for all indications, including autoimmune and inflammatory diseases.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7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Shareholder Returns</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generated strong total shareholder returns (TSR) through December 31, 2021. Our TSR takes into account both share price appreciation and dividends. Any dividends paid by a given company are assumed to be reinvested in that company’s stock on a quarterly basis. Our returns significantly exceeded our compensation peer group and the S&amp;P 500 during the three- and five-year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674995" cy="277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Health, Safety and Welfare</w:t>
      </w:r>
    </w:p>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In 2021, we continued to supply our therapies for COVID-19 and continued our research and development efforts and our partnership with regulators and governments to bring COVID-19 treatments to patients around the world. Throughout the COVID-19 pandemic, we have prioritized maintaining supply of and access to our medicines, particularly insulin, reducing the strain on the medical system, protecting the health, safety, and well-being of our employees, and supporting our workforce, affected communities, and patients who need our medicines.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Maintaining Supplies of and Access to Lilly Medicines</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Throughout 2021, we continued our efforts to protect our manufacturing processes and remained in close communication with key suppliers regarding logistics, transportation, and supplies of raw materials. As a result, we were able to largely maintain our normal operations and continue to provide medicines on which millions of patients rely in the face of global supply chain challenges. We also continued patient support programs to ensure patients maintained affordable access to their medications and adjusted how we operate to offer innovative solutions to our customers. We remain committed to working with stakeholders in healthcare systems to help patients get the medicines they need, including through our Insulin Value Program, which allows anyone with commercial insurance and those without insurance to fill their monthly prescription of Lilly insulin for $35, as well as our other access and affordability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to Ensure Diversity in Clinical Trials</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continue to identify and address barriers to fair access and representation of communities in our clinical research to help develop innovative medicines. Diverse representation in clinical trials is critical to helping our researchers develop medicines that will be as effective as possible for patients who use them. We are working to ensure trial participants match the composition of the patient population that might use the trial’s medicine by selecting diverse investigators and collaborating with external groups to identify and implement solutions. We collaborate with patients, patient advocacy groups, regulatory agencies, health care professionals and community organizations to identify and implement solutions that will result in diverse representation, improve health equity and generate evidence to support better patient outcomes.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Keeping Our Employees Safe and Healthy</w:t>
      </w:r>
    </w:p>
    <w:p>
      <w:pPr>
        <w:spacing w:after="0" w:line="56"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We remain focused on protecting the health and safety of our employees and strive to foster a healthy, vibrant work environment. For additional information on our employee health and safety initiatives, see "Governance—Highlights of the Company’s Corporate Governance—Human Capital Management— Employee Health and Safety."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76" w:right="339" w:bottom="1440" w:gutter="0" w:footer="0" w:header="0"/>
        </w:sectPr>
      </w:pPr>
    </w:p>
    <w:bookmarkStart w:id="10" w:name="page11"/>
    <w:bookmarkEnd w:id="10"/>
    <w:p>
      <w:pPr>
        <w:spacing w:after="0"/>
        <w:rPr>
          <w:sz w:val="20"/>
          <w:szCs w:val="20"/>
          <w:color w:val="auto"/>
        </w:rPr>
      </w:pPr>
      <w:r>
        <w:rPr>
          <w:rFonts w:ascii="Arial" w:cs="Arial" w:eastAsia="Arial" w:hAnsi="Arial"/>
          <w:sz w:val="27"/>
          <w:szCs w:val="27"/>
          <w:b w:val="1"/>
          <w:bCs w:val="1"/>
          <w:color w:val="EF3729"/>
        </w:rPr>
        <w:t>Governance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 Election of Directors</w:t>
      </w:r>
    </w:p>
    <w:p>
      <w:pPr>
        <w:spacing w:after="0" w:line="217" w:lineRule="exact"/>
        <w:rPr>
          <w:sz w:val="20"/>
          <w:szCs w:val="20"/>
          <w:color w:val="auto"/>
        </w:rPr>
      </w:pPr>
    </w:p>
    <w:p>
      <w:pPr>
        <w:ind w:left="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16">
        <w:r>
          <w:rPr>
            <w:rFonts w:ascii="Arial" w:cs="Arial" w:eastAsia="Arial" w:hAnsi="Arial"/>
            <w:sz w:val="17"/>
            <w:szCs w:val="17"/>
            <w:b w:val="1"/>
            <w:bCs w:val="1"/>
            <w:u w:val="single" w:color="auto"/>
            <w:color w:val="0000FF"/>
          </w:rPr>
          <w:t>11</w:t>
        </w:r>
      </w:hyperlink>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40" w:type="dxa"/>
            <w:vAlign w:val="bottom"/>
            <w:vMerge w:val="restart"/>
            <w:shd w:val="clear" w:color="auto" w:fill="DBDBDB"/>
          </w:tcPr>
          <w:p>
            <w:pPr>
              <w:ind w:left="2220"/>
              <w:spacing w:after="0"/>
              <w:rPr>
                <w:sz w:val="20"/>
                <w:szCs w:val="20"/>
                <w:color w:val="auto"/>
              </w:rPr>
            </w:pPr>
            <w:r>
              <w:rPr>
                <w:rFonts w:ascii="Arial" w:cs="Arial" w:eastAsia="Arial" w:hAnsi="Arial"/>
                <w:sz w:val="17"/>
                <w:szCs w:val="17"/>
                <w:b w:val="1"/>
                <w:bCs w:val="1"/>
                <w:color w:val="auto"/>
              </w:rPr>
              <w:t>Name, age* and principal occupation</w:t>
            </w:r>
          </w:p>
        </w:tc>
        <w:tc>
          <w:tcPr>
            <w:tcW w:w="2040" w:type="dxa"/>
            <w:vAlign w:val="bottom"/>
            <w:vMerge w:val="restart"/>
            <w:shd w:val="clear" w:color="auto" w:fill="DBDBDB"/>
          </w:tcPr>
          <w:p>
            <w:pPr>
              <w:ind w:left="520"/>
              <w:spacing w:after="0"/>
              <w:rPr>
                <w:sz w:val="20"/>
                <w:szCs w:val="20"/>
                <w:color w:val="auto"/>
              </w:rPr>
            </w:pPr>
            <w:r>
              <w:rPr>
                <w:rFonts w:ascii="Arial" w:cs="Arial" w:eastAsia="Arial" w:hAnsi="Arial"/>
                <w:sz w:val="17"/>
                <w:szCs w:val="17"/>
                <w:b w:val="1"/>
                <w:bCs w:val="1"/>
                <w:color w:val="auto"/>
              </w:rPr>
              <w:t>Public boards</w:t>
            </w:r>
          </w:p>
        </w:tc>
        <w:tc>
          <w:tcPr>
            <w:tcW w:w="1900" w:type="dxa"/>
            <w:vAlign w:val="bottom"/>
            <w:shd w:val="clear" w:color="auto" w:fill="DBDBDB"/>
          </w:tcPr>
          <w:p>
            <w:pPr>
              <w:jc w:val="center"/>
              <w:ind w:left="99"/>
              <w:spacing w:after="0"/>
              <w:rPr>
                <w:sz w:val="20"/>
                <w:szCs w:val="20"/>
                <w:color w:val="auto"/>
              </w:rPr>
            </w:pPr>
            <w:r>
              <w:rPr>
                <w:rFonts w:ascii="Arial" w:cs="Arial" w:eastAsia="Arial" w:hAnsi="Arial"/>
                <w:sz w:val="16"/>
                <w:szCs w:val="16"/>
                <w:b w:val="1"/>
                <w:bCs w:val="1"/>
                <w:color w:val="00A1DE"/>
              </w:rPr>
              <w:t>Management</w:t>
            </w:r>
          </w:p>
        </w:tc>
        <w:tc>
          <w:tcPr>
            <w:tcW w:w="154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w w:val="99"/>
              </w:rPr>
              <w:t>Vote required to</w:t>
            </w:r>
          </w:p>
        </w:tc>
        <w:tc>
          <w:tcPr>
            <w:tcW w:w="0" w:type="dxa"/>
            <w:vAlign w:val="bottom"/>
          </w:tcPr>
          <w:p>
            <w:pPr>
              <w:spacing w:after="0"/>
              <w:rPr>
                <w:sz w:val="1"/>
                <w:szCs w:val="1"/>
                <w:color w:val="auto"/>
              </w:rPr>
            </w:pPr>
          </w:p>
        </w:tc>
      </w:tr>
      <w:tr>
        <w:trPr>
          <w:trHeight w:val="109"/>
        </w:trPr>
        <w:tc>
          <w:tcPr>
            <w:tcW w:w="5740" w:type="dxa"/>
            <w:vAlign w:val="bottom"/>
            <w:vMerge w:val="continue"/>
            <w:shd w:val="clear" w:color="auto" w:fill="DBDBDB"/>
          </w:tcPr>
          <w:p>
            <w:pPr>
              <w:spacing w:after="0"/>
              <w:rPr>
                <w:sz w:val="9"/>
                <w:szCs w:val="9"/>
                <w:color w:val="auto"/>
              </w:rPr>
            </w:pPr>
          </w:p>
        </w:tc>
        <w:tc>
          <w:tcPr>
            <w:tcW w:w="2040" w:type="dxa"/>
            <w:vAlign w:val="bottom"/>
            <w:vMerge w:val="continue"/>
            <w:shd w:val="clear" w:color="auto" w:fill="DBDBDB"/>
          </w:tcPr>
          <w:p>
            <w:pPr>
              <w:spacing w:after="0"/>
              <w:rPr>
                <w:sz w:val="9"/>
                <w:szCs w:val="9"/>
                <w:color w:val="auto"/>
              </w:rPr>
            </w:pPr>
          </w:p>
        </w:tc>
        <w:tc>
          <w:tcPr>
            <w:tcW w:w="1900" w:type="dxa"/>
            <w:vAlign w:val="bottom"/>
            <w:vMerge w:val="restart"/>
            <w:shd w:val="clear" w:color="auto" w:fill="DBDBDB"/>
          </w:tcPr>
          <w:p>
            <w:pPr>
              <w:jc w:val="center"/>
              <w:ind w:left="119"/>
              <w:spacing w:after="0"/>
              <w:rPr>
                <w:sz w:val="20"/>
                <w:szCs w:val="20"/>
                <w:color w:val="auto"/>
              </w:rPr>
            </w:pPr>
            <w:r>
              <w:rPr>
                <w:rFonts w:ascii="Arial" w:cs="Arial" w:eastAsia="Arial" w:hAnsi="Arial"/>
                <w:sz w:val="16"/>
                <w:szCs w:val="16"/>
                <w:b w:val="1"/>
                <w:bCs w:val="1"/>
                <w:color w:val="00A1DE"/>
              </w:rPr>
              <w:t>recommendation</w:t>
            </w:r>
          </w:p>
        </w:tc>
        <w:tc>
          <w:tcPr>
            <w:tcW w:w="1540" w:type="dxa"/>
            <w:vAlign w:val="bottom"/>
            <w:vMerge w:val="restart"/>
            <w:shd w:val="clear" w:color="auto" w:fill="DBDBDB"/>
          </w:tcPr>
          <w:p>
            <w:pPr>
              <w:jc w:val="center"/>
              <w:spacing w:after="0"/>
              <w:rPr>
                <w:sz w:val="20"/>
                <w:szCs w:val="20"/>
                <w:color w:val="auto"/>
              </w:rPr>
            </w:pPr>
            <w:r>
              <w:rPr>
                <w:rFonts w:ascii="Arial" w:cs="Arial" w:eastAsia="Arial" w:hAnsi="Arial"/>
                <w:sz w:val="16"/>
                <w:szCs w:val="16"/>
                <w:b w:val="1"/>
                <w:bCs w:val="1"/>
                <w:color w:val="00A1DE"/>
              </w:rPr>
              <w:t>pass</w:t>
            </w:r>
          </w:p>
        </w:tc>
        <w:tc>
          <w:tcPr>
            <w:tcW w:w="0" w:type="dxa"/>
            <w:vAlign w:val="bottom"/>
          </w:tcPr>
          <w:p>
            <w:pPr>
              <w:spacing w:after="0"/>
              <w:rPr>
                <w:sz w:val="1"/>
                <w:szCs w:val="1"/>
                <w:color w:val="auto"/>
              </w:rPr>
            </w:pPr>
          </w:p>
        </w:tc>
      </w:tr>
      <w:tr>
        <w:trPr>
          <w:trHeight w:val="125"/>
        </w:trPr>
        <w:tc>
          <w:tcPr>
            <w:tcW w:w="5740" w:type="dxa"/>
            <w:vAlign w:val="bottom"/>
            <w:shd w:val="clear" w:color="auto" w:fill="DBDBDB"/>
          </w:tcPr>
          <w:p>
            <w:pPr>
              <w:spacing w:after="0"/>
              <w:rPr>
                <w:sz w:val="10"/>
                <w:szCs w:val="10"/>
                <w:color w:val="auto"/>
              </w:rPr>
            </w:pPr>
          </w:p>
        </w:tc>
        <w:tc>
          <w:tcPr>
            <w:tcW w:w="2040" w:type="dxa"/>
            <w:vAlign w:val="bottom"/>
            <w:shd w:val="clear" w:color="auto" w:fill="DBDBDB"/>
          </w:tcPr>
          <w:p>
            <w:pPr>
              <w:spacing w:after="0"/>
              <w:rPr>
                <w:sz w:val="10"/>
                <w:szCs w:val="10"/>
                <w:color w:val="auto"/>
              </w:rPr>
            </w:pPr>
          </w:p>
        </w:tc>
        <w:tc>
          <w:tcPr>
            <w:tcW w:w="1900" w:type="dxa"/>
            <w:vAlign w:val="bottom"/>
            <w:vMerge w:val="continue"/>
            <w:shd w:val="clear" w:color="auto" w:fill="DBDBDB"/>
          </w:tcPr>
          <w:p>
            <w:pPr>
              <w:spacing w:after="0"/>
              <w:rPr>
                <w:sz w:val="10"/>
                <w:szCs w:val="10"/>
                <w:color w:val="auto"/>
              </w:rPr>
            </w:pPr>
          </w:p>
        </w:tc>
        <w:tc>
          <w:tcPr>
            <w:tcW w:w="154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42545</wp:posOffset>
            </wp:positionV>
            <wp:extent cx="68580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181"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Ralph Alvarez, 66</w:t>
      </w:r>
    </w:p>
    <w:tbl>
      <w:tblPr>
        <w:tblLayout w:type="fixed"/>
        <w:tblInd w:w="1700" w:type="dxa"/>
        <w:tblCellMar>
          <w:top w:w="0" w:type="dxa"/>
          <w:left w:w="0" w:type="dxa"/>
          <w:bottom w:w="0" w:type="dxa"/>
          <w:right w:w="0" w:type="dxa"/>
        </w:tblCellMar>
      </w:tblPr>
      <w:tr>
        <w:trPr>
          <w:trHeight w:val="163"/>
        </w:trPr>
        <w:tc>
          <w:tcPr>
            <w:tcW w:w="3600" w:type="dxa"/>
            <w:vAlign w:val="bottom"/>
          </w:tcPr>
          <w:p>
            <w:pPr>
              <w:spacing w:after="0"/>
              <w:rPr>
                <w:sz w:val="14"/>
                <w:szCs w:val="14"/>
                <w:color w:val="auto"/>
              </w:rPr>
            </w:pPr>
          </w:p>
        </w:tc>
        <w:tc>
          <w:tcPr>
            <w:tcW w:w="2820" w:type="dxa"/>
            <w:vAlign w:val="bottom"/>
          </w:tcPr>
          <w:p>
            <w:pPr>
              <w:ind w:left="500"/>
              <w:spacing w:after="0"/>
              <w:rPr>
                <w:sz w:val="20"/>
                <w:szCs w:val="20"/>
                <w:color w:val="auto"/>
              </w:rPr>
            </w:pPr>
            <w:r>
              <w:rPr>
                <w:rFonts w:ascii="Arial" w:cs="Arial" w:eastAsia="Arial" w:hAnsi="Arial"/>
                <w:sz w:val="13"/>
                <w:szCs w:val="13"/>
                <w:color w:val="auto"/>
              </w:rPr>
              <w:t>Lowe's Companies, Inc.; Traeger,</w:t>
            </w:r>
          </w:p>
        </w:tc>
        <w:tc>
          <w:tcPr>
            <w:tcW w:w="140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Vote FOR</w:t>
            </w:r>
          </w:p>
        </w:tc>
        <w:tc>
          <w:tcPr>
            <w:tcW w:w="1660" w:type="dxa"/>
            <w:vAlign w:val="bottom"/>
          </w:tcPr>
          <w:p>
            <w:pPr>
              <w:jc w:val="center"/>
              <w:ind w:left="235"/>
              <w:spacing w:after="0" w:line="163" w:lineRule="exact"/>
              <w:rPr>
                <w:sz w:val="20"/>
                <w:szCs w:val="20"/>
                <w:color w:val="auto"/>
              </w:rPr>
            </w:pPr>
            <w:r>
              <w:rPr>
                <w:rFonts w:ascii="Arial" w:cs="Arial" w:eastAsia="Arial" w:hAnsi="Arial"/>
                <w:sz w:val="17"/>
                <w:szCs w:val="17"/>
                <w:b w:val="1"/>
                <w:bCs w:val="1"/>
                <w:color w:val="auto"/>
                <w:w w:val="99"/>
              </w:rPr>
              <w:t>Majority of votes</w:t>
            </w:r>
          </w:p>
        </w:tc>
        <w:tc>
          <w:tcPr>
            <w:tcW w:w="0" w:type="dxa"/>
            <w:vAlign w:val="bottom"/>
          </w:tcPr>
          <w:p>
            <w:pPr>
              <w:spacing w:after="0"/>
              <w:rPr>
                <w:sz w:val="1"/>
                <w:szCs w:val="1"/>
                <w:color w:val="auto"/>
              </w:rPr>
            </w:pPr>
          </w:p>
        </w:tc>
      </w:tr>
      <w:tr>
        <w:trPr>
          <w:trHeight w:val="134"/>
        </w:trPr>
        <w:tc>
          <w:tcPr>
            <w:tcW w:w="3600" w:type="dxa"/>
            <w:vAlign w:val="bottom"/>
            <w:vMerge w:val="restart"/>
          </w:tcPr>
          <w:p>
            <w:pPr>
              <w:spacing w:after="0"/>
              <w:rPr>
                <w:sz w:val="20"/>
                <w:szCs w:val="20"/>
                <w:color w:val="auto"/>
              </w:rPr>
            </w:pPr>
            <w:r>
              <w:rPr>
                <w:rFonts w:ascii="Arial" w:cs="Arial" w:eastAsia="Arial" w:hAnsi="Arial"/>
                <w:sz w:val="13"/>
                <w:szCs w:val="13"/>
                <w:color w:val="auto"/>
              </w:rPr>
              <w:t>Operating Partner, Advent International Corporation</w:t>
            </w:r>
          </w:p>
        </w:tc>
        <w:tc>
          <w:tcPr>
            <w:tcW w:w="2820" w:type="dxa"/>
            <w:vAlign w:val="bottom"/>
          </w:tcPr>
          <w:p>
            <w:pPr>
              <w:ind w:left="500"/>
              <w:spacing w:after="0" w:line="134" w:lineRule="exact"/>
              <w:rPr>
                <w:sz w:val="20"/>
                <w:szCs w:val="20"/>
                <w:color w:val="auto"/>
              </w:rPr>
            </w:pPr>
            <w:r>
              <w:rPr>
                <w:rFonts w:ascii="Arial" w:cs="Arial" w:eastAsia="Arial" w:hAnsi="Arial"/>
                <w:sz w:val="13"/>
                <w:szCs w:val="13"/>
                <w:color w:val="auto"/>
              </w:rPr>
              <w:t>Inc.; First Watch Restaurant</w:t>
            </w:r>
          </w:p>
        </w:tc>
        <w:tc>
          <w:tcPr>
            <w:tcW w:w="1400" w:type="dxa"/>
            <w:vAlign w:val="bottom"/>
            <w:vMerge w:val="continue"/>
          </w:tcPr>
          <w:p>
            <w:pPr>
              <w:spacing w:after="0"/>
              <w:rPr>
                <w:sz w:val="11"/>
                <w:szCs w:val="11"/>
                <w:color w:val="auto"/>
              </w:rPr>
            </w:pPr>
          </w:p>
        </w:tc>
        <w:tc>
          <w:tcPr>
            <w:tcW w:w="1660" w:type="dxa"/>
            <w:vAlign w:val="bottom"/>
            <w:vMerge w:val="restart"/>
          </w:tcPr>
          <w:p>
            <w:pPr>
              <w:jc w:val="center"/>
              <w:ind w:left="235"/>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118"/>
        </w:trPr>
        <w:tc>
          <w:tcPr>
            <w:tcW w:w="3600" w:type="dxa"/>
            <w:vAlign w:val="bottom"/>
            <w:vMerge w:val="continue"/>
          </w:tcPr>
          <w:p>
            <w:pPr>
              <w:spacing w:after="0"/>
              <w:rPr>
                <w:sz w:val="10"/>
                <w:szCs w:val="10"/>
                <w:color w:val="auto"/>
              </w:rPr>
            </w:pPr>
          </w:p>
        </w:tc>
        <w:tc>
          <w:tcPr>
            <w:tcW w:w="2820" w:type="dxa"/>
            <w:vAlign w:val="bottom"/>
            <w:vMerge w:val="restart"/>
          </w:tcPr>
          <w:p>
            <w:pPr>
              <w:ind w:left="500"/>
              <w:spacing w:after="0"/>
              <w:rPr>
                <w:sz w:val="20"/>
                <w:szCs w:val="20"/>
                <w:color w:val="auto"/>
              </w:rPr>
            </w:pPr>
            <w:r>
              <w:rPr>
                <w:rFonts w:ascii="Arial" w:cs="Arial" w:eastAsia="Arial" w:hAnsi="Arial"/>
                <w:sz w:val="13"/>
                <w:szCs w:val="13"/>
                <w:color w:val="auto"/>
              </w:rPr>
              <w:t>Group, Inc.</w:t>
            </w:r>
          </w:p>
        </w:tc>
        <w:tc>
          <w:tcPr>
            <w:tcW w:w="14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600" w:type="dxa"/>
            <w:vAlign w:val="bottom"/>
            <w:vMerge w:val="continue"/>
          </w:tcPr>
          <w:p>
            <w:pPr>
              <w:spacing w:after="0"/>
              <w:rPr>
                <w:sz w:val="3"/>
                <w:szCs w:val="3"/>
                <w:color w:val="auto"/>
              </w:rPr>
            </w:pPr>
          </w:p>
        </w:tc>
        <w:tc>
          <w:tcPr>
            <w:tcW w:w="282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3600" w:type="dxa"/>
            <w:vAlign w:val="bottom"/>
          </w:tcPr>
          <w:p>
            <w:pPr>
              <w:spacing w:after="0"/>
              <w:rPr>
                <w:sz w:val="20"/>
                <w:szCs w:val="20"/>
                <w:color w:val="auto"/>
              </w:rPr>
            </w:pPr>
            <w:r>
              <w:rPr>
                <w:rFonts w:ascii="Arial" w:cs="Arial" w:eastAsia="Arial" w:hAnsi="Arial"/>
                <w:sz w:val="13"/>
                <w:szCs w:val="13"/>
                <w:color w:val="auto"/>
              </w:rPr>
              <w:t>Director since 2009</w:t>
            </w:r>
          </w:p>
        </w:tc>
        <w:tc>
          <w:tcPr>
            <w:tcW w:w="2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17780</wp:posOffset>
            </wp:positionV>
            <wp:extent cx="6934835" cy="934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4835" cy="934085"/>
                    </a:xfrm>
                    <a:prstGeom prst="rect">
                      <a:avLst/>
                    </a:prstGeom>
                    <a:noFill/>
                  </pic:spPr>
                </pic:pic>
              </a:graphicData>
            </a:graphic>
          </wp:anchor>
        </w:drawing>
      </w:r>
    </w:p>
    <w:p>
      <w:pPr>
        <w:spacing w:after="0" w:line="223"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shd w:val="clear" w:color="auto" w:fill="E6E6E6"/>
        </w:rPr>
        <w:t>Kimberly H. Johnson, 49</w:t>
      </w:r>
    </w:p>
    <w:p>
      <w:pPr>
        <w:spacing w:after="0" w:line="55"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80" w:type="dxa"/>
            <w:vAlign w:val="bottom"/>
            <w:vMerge w:val="restart"/>
          </w:tcPr>
          <w:p>
            <w:pPr>
              <w:ind w:left="1520"/>
              <w:spacing w:after="0"/>
              <w:rPr>
                <w:sz w:val="20"/>
                <w:szCs w:val="20"/>
                <w:color w:val="auto"/>
              </w:rPr>
            </w:pPr>
            <w:r>
              <w:rPr>
                <w:rFonts w:ascii="Arial" w:cs="Arial" w:eastAsia="Arial" w:hAnsi="Arial"/>
                <w:sz w:val="17"/>
                <w:szCs w:val="17"/>
                <w:b w:val="1"/>
                <w:bCs w:val="1"/>
                <w:color w:val="auto"/>
              </w:rPr>
              <w:t>Vote FOR</w:t>
            </w:r>
          </w:p>
        </w:tc>
        <w:tc>
          <w:tcPr>
            <w:tcW w:w="1660" w:type="dxa"/>
            <w:vAlign w:val="bottom"/>
          </w:tcPr>
          <w:p>
            <w:pPr>
              <w:jc w:val="center"/>
              <w:ind w:left="235"/>
              <w:spacing w:after="0"/>
              <w:rPr>
                <w:sz w:val="20"/>
                <w:szCs w:val="20"/>
                <w:color w:val="auto"/>
              </w:rPr>
            </w:pPr>
            <w:r>
              <w:rPr>
                <w:rFonts w:ascii="Arial" w:cs="Arial" w:eastAsia="Arial" w:hAnsi="Arial"/>
                <w:sz w:val="17"/>
                <w:szCs w:val="17"/>
                <w:b w:val="1"/>
                <w:bCs w:val="1"/>
                <w:color w:val="auto"/>
                <w:w w:val="99"/>
              </w:rPr>
              <w:t>Majority of votes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gridSpan w:val="3"/>
            <w:vMerge w:val="restart"/>
            <w:shd w:val="clear" w:color="auto" w:fill="E6E6E6"/>
          </w:tcPr>
          <w:p>
            <w:pPr>
              <w:spacing w:after="0" w:line="129" w:lineRule="exact"/>
              <w:rPr>
                <w:sz w:val="20"/>
                <w:szCs w:val="20"/>
                <w:color w:val="auto"/>
              </w:rPr>
            </w:pPr>
            <w:r>
              <w:rPr>
                <w:rFonts w:ascii="Arial" w:cs="Arial" w:eastAsia="Arial" w:hAnsi="Arial"/>
                <w:sz w:val="13"/>
                <w:szCs w:val="13"/>
                <w:color w:val="auto"/>
                <w:shd w:val="clear" w:color="auto" w:fill="E6E6E6"/>
              </w:rPr>
              <w:t>Executive Vice President and Chief Operating Officer, Federal</w:t>
            </w:r>
          </w:p>
        </w:tc>
        <w:tc>
          <w:tcPr>
            <w:tcW w:w="154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1660" w:type="dxa"/>
            <w:vAlign w:val="bottom"/>
            <w:vMerge w:val="restart"/>
          </w:tcPr>
          <w:p>
            <w:pPr>
              <w:jc w:val="center"/>
              <w:ind w:left="235"/>
              <w:spacing w:after="0" w:line="162" w:lineRule="exact"/>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680" w:type="dxa"/>
            <w:vAlign w:val="bottom"/>
            <w:gridSpan w:val="3"/>
            <w:vMerge w:val="continue"/>
            <w:shd w:val="clear" w:color="auto" w:fill="E6E6E6"/>
          </w:tcPr>
          <w:p>
            <w:pPr>
              <w:spacing w:after="0"/>
              <w:rPr>
                <w:sz w:val="2"/>
                <w:szCs w:val="2"/>
                <w:color w:val="auto"/>
              </w:rPr>
            </w:pPr>
          </w:p>
        </w:tc>
        <w:tc>
          <w:tcPr>
            <w:tcW w:w="154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2"/>
            <w:shd w:val="clear" w:color="auto" w:fill="E6E6E6"/>
          </w:tcPr>
          <w:p>
            <w:pPr>
              <w:spacing w:after="0" w:line="142" w:lineRule="exact"/>
              <w:rPr>
                <w:sz w:val="20"/>
                <w:szCs w:val="20"/>
                <w:color w:val="auto"/>
              </w:rPr>
            </w:pPr>
            <w:r>
              <w:rPr>
                <w:rFonts w:ascii="Arial" w:cs="Arial" w:eastAsia="Arial" w:hAnsi="Arial"/>
                <w:sz w:val="13"/>
                <w:szCs w:val="13"/>
                <w:color w:val="auto"/>
                <w:shd w:val="clear" w:color="auto" w:fill="E6E6E6"/>
              </w:rPr>
              <w:t>National Mortgage Association (Fannie Mae)</w:t>
            </w:r>
          </w:p>
        </w:tc>
        <w:tc>
          <w:tcPr>
            <w:tcW w:w="256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1140" w:type="dxa"/>
            <w:vAlign w:val="bottom"/>
          </w:tcPr>
          <w:p>
            <w:pPr>
              <w:spacing w:after="0"/>
              <w:rPr>
                <w:sz w:val="22"/>
                <w:szCs w:val="22"/>
                <w:color w:val="auto"/>
              </w:rPr>
            </w:pPr>
          </w:p>
        </w:tc>
        <w:tc>
          <w:tcPr>
            <w:tcW w:w="4080" w:type="dxa"/>
            <w:vAlign w:val="bottom"/>
            <w:gridSpan w:val="3"/>
            <w:vMerge w:val="restart"/>
          </w:tcPr>
          <w:p>
            <w:pPr>
              <w:spacing w:after="0"/>
              <w:rPr>
                <w:sz w:val="22"/>
                <w:szCs w:val="22"/>
                <w:color w:val="auto"/>
              </w:rPr>
            </w:pPr>
          </w:p>
        </w:tc>
        <w:tc>
          <w:tcPr>
            <w:tcW w:w="25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140" w:type="dxa"/>
            <w:vAlign w:val="bottom"/>
            <w:shd w:val="clear" w:color="auto" w:fill="E6E6E6"/>
          </w:tcPr>
          <w:p>
            <w:pPr>
              <w:spacing w:after="0"/>
              <w:rPr>
                <w:sz w:val="20"/>
                <w:szCs w:val="20"/>
                <w:color w:val="auto"/>
              </w:rPr>
            </w:pPr>
            <w:r>
              <w:rPr>
                <w:rFonts w:ascii="Arial" w:cs="Arial" w:eastAsia="Arial" w:hAnsi="Arial"/>
                <w:sz w:val="13"/>
                <w:szCs w:val="13"/>
                <w:color w:val="auto"/>
                <w:w w:val="99"/>
                <w:shd w:val="clear" w:color="auto" w:fill="E6E6E6"/>
              </w:rPr>
              <w:t>Director since 2021</w:t>
            </w:r>
          </w:p>
        </w:tc>
        <w:tc>
          <w:tcPr>
            <w:tcW w:w="4080" w:type="dxa"/>
            <w:vAlign w:val="bottom"/>
            <w:gridSpan w:val="3"/>
            <w:vMerge w:val="continue"/>
          </w:tcPr>
          <w:p>
            <w:pPr>
              <w:spacing w:after="0"/>
              <w:rPr>
                <w:sz w:val="12"/>
                <w:szCs w:val="12"/>
                <w:color w:val="auto"/>
              </w:rPr>
            </w:pPr>
          </w:p>
        </w:tc>
        <w:tc>
          <w:tcPr>
            <w:tcW w:w="2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120015</wp:posOffset>
            </wp:positionV>
            <wp:extent cx="68580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36"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Juan R. Luciano, 60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Archer-Daniels-Midland Company</w:t>
            </w:r>
          </w:p>
        </w:tc>
        <w:tc>
          <w:tcPr>
            <w:tcW w:w="1440" w:type="dxa"/>
            <w:vAlign w:val="bottom"/>
            <w:vMerge w:val="restart"/>
          </w:tcPr>
          <w:p>
            <w:pPr>
              <w:ind w:left="380"/>
              <w:spacing w:after="0"/>
              <w:rPr>
                <w:sz w:val="20"/>
                <w:szCs w:val="20"/>
                <w:color w:val="auto"/>
              </w:rPr>
            </w:pPr>
            <w:r>
              <w:rPr>
                <w:rFonts w:ascii="Arial" w:cs="Arial" w:eastAsia="Arial" w:hAnsi="Arial"/>
                <w:sz w:val="17"/>
                <w:szCs w:val="17"/>
                <w:b w:val="1"/>
                <w:bCs w:val="1"/>
                <w:color w:val="auto"/>
              </w:rPr>
              <w:t>Vote FOR</w:t>
            </w:r>
          </w:p>
        </w:tc>
        <w:tc>
          <w:tcPr>
            <w:tcW w:w="1720" w:type="dxa"/>
            <w:vAlign w:val="bottom"/>
          </w:tcPr>
          <w:p>
            <w:pPr>
              <w:jc w:val="center"/>
              <w:ind w:left="175"/>
              <w:spacing w:after="0"/>
              <w:rPr>
                <w:sz w:val="20"/>
                <w:szCs w:val="20"/>
                <w:color w:val="auto"/>
              </w:rPr>
            </w:pPr>
            <w:r>
              <w:rPr>
                <w:rFonts w:ascii="Arial" w:cs="Arial" w:eastAsia="Arial" w:hAnsi="Arial"/>
                <w:sz w:val="17"/>
                <w:szCs w:val="17"/>
                <w:b w:val="1"/>
                <w:bCs w:val="1"/>
                <w:color w:val="auto"/>
                <w:w w:val="99"/>
              </w:rPr>
              <w:t>Majority of votes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80" w:type="dxa"/>
            <w:vAlign w:val="bottom"/>
            <w:gridSpan w:val="2"/>
            <w:vMerge w:val="restart"/>
          </w:tcPr>
          <w:p>
            <w:pPr>
              <w:ind w:left="1680"/>
              <w:spacing w:after="0"/>
              <w:rPr>
                <w:sz w:val="20"/>
                <w:szCs w:val="20"/>
                <w:color w:val="auto"/>
              </w:rPr>
            </w:pPr>
            <w:r>
              <w:rPr>
                <w:rFonts w:ascii="Arial" w:cs="Arial" w:eastAsia="Arial" w:hAnsi="Arial"/>
                <w:sz w:val="13"/>
                <w:szCs w:val="13"/>
                <w:color w:val="auto"/>
              </w:rPr>
              <w:t>Chairman, Chief Executive Officer and President, Archer-Daniels-</w:t>
            </w:r>
          </w:p>
        </w:tc>
        <w:tc>
          <w:tcPr>
            <w:tcW w:w="2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720" w:type="dxa"/>
            <w:vAlign w:val="bottom"/>
            <w:vMerge w:val="restart"/>
          </w:tcPr>
          <w:p>
            <w:pPr>
              <w:jc w:val="center"/>
              <w:ind w:left="175"/>
              <w:spacing w:after="0" w:line="174" w:lineRule="exact"/>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680" w:type="dxa"/>
            <w:vAlign w:val="bottom"/>
            <w:gridSpan w:val="2"/>
            <w:vMerge w:val="continue"/>
          </w:tcPr>
          <w:p>
            <w:pPr>
              <w:spacing w:after="0"/>
              <w:rPr>
                <w:sz w:val="3"/>
                <w:szCs w:val="3"/>
                <w:color w:val="auto"/>
              </w:rPr>
            </w:pPr>
          </w:p>
        </w:tc>
        <w:tc>
          <w:tcPr>
            <w:tcW w:w="2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2"/>
          </w:tcPr>
          <w:p>
            <w:pPr>
              <w:ind w:left="1680"/>
              <w:spacing w:after="0"/>
              <w:rPr>
                <w:sz w:val="20"/>
                <w:szCs w:val="20"/>
                <w:color w:val="auto"/>
              </w:rPr>
            </w:pPr>
            <w:r>
              <w:rPr>
                <w:rFonts w:ascii="Arial" w:cs="Arial" w:eastAsia="Arial" w:hAnsi="Arial"/>
                <w:sz w:val="13"/>
                <w:szCs w:val="13"/>
                <w:color w:val="auto"/>
              </w:rPr>
              <w:t>Midland Company</w:t>
            </w:r>
          </w:p>
        </w:tc>
        <w:tc>
          <w:tcPr>
            <w:tcW w:w="2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80" w:type="dxa"/>
            <w:vAlign w:val="bottom"/>
            <w:gridSpan w:val="2"/>
          </w:tcPr>
          <w:p>
            <w:pPr>
              <w:ind w:left="1680"/>
              <w:spacing w:after="0"/>
              <w:rPr>
                <w:sz w:val="20"/>
                <w:szCs w:val="20"/>
                <w:color w:val="auto"/>
              </w:rPr>
            </w:pPr>
            <w:r>
              <w:rPr>
                <w:rFonts w:ascii="Arial" w:cs="Arial" w:eastAsia="Arial" w:hAnsi="Arial"/>
                <w:sz w:val="13"/>
                <w:szCs w:val="13"/>
                <w:color w:val="auto"/>
              </w:rPr>
              <w:t>Director since 2016; Lead Independent Director since 2019</w:t>
            </w: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700" w:type="dxa"/>
            <w:vAlign w:val="bottom"/>
            <w:gridSpan w:val="3"/>
          </w:tcPr>
          <w:p>
            <w:pPr>
              <w:spacing w:after="0"/>
              <w:rPr>
                <w:sz w:val="20"/>
                <w:szCs w:val="20"/>
                <w:color w:val="auto"/>
              </w:rPr>
            </w:pPr>
            <w:r>
              <w:rPr>
                <w:rFonts w:ascii="Arial" w:cs="Arial" w:eastAsia="Arial" w:hAnsi="Arial"/>
                <w:sz w:val="13"/>
                <w:szCs w:val="13"/>
                <w:color w:val="auto"/>
              </w:rPr>
              <w:t>*Age is as of the date of this proxy statement.</w:t>
            </w:r>
          </w:p>
        </w:tc>
        <w:tc>
          <w:tcPr>
            <w:tcW w:w="2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5700" w:type="dxa"/>
            <w:vAlign w:val="bottom"/>
            <w:gridSpan w:val="3"/>
          </w:tcPr>
          <w:p>
            <w:pPr>
              <w:spacing w:after="0"/>
              <w:rPr>
                <w:sz w:val="20"/>
                <w:szCs w:val="20"/>
                <w:color w:val="auto"/>
              </w:rPr>
            </w:pPr>
            <w:r>
              <w:rPr>
                <w:rFonts w:ascii="Arial" w:cs="Arial" w:eastAsia="Arial" w:hAnsi="Arial"/>
                <w:sz w:val="20"/>
                <w:szCs w:val="20"/>
                <w:b w:val="1"/>
                <w:bCs w:val="1"/>
                <w:color w:val="auto"/>
              </w:rPr>
              <w:t>Our Corporate Governance Policies Reflect Best Practices</w:t>
            </w: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00" w:type="dxa"/>
            <w:vAlign w:val="bottom"/>
            <w:tcBorders>
              <w:bottom w:val="single" w:sz="8" w:color="EE2724"/>
            </w:tcBorders>
            <w:gridSpan w:val="2"/>
          </w:tcPr>
          <w:p>
            <w:pPr>
              <w:spacing w:after="0"/>
              <w:rPr>
                <w:sz w:val="20"/>
                <w:szCs w:val="20"/>
                <w:color w:val="auto"/>
              </w:rPr>
            </w:pPr>
            <w:r>
              <w:rPr>
                <w:rFonts w:ascii="Arial" w:cs="Arial" w:eastAsia="Arial" w:hAnsi="Arial"/>
                <w:sz w:val="16"/>
                <w:szCs w:val="16"/>
                <w:b w:val="1"/>
                <w:bCs w:val="1"/>
                <w:color w:val="EE2724"/>
              </w:rPr>
              <w:t>Strategy and risk oversight</w:t>
            </w:r>
          </w:p>
        </w:tc>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20" w:hanging="394"/>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board approves and actively oversees our corporate strategy.</w:t>
      </w:r>
    </w:p>
    <w:p>
      <w:pPr>
        <w:spacing w:after="0" w:line="59" w:lineRule="exact"/>
        <w:rPr>
          <w:rFonts w:ascii="Arial" w:cs="Arial" w:eastAsia="Arial" w:hAnsi="Arial"/>
          <w:sz w:val="16"/>
          <w:szCs w:val="16"/>
          <w:color w:val="auto"/>
        </w:rPr>
      </w:pPr>
    </w:p>
    <w:p>
      <w:pPr>
        <w:ind w:left="420" w:right="60" w:hanging="394"/>
        <w:spacing w:after="0" w:line="260"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board and board committee agendas are structured to engage our directors in informed reviews of strategic and forward-looking issues, as well as in constructive challenges to management initiatives and programs.</w:t>
      </w:r>
    </w:p>
    <w:p>
      <w:pPr>
        <w:spacing w:after="0" w:line="73" w:lineRule="exact"/>
        <w:rPr>
          <w:rFonts w:ascii="Arial" w:cs="Arial" w:eastAsia="Arial" w:hAnsi="Arial"/>
          <w:sz w:val="16"/>
          <w:szCs w:val="16"/>
          <w:color w:val="auto"/>
        </w:rPr>
      </w:pPr>
    </w:p>
    <w:p>
      <w:pPr>
        <w:ind w:left="420" w:right="960" w:hanging="394"/>
        <w:spacing w:after="0" w:line="188" w:lineRule="auto"/>
        <w:tabs>
          <w:tab w:leader="none" w:pos="420" w:val="left"/>
        </w:tabs>
        <w:numPr>
          <w:ilvl w:val="0"/>
          <w:numId w:val="9"/>
        </w:numPr>
        <w:rPr>
          <w:rFonts w:ascii="Arial" w:cs="Arial" w:eastAsia="Arial" w:hAnsi="Arial"/>
          <w:sz w:val="27"/>
          <w:szCs w:val="27"/>
          <w:color w:val="auto"/>
          <w:vertAlign w:val="superscript"/>
        </w:rPr>
      </w:pPr>
      <w:r>
        <w:rPr>
          <w:rFonts w:ascii="Arial" w:cs="Arial" w:eastAsia="Arial" w:hAnsi="Arial"/>
          <w:sz w:val="14"/>
          <w:szCs w:val="14"/>
          <w:color w:val="auto"/>
        </w:rPr>
        <w:t>Our board reviews the overall state of our compliance program at least annually and reviews our enterprise-level risks, including related to cybersecurity; our Audit Committee oversees the process by which we identify and create mitigation plans for enterprise-level risks.</w:t>
      </w:r>
    </w:p>
    <w:p>
      <w:pPr>
        <w:spacing w:after="0" w:line="143" w:lineRule="exact"/>
        <w:rPr>
          <w:rFonts w:ascii="Arial" w:cs="Arial" w:eastAsia="Arial" w:hAnsi="Arial"/>
          <w:sz w:val="27"/>
          <w:szCs w:val="27"/>
          <w:color w:val="auto"/>
          <w:vertAlign w:val="superscript"/>
        </w:rPr>
      </w:pPr>
    </w:p>
    <w:p>
      <w:pPr>
        <w:ind w:left="420" w:right="420" w:hanging="394"/>
        <w:spacing w:after="0" w:line="237"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board and Audit Committee receive regular presentations on cybersecurity from our management as part of their oversight of enterprise-level risks; in addition to regular presentations, management updates our board regarding changes to the broader cybersecurity landscape, as well as significant threats or incidents as they arise.</w:t>
      </w:r>
    </w:p>
    <w:p>
      <w:pPr>
        <w:spacing w:after="0" w:line="89" w:lineRule="exact"/>
        <w:rPr>
          <w:rFonts w:ascii="Arial" w:cs="Arial" w:eastAsia="Arial" w:hAnsi="Arial"/>
          <w:sz w:val="16"/>
          <w:szCs w:val="16"/>
          <w:color w:val="auto"/>
        </w:rPr>
      </w:pPr>
    </w:p>
    <w:p>
      <w:pPr>
        <w:ind w:left="420" w:right="380" w:hanging="394"/>
        <w:spacing w:after="0" w:line="180" w:lineRule="auto"/>
        <w:tabs>
          <w:tab w:leader="none" w:pos="420" w:val="left"/>
        </w:tabs>
        <w:numPr>
          <w:ilvl w:val="0"/>
          <w:numId w:val="9"/>
        </w:numPr>
        <w:rPr>
          <w:rFonts w:ascii="Arial" w:cs="Arial" w:eastAsia="Arial" w:hAnsi="Arial"/>
          <w:sz w:val="31"/>
          <w:szCs w:val="31"/>
          <w:color w:val="auto"/>
          <w:vertAlign w:val="superscript"/>
        </w:rPr>
      </w:pPr>
      <w:r>
        <w:rPr>
          <w:rFonts w:ascii="Arial" w:cs="Arial" w:eastAsia="Arial" w:hAnsi="Arial"/>
          <w:sz w:val="16"/>
          <w:szCs w:val="16"/>
          <w:color w:val="auto"/>
        </w:rPr>
        <w:t>We have a comprehensive code of business conduct, called The Red Book, which applies to our board and all employees worldwide. This code is reviewed and approved annually by the board, and in 2022 we revised The Red Book training to update our Global Conduct in the Workplace procedure to continue to help ensure that we maintain a respectful, safe, inclusive, and professional workplace.</w:t>
      </w:r>
    </w:p>
    <w:p>
      <w:pPr>
        <w:spacing w:after="0" w:line="158" w:lineRule="exact"/>
        <w:rPr>
          <w:rFonts w:ascii="Arial" w:cs="Arial" w:eastAsia="Arial" w:hAnsi="Arial"/>
          <w:sz w:val="31"/>
          <w:szCs w:val="31"/>
          <w:color w:val="auto"/>
          <w:vertAlign w:val="superscript"/>
        </w:rPr>
      </w:pPr>
    </w:p>
    <w:p>
      <w:pPr>
        <w:ind w:left="420" w:right="480" w:hanging="394"/>
        <w:spacing w:after="0" w:line="260"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supplemental code of conduct for our CEO and all members of financial management, in recognition of their unique responsibilities to ensure proper accounting, financial reporting, internal controls, and financial stewardship.</w:t>
      </w:r>
    </w:p>
    <w:p>
      <w:pPr>
        <w:spacing w:after="0" w:line="33" w:lineRule="exact"/>
        <w:rPr>
          <w:rFonts w:ascii="Arial" w:cs="Arial" w:eastAsia="Arial" w:hAnsi="Arial"/>
          <w:sz w:val="16"/>
          <w:szCs w:val="16"/>
          <w:color w:val="auto"/>
        </w:rPr>
      </w:pPr>
    </w:p>
    <w:p>
      <w:pPr>
        <w:ind w:left="420" w:hanging="394"/>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charters of our board committees clearly establish the committees’ respective roles and responsibilities.</w:t>
      </w:r>
    </w:p>
    <w:p>
      <w:pPr>
        <w:spacing w:after="0" w:line="59" w:lineRule="exact"/>
        <w:rPr>
          <w:rFonts w:ascii="Arial" w:cs="Arial" w:eastAsia="Arial" w:hAnsi="Arial"/>
          <w:sz w:val="16"/>
          <w:szCs w:val="16"/>
          <w:color w:val="auto"/>
        </w:rPr>
      </w:pPr>
    </w:p>
    <w:p>
      <w:pPr>
        <w:ind w:left="420" w:hanging="394"/>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an annual cap on director compensation.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6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EE2724"/>
        </w:rPr>
        <w:t>Board skills and experience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üOur board membership is characterized by leadership, experience, and diversity.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üWe conduct comprehensive orientation and continuing education programs for directors.</w:t>
      </w:r>
    </w:p>
    <w:p>
      <w:pPr>
        <w:spacing w:after="0" w:line="59" w:lineRule="exact"/>
        <w:rPr>
          <w:sz w:val="20"/>
          <w:szCs w:val="20"/>
          <w:color w:val="auto"/>
        </w:rPr>
      </w:pPr>
    </w:p>
    <w:p>
      <w:pPr>
        <w:ind w:left="420" w:right="380" w:hanging="390"/>
        <w:spacing w:after="0" w:line="278" w:lineRule="auto"/>
        <w:rPr>
          <w:sz w:val="20"/>
          <w:szCs w:val="20"/>
          <w:color w:val="auto"/>
        </w:rPr>
      </w:pPr>
      <w:r>
        <w:rPr>
          <w:rFonts w:ascii="Arial" w:cs="Arial" w:eastAsia="Arial" w:hAnsi="Arial"/>
          <w:sz w:val="16"/>
          <w:szCs w:val="16"/>
          <w:color w:val="auto"/>
        </w:rPr>
        <w:t>üOur board conducts a robust annual assessment of board performance led by the lead independent director, including an annual assessment of each director.</w:t>
      </w:r>
    </w:p>
    <w:p>
      <w:pPr>
        <w:spacing w:after="0" w:line="6" w:lineRule="exact"/>
        <w:rPr>
          <w:sz w:val="20"/>
          <w:szCs w:val="20"/>
          <w:color w:val="auto"/>
        </w:rPr>
      </w:pPr>
    </w:p>
    <w:p>
      <w:pPr>
        <w:ind w:left="420" w:right="420" w:hanging="390"/>
        <w:spacing w:after="0" w:line="184" w:lineRule="auto"/>
        <w:rPr>
          <w:sz w:val="20"/>
          <w:szCs w:val="20"/>
          <w:color w:val="auto"/>
        </w:rPr>
      </w:pPr>
      <w:r>
        <w:rPr>
          <w:rFonts w:ascii="Arial" w:cs="Arial" w:eastAsia="Arial" w:hAnsi="Arial"/>
          <w:sz w:val="32"/>
          <w:szCs w:val="32"/>
          <w:color w:val="auto"/>
          <w:vertAlign w:val="superscript"/>
        </w:rPr>
        <w:t>ü</w:t>
      </w:r>
      <w:r>
        <w:rPr>
          <w:rFonts w:ascii="Arial" w:cs="Arial" w:eastAsia="Arial" w:hAnsi="Arial"/>
          <w:sz w:val="16"/>
          <w:szCs w:val="16"/>
          <w:color w:val="auto"/>
        </w:rPr>
        <w:t>We are committed to maintaining an active and insightful board and seek to balance continuity of experience with fresh perspectives. Currently, eight directors have served on the board for more than five years and five directors have served on the board for five years or less.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Focus on independence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üEach of our current board members other than the CEO is independent (12 of our 13 directors as of the date of this proxy statement).</w:t>
      </w:r>
    </w:p>
    <w:p>
      <w:pPr>
        <w:ind w:left="420" w:hanging="394"/>
        <w:spacing w:after="0" w:line="209" w:lineRule="auto"/>
        <w:tabs>
          <w:tab w:leader="none" w:pos="420" w:val="left"/>
        </w:tabs>
        <w:numPr>
          <w:ilvl w:val="0"/>
          <w:numId w:val="10"/>
        </w:numPr>
        <w:rPr>
          <w:rFonts w:ascii="Arial" w:cs="Arial" w:eastAsia="Arial" w:hAnsi="Arial"/>
          <w:sz w:val="32"/>
          <w:szCs w:val="32"/>
          <w:color w:val="auto"/>
          <w:vertAlign w:val="superscript"/>
        </w:rPr>
      </w:pPr>
      <w:r>
        <w:rPr>
          <w:rFonts w:ascii="Arial" w:cs="Arial" w:eastAsia="Arial" w:hAnsi="Arial"/>
          <w:sz w:val="16"/>
          <w:szCs w:val="16"/>
          <w:color w:val="auto"/>
        </w:rPr>
        <w:t>We have a strong lead independent director empowered with clearly defined responsibilities.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üAll standing board committees are composed solely of independent directors and led by independent committee chairs.</w:t>
      </w:r>
    </w:p>
    <w:p>
      <w:pPr>
        <w:spacing w:after="0" w:line="59" w:lineRule="exact"/>
        <w:rPr>
          <w:sz w:val="20"/>
          <w:szCs w:val="20"/>
          <w:color w:val="auto"/>
        </w:rPr>
      </w:pPr>
    </w:p>
    <w:p>
      <w:pPr>
        <w:ind w:left="420" w:right="820" w:hanging="390"/>
        <w:spacing w:after="0" w:line="278" w:lineRule="auto"/>
        <w:rPr>
          <w:sz w:val="20"/>
          <w:szCs w:val="20"/>
          <w:color w:val="auto"/>
        </w:rPr>
      </w:pPr>
      <w:r>
        <w:rPr>
          <w:rFonts w:ascii="Arial" w:cs="Arial" w:eastAsia="Arial" w:hAnsi="Arial"/>
          <w:sz w:val="16"/>
          <w:szCs w:val="16"/>
          <w:color w:val="auto"/>
        </w:rPr>
        <w:t>üOur board holds executive sessions of the independent directors that are presided over by the lead independent director at every regular board meeting.</w:t>
      </w:r>
    </w:p>
    <w:p>
      <w:pPr>
        <w:spacing w:after="0" w:line="6" w:lineRule="exact"/>
        <w:rPr>
          <w:sz w:val="20"/>
          <w:szCs w:val="20"/>
          <w:color w:val="auto"/>
        </w:rPr>
      </w:pPr>
    </w:p>
    <w:p>
      <w:pPr>
        <w:ind w:left="420" w:right="840" w:hanging="390"/>
        <w:spacing w:after="0" w:line="278" w:lineRule="auto"/>
        <w:rPr>
          <w:sz w:val="20"/>
          <w:szCs w:val="20"/>
          <w:color w:val="auto"/>
        </w:rPr>
      </w:pPr>
      <w:r>
        <w:rPr>
          <w:rFonts w:ascii="Arial" w:cs="Arial" w:eastAsia="Arial" w:hAnsi="Arial"/>
          <w:sz w:val="16"/>
          <w:szCs w:val="16"/>
          <w:color w:val="auto"/>
        </w:rPr>
        <w:t>üOur independent directors actively engage in board meetings, have direct access to management, and, along with our board committees, have discretion to hire independent advisors at the company’s expense.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üOur independent directors lead the board’s process for selecting the CEO.</w:t>
      </w:r>
    </w:p>
    <w:p>
      <w:pPr>
        <w:spacing w:after="0" w:line="59" w:lineRule="exact"/>
        <w:rPr>
          <w:sz w:val="20"/>
          <w:szCs w:val="20"/>
          <w:color w:val="auto"/>
        </w:rPr>
      </w:pPr>
    </w:p>
    <w:p>
      <w:pPr>
        <w:ind w:left="420" w:right="1020" w:hanging="390"/>
        <w:spacing w:after="0" w:line="278" w:lineRule="auto"/>
        <w:rPr>
          <w:sz w:val="20"/>
          <w:szCs w:val="20"/>
          <w:color w:val="auto"/>
        </w:rPr>
      </w:pPr>
      <w:r>
        <w:rPr>
          <w:rFonts w:ascii="Arial" w:cs="Arial" w:eastAsia="Arial" w:hAnsi="Arial"/>
          <w:sz w:val="16"/>
          <w:szCs w:val="16"/>
          <w:color w:val="auto"/>
        </w:rPr>
        <w:t>üOur Compensation Committee (and, in the case of our CEO, in consultation with other independent directors and our external compensation consultant) establishes the compensation for our CEO and other executive officers.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üOur conflict of interest policy requires disclosures of potential conflicts to Lilly and clarifies when Lilly board service must be disclosed to others.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Governance and accountability to shareholders</w:t>
      </w:r>
    </w:p>
    <w:p>
      <w:pPr>
        <w:spacing w:after="0" w:line="174" w:lineRule="exact"/>
        <w:rPr>
          <w:sz w:val="20"/>
          <w:szCs w:val="20"/>
          <w:color w:val="auto"/>
        </w:rPr>
      </w:pPr>
    </w:p>
    <w:p>
      <w:pPr>
        <w:jc w:val="both"/>
        <w:ind w:left="420" w:right="240" w:hanging="394"/>
        <w:spacing w:after="0" w:line="180" w:lineRule="auto"/>
        <w:tabs>
          <w:tab w:leader="none" w:pos="420" w:val="left"/>
        </w:tabs>
        <w:numPr>
          <w:ilvl w:val="0"/>
          <w:numId w:val="11"/>
        </w:numPr>
        <w:rPr>
          <w:rFonts w:ascii="Arial" w:cs="Arial" w:eastAsia="Arial" w:hAnsi="Arial"/>
          <w:sz w:val="31"/>
          <w:szCs w:val="31"/>
          <w:color w:val="auto"/>
          <w:vertAlign w:val="superscript"/>
        </w:rPr>
      </w:pPr>
      <w:r>
        <w:rPr>
          <w:rFonts w:ascii="Arial" w:cs="Arial" w:eastAsia="Arial" w:hAnsi="Arial"/>
          <w:sz w:val="16"/>
          <w:szCs w:val="16"/>
          <w:color w:val="auto"/>
        </w:rPr>
        <w:t>Our board values active shareholder engagement. In response to input from our shareholders, we have put forward for consideration at the Annual Meeting management proposals to amend our articles of incorporation to eliminate the classified board structure, to eliminate supermajority voting provisions in our articles of incorporation, and to give shareholders the ability to amend our bylaws.</w:t>
      </w:r>
    </w:p>
    <w:p>
      <w:pPr>
        <w:spacing w:after="0" w:line="158" w:lineRule="exact"/>
        <w:rPr>
          <w:rFonts w:ascii="Arial" w:cs="Arial" w:eastAsia="Arial" w:hAnsi="Arial"/>
          <w:sz w:val="31"/>
          <w:szCs w:val="31"/>
          <w:color w:val="auto"/>
          <w:vertAlign w:val="superscript"/>
        </w:rPr>
      </w:pPr>
    </w:p>
    <w:p>
      <w:pPr>
        <w:ind w:left="420" w:hanging="394"/>
        <w:spacing w:after="0" w:line="26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bylaws provide proxy access rights for shareholders holding at least three percent of our common stock for at least three years to nominate to the board the greater of two directors or 20 percent of our board seats.</w:t>
      </w:r>
    </w:p>
    <w:p>
      <w:pPr>
        <w:spacing w:after="0" w:line="33" w:lineRule="exact"/>
        <w:rPr>
          <w:rFonts w:ascii="Arial" w:cs="Arial" w:eastAsia="Arial" w:hAnsi="Arial"/>
          <w:sz w:val="16"/>
          <w:szCs w:val="16"/>
          <w:color w:val="auto"/>
        </w:rPr>
      </w:pPr>
    </w:p>
    <w:p>
      <w:pPr>
        <w:ind w:left="420" w:hanging="394"/>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a majority voting standard and resignation policy for the election of directors in uncontested elections.</w:t>
      </w:r>
    </w:p>
    <w:p>
      <w:pPr>
        <w:spacing w:after="0" w:line="10" w:lineRule="exact"/>
        <w:rPr>
          <w:rFonts w:ascii="Arial" w:cs="Arial" w:eastAsia="Arial" w:hAnsi="Arial"/>
          <w:sz w:val="16"/>
          <w:szCs w:val="16"/>
          <w:color w:val="auto"/>
        </w:rPr>
      </w:pPr>
    </w:p>
    <w:p>
      <w:pPr>
        <w:ind w:left="420" w:hanging="394"/>
        <w:spacing w:after="0" w:line="193" w:lineRule="auto"/>
        <w:tabs>
          <w:tab w:leader="none" w:pos="420" w:val="left"/>
        </w:tabs>
        <w:numPr>
          <w:ilvl w:val="0"/>
          <w:numId w:val="11"/>
        </w:numPr>
        <w:rPr>
          <w:rFonts w:ascii="Arial" w:cs="Arial" w:eastAsia="Arial" w:hAnsi="Arial"/>
          <w:sz w:val="32"/>
          <w:szCs w:val="32"/>
          <w:color w:val="auto"/>
          <w:vertAlign w:val="superscript"/>
        </w:rPr>
      </w:pPr>
      <w:r>
        <w:rPr>
          <w:rFonts w:ascii="Arial" w:cs="Arial" w:eastAsia="Arial" w:hAnsi="Arial"/>
          <w:sz w:val="16"/>
          <w:szCs w:val="16"/>
          <w:color w:val="auto"/>
        </w:rPr>
        <w:t>We do not have a shareholder rights plan ("poison pill").</w:t>
      </w:r>
    </w:p>
    <w:p>
      <w:pPr>
        <w:spacing w:after="0" w:line="157" w:lineRule="exact"/>
        <w:rPr>
          <w:rFonts w:ascii="Arial" w:cs="Arial" w:eastAsia="Arial" w:hAnsi="Arial"/>
          <w:sz w:val="32"/>
          <w:szCs w:val="32"/>
          <w:color w:val="auto"/>
          <w:vertAlign w:val="superscript"/>
        </w:rPr>
      </w:pPr>
    </w:p>
    <w:p>
      <w:pPr>
        <w:ind w:left="420" w:hanging="394"/>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meaningful stock ownership and retention guidelines for our directors and executive officers to foster alignment with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EE2724"/>
        </w:rPr>
        <w:t>Sustainability</w:t>
      </w:r>
    </w:p>
    <w:p>
      <w:pPr>
        <w:spacing w:after="0" w:line="133" w:lineRule="exact"/>
        <w:rPr>
          <w:sz w:val="20"/>
          <w:szCs w:val="20"/>
          <w:color w:val="auto"/>
        </w:rPr>
      </w:pPr>
    </w:p>
    <w:p>
      <w:pPr>
        <w:ind w:left="420" w:hanging="394"/>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has a longstanding commitment to corporate responsibility.</w:t>
      </w:r>
    </w:p>
    <w:p>
      <w:pPr>
        <w:spacing w:after="0" w:line="99" w:lineRule="exact"/>
        <w:rPr>
          <w:rFonts w:ascii="Arial" w:cs="Arial" w:eastAsia="Arial" w:hAnsi="Arial"/>
          <w:sz w:val="16"/>
          <w:szCs w:val="16"/>
          <w:color w:val="auto"/>
        </w:rPr>
      </w:pPr>
    </w:p>
    <w:p>
      <w:pPr>
        <w:ind w:left="420" w:right="380" w:hanging="394"/>
        <w:spacing w:after="0" w:line="188" w:lineRule="auto"/>
        <w:tabs>
          <w:tab w:leader="none" w:pos="420" w:val="left"/>
        </w:tabs>
        <w:numPr>
          <w:ilvl w:val="0"/>
          <w:numId w:val="12"/>
        </w:numPr>
        <w:rPr>
          <w:rFonts w:ascii="Arial" w:cs="Arial" w:eastAsia="Arial" w:hAnsi="Arial"/>
          <w:sz w:val="27"/>
          <w:szCs w:val="27"/>
          <w:color w:val="auto"/>
          <w:vertAlign w:val="superscript"/>
        </w:rPr>
      </w:pPr>
      <w:r>
        <w:rPr>
          <w:rFonts w:ascii="Arial" w:cs="Arial" w:eastAsia="Arial" w:hAnsi="Arial"/>
          <w:sz w:val="14"/>
          <w:szCs w:val="14"/>
          <w:color w:val="auto"/>
        </w:rPr>
        <w:t>We have strong governance of corporate political spending and transparent policy engagement and recently enhanced our disclosures related to political and lobbying activities.</w:t>
      </w:r>
    </w:p>
    <w:p>
      <w:pPr>
        <w:spacing w:after="0" w:line="157" w:lineRule="exact"/>
        <w:rPr>
          <w:rFonts w:ascii="Arial" w:cs="Arial" w:eastAsia="Arial" w:hAnsi="Arial"/>
          <w:sz w:val="27"/>
          <w:szCs w:val="27"/>
          <w:color w:val="auto"/>
          <w:vertAlign w:val="superscript"/>
        </w:rPr>
      </w:pPr>
    </w:p>
    <w:p>
      <w:pPr>
        <w:ind w:left="420" w:right="200" w:hanging="394"/>
        <w:spacing w:after="0" w:line="26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oversees and maintains ongoing engagement with our Compensation Committee, Directors and Corporate Governance Committee, and senior executives on key political, social, and governance matters, including sustainability and human capital management.</w:t>
      </w:r>
    </w:p>
    <w:p>
      <w:pPr>
        <w:spacing w:after="0" w:line="73" w:lineRule="exact"/>
        <w:rPr>
          <w:rFonts w:ascii="Arial" w:cs="Arial" w:eastAsia="Arial" w:hAnsi="Arial"/>
          <w:sz w:val="16"/>
          <w:szCs w:val="16"/>
          <w:color w:val="auto"/>
        </w:rPr>
      </w:pPr>
    </w:p>
    <w:p>
      <w:pPr>
        <w:ind w:left="420" w:right="460" w:hanging="394"/>
        <w:spacing w:after="0" w:line="188" w:lineRule="auto"/>
        <w:tabs>
          <w:tab w:leader="none" w:pos="420" w:val="left"/>
        </w:tabs>
        <w:numPr>
          <w:ilvl w:val="0"/>
          <w:numId w:val="12"/>
        </w:numPr>
        <w:rPr>
          <w:rFonts w:ascii="Arial" w:cs="Arial" w:eastAsia="Arial" w:hAnsi="Arial"/>
          <w:sz w:val="27"/>
          <w:szCs w:val="27"/>
          <w:color w:val="auto"/>
          <w:vertAlign w:val="superscript"/>
        </w:rPr>
      </w:pPr>
      <w:r>
        <w:rPr>
          <w:rFonts w:ascii="Arial" w:cs="Arial" w:eastAsia="Arial" w:hAnsi="Arial"/>
          <w:sz w:val="14"/>
          <w:szCs w:val="14"/>
          <w:color w:val="auto"/>
        </w:rPr>
        <w:t>We enhanced our environmental, social and governance sustainability reporting in 2021, including the adoption of additional prevalent reporting frameworks, and established new goals.</w:t>
      </w:r>
    </w:p>
    <w:p>
      <w:pPr>
        <w:sectPr>
          <w:pgSz w:w="11900" w:h="16838" w:orient="portrait"/>
          <w:cols w:equalWidth="0" w:num="1">
            <w:col w:w="11140"/>
          </w:cols>
          <w:pgMar w:left="320" w:top="823" w:right="4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w:t>
      </w:r>
    </w:p>
    <w:p>
      <w:pPr>
        <w:spacing w:after="0" w:line="156" w:lineRule="exact"/>
        <w:rPr>
          <w:sz w:val="20"/>
          <w:szCs w:val="20"/>
          <w:color w:val="auto"/>
        </w:rPr>
      </w:pPr>
    </w:p>
    <w:p>
      <w:pPr>
        <w:ind w:left="20" w:right="980"/>
        <w:spacing w:after="0" w:line="271" w:lineRule="auto"/>
        <w:rPr>
          <w:sz w:val="20"/>
          <w:szCs w:val="20"/>
          <w:color w:val="auto"/>
        </w:rPr>
      </w:pPr>
      <w:r>
        <w:rPr>
          <w:rFonts w:ascii="Arial" w:cs="Arial" w:eastAsia="Arial" w:hAnsi="Arial"/>
          <w:sz w:val="20"/>
          <w:szCs w:val="20"/>
          <w:b w:val="1"/>
          <w:bCs w:val="1"/>
          <w:color w:val="auto"/>
        </w:rPr>
        <w:t>Item 2: Advisory Vote on Compensation Paid to Named Executive Officers</w:t>
      </w:r>
    </w:p>
    <w:p>
      <w:pPr>
        <w:spacing w:after="0" w:line="171"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42">
        <w:r>
          <w:rPr>
            <w:rFonts w:ascii="Arial" w:cs="Arial" w:eastAsia="Arial" w:hAnsi="Arial"/>
            <w:sz w:val="17"/>
            <w:szCs w:val="17"/>
            <w:b w:val="1"/>
            <w:bCs w:val="1"/>
            <w:u w:val="single" w:color="auto"/>
            <w:color w:val="0000FF"/>
          </w:rPr>
          <w:t>37</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jc w:val="center"/>
              <w:ind w:right="58"/>
              <w:spacing w:after="0"/>
              <w:rPr>
                <w:sz w:val="20"/>
                <w:szCs w:val="20"/>
                <w:color w:val="auto"/>
              </w:rPr>
            </w:pPr>
            <w:r>
              <w:rPr>
                <w:rFonts w:ascii="Arial" w:cs="Arial" w:eastAsia="Arial" w:hAnsi="Arial"/>
                <w:sz w:val="16"/>
                <w:szCs w:val="16"/>
                <w:b w:val="1"/>
                <w:bCs w:val="1"/>
                <w:color w:val="00A1DE"/>
              </w:rPr>
              <w:t>Management</w:t>
            </w:r>
          </w:p>
        </w:tc>
        <w:tc>
          <w:tcPr>
            <w:tcW w:w="1500" w:type="dxa"/>
            <w:vAlign w:val="bottom"/>
          </w:tcPr>
          <w:p>
            <w:pPr>
              <w:jc w:val="center"/>
              <w:ind w:left="57"/>
              <w:spacing w:after="0"/>
              <w:rPr>
                <w:sz w:val="20"/>
                <w:szCs w:val="20"/>
                <w:color w:val="auto"/>
              </w:rPr>
            </w:pPr>
            <w:r>
              <w:rPr>
                <w:rFonts w:ascii="Arial" w:cs="Arial" w:eastAsia="Arial" w:hAnsi="Arial"/>
                <w:sz w:val="16"/>
                <w:szCs w:val="16"/>
                <w:b w:val="1"/>
                <w:bCs w:val="1"/>
                <w:color w:val="00A1DE"/>
              </w:rPr>
              <w:t>Vote required to</w:t>
            </w:r>
          </w:p>
        </w:tc>
        <w:tc>
          <w:tcPr>
            <w:tcW w:w="0" w:type="dxa"/>
            <w:vAlign w:val="bottom"/>
          </w:tcPr>
          <w:p>
            <w:pPr>
              <w:spacing w:after="0"/>
              <w:rPr>
                <w:sz w:val="1"/>
                <w:szCs w:val="1"/>
                <w:color w:val="auto"/>
              </w:rPr>
            </w:pPr>
          </w:p>
        </w:tc>
      </w:tr>
      <w:tr>
        <w:trPr>
          <w:trHeight w:val="215"/>
        </w:trPr>
        <w:tc>
          <w:tcPr>
            <w:tcW w:w="1460" w:type="dxa"/>
            <w:vAlign w:val="bottom"/>
          </w:tcPr>
          <w:p>
            <w:pPr>
              <w:jc w:val="center"/>
              <w:ind w:right="78"/>
              <w:spacing w:after="0"/>
              <w:rPr>
                <w:sz w:val="20"/>
                <w:szCs w:val="20"/>
                <w:color w:val="auto"/>
              </w:rPr>
            </w:pPr>
            <w:r>
              <w:rPr>
                <w:rFonts w:ascii="Arial" w:cs="Arial" w:eastAsia="Arial" w:hAnsi="Arial"/>
                <w:sz w:val="16"/>
                <w:szCs w:val="16"/>
                <w:b w:val="1"/>
                <w:bCs w:val="1"/>
                <w:color w:val="00A1DE"/>
              </w:rPr>
              <w:t>recommendation</w:t>
            </w:r>
          </w:p>
        </w:tc>
        <w:tc>
          <w:tcPr>
            <w:tcW w:w="1500" w:type="dxa"/>
            <w:vAlign w:val="bottom"/>
          </w:tcPr>
          <w:p>
            <w:pPr>
              <w:jc w:val="center"/>
              <w:ind w:left="57"/>
              <w:spacing w:after="0"/>
              <w:rPr>
                <w:sz w:val="20"/>
                <w:szCs w:val="20"/>
                <w:color w:val="auto"/>
              </w:rPr>
            </w:pPr>
            <w:r>
              <w:rPr>
                <w:rFonts w:ascii="Arial" w:cs="Arial" w:eastAsia="Arial" w:hAnsi="Arial"/>
                <w:sz w:val="16"/>
                <w:szCs w:val="16"/>
                <w:b w:val="1"/>
                <w:bCs w:val="1"/>
                <w:color w:val="00A1DE"/>
                <w:w w:val="98"/>
              </w:rPr>
              <w:t>pass</w:t>
            </w:r>
          </w:p>
        </w:tc>
        <w:tc>
          <w:tcPr>
            <w:tcW w:w="0" w:type="dxa"/>
            <w:vAlign w:val="bottom"/>
          </w:tcPr>
          <w:p>
            <w:pPr>
              <w:spacing w:after="0"/>
              <w:rPr>
                <w:sz w:val="1"/>
                <w:szCs w:val="1"/>
                <w:color w:val="auto"/>
              </w:rPr>
            </w:pPr>
          </w:p>
        </w:tc>
      </w:tr>
      <w:tr>
        <w:trPr>
          <w:trHeight w:val="223"/>
        </w:trPr>
        <w:tc>
          <w:tcPr>
            <w:tcW w:w="1460" w:type="dxa"/>
            <w:vAlign w:val="bottom"/>
            <w:vMerge w:val="restart"/>
          </w:tcPr>
          <w:p>
            <w:pPr>
              <w:jc w:val="center"/>
              <w:ind w:right="58"/>
              <w:spacing w:after="0"/>
              <w:rPr>
                <w:sz w:val="20"/>
                <w:szCs w:val="20"/>
                <w:color w:val="auto"/>
              </w:rPr>
            </w:pPr>
            <w:r>
              <w:rPr>
                <w:rFonts w:ascii="Arial" w:cs="Arial" w:eastAsia="Arial" w:hAnsi="Arial"/>
                <w:sz w:val="17"/>
                <w:szCs w:val="17"/>
                <w:b w:val="1"/>
                <w:bCs w:val="1"/>
                <w:color w:val="auto"/>
                <w:w w:val="98"/>
              </w:rPr>
              <w:t>Vote FOR</w:t>
            </w:r>
          </w:p>
        </w:tc>
        <w:tc>
          <w:tcPr>
            <w:tcW w:w="1500" w:type="dxa"/>
            <w:vAlign w:val="bottom"/>
          </w:tcPr>
          <w:p>
            <w:pPr>
              <w:jc w:val="center"/>
              <w:ind w:left="5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30"/>
        </w:trPr>
        <w:tc>
          <w:tcPr>
            <w:tcW w:w="1460" w:type="dxa"/>
            <w:vAlign w:val="bottom"/>
            <w:vMerge w:val="continue"/>
          </w:tcPr>
          <w:p>
            <w:pPr>
              <w:spacing w:after="0"/>
              <w:rPr>
                <w:sz w:val="11"/>
                <w:szCs w:val="11"/>
                <w:color w:val="auto"/>
              </w:rPr>
            </w:pPr>
          </w:p>
        </w:tc>
        <w:tc>
          <w:tcPr>
            <w:tcW w:w="1500" w:type="dxa"/>
            <w:vAlign w:val="bottom"/>
            <w:vMerge w:val="restart"/>
          </w:tcPr>
          <w:p>
            <w:pPr>
              <w:jc w:val="center"/>
              <w:ind w:left="3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20" w:space="720"/>
            <w:col w:w="5200"/>
          </w:cols>
          <w:pgMar w:left="320" w:top="823" w:right="4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20" w:top="823"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Our Executive Compensation Programs Reflect Best Practices</w:t>
      </w:r>
    </w:p>
    <w:p>
      <w:pPr>
        <w:spacing w:after="0" w:line="124" w:lineRule="exact"/>
        <w:rPr>
          <w:sz w:val="20"/>
          <w:szCs w:val="20"/>
          <w:color w:val="auto"/>
        </w:rPr>
      </w:pPr>
    </w:p>
    <w:p>
      <w:pPr>
        <w:ind w:left="420" w:right="700" w:hanging="394"/>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Shareholders strongly support our compensation practices: for the last five years, greater than 95 percent of shares cast voted in favor of our executive compensation programs.</w:t>
      </w:r>
    </w:p>
    <w:p>
      <w:pPr>
        <w:spacing w:after="0" w:line="33" w:lineRule="exact"/>
        <w:rPr>
          <w:rFonts w:ascii="Arial" w:cs="Arial" w:eastAsia="Arial" w:hAnsi="Arial"/>
          <w:sz w:val="16"/>
          <w:szCs w:val="16"/>
          <w:color w:val="auto"/>
        </w:rPr>
      </w:pPr>
    </w:p>
    <w:p>
      <w:pPr>
        <w:ind w:left="420" w:right="80" w:hanging="394"/>
        <w:spacing w:after="0" w:line="260"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compensation programs are designed to align executive pay with shareholder interests and link pay to performance through a blend of short- and long-term performance measures.</w:t>
      </w:r>
    </w:p>
    <w:p>
      <w:pPr>
        <w:spacing w:after="0" w:line="87" w:lineRule="exact"/>
        <w:rPr>
          <w:rFonts w:ascii="Arial" w:cs="Arial" w:eastAsia="Arial" w:hAnsi="Arial"/>
          <w:sz w:val="16"/>
          <w:szCs w:val="16"/>
          <w:color w:val="auto"/>
        </w:rPr>
      </w:pPr>
    </w:p>
    <w:p>
      <w:pPr>
        <w:ind w:left="420" w:right="540" w:hanging="394"/>
        <w:spacing w:after="0" w:line="181" w:lineRule="auto"/>
        <w:tabs>
          <w:tab w:leader="none" w:pos="420" w:val="left"/>
        </w:tabs>
        <w:numPr>
          <w:ilvl w:val="0"/>
          <w:numId w:val="13"/>
        </w:numPr>
        <w:rPr>
          <w:rFonts w:ascii="Arial" w:cs="Arial" w:eastAsia="Arial" w:hAnsi="Arial"/>
          <w:sz w:val="29"/>
          <w:szCs w:val="29"/>
          <w:color w:val="auto"/>
          <w:vertAlign w:val="superscript"/>
        </w:rPr>
      </w:pPr>
      <w:r>
        <w:rPr>
          <w:rFonts w:ascii="Arial" w:cs="Arial" w:eastAsia="Arial" w:hAnsi="Arial"/>
          <w:sz w:val="15"/>
          <w:szCs w:val="15"/>
          <w:color w:val="auto"/>
        </w:rPr>
        <w:t>Our Compensation Committee annually reviews our compensation programs to ensure they provide incentives to deliver long-term, sustainable business results while discouraging excessive risk-taking and other adverse behaviors.</w:t>
      </w:r>
    </w:p>
    <w:p>
      <w:pPr>
        <w:spacing w:after="0" w:line="198" w:lineRule="exact"/>
        <w:rPr>
          <w:rFonts w:ascii="Arial" w:cs="Arial" w:eastAsia="Arial" w:hAnsi="Arial"/>
          <w:sz w:val="29"/>
          <w:szCs w:val="29"/>
          <w:color w:val="auto"/>
          <w:vertAlign w:val="superscript"/>
        </w:rPr>
      </w:pPr>
    </w:p>
    <w:p>
      <w:pPr>
        <w:ind w:left="420" w:right="80" w:hanging="394"/>
        <w:spacing w:after="0" w:line="188" w:lineRule="auto"/>
        <w:tabs>
          <w:tab w:leader="none" w:pos="420" w:val="left"/>
        </w:tabs>
        <w:numPr>
          <w:ilvl w:val="0"/>
          <w:numId w:val="13"/>
        </w:numPr>
        <w:rPr>
          <w:rFonts w:ascii="Arial" w:cs="Arial" w:eastAsia="Arial" w:hAnsi="Arial"/>
          <w:sz w:val="27"/>
          <w:szCs w:val="27"/>
          <w:color w:val="auto"/>
          <w:vertAlign w:val="superscript"/>
        </w:rPr>
      </w:pPr>
      <w:r>
        <w:rPr>
          <w:rFonts w:ascii="Arial" w:cs="Arial" w:eastAsia="Arial" w:hAnsi="Arial"/>
          <w:sz w:val="14"/>
          <w:szCs w:val="14"/>
          <w:color w:val="auto"/>
        </w:rPr>
        <w:t>We have a comprehensive compensation recovery or "clawback" policy that applies to all executives and covers a wide range of misconduct. In 2021, we enhanced our clawback policy to provide more robust disclosure around facts and circumstances triggering recoupment.</w:t>
      </w:r>
    </w:p>
    <w:p>
      <w:pPr>
        <w:spacing w:after="0" w:line="197" w:lineRule="exact"/>
        <w:rPr>
          <w:rFonts w:ascii="Arial" w:cs="Arial" w:eastAsia="Arial" w:hAnsi="Arial"/>
          <w:sz w:val="27"/>
          <w:szCs w:val="27"/>
          <w:color w:val="auto"/>
          <w:vertAlign w:val="superscript"/>
        </w:rPr>
      </w:pPr>
    </w:p>
    <w:p>
      <w:pPr>
        <w:ind w:left="420" w:right="20" w:hanging="394"/>
        <w:spacing w:after="0" w:line="188" w:lineRule="auto"/>
        <w:tabs>
          <w:tab w:leader="none" w:pos="420" w:val="left"/>
        </w:tabs>
        <w:numPr>
          <w:ilvl w:val="0"/>
          <w:numId w:val="13"/>
        </w:numPr>
        <w:rPr>
          <w:rFonts w:ascii="Arial" w:cs="Arial" w:eastAsia="Arial" w:hAnsi="Arial"/>
          <w:sz w:val="27"/>
          <w:szCs w:val="27"/>
          <w:color w:val="auto"/>
          <w:vertAlign w:val="superscript"/>
        </w:rPr>
      </w:pPr>
      <w:r>
        <w:rPr>
          <w:rFonts w:ascii="Arial" w:cs="Arial" w:eastAsia="Arial" w:hAnsi="Arial"/>
          <w:sz w:val="14"/>
          <w:szCs w:val="14"/>
          <w:color w:val="auto"/>
        </w:rPr>
        <w:t>Our executive officers are subject to robust stock ownership and retention guidelines and are prohibited from hedging or pledging their company stock. In 2021, we increased stock ownership and retention requirements for executive officers.</w:t>
      </w:r>
    </w:p>
    <w:p>
      <w:pPr>
        <w:spacing w:after="0" w:line="143" w:lineRule="exact"/>
        <w:rPr>
          <w:rFonts w:ascii="Arial" w:cs="Arial" w:eastAsia="Arial" w:hAnsi="Arial"/>
          <w:sz w:val="27"/>
          <w:szCs w:val="27"/>
          <w:color w:val="auto"/>
          <w:vertAlign w:val="superscript"/>
        </w:rPr>
      </w:pPr>
    </w:p>
    <w:p>
      <w:pPr>
        <w:ind w:left="420" w:right="60" w:hanging="394"/>
        <w:spacing w:after="0" w:line="2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do not have "top hat" retirement plans. Supplemental plans are open to all employees and are limited to restoring benefits lost due to IRS limits on qualified plans.</w:t>
      </w:r>
    </w:p>
    <w:p>
      <w:pPr>
        <w:spacing w:after="0" w:line="33" w:lineRule="exact"/>
        <w:rPr>
          <w:rFonts w:ascii="Arial" w:cs="Arial" w:eastAsia="Arial" w:hAnsi="Arial"/>
          <w:sz w:val="16"/>
          <w:szCs w:val="16"/>
          <w:color w:val="auto"/>
        </w:rPr>
      </w:pPr>
    </w:p>
    <w:p>
      <w:pPr>
        <w:ind w:left="420" w:hanging="394"/>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do not provide tax gross-ups to executive officers (except for limited gross-ups related to international assignments).</w:t>
      </w:r>
    </w:p>
    <w:p>
      <w:pPr>
        <w:spacing w:after="0" w:line="45" w:lineRule="exact"/>
        <w:rPr>
          <w:rFonts w:ascii="Arial" w:cs="Arial" w:eastAsia="Arial" w:hAnsi="Arial"/>
          <w:sz w:val="16"/>
          <w:szCs w:val="16"/>
          <w:color w:val="auto"/>
        </w:rPr>
      </w:pPr>
    </w:p>
    <w:p>
      <w:pPr>
        <w:ind w:left="420" w:hanging="394"/>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a very restrictive policy on perquisites.</w:t>
      </w:r>
    </w:p>
    <w:p>
      <w:pPr>
        <w:spacing w:after="0" w:line="45" w:lineRule="exact"/>
        <w:rPr>
          <w:rFonts w:ascii="Arial" w:cs="Arial" w:eastAsia="Arial" w:hAnsi="Arial"/>
          <w:sz w:val="16"/>
          <w:szCs w:val="16"/>
          <w:color w:val="auto"/>
        </w:rPr>
      </w:pPr>
    </w:p>
    <w:p>
      <w:pPr>
        <w:ind w:left="420" w:hanging="394"/>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severance plans related to change-in-control require a double trigger.</w:t>
      </w:r>
    </w:p>
    <w:p>
      <w:pPr>
        <w:spacing w:after="0" w:line="45" w:lineRule="exact"/>
        <w:rPr>
          <w:rFonts w:ascii="Arial" w:cs="Arial" w:eastAsia="Arial" w:hAnsi="Arial"/>
          <w:sz w:val="16"/>
          <w:szCs w:val="16"/>
          <w:color w:val="auto"/>
        </w:rPr>
      </w:pPr>
    </w:p>
    <w:p>
      <w:pPr>
        <w:ind w:left="420" w:hanging="394"/>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do not have employment agreements with any of our executive officers.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Summary for 2021</w:t>
      </w:r>
    </w:p>
    <w:p>
      <w:pPr>
        <w:spacing w:after="0" w:line="8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At the time total target compensation was established at the end of 2020, the target compensation in aggregate for our named executive officers was comparable to the median of the company's peer group. Incentive compensation payouts exceeded target, consistent with strong company performance over the bonus and equity performance periods.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for Performance</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described in the Compensation Discussion and Analysis (CD&amp;A), we generally link our incentive pay programs to a mix of measures on three dimensions of company performance: operating performance; progress with our innovation pipeline; and shareholder return (both absolute and relative). The Compensation Committee adjusts reported EPS results to eliminate the distorting effect of certain unusual items on incentive compensation performance measures.</w:t>
      </w:r>
    </w:p>
    <w:p>
      <w:pPr>
        <w:spacing w:after="0" w:line="94"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The summary below highlights how our incentive pay programs are intended to align with company performance. Please also see Appendix A for adjustments made to revenue and EPS for incentive compensation programs.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Bonus Plan</w:t>
      </w:r>
    </w:p>
    <w:p>
      <w:pPr>
        <w:spacing w:after="0" w:line="79"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In 2021, the company exceeded its annual cash bonus target for revenue and nearly achieved its target for EPS. We also made significant pipeline advances. For purposes of the bonus, the Compensation Committee adjusted revenue and non-GAAP EPS to exclude estimated savings from certain discrete and unplanned performance items from the bonus plan multiple. See the CD&amp;A for further discussion of the Eli Lilly and Company Bonus Plan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5674995" cy="2520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252031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976"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EE2724"/>
        </w:rPr>
        <w:t>2020-2022 Performance Award Multiple</w:t>
      </w:r>
    </w:p>
    <w:p>
      <w:pPr>
        <w:spacing w:after="0" w:line="7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exceeded the EPS growth target set for our performance award program. The performance award target is based on expected EPS growth of peer companies over a two-year period. As a result of exceeding the EPS growth target set for our performance award program, the performance award payout was above target. See the CD&amp;A for further discussion on the performance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5674995" cy="140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99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2019-2021 Shareholder Value Award (SVA) Multiple</w:t>
      </w: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stock price growth exceeded the target range (18.1 percent to 31.1 percent) under our shareholder value award program, which is based on expected large-cap company returns over a three-year period. This performance resulted in a shareholder value award payout above target.</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individuals who were executive officers when the award was granted, shareholder value award payouts were modified based on a three-year cumulative TSR relative to our peer companies. Lilly's relative TSR was 121.1 percentage points above the peer group median, resulting in a maximum award payout of 180 percent of target (SVA payout multiple of 150 percent multiplied by the 1.2 modifier = 180 percent final payout). See the CD&amp;A for further discussion on the shareholder value award program and the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5674995" cy="2922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499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20" w:top="823" w:right="379" w:bottom="1440" w:gutter="0" w:footer="0" w:header="0"/>
        </w:sectPr>
      </w:pPr>
    </w:p>
    <w:bookmarkStart w:id="14" w:name="page15"/>
    <w:bookmarkEnd w:id="14"/>
    <w:p>
      <w:pPr>
        <w:spacing w:after="0"/>
        <w:rPr>
          <w:sz w:val="20"/>
          <w:szCs w:val="20"/>
          <w:color w:val="auto"/>
        </w:rPr>
      </w:pPr>
      <w:r>
        <w:rPr>
          <w:rFonts w:ascii="Arial" w:cs="Arial" w:eastAsia="Arial" w:hAnsi="Arial"/>
          <w:sz w:val="27"/>
          <w:szCs w:val="27"/>
          <w:b w:val="1"/>
          <w:bCs w:val="1"/>
          <w:color w:val="EF3729"/>
        </w:rPr>
        <w:t>Audit Matters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660" w:type="dxa"/>
            <w:vAlign w:val="bottom"/>
            <w:gridSpan w:val="3"/>
          </w:tcPr>
          <w:p>
            <w:pPr>
              <w:spacing w:after="0"/>
              <w:rPr>
                <w:sz w:val="20"/>
                <w:szCs w:val="20"/>
                <w:color w:val="auto"/>
              </w:rPr>
            </w:pPr>
            <w:r>
              <w:rPr>
                <w:rFonts w:ascii="Arial" w:cs="Arial" w:eastAsia="Arial" w:hAnsi="Arial"/>
                <w:sz w:val="20"/>
                <w:szCs w:val="20"/>
                <w:b w:val="1"/>
                <w:bCs w:val="1"/>
                <w:color w:val="auto"/>
              </w:rPr>
              <w:t>Item 3: Ratification of the Appointment of the Independent</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00A1DE"/>
              </w:rPr>
              <w:t>Management</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00A1DE"/>
              </w:rPr>
              <w:t>Vote required to</w:t>
            </w:r>
          </w:p>
        </w:tc>
        <w:tc>
          <w:tcPr>
            <w:tcW w:w="0" w:type="dxa"/>
            <w:vAlign w:val="bottom"/>
          </w:tcPr>
          <w:p>
            <w:pPr>
              <w:spacing w:after="0"/>
              <w:rPr>
                <w:sz w:val="1"/>
                <w:szCs w:val="1"/>
                <w:color w:val="auto"/>
              </w:rPr>
            </w:pPr>
          </w:p>
        </w:tc>
      </w:tr>
      <w:tr>
        <w:trPr>
          <w:trHeight w:val="257"/>
        </w:trPr>
        <w:tc>
          <w:tcPr>
            <w:tcW w:w="5660" w:type="dxa"/>
            <w:vAlign w:val="bottom"/>
            <w:gridSpan w:val="3"/>
          </w:tcPr>
          <w:p>
            <w:pPr>
              <w:spacing w:after="0"/>
              <w:rPr>
                <w:sz w:val="20"/>
                <w:szCs w:val="20"/>
                <w:color w:val="auto"/>
              </w:rPr>
            </w:pPr>
            <w:r>
              <w:rPr>
                <w:rFonts w:ascii="Arial" w:cs="Arial" w:eastAsia="Arial" w:hAnsi="Arial"/>
                <w:sz w:val="20"/>
                <w:szCs w:val="20"/>
                <w:b w:val="1"/>
                <w:bCs w:val="1"/>
                <w:color w:val="auto"/>
              </w:rPr>
              <w:t>Auditor</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00A1DE"/>
              </w:rPr>
              <w:t>recommendation</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00A1DE"/>
                <w:w w:val="98"/>
              </w:rPr>
              <w:t>pass</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Arial" w:cs="Arial" w:eastAsia="Arial" w:hAnsi="Arial"/>
                <w:sz w:val="17"/>
                <w:szCs w:val="17"/>
                <w:b w:val="1"/>
                <w:bCs w:val="1"/>
                <w:color w:val="auto"/>
              </w:rPr>
              <w:t>For further information, see page</w:t>
            </w:r>
          </w:p>
        </w:tc>
        <w:tc>
          <w:tcPr>
            <w:tcW w:w="200" w:type="dxa"/>
            <w:vAlign w:val="bottom"/>
            <w:vMerge w:val="restart"/>
          </w:tcPr>
          <w:p>
            <w:pPr>
              <w:jc w:val="right"/>
              <w:spacing w:after="0"/>
              <w:rPr>
                <w:rFonts w:ascii="Arial" w:cs="Arial" w:eastAsia="Arial" w:hAnsi="Arial"/>
                <w:sz w:val="17"/>
                <w:szCs w:val="17"/>
                <w:b w:val="1"/>
                <w:bCs w:val="1"/>
                <w:color w:val="0000FF"/>
                <w:w w:val="94"/>
              </w:rPr>
            </w:pPr>
            <w:hyperlink w:anchor="page69">
              <w:r>
                <w:rPr>
                  <w:rFonts w:ascii="Arial" w:cs="Arial" w:eastAsia="Arial" w:hAnsi="Arial"/>
                  <w:sz w:val="17"/>
                  <w:szCs w:val="17"/>
                  <w:b w:val="1"/>
                  <w:bCs w:val="1"/>
                  <w:color w:val="0000FF"/>
                  <w:w w:val="94"/>
                </w:rPr>
                <w:t>64</w:t>
              </w:r>
            </w:hyperlink>
          </w:p>
        </w:tc>
        <w:tc>
          <w:tcPr>
            <w:tcW w:w="272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Vote FOR</w:t>
            </w:r>
          </w:p>
        </w:tc>
        <w:tc>
          <w:tcPr>
            <w:tcW w:w="1520" w:type="dxa"/>
            <w:vAlign w:val="bottom"/>
          </w:tcPr>
          <w:p>
            <w:pPr>
              <w:jc w:val="center"/>
              <w:ind w:left="7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53"/>
        </w:trPr>
        <w:tc>
          <w:tcPr>
            <w:tcW w:w="2740" w:type="dxa"/>
            <w:vAlign w:val="bottom"/>
            <w:vMerge w:val="continue"/>
          </w:tcPr>
          <w:p>
            <w:pPr>
              <w:spacing w:after="0"/>
              <w:rPr>
                <w:sz w:val="12"/>
                <w:szCs w:val="12"/>
                <w:color w:val="auto"/>
              </w:rPr>
            </w:pPr>
          </w:p>
        </w:tc>
        <w:tc>
          <w:tcPr>
            <w:tcW w:w="200" w:type="dxa"/>
            <w:vAlign w:val="bottom"/>
            <w:tcBorders>
              <w:bottom w:val="single" w:sz="8" w:color="0000FF"/>
            </w:tcBorders>
            <w:vMerge w:val="continue"/>
          </w:tcPr>
          <w:p>
            <w:pPr>
              <w:spacing w:after="0"/>
              <w:rPr>
                <w:sz w:val="12"/>
                <w:szCs w:val="12"/>
                <w:color w:val="auto"/>
              </w:rPr>
            </w:pPr>
          </w:p>
        </w:tc>
        <w:tc>
          <w:tcPr>
            <w:tcW w:w="2720" w:type="dxa"/>
            <w:vAlign w:val="bottom"/>
            <w:vMerge w:val="restart"/>
          </w:tcPr>
          <w:p>
            <w:pPr>
              <w:spacing w:after="0"/>
              <w:rPr>
                <w:sz w:val="12"/>
                <w:szCs w:val="12"/>
                <w:color w:val="auto"/>
              </w:rPr>
            </w:pPr>
          </w:p>
        </w:tc>
        <w:tc>
          <w:tcPr>
            <w:tcW w:w="1660" w:type="dxa"/>
            <w:vAlign w:val="bottom"/>
            <w:vMerge w:val="continue"/>
          </w:tcPr>
          <w:p>
            <w:pPr>
              <w:spacing w:after="0"/>
              <w:rPr>
                <w:sz w:val="12"/>
                <w:szCs w:val="12"/>
                <w:color w:val="auto"/>
              </w:rPr>
            </w:pPr>
          </w:p>
        </w:tc>
        <w:tc>
          <w:tcPr>
            <w:tcW w:w="1520" w:type="dxa"/>
            <w:vAlign w:val="bottom"/>
            <w:vMerge w:val="restart"/>
          </w:tcPr>
          <w:p>
            <w:pPr>
              <w:jc w:val="center"/>
              <w:ind w:left="9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57"/>
        </w:trPr>
        <w:tc>
          <w:tcPr>
            <w:tcW w:w="27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982" w:right="1440"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Management Proposals</w:t>
      </w:r>
    </w:p>
    <w:p>
      <w:pPr>
        <w:spacing w:after="0" w:line="143" w:lineRule="exact"/>
        <w:rPr>
          <w:sz w:val="20"/>
          <w:szCs w:val="20"/>
          <w:color w:val="auto"/>
        </w:rPr>
      </w:pPr>
    </w:p>
    <w:p>
      <w:pPr>
        <w:ind w:left="20" w:right="240"/>
        <w:spacing w:after="0" w:line="298" w:lineRule="auto"/>
        <w:rPr>
          <w:sz w:val="20"/>
          <w:szCs w:val="20"/>
          <w:color w:val="auto"/>
        </w:rPr>
      </w:pPr>
      <w:r>
        <w:rPr>
          <w:rFonts w:ascii="Arial" w:cs="Arial" w:eastAsia="Arial" w:hAnsi="Arial"/>
          <w:sz w:val="19"/>
          <w:szCs w:val="19"/>
          <w:b w:val="1"/>
          <w:bCs w:val="1"/>
          <w:color w:val="auto"/>
        </w:rPr>
        <w:t>Item 4: Proposal to Amend the Company's Articles of Incorporation to Eliminate the Classified Board Structure</w:t>
      </w:r>
    </w:p>
    <w:p>
      <w:pPr>
        <w:spacing w:after="0" w:line="228"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71">
        <w:r>
          <w:rPr>
            <w:rFonts w:ascii="Arial" w:cs="Arial" w:eastAsia="Arial" w:hAnsi="Arial"/>
            <w:sz w:val="17"/>
            <w:szCs w:val="17"/>
            <w:b w:val="1"/>
            <w:bCs w:val="1"/>
            <w:u w:val="single" w:color="auto"/>
            <w:color w:val="0000FF"/>
          </w:rPr>
          <w:t>66</w:t>
        </w:r>
      </w:hyperlink>
    </w:p>
    <w:p>
      <w:pPr>
        <w:spacing w:after="0" w:line="343" w:lineRule="exact"/>
        <w:rPr>
          <w:sz w:val="20"/>
          <w:szCs w:val="20"/>
          <w:color w:val="auto"/>
        </w:rPr>
      </w:pPr>
    </w:p>
    <w:p>
      <w:pPr>
        <w:ind w:left="20" w:right="40"/>
        <w:spacing w:after="0" w:line="298" w:lineRule="auto"/>
        <w:rPr>
          <w:sz w:val="20"/>
          <w:szCs w:val="20"/>
          <w:color w:val="auto"/>
        </w:rPr>
      </w:pPr>
      <w:r>
        <w:rPr>
          <w:rFonts w:ascii="Arial" w:cs="Arial" w:eastAsia="Arial" w:hAnsi="Arial"/>
          <w:sz w:val="19"/>
          <w:szCs w:val="19"/>
          <w:b w:val="1"/>
          <w:bCs w:val="1"/>
          <w:color w:val="auto"/>
        </w:rPr>
        <w:t>Item 5: Proposal to Amend the Company's Articles of Incorporation to Eliminate Supermajority Voting Provisions</w:t>
      </w:r>
    </w:p>
    <w:p>
      <w:pPr>
        <w:spacing w:after="0" w:line="228"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72">
        <w:r>
          <w:rPr>
            <w:rFonts w:ascii="Arial" w:cs="Arial" w:eastAsia="Arial" w:hAnsi="Arial"/>
            <w:sz w:val="17"/>
            <w:szCs w:val="17"/>
            <w:b w:val="1"/>
            <w:bCs w:val="1"/>
            <w:u w:val="single" w:color="auto"/>
            <w:color w:val="0000FF"/>
          </w:rPr>
          <w:t>67</w:t>
        </w:r>
      </w:hyperlink>
    </w:p>
    <w:p>
      <w:pPr>
        <w:spacing w:after="0" w:line="200" w:lineRule="exact"/>
        <w:rPr>
          <w:sz w:val="20"/>
          <w:szCs w:val="20"/>
          <w:color w:val="auto"/>
        </w:rPr>
      </w:pPr>
    </w:p>
    <w:p>
      <w:pPr>
        <w:spacing w:after="0" w:line="346" w:lineRule="exact"/>
        <w:rPr>
          <w:sz w:val="20"/>
          <w:szCs w:val="20"/>
          <w:color w:val="auto"/>
        </w:rPr>
      </w:pPr>
    </w:p>
    <w:p>
      <w:pPr>
        <w:ind w:left="20"/>
        <w:spacing w:after="0" w:line="255" w:lineRule="auto"/>
        <w:rPr>
          <w:sz w:val="20"/>
          <w:szCs w:val="20"/>
          <w:color w:val="auto"/>
        </w:rPr>
      </w:pPr>
      <w:r>
        <w:rPr>
          <w:rFonts w:ascii="Arial" w:cs="Arial" w:eastAsia="Arial" w:hAnsi="Arial"/>
          <w:sz w:val="20"/>
          <w:szCs w:val="20"/>
          <w:b w:val="1"/>
          <w:bCs w:val="1"/>
          <w:color w:val="auto"/>
        </w:rPr>
        <w:t>Item 6: Proposal to Amend the Company's Articles of Incorporation to Provide Shareholders the Ability to Amend the Company’s Bylaws</w:t>
      </w:r>
    </w:p>
    <w:p>
      <w:pPr>
        <w:spacing w:after="0" w:line="173"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73">
        <w:r>
          <w:rPr>
            <w:rFonts w:ascii="Arial" w:cs="Arial" w:eastAsia="Arial" w:hAnsi="Arial"/>
            <w:sz w:val="17"/>
            <w:szCs w:val="17"/>
            <w:b w:val="1"/>
            <w:bCs w:val="1"/>
            <w:u w:val="single" w:color="auto"/>
            <w:color w:val="0000FF"/>
          </w:rPr>
          <w:t>68</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Management</w:t>
            </w:r>
          </w:p>
        </w:tc>
        <w:tc>
          <w:tcPr>
            <w:tcW w:w="1500" w:type="dxa"/>
            <w:vAlign w:val="bottom"/>
          </w:tcPr>
          <w:p>
            <w:pPr>
              <w:jc w:val="center"/>
              <w:ind w:left="96"/>
              <w:spacing w:after="0"/>
              <w:rPr>
                <w:sz w:val="20"/>
                <w:szCs w:val="20"/>
                <w:color w:val="auto"/>
              </w:rPr>
            </w:pPr>
            <w:r>
              <w:rPr>
                <w:rFonts w:ascii="Arial" w:cs="Arial" w:eastAsia="Arial" w:hAnsi="Arial"/>
                <w:sz w:val="16"/>
                <w:szCs w:val="16"/>
                <w:b w:val="1"/>
                <w:bCs w:val="1"/>
                <w:color w:val="00A1DE"/>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recommendation</w:t>
            </w:r>
          </w:p>
        </w:tc>
        <w:tc>
          <w:tcPr>
            <w:tcW w:w="1500" w:type="dxa"/>
            <w:vAlign w:val="bottom"/>
          </w:tcPr>
          <w:p>
            <w:pPr>
              <w:jc w:val="center"/>
              <w:ind w:left="96"/>
              <w:spacing w:after="0"/>
              <w:rPr>
                <w:sz w:val="20"/>
                <w:szCs w:val="20"/>
                <w:color w:val="auto"/>
              </w:rPr>
            </w:pPr>
            <w:r>
              <w:rPr>
                <w:rFonts w:ascii="Arial" w:cs="Arial" w:eastAsia="Arial" w:hAnsi="Arial"/>
                <w:sz w:val="16"/>
                <w:szCs w:val="16"/>
                <w:b w:val="1"/>
                <w:bCs w:val="1"/>
                <w:color w:val="00A1DE"/>
                <w:w w:val="98"/>
              </w:rPr>
              <w:t>pass</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500" w:type="dxa"/>
            <w:vAlign w:val="bottom"/>
          </w:tcPr>
          <w:p>
            <w:pPr>
              <w:jc w:val="center"/>
              <w:ind w:left="96"/>
              <w:spacing w:after="0"/>
              <w:rPr>
                <w:sz w:val="20"/>
                <w:szCs w:val="20"/>
                <w:color w:val="auto"/>
              </w:rPr>
            </w:pPr>
            <w:r>
              <w:rPr>
                <w:rFonts w:ascii="Arial" w:cs="Arial" w:eastAsia="Arial" w:hAnsi="Arial"/>
                <w:sz w:val="17"/>
                <w:szCs w:val="17"/>
                <w:b w:val="1"/>
                <w:bCs w:val="1"/>
                <w:color w:val="auto"/>
              </w:rPr>
              <w:t>80% of</w:t>
            </w:r>
          </w:p>
        </w:tc>
        <w:tc>
          <w:tcPr>
            <w:tcW w:w="0" w:type="dxa"/>
            <w:vAlign w:val="bottom"/>
          </w:tcPr>
          <w:p>
            <w:pPr>
              <w:spacing w:after="0"/>
              <w:rPr>
                <w:sz w:val="1"/>
                <w:szCs w:val="1"/>
                <w:color w:val="auto"/>
              </w:rPr>
            </w:pPr>
          </w:p>
        </w:tc>
      </w:tr>
      <w:tr>
        <w:trPr>
          <w:trHeight w:val="203"/>
        </w:trPr>
        <w:tc>
          <w:tcPr>
            <w:tcW w:w="1480" w:type="dxa"/>
            <w:vAlign w:val="bottom"/>
          </w:tcPr>
          <w:p>
            <w:pPr>
              <w:jc w:val="center"/>
              <w:ind w:right="78"/>
              <w:spacing w:after="0"/>
              <w:rPr>
                <w:sz w:val="20"/>
                <w:szCs w:val="20"/>
                <w:color w:val="auto"/>
              </w:rPr>
            </w:pPr>
            <w:r>
              <w:rPr>
                <w:rFonts w:ascii="Arial" w:cs="Arial" w:eastAsia="Arial" w:hAnsi="Arial"/>
                <w:sz w:val="17"/>
                <w:szCs w:val="17"/>
                <w:b w:val="1"/>
                <w:bCs w:val="1"/>
                <w:color w:val="auto"/>
                <w:w w:val="98"/>
              </w:rPr>
              <w:t>Vote FOR</w:t>
            </w:r>
          </w:p>
        </w:tc>
        <w:tc>
          <w:tcPr>
            <w:tcW w:w="1500" w:type="dxa"/>
            <w:vAlign w:val="bottom"/>
          </w:tcPr>
          <w:p>
            <w:pPr>
              <w:jc w:val="center"/>
              <w:ind w:left="76"/>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1500" w:type="dxa"/>
            <w:vAlign w:val="bottom"/>
          </w:tcPr>
          <w:p>
            <w:pPr>
              <w:jc w:val="center"/>
              <w:ind w:left="96"/>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445"/>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Management</w:t>
            </w:r>
          </w:p>
        </w:tc>
        <w:tc>
          <w:tcPr>
            <w:tcW w:w="1500" w:type="dxa"/>
            <w:vAlign w:val="bottom"/>
          </w:tcPr>
          <w:p>
            <w:pPr>
              <w:jc w:val="center"/>
              <w:ind w:left="96"/>
              <w:spacing w:after="0"/>
              <w:rPr>
                <w:sz w:val="20"/>
                <w:szCs w:val="20"/>
                <w:color w:val="auto"/>
              </w:rPr>
            </w:pPr>
            <w:r>
              <w:rPr>
                <w:rFonts w:ascii="Arial" w:cs="Arial" w:eastAsia="Arial" w:hAnsi="Arial"/>
                <w:sz w:val="16"/>
                <w:szCs w:val="16"/>
                <w:b w:val="1"/>
                <w:bCs w:val="1"/>
                <w:color w:val="00A1DE"/>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recommendation</w:t>
            </w:r>
          </w:p>
        </w:tc>
        <w:tc>
          <w:tcPr>
            <w:tcW w:w="1500" w:type="dxa"/>
            <w:vAlign w:val="bottom"/>
          </w:tcPr>
          <w:p>
            <w:pPr>
              <w:jc w:val="center"/>
              <w:ind w:left="96"/>
              <w:spacing w:after="0"/>
              <w:rPr>
                <w:sz w:val="20"/>
                <w:szCs w:val="20"/>
                <w:color w:val="auto"/>
              </w:rPr>
            </w:pPr>
            <w:r>
              <w:rPr>
                <w:rFonts w:ascii="Arial" w:cs="Arial" w:eastAsia="Arial" w:hAnsi="Arial"/>
                <w:sz w:val="16"/>
                <w:szCs w:val="16"/>
                <w:b w:val="1"/>
                <w:bCs w:val="1"/>
                <w:color w:val="00A1DE"/>
                <w:w w:val="98"/>
              </w:rPr>
              <w:t>pass</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1500" w:type="dxa"/>
            <w:vAlign w:val="bottom"/>
          </w:tcPr>
          <w:p>
            <w:pPr>
              <w:jc w:val="center"/>
              <w:ind w:left="96"/>
              <w:spacing w:after="0"/>
              <w:rPr>
                <w:sz w:val="20"/>
                <w:szCs w:val="20"/>
                <w:color w:val="auto"/>
              </w:rPr>
            </w:pPr>
            <w:r>
              <w:rPr>
                <w:rFonts w:ascii="Arial" w:cs="Arial" w:eastAsia="Arial" w:hAnsi="Arial"/>
                <w:sz w:val="17"/>
                <w:szCs w:val="17"/>
                <w:b w:val="1"/>
                <w:bCs w:val="1"/>
                <w:color w:val="auto"/>
              </w:rPr>
              <w:t>80% of</w:t>
            </w:r>
          </w:p>
        </w:tc>
        <w:tc>
          <w:tcPr>
            <w:tcW w:w="0" w:type="dxa"/>
            <w:vAlign w:val="bottom"/>
          </w:tcPr>
          <w:p>
            <w:pPr>
              <w:spacing w:after="0"/>
              <w:rPr>
                <w:sz w:val="1"/>
                <w:szCs w:val="1"/>
                <w:color w:val="auto"/>
              </w:rPr>
            </w:pPr>
          </w:p>
        </w:tc>
      </w:tr>
      <w:tr>
        <w:trPr>
          <w:trHeight w:val="203"/>
        </w:trPr>
        <w:tc>
          <w:tcPr>
            <w:tcW w:w="1480" w:type="dxa"/>
            <w:vAlign w:val="bottom"/>
          </w:tcPr>
          <w:p>
            <w:pPr>
              <w:jc w:val="center"/>
              <w:ind w:right="78"/>
              <w:spacing w:after="0"/>
              <w:rPr>
                <w:sz w:val="20"/>
                <w:szCs w:val="20"/>
                <w:color w:val="auto"/>
              </w:rPr>
            </w:pPr>
            <w:r>
              <w:rPr>
                <w:rFonts w:ascii="Arial" w:cs="Arial" w:eastAsia="Arial" w:hAnsi="Arial"/>
                <w:sz w:val="17"/>
                <w:szCs w:val="17"/>
                <w:b w:val="1"/>
                <w:bCs w:val="1"/>
                <w:color w:val="auto"/>
                <w:w w:val="98"/>
              </w:rPr>
              <w:t>Vote FOR</w:t>
            </w:r>
          </w:p>
        </w:tc>
        <w:tc>
          <w:tcPr>
            <w:tcW w:w="1500" w:type="dxa"/>
            <w:vAlign w:val="bottom"/>
          </w:tcPr>
          <w:p>
            <w:pPr>
              <w:jc w:val="center"/>
              <w:ind w:left="76"/>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1500" w:type="dxa"/>
            <w:vAlign w:val="bottom"/>
          </w:tcPr>
          <w:p>
            <w:pPr>
              <w:jc w:val="center"/>
              <w:ind w:left="96"/>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877"/>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Management</w:t>
            </w:r>
          </w:p>
        </w:tc>
        <w:tc>
          <w:tcPr>
            <w:tcW w:w="1500" w:type="dxa"/>
            <w:vAlign w:val="bottom"/>
          </w:tcPr>
          <w:p>
            <w:pPr>
              <w:jc w:val="center"/>
              <w:ind w:left="76"/>
              <w:spacing w:after="0"/>
              <w:rPr>
                <w:sz w:val="20"/>
                <w:szCs w:val="20"/>
                <w:color w:val="auto"/>
              </w:rPr>
            </w:pPr>
            <w:r>
              <w:rPr>
                <w:rFonts w:ascii="Arial" w:cs="Arial" w:eastAsia="Arial" w:hAnsi="Arial"/>
                <w:sz w:val="16"/>
                <w:szCs w:val="16"/>
                <w:b w:val="1"/>
                <w:bCs w:val="1"/>
                <w:color w:val="00A1DE"/>
                <w:w w:val="99"/>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00A1DE"/>
              </w:rPr>
              <w:t>recommendation</w:t>
            </w:r>
          </w:p>
        </w:tc>
        <w:tc>
          <w:tcPr>
            <w:tcW w:w="1500" w:type="dxa"/>
            <w:vAlign w:val="bottom"/>
          </w:tcPr>
          <w:p>
            <w:pPr>
              <w:jc w:val="center"/>
              <w:ind w:left="76"/>
              <w:spacing w:after="0"/>
              <w:rPr>
                <w:sz w:val="20"/>
                <w:szCs w:val="20"/>
                <w:color w:val="auto"/>
              </w:rPr>
            </w:pPr>
            <w:r>
              <w:rPr>
                <w:rFonts w:ascii="Arial" w:cs="Arial" w:eastAsia="Arial" w:hAnsi="Arial"/>
                <w:sz w:val="16"/>
                <w:szCs w:val="16"/>
                <w:b w:val="1"/>
                <w:bCs w:val="1"/>
                <w:color w:val="00A1DE"/>
              </w:rPr>
              <w:t>pass</w:t>
            </w:r>
          </w:p>
        </w:tc>
        <w:tc>
          <w:tcPr>
            <w:tcW w:w="0" w:type="dxa"/>
            <w:vAlign w:val="bottom"/>
          </w:tcPr>
          <w:p>
            <w:pPr>
              <w:spacing w:after="0"/>
              <w:rPr>
                <w:sz w:val="1"/>
                <w:szCs w:val="1"/>
                <w:color w:val="auto"/>
              </w:rPr>
            </w:pPr>
          </w:p>
        </w:tc>
      </w:tr>
      <w:tr>
        <w:trPr>
          <w:trHeight w:val="223"/>
        </w:trPr>
        <w:tc>
          <w:tcPr>
            <w:tcW w:w="1480" w:type="dxa"/>
            <w:vAlign w:val="bottom"/>
            <w:vMerge w:val="restart"/>
          </w:tcPr>
          <w:p>
            <w:pPr>
              <w:jc w:val="center"/>
              <w:ind w:right="78"/>
              <w:spacing w:after="0"/>
              <w:rPr>
                <w:sz w:val="20"/>
                <w:szCs w:val="20"/>
                <w:color w:val="auto"/>
              </w:rPr>
            </w:pPr>
            <w:r>
              <w:rPr>
                <w:rFonts w:ascii="Arial" w:cs="Arial" w:eastAsia="Arial" w:hAnsi="Arial"/>
                <w:sz w:val="17"/>
                <w:szCs w:val="17"/>
                <w:b w:val="1"/>
                <w:bCs w:val="1"/>
                <w:color w:val="auto"/>
                <w:w w:val="98"/>
              </w:rPr>
              <w:t>Vote FOR</w:t>
            </w:r>
          </w:p>
        </w:tc>
        <w:tc>
          <w:tcPr>
            <w:tcW w:w="1500" w:type="dxa"/>
            <w:vAlign w:val="bottom"/>
          </w:tcPr>
          <w:p>
            <w:pPr>
              <w:jc w:val="center"/>
              <w:ind w:left="76"/>
              <w:spacing w:after="0"/>
              <w:rPr>
                <w:sz w:val="20"/>
                <w:szCs w:val="20"/>
                <w:color w:val="auto"/>
              </w:rPr>
            </w:pPr>
            <w:r>
              <w:rPr>
                <w:rFonts w:ascii="Arial" w:cs="Arial" w:eastAsia="Arial" w:hAnsi="Arial"/>
                <w:sz w:val="17"/>
                <w:szCs w:val="17"/>
                <w:b w:val="1"/>
                <w:bCs w:val="1"/>
                <w:color w:val="auto"/>
                <w:w w:val="99"/>
              </w:rPr>
              <w:t>Majority of votes</w:t>
            </w:r>
          </w:p>
        </w:tc>
        <w:tc>
          <w:tcPr>
            <w:tcW w:w="0" w:type="dxa"/>
            <w:vAlign w:val="bottom"/>
          </w:tcPr>
          <w:p>
            <w:pPr>
              <w:spacing w:after="0"/>
              <w:rPr>
                <w:sz w:val="1"/>
                <w:szCs w:val="1"/>
                <w:color w:val="auto"/>
              </w:rPr>
            </w:pPr>
          </w:p>
        </w:tc>
      </w:tr>
      <w:tr>
        <w:trPr>
          <w:trHeight w:val="130"/>
        </w:trPr>
        <w:tc>
          <w:tcPr>
            <w:tcW w:w="1480" w:type="dxa"/>
            <w:vAlign w:val="bottom"/>
            <w:vMerge w:val="continue"/>
          </w:tcPr>
          <w:p>
            <w:pPr>
              <w:spacing w:after="0"/>
              <w:rPr>
                <w:sz w:val="11"/>
                <w:szCs w:val="11"/>
                <w:color w:val="auto"/>
              </w:rPr>
            </w:pPr>
          </w:p>
        </w:tc>
        <w:tc>
          <w:tcPr>
            <w:tcW w:w="1500" w:type="dxa"/>
            <w:vAlign w:val="bottom"/>
            <w:vMerge w:val="restart"/>
          </w:tcPr>
          <w:p>
            <w:pPr>
              <w:jc w:val="center"/>
              <w:ind w:left="76"/>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240"/>
            <w:col w:w="4279"/>
          </w:cols>
          <w:pgMar w:left="320" w:top="982" w:right="1440"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Shareholder Proposals</w:t>
      </w:r>
    </w:p>
    <w:p>
      <w:pPr>
        <w:spacing w:after="0" w:line="143" w:lineRule="exact"/>
        <w:rPr>
          <w:sz w:val="20"/>
          <w:szCs w:val="20"/>
          <w:color w:val="auto"/>
        </w:rPr>
      </w:pPr>
    </w:p>
    <w:p>
      <w:pPr>
        <w:ind w:left="20" w:right="480"/>
        <w:spacing w:after="0" w:line="271" w:lineRule="auto"/>
        <w:rPr>
          <w:sz w:val="20"/>
          <w:szCs w:val="20"/>
          <w:color w:val="auto"/>
        </w:rPr>
      </w:pPr>
      <w:r>
        <w:rPr>
          <w:rFonts w:ascii="Arial" w:cs="Arial" w:eastAsia="Arial" w:hAnsi="Arial"/>
          <w:sz w:val="20"/>
          <w:szCs w:val="20"/>
          <w:b w:val="1"/>
          <w:bCs w:val="1"/>
          <w:color w:val="auto"/>
        </w:rPr>
        <w:t>Item 7: Proposal to Amend the Bylaws to Require an Independent Board Chair</w:t>
      </w:r>
    </w:p>
    <w:p>
      <w:pPr>
        <w:spacing w:after="0" w:line="157"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75">
        <w:r>
          <w:rPr>
            <w:rFonts w:ascii="Arial" w:cs="Arial" w:eastAsia="Arial" w:hAnsi="Arial"/>
            <w:sz w:val="17"/>
            <w:szCs w:val="17"/>
            <w:b w:val="1"/>
            <w:bCs w:val="1"/>
            <w:u w:val="single" w:color="auto"/>
            <w:color w:val="0000FF"/>
          </w:rPr>
          <w:t>70</w:t>
        </w:r>
      </w:hyperlink>
    </w:p>
    <w:p>
      <w:pPr>
        <w:spacing w:after="0" w:line="330" w:lineRule="exact"/>
        <w:rPr>
          <w:sz w:val="20"/>
          <w:szCs w:val="20"/>
          <w:color w:val="auto"/>
        </w:rPr>
      </w:pPr>
    </w:p>
    <w:p>
      <w:pPr>
        <w:ind w:left="20" w:right="80"/>
        <w:spacing w:after="0" w:line="271" w:lineRule="auto"/>
        <w:rPr>
          <w:sz w:val="20"/>
          <w:szCs w:val="20"/>
          <w:color w:val="auto"/>
        </w:rPr>
      </w:pPr>
      <w:r>
        <w:rPr>
          <w:rFonts w:ascii="Arial" w:cs="Arial" w:eastAsia="Arial" w:hAnsi="Arial"/>
          <w:sz w:val="20"/>
          <w:szCs w:val="20"/>
          <w:b w:val="1"/>
          <w:bCs w:val="1"/>
          <w:color w:val="auto"/>
        </w:rPr>
        <w:t>Item 8: Proposal to Publish an Annual Report Disclosing Lobbying Activities</w:t>
      </w:r>
    </w:p>
    <w:p>
      <w:pPr>
        <w:spacing w:after="0" w:line="184"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77">
        <w:r>
          <w:rPr>
            <w:rFonts w:ascii="Arial" w:cs="Arial" w:eastAsia="Arial" w:hAnsi="Arial"/>
            <w:sz w:val="17"/>
            <w:szCs w:val="17"/>
            <w:b w:val="1"/>
            <w:bCs w:val="1"/>
            <w:u w:val="single" w:color="auto"/>
            <w:color w:val="0000FF"/>
          </w:rPr>
          <w:t>72</w:t>
        </w:r>
      </w:hyperlink>
    </w:p>
    <w:p>
      <w:pPr>
        <w:spacing w:after="0" w:line="262" w:lineRule="exact"/>
        <w:rPr>
          <w:sz w:val="20"/>
          <w:szCs w:val="20"/>
          <w:color w:val="auto"/>
        </w:rPr>
      </w:pPr>
    </w:p>
    <w:p>
      <w:pPr>
        <w:ind w:left="20" w:right="220"/>
        <w:spacing w:after="0" w:line="298" w:lineRule="auto"/>
        <w:rPr>
          <w:sz w:val="20"/>
          <w:szCs w:val="20"/>
          <w:color w:val="auto"/>
        </w:rPr>
      </w:pPr>
      <w:r>
        <w:rPr>
          <w:rFonts w:ascii="Arial" w:cs="Arial" w:eastAsia="Arial" w:hAnsi="Arial"/>
          <w:sz w:val="19"/>
          <w:szCs w:val="19"/>
          <w:b w:val="1"/>
          <w:bCs w:val="1"/>
          <w:color w:val="auto"/>
        </w:rPr>
        <w:t>Item 9: Proposal to Disclose Lobbying Activities and Alignment with Public Policy Positions and Statements</w:t>
      </w:r>
    </w:p>
    <w:p>
      <w:pPr>
        <w:spacing w:after="0" w:line="134"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80">
        <w:r>
          <w:rPr>
            <w:rFonts w:ascii="Arial" w:cs="Arial" w:eastAsia="Arial" w:hAnsi="Arial"/>
            <w:sz w:val="17"/>
            <w:szCs w:val="17"/>
            <w:b w:val="1"/>
            <w:bCs w:val="1"/>
            <w:u w:val="single" w:color="auto"/>
            <w:color w:val="0000FF"/>
          </w:rPr>
          <w:t>75</w:t>
        </w:r>
      </w:hyperlink>
    </w:p>
    <w:p>
      <w:pPr>
        <w:spacing w:after="0" w:line="262" w:lineRule="exact"/>
        <w:rPr>
          <w:sz w:val="20"/>
          <w:szCs w:val="20"/>
          <w:color w:val="auto"/>
        </w:rPr>
      </w:pPr>
    </w:p>
    <w:p>
      <w:pPr>
        <w:ind w:left="20"/>
        <w:spacing w:after="0" w:line="271" w:lineRule="auto"/>
        <w:rPr>
          <w:sz w:val="20"/>
          <w:szCs w:val="20"/>
          <w:color w:val="auto"/>
        </w:rPr>
      </w:pPr>
      <w:r>
        <w:rPr>
          <w:rFonts w:ascii="Arial" w:cs="Arial" w:eastAsia="Arial" w:hAnsi="Arial"/>
          <w:sz w:val="20"/>
          <w:szCs w:val="20"/>
          <w:b w:val="1"/>
          <w:bCs w:val="1"/>
          <w:color w:val="auto"/>
        </w:rPr>
        <w:t>Item 10: Proposal to Report Oversight of Risks Related to Anticompetitive Pricing Strategies</w:t>
      </w:r>
    </w:p>
    <w:p>
      <w:pPr>
        <w:spacing w:after="0" w:line="157" w:lineRule="exact"/>
        <w:rPr>
          <w:sz w:val="20"/>
          <w:szCs w:val="20"/>
          <w:color w:val="auto"/>
        </w:rPr>
      </w:pP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further information, see page </w:t>
      </w:r>
      <w:hyperlink w:anchor="page82">
        <w:r>
          <w:rPr>
            <w:rFonts w:ascii="Arial" w:cs="Arial" w:eastAsia="Arial" w:hAnsi="Arial"/>
            <w:sz w:val="17"/>
            <w:szCs w:val="17"/>
            <w:b w:val="1"/>
            <w:bCs w:val="1"/>
            <w:u w:val="single" w:color="auto"/>
            <w:color w:val="0000FF"/>
          </w:rPr>
          <w:t>77</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jc w:val="center"/>
              <w:ind w:right="38"/>
              <w:spacing w:after="0"/>
              <w:rPr>
                <w:sz w:val="20"/>
                <w:szCs w:val="20"/>
                <w:color w:val="auto"/>
              </w:rPr>
            </w:pPr>
            <w:r>
              <w:rPr>
                <w:rFonts w:ascii="Arial" w:cs="Arial" w:eastAsia="Arial" w:hAnsi="Arial"/>
                <w:sz w:val="16"/>
                <w:szCs w:val="16"/>
                <w:b w:val="1"/>
                <w:bCs w:val="1"/>
                <w:color w:val="1CA8E1"/>
              </w:rPr>
              <w:t>Management</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1CA8E1"/>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58"/>
              <w:spacing w:after="0"/>
              <w:rPr>
                <w:sz w:val="20"/>
                <w:szCs w:val="20"/>
                <w:color w:val="auto"/>
              </w:rPr>
            </w:pPr>
            <w:r>
              <w:rPr>
                <w:rFonts w:ascii="Arial" w:cs="Arial" w:eastAsia="Arial" w:hAnsi="Arial"/>
                <w:sz w:val="16"/>
                <w:szCs w:val="16"/>
                <w:b w:val="1"/>
                <w:bCs w:val="1"/>
                <w:color w:val="1CA8E1"/>
              </w:rPr>
              <w:t>recommendation</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1CA8E1"/>
                <w:w w:val="98"/>
              </w:rPr>
              <w:t>pass</w:t>
            </w:r>
          </w:p>
        </w:tc>
        <w:tc>
          <w:tcPr>
            <w:tcW w:w="0" w:type="dxa"/>
            <w:vAlign w:val="bottom"/>
          </w:tcPr>
          <w:p>
            <w:pPr>
              <w:spacing w:after="0"/>
              <w:rPr>
                <w:sz w:val="1"/>
                <w:szCs w:val="1"/>
                <w:color w:val="auto"/>
              </w:rPr>
            </w:pPr>
          </w:p>
        </w:tc>
      </w:tr>
      <w:tr>
        <w:trPr>
          <w:trHeight w:val="223"/>
        </w:trPr>
        <w:tc>
          <w:tcPr>
            <w:tcW w:w="1480" w:type="dxa"/>
            <w:vAlign w:val="bottom"/>
            <w:vMerge w:val="restart"/>
          </w:tcPr>
          <w:p>
            <w:pPr>
              <w:jc w:val="center"/>
              <w:ind w:right="58"/>
              <w:spacing w:after="0"/>
              <w:rPr>
                <w:sz w:val="20"/>
                <w:szCs w:val="20"/>
                <w:color w:val="auto"/>
              </w:rPr>
            </w:pPr>
            <w:r>
              <w:rPr>
                <w:rFonts w:ascii="Arial" w:cs="Arial" w:eastAsia="Arial" w:hAnsi="Arial"/>
                <w:sz w:val="17"/>
                <w:szCs w:val="17"/>
                <w:b w:val="1"/>
                <w:bCs w:val="1"/>
                <w:color w:val="auto"/>
                <w:w w:val="99"/>
              </w:rPr>
              <w:t>Vote AGAINST</w:t>
            </w:r>
          </w:p>
        </w:tc>
        <w:tc>
          <w:tcPr>
            <w:tcW w:w="1520" w:type="dxa"/>
            <w:vAlign w:val="bottom"/>
          </w:tcPr>
          <w:p>
            <w:pPr>
              <w:jc w:val="center"/>
              <w:ind w:left="7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30"/>
        </w:trPr>
        <w:tc>
          <w:tcPr>
            <w:tcW w:w="1480" w:type="dxa"/>
            <w:vAlign w:val="bottom"/>
            <w:vMerge w:val="continue"/>
          </w:tcPr>
          <w:p>
            <w:pPr>
              <w:spacing w:after="0"/>
              <w:rPr>
                <w:sz w:val="11"/>
                <w:szCs w:val="11"/>
                <w:color w:val="auto"/>
              </w:rPr>
            </w:pPr>
          </w:p>
        </w:tc>
        <w:tc>
          <w:tcPr>
            <w:tcW w:w="1520" w:type="dxa"/>
            <w:vAlign w:val="bottom"/>
            <w:vMerge w:val="restart"/>
          </w:tcPr>
          <w:p>
            <w:pPr>
              <w:jc w:val="center"/>
              <w:ind w:left="9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1480" w:type="dxa"/>
            <w:vAlign w:val="bottom"/>
          </w:tcPr>
          <w:p>
            <w:pPr>
              <w:jc w:val="center"/>
              <w:ind w:right="38"/>
              <w:spacing w:after="0"/>
              <w:rPr>
                <w:sz w:val="20"/>
                <w:szCs w:val="20"/>
                <w:color w:val="auto"/>
              </w:rPr>
            </w:pPr>
            <w:r>
              <w:rPr>
                <w:rFonts w:ascii="Arial" w:cs="Arial" w:eastAsia="Arial" w:hAnsi="Arial"/>
                <w:sz w:val="16"/>
                <w:szCs w:val="16"/>
                <w:b w:val="1"/>
                <w:bCs w:val="1"/>
                <w:color w:val="1CA8E1"/>
              </w:rPr>
              <w:t>Management</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1CA8E1"/>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58"/>
              <w:spacing w:after="0"/>
              <w:rPr>
                <w:sz w:val="20"/>
                <w:szCs w:val="20"/>
                <w:color w:val="auto"/>
              </w:rPr>
            </w:pPr>
            <w:r>
              <w:rPr>
                <w:rFonts w:ascii="Arial" w:cs="Arial" w:eastAsia="Arial" w:hAnsi="Arial"/>
                <w:sz w:val="16"/>
                <w:szCs w:val="16"/>
                <w:b w:val="1"/>
                <w:bCs w:val="1"/>
                <w:color w:val="1CA8E1"/>
              </w:rPr>
              <w:t>recommendation</w:t>
            </w:r>
          </w:p>
        </w:tc>
        <w:tc>
          <w:tcPr>
            <w:tcW w:w="1520" w:type="dxa"/>
            <w:vAlign w:val="bottom"/>
          </w:tcPr>
          <w:p>
            <w:pPr>
              <w:jc w:val="center"/>
              <w:ind w:left="77"/>
              <w:spacing w:after="0"/>
              <w:rPr>
                <w:sz w:val="20"/>
                <w:szCs w:val="20"/>
                <w:color w:val="auto"/>
              </w:rPr>
            </w:pPr>
            <w:r>
              <w:rPr>
                <w:rFonts w:ascii="Arial" w:cs="Arial" w:eastAsia="Arial" w:hAnsi="Arial"/>
                <w:sz w:val="16"/>
                <w:szCs w:val="16"/>
                <w:b w:val="1"/>
                <w:bCs w:val="1"/>
                <w:color w:val="1CA8E1"/>
                <w:w w:val="98"/>
              </w:rPr>
              <w:t>pass</w:t>
            </w:r>
          </w:p>
        </w:tc>
        <w:tc>
          <w:tcPr>
            <w:tcW w:w="0" w:type="dxa"/>
            <w:vAlign w:val="bottom"/>
          </w:tcPr>
          <w:p>
            <w:pPr>
              <w:spacing w:after="0"/>
              <w:rPr>
                <w:sz w:val="1"/>
                <w:szCs w:val="1"/>
                <w:color w:val="auto"/>
              </w:rPr>
            </w:pPr>
          </w:p>
        </w:tc>
      </w:tr>
      <w:tr>
        <w:trPr>
          <w:trHeight w:val="331"/>
        </w:trPr>
        <w:tc>
          <w:tcPr>
            <w:tcW w:w="1480" w:type="dxa"/>
            <w:vAlign w:val="bottom"/>
            <w:vMerge w:val="restart"/>
          </w:tcPr>
          <w:p>
            <w:pPr>
              <w:jc w:val="center"/>
              <w:ind w:right="58"/>
              <w:spacing w:after="0"/>
              <w:rPr>
                <w:sz w:val="20"/>
                <w:szCs w:val="20"/>
                <w:color w:val="auto"/>
              </w:rPr>
            </w:pPr>
            <w:r>
              <w:rPr>
                <w:rFonts w:ascii="Arial" w:cs="Arial" w:eastAsia="Arial" w:hAnsi="Arial"/>
                <w:sz w:val="17"/>
                <w:szCs w:val="17"/>
                <w:b w:val="1"/>
                <w:bCs w:val="1"/>
                <w:color w:val="auto"/>
                <w:w w:val="99"/>
              </w:rPr>
              <w:t>Vote AGAINST</w:t>
            </w:r>
          </w:p>
        </w:tc>
        <w:tc>
          <w:tcPr>
            <w:tcW w:w="1520" w:type="dxa"/>
            <w:vAlign w:val="bottom"/>
          </w:tcPr>
          <w:p>
            <w:pPr>
              <w:jc w:val="center"/>
              <w:ind w:left="7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30"/>
        </w:trPr>
        <w:tc>
          <w:tcPr>
            <w:tcW w:w="1480" w:type="dxa"/>
            <w:vAlign w:val="bottom"/>
            <w:vMerge w:val="continue"/>
          </w:tcPr>
          <w:p>
            <w:pPr>
              <w:spacing w:after="0"/>
              <w:rPr>
                <w:sz w:val="11"/>
                <w:szCs w:val="11"/>
                <w:color w:val="auto"/>
              </w:rPr>
            </w:pPr>
          </w:p>
        </w:tc>
        <w:tc>
          <w:tcPr>
            <w:tcW w:w="1520" w:type="dxa"/>
            <w:vAlign w:val="bottom"/>
            <w:vMerge w:val="restart"/>
          </w:tcPr>
          <w:p>
            <w:pPr>
              <w:jc w:val="center"/>
              <w:ind w:left="9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1CA8E1"/>
              </w:rPr>
              <w:t>Management</w:t>
            </w:r>
          </w:p>
        </w:tc>
        <w:tc>
          <w:tcPr>
            <w:tcW w:w="1520" w:type="dxa"/>
            <w:vAlign w:val="bottom"/>
          </w:tcPr>
          <w:p>
            <w:pPr>
              <w:jc w:val="center"/>
              <w:ind w:left="37"/>
              <w:spacing w:after="0"/>
              <w:rPr>
                <w:sz w:val="20"/>
                <w:szCs w:val="20"/>
                <w:color w:val="auto"/>
              </w:rPr>
            </w:pPr>
            <w:r>
              <w:rPr>
                <w:rFonts w:ascii="Arial" w:cs="Arial" w:eastAsia="Arial" w:hAnsi="Arial"/>
                <w:sz w:val="16"/>
                <w:szCs w:val="16"/>
                <w:b w:val="1"/>
                <w:bCs w:val="1"/>
                <w:color w:val="1CA8E1"/>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1CA8E1"/>
              </w:rPr>
              <w:t>recommendation</w:t>
            </w:r>
          </w:p>
        </w:tc>
        <w:tc>
          <w:tcPr>
            <w:tcW w:w="1520" w:type="dxa"/>
            <w:vAlign w:val="bottom"/>
          </w:tcPr>
          <w:p>
            <w:pPr>
              <w:jc w:val="center"/>
              <w:ind w:left="37"/>
              <w:spacing w:after="0"/>
              <w:rPr>
                <w:sz w:val="20"/>
                <w:szCs w:val="20"/>
                <w:color w:val="auto"/>
              </w:rPr>
            </w:pPr>
            <w:r>
              <w:rPr>
                <w:rFonts w:ascii="Arial" w:cs="Arial" w:eastAsia="Arial" w:hAnsi="Arial"/>
                <w:sz w:val="16"/>
                <w:szCs w:val="16"/>
                <w:b w:val="1"/>
                <w:bCs w:val="1"/>
                <w:color w:val="1CA8E1"/>
                <w:w w:val="98"/>
              </w:rPr>
              <w:t>pass</w:t>
            </w:r>
          </w:p>
        </w:tc>
        <w:tc>
          <w:tcPr>
            <w:tcW w:w="0" w:type="dxa"/>
            <w:vAlign w:val="bottom"/>
          </w:tcPr>
          <w:p>
            <w:pPr>
              <w:spacing w:after="0"/>
              <w:rPr>
                <w:sz w:val="1"/>
                <w:szCs w:val="1"/>
                <w:color w:val="auto"/>
              </w:rPr>
            </w:pPr>
          </w:p>
        </w:tc>
      </w:tr>
      <w:tr>
        <w:trPr>
          <w:trHeight w:val="223"/>
        </w:trPr>
        <w:tc>
          <w:tcPr>
            <w:tcW w:w="1480" w:type="dxa"/>
            <w:vAlign w:val="bottom"/>
            <w:vMerge w:val="restart"/>
          </w:tcPr>
          <w:p>
            <w:pPr>
              <w:jc w:val="center"/>
              <w:ind w:right="78"/>
              <w:spacing w:after="0"/>
              <w:rPr>
                <w:sz w:val="20"/>
                <w:szCs w:val="20"/>
                <w:color w:val="auto"/>
              </w:rPr>
            </w:pPr>
            <w:r>
              <w:rPr>
                <w:rFonts w:ascii="Arial" w:cs="Arial" w:eastAsia="Arial" w:hAnsi="Arial"/>
                <w:sz w:val="17"/>
                <w:szCs w:val="17"/>
                <w:b w:val="1"/>
                <w:bCs w:val="1"/>
                <w:color w:val="auto"/>
                <w:w w:val="98"/>
              </w:rPr>
              <w:t>Vote AGAINST</w:t>
            </w:r>
          </w:p>
        </w:tc>
        <w:tc>
          <w:tcPr>
            <w:tcW w:w="1520" w:type="dxa"/>
            <w:vAlign w:val="bottom"/>
          </w:tcPr>
          <w:p>
            <w:pPr>
              <w:jc w:val="center"/>
              <w:ind w:left="3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30"/>
        </w:trPr>
        <w:tc>
          <w:tcPr>
            <w:tcW w:w="1480" w:type="dxa"/>
            <w:vAlign w:val="bottom"/>
            <w:vMerge w:val="continue"/>
          </w:tcPr>
          <w:p>
            <w:pPr>
              <w:spacing w:after="0"/>
              <w:rPr>
                <w:sz w:val="11"/>
                <w:szCs w:val="11"/>
                <w:color w:val="auto"/>
              </w:rPr>
            </w:pPr>
          </w:p>
        </w:tc>
        <w:tc>
          <w:tcPr>
            <w:tcW w:w="1520" w:type="dxa"/>
            <w:vAlign w:val="bottom"/>
            <w:vMerge w:val="restart"/>
          </w:tcPr>
          <w:p>
            <w:pPr>
              <w:jc w:val="center"/>
              <w:ind w:left="1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1480" w:type="dxa"/>
            <w:vAlign w:val="bottom"/>
          </w:tcPr>
          <w:p>
            <w:pPr>
              <w:jc w:val="center"/>
              <w:ind w:right="78"/>
              <w:spacing w:after="0"/>
              <w:rPr>
                <w:sz w:val="20"/>
                <w:szCs w:val="20"/>
                <w:color w:val="auto"/>
              </w:rPr>
            </w:pPr>
            <w:r>
              <w:rPr>
                <w:rFonts w:ascii="Arial" w:cs="Arial" w:eastAsia="Arial" w:hAnsi="Arial"/>
                <w:sz w:val="16"/>
                <w:szCs w:val="16"/>
                <w:b w:val="1"/>
                <w:bCs w:val="1"/>
                <w:color w:val="1CA8E1"/>
              </w:rPr>
              <w:t>Management</w:t>
            </w:r>
          </w:p>
        </w:tc>
        <w:tc>
          <w:tcPr>
            <w:tcW w:w="1520" w:type="dxa"/>
            <w:vAlign w:val="bottom"/>
          </w:tcPr>
          <w:p>
            <w:pPr>
              <w:jc w:val="center"/>
              <w:ind w:left="37"/>
              <w:spacing w:after="0"/>
              <w:rPr>
                <w:sz w:val="20"/>
                <w:szCs w:val="20"/>
                <w:color w:val="auto"/>
              </w:rPr>
            </w:pPr>
            <w:r>
              <w:rPr>
                <w:rFonts w:ascii="Arial" w:cs="Arial" w:eastAsia="Arial" w:hAnsi="Arial"/>
                <w:sz w:val="16"/>
                <w:szCs w:val="16"/>
                <w:b w:val="1"/>
                <w:bCs w:val="1"/>
                <w:color w:val="1CA8E1"/>
              </w:rPr>
              <w:t>Vote required to</w:t>
            </w:r>
          </w:p>
        </w:tc>
        <w:tc>
          <w:tcPr>
            <w:tcW w:w="0" w:type="dxa"/>
            <w:vAlign w:val="bottom"/>
          </w:tcPr>
          <w:p>
            <w:pPr>
              <w:spacing w:after="0"/>
              <w:rPr>
                <w:sz w:val="1"/>
                <w:szCs w:val="1"/>
                <w:color w:val="auto"/>
              </w:rPr>
            </w:pPr>
          </w:p>
        </w:tc>
      </w:tr>
      <w:tr>
        <w:trPr>
          <w:trHeight w:val="215"/>
        </w:trPr>
        <w:tc>
          <w:tcPr>
            <w:tcW w:w="1480" w:type="dxa"/>
            <w:vAlign w:val="bottom"/>
          </w:tcPr>
          <w:p>
            <w:pPr>
              <w:jc w:val="center"/>
              <w:ind w:right="98"/>
              <w:spacing w:after="0"/>
              <w:rPr>
                <w:sz w:val="20"/>
                <w:szCs w:val="20"/>
                <w:color w:val="auto"/>
              </w:rPr>
            </w:pPr>
            <w:r>
              <w:rPr>
                <w:rFonts w:ascii="Arial" w:cs="Arial" w:eastAsia="Arial" w:hAnsi="Arial"/>
                <w:sz w:val="16"/>
                <w:szCs w:val="16"/>
                <w:b w:val="1"/>
                <w:bCs w:val="1"/>
                <w:color w:val="1CA8E1"/>
              </w:rPr>
              <w:t>recommendation</w:t>
            </w:r>
          </w:p>
        </w:tc>
        <w:tc>
          <w:tcPr>
            <w:tcW w:w="1520" w:type="dxa"/>
            <w:vAlign w:val="bottom"/>
          </w:tcPr>
          <w:p>
            <w:pPr>
              <w:jc w:val="center"/>
              <w:ind w:left="37"/>
              <w:spacing w:after="0"/>
              <w:rPr>
                <w:sz w:val="20"/>
                <w:szCs w:val="20"/>
                <w:color w:val="auto"/>
              </w:rPr>
            </w:pPr>
            <w:r>
              <w:rPr>
                <w:rFonts w:ascii="Arial" w:cs="Arial" w:eastAsia="Arial" w:hAnsi="Arial"/>
                <w:sz w:val="16"/>
                <w:szCs w:val="16"/>
                <w:b w:val="1"/>
                <w:bCs w:val="1"/>
                <w:color w:val="1CA8E1"/>
                <w:w w:val="98"/>
              </w:rPr>
              <w:t>pass</w:t>
            </w:r>
          </w:p>
        </w:tc>
        <w:tc>
          <w:tcPr>
            <w:tcW w:w="0" w:type="dxa"/>
            <w:vAlign w:val="bottom"/>
          </w:tcPr>
          <w:p>
            <w:pPr>
              <w:spacing w:after="0"/>
              <w:rPr>
                <w:sz w:val="1"/>
                <w:szCs w:val="1"/>
                <w:color w:val="auto"/>
              </w:rPr>
            </w:pPr>
          </w:p>
        </w:tc>
      </w:tr>
      <w:tr>
        <w:trPr>
          <w:trHeight w:val="223"/>
        </w:trPr>
        <w:tc>
          <w:tcPr>
            <w:tcW w:w="1480" w:type="dxa"/>
            <w:vAlign w:val="bottom"/>
            <w:vMerge w:val="restart"/>
          </w:tcPr>
          <w:p>
            <w:pPr>
              <w:jc w:val="center"/>
              <w:ind w:right="98"/>
              <w:spacing w:after="0"/>
              <w:rPr>
                <w:sz w:val="20"/>
                <w:szCs w:val="20"/>
                <w:color w:val="auto"/>
              </w:rPr>
            </w:pPr>
            <w:r>
              <w:rPr>
                <w:rFonts w:ascii="Arial" w:cs="Arial" w:eastAsia="Arial" w:hAnsi="Arial"/>
                <w:sz w:val="17"/>
                <w:szCs w:val="17"/>
                <w:b w:val="1"/>
                <w:bCs w:val="1"/>
                <w:color w:val="auto"/>
                <w:w w:val="99"/>
              </w:rPr>
              <w:t>Vote AGAINST</w:t>
            </w:r>
          </w:p>
        </w:tc>
        <w:tc>
          <w:tcPr>
            <w:tcW w:w="1520" w:type="dxa"/>
            <w:vAlign w:val="bottom"/>
          </w:tcPr>
          <w:p>
            <w:pPr>
              <w:jc w:val="center"/>
              <w:ind w:left="37"/>
              <w:spacing w:after="0"/>
              <w:rPr>
                <w:sz w:val="20"/>
                <w:szCs w:val="20"/>
                <w:color w:val="auto"/>
              </w:rPr>
            </w:pPr>
            <w:r>
              <w:rPr>
                <w:rFonts w:ascii="Arial" w:cs="Arial" w:eastAsia="Arial" w:hAnsi="Arial"/>
                <w:sz w:val="17"/>
                <w:szCs w:val="17"/>
                <w:b w:val="1"/>
                <w:bCs w:val="1"/>
                <w:color w:val="auto"/>
              </w:rPr>
              <w:t>Majority of votes</w:t>
            </w:r>
          </w:p>
        </w:tc>
        <w:tc>
          <w:tcPr>
            <w:tcW w:w="0" w:type="dxa"/>
            <w:vAlign w:val="bottom"/>
          </w:tcPr>
          <w:p>
            <w:pPr>
              <w:spacing w:after="0"/>
              <w:rPr>
                <w:sz w:val="1"/>
                <w:szCs w:val="1"/>
                <w:color w:val="auto"/>
              </w:rPr>
            </w:pPr>
          </w:p>
        </w:tc>
      </w:tr>
      <w:tr>
        <w:trPr>
          <w:trHeight w:val="130"/>
        </w:trPr>
        <w:tc>
          <w:tcPr>
            <w:tcW w:w="1480" w:type="dxa"/>
            <w:vAlign w:val="bottom"/>
            <w:vMerge w:val="continue"/>
          </w:tcPr>
          <w:p>
            <w:pPr>
              <w:spacing w:after="0"/>
              <w:rPr>
                <w:sz w:val="11"/>
                <w:szCs w:val="11"/>
                <w:color w:val="auto"/>
              </w:rPr>
            </w:pPr>
          </w:p>
        </w:tc>
        <w:tc>
          <w:tcPr>
            <w:tcW w:w="1520" w:type="dxa"/>
            <w:vAlign w:val="bottom"/>
            <w:vMerge w:val="restart"/>
          </w:tcPr>
          <w:p>
            <w:pPr>
              <w:jc w:val="center"/>
              <w:ind w:left="57"/>
              <w:spacing w:after="0"/>
              <w:rPr>
                <w:sz w:val="20"/>
                <w:szCs w:val="20"/>
                <w:color w:val="auto"/>
              </w:rPr>
            </w:pPr>
            <w:r>
              <w:rPr>
                <w:rFonts w:ascii="Arial" w:cs="Arial" w:eastAsia="Arial" w:hAnsi="Arial"/>
                <w:sz w:val="17"/>
                <w:szCs w:val="17"/>
                <w:b w:val="1"/>
                <w:bCs w:val="1"/>
                <w:color w:val="auto"/>
                <w:w w:val="99"/>
              </w:rPr>
              <w:t>cast</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20" w:space="440"/>
            <w:col w:w="4279"/>
          </w:cols>
          <w:pgMar w:left="320" w:top="982" w:right="1440" w:bottom="1440" w:gutter="0" w:footer="0" w:header="0"/>
          <w:type w:val="continuous"/>
        </w:sect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39"/>
          </w:cols>
          <w:pgMar w:left="320" w:top="98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7"/>
          <w:szCs w:val="27"/>
          <w:b w:val="1"/>
          <w:bCs w:val="1"/>
          <w:color w:val="EF3729"/>
        </w:rPr>
        <w:t>Voting</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How to Vote in Advance of the Meeting</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Even if you plan to attend the Annual Meeting, we encourage you to vote prior to the meeting using one of the methods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121920</wp:posOffset>
            </wp:positionV>
            <wp:extent cx="61722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60007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121920</wp:posOffset>
            </wp:positionV>
            <wp:extent cx="61722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60007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121920</wp:posOffset>
            </wp:positionV>
            <wp:extent cx="617220"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2780" w:type="dxa"/>
            <w:vAlign w:val="bottom"/>
          </w:tcPr>
          <w:p>
            <w:pPr>
              <w:jc w:val="center"/>
              <w:ind w:right="19"/>
              <w:spacing w:after="0"/>
              <w:rPr>
                <w:sz w:val="20"/>
                <w:szCs w:val="20"/>
                <w:color w:val="auto"/>
              </w:rPr>
            </w:pPr>
            <w:r>
              <w:rPr>
                <w:rFonts w:ascii="Arial" w:cs="Arial" w:eastAsia="Arial" w:hAnsi="Arial"/>
                <w:sz w:val="16"/>
                <w:szCs w:val="16"/>
                <w:color w:val="auto"/>
              </w:rPr>
              <w:t>ONLINE</w:t>
            </w:r>
          </w:p>
        </w:tc>
        <w:tc>
          <w:tcPr>
            <w:tcW w:w="3080" w:type="dxa"/>
            <w:vAlign w:val="bottom"/>
          </w:tcPr>
          <w:p>
            <w:pPr>
              <w:jc w:val="center"/>
              <w:spacing w:after="0"/>
              <w:rPr>
                <w:sz w:val="20"/>
                <w:szCs w:val="20"/>
                <w:color w:val="auto"/>
              </w:rPr>
            </w:pPr>
            <w:r>
              <w:rPr>
                <w:rFonts w:ascii="Arial" w:cs="Arial" w:eastAsia="Arial" w:hAnsi="Arial"/>
                <w:sz w:val="16"/>
                <w:szCs w:val="16"/>
                <w:color w:val="auto"/>
              </w:rPr>
              <w:t>BY TELEPHONE</w:t>
            </w:r>
          </w:p>
        </w:tc>
        <w:tc>
          <w:tcPr>
            <w:tcW w:w="2720" w:type="dxa"/>
            <w:vAlign w:val="bottom"/>
          </w:tcPr>
          <w:p>
            <w:pPr>
              <w:jc w:val="center"/>
              <w:ind w:left="39"/>
              <w:spacing w:after="0"/>
              <w:rPr>
                <w:sz w:val="20"/>
                <w:szCs w:val="20"/>
                <w:color w:val="auto"/>
              </w:rPr>
            </w:pPr>
            <w:r>
              <w:rPr>
                <w:rFonts w:ascii="Arial" w:cs="Arial" w:eastAsia="Arial" w:hAnsi="Arial"/>
                <w:sz w:val="16"/>
                <w:szCs w:val="16"/>
                <w:color w:val="auto"/>
              </w:rPr>
              <w:t>BY MAIL</w:t>
            </w:r>
          </w:p>
        </w:tc>
      </w:tr>
      <w:tr>
        <w:trPr>
          <w:trHeight w:val="237"/>
        </w:trPr>
        <w:tc>
          <w:tcPr>
            <w:tcW w:w="2780" w:type="dxa"/>
            <w:vAlign w:val="bottom"/>
          </w:tcPr>
          <w:p>
            <w:pPr>
              <w:jc w:val="center"/>
              <w:spacing w:after="0"/>
              <w:rPr>
                <w:sz w:val="20"/>
                <w:szCs w:val="20"/>
                <w:color w:val="auto"/>
              </w:rPr>
            </w:pPr>
            <w:r>
              <w:rPr>
                <w:rFonts w:ascii="Arial" w:cs="Arial" w:eastAsia="Arial" w:hAnsi="Arial"/>
                <w:sz w:val="16"/>
                <w:szCs w:val="16"/>
                <w:color w:val="auto"/>
              </w:rPr>
              <w:t>Visit the website listed on your notice,</w:t>
            </w:r>
          </w:p>
        </w:tc>
        <w:tc>
          <w:tcPr>
            <w:tcW w:w="3080" w:type="dxa"/>
            <w:vAlign w:val="bottom"/>
          </w:tcPr>
          <w:p>
            <w:pPr>
              <w:jc w:val="center"/>
              <w:spacing w:after="0"/>
              <w:rPr>
                <w:sz w:val="20"/>
                <w:szCs w:val="20"/>
                <w:color w:val="auto"/>
              </w:rPr>
            </w:pPr>
            <w:r>
              <w:rPr>
                <w:rFonts w:ascii="Arial" w:cs="Arial" w:eastAsia="Arial" w:hAnsi="Arial"/>
                <w:sz w:val="16"/>
                <w:szCs w:val="16"/>
                <w:color w:val="auto"/>
              </w:rPr>
              <w:t>Call 1-800-690-6903 using a touch-tone</w:t>
            </w:r>
          </w:p>
        </w:tc>
        <w:tc>
          <w:tcPr>
            <w:tcW w:w="2720" w:type="dxa"/>
            <w:vAlign w:val="bottom"/>
          </w:tcPr>
          <w:p>
            <w:pPr>
              <w:jc w:val="center"/>
              <w:ind w:left="59"/>
              <w:spacing w:after="0"/>
              <w:rPr>
                <w:sz w:val="20"/>
                <w:szCs w:val="20"/>
                <w:color w:val="auto"/>
              </w:rPr>
            </w:pPr>
            <w:r>
              <w:rPr>
                <w:rFonts w:ascii="Arial" w:cs="Arial" w:eastAsia="Arial" w:hAnsi="Arial"/>
                <w:sz w:val="16"/>
                <w:szCs w:val="16"/>
                <w:color w:val="auto"/>
              </w:rPr>
              <w:t>If you received or requested paper</w:t>
            </w:r>
          </w:p>
        </w:tc>
      </w:tr>
      <w:tr>
        <w:trPr>
          <w:trHeight w:val="189"/>
        </w:trPr>
        <w:tc>
          <w:tcPr>
            <w:tcW w:w="2780" w:type="dxa"/>
            <w:vAlign w:val="bottom"/>
          </w:tcPr>
          <w:p>
            <w:pPr>
              <w:jc w:val="center"/>
              <w:spacing w:after="0"/>
              <w:rPr>
                <w:sz w:val="20"/>
                <w:szCs w:val="20"/>
                <w:color w:val="auto"/>
              </w:rPr>
            </w:pPr>
            <w:r>
              <w:rPr>
                <w:rFonts w:ascii="Arial" w:cs="Arial" w:eastAsia="Arial" w:hAnsi="Arial"/>
                <w:sz w:val="16"/>
                <w:szCs w:val="16"/>
                <w:color w:val="auto"/>
              </w:rPr>
              <w:t>proxy card, or voting instruction form</w:t>
            </w:r>
          </w:p>
        </w:tc>
        <w:tc>
          <w:tcPr>
            <w:tcW w:w="3080" w:type="dxa"/>
            <w:vAlign w:val="bottom"/>
          </w:tcPr>
          <w:p>
            <w:pPr>
              <w:jc w:val="center"/>
              <w:spacing w:after="0"/>
              <w:rPr>
                <w:sz w:val="20"/>
                <w:szCs w:val="20"/>
                <w:color w:val="auto"/>
              </w:rPr>
            </w:pPr>
            <w:r>
              <w:rPr>
                <w:rFonts w:ascii="Arial" w:cs="Arial" w:eastAsia="Arial" w:hAnsi="Arial"/>
                <w:sz w:val="16"/>
                <w:szCs w:val="16"/>
                <w:color w:val="auto"/>
              </w:rPr>
              <w:t>phone and follow the instructions</w:t>
            </w:r>
          </w:p>
        </w:tc>
        <w:tc>
          <w:tcPr>
            <w:tcW w:w="2720" w:type="dxa"/>
            <w:vAlign w:val="bottom"/>
          </w:tcPr>
          <w:p>
            <w:pPr>
              <w:jc w:val="center"/>
              <w:ind w:left="59"/>
              <w:spacing w:after="0"/>
              <w:rPr>
                <w:sz w:val="20"/>
                <w:szCs w:val="20"/>
                <w:color w:val="auto"/>
              </w:rPr>
            </w:pPr>
            <w:r>
              <w:rPr>
                <w:rFonts w:ascii="Arial" w:cs="Arial" w:eastAsia="Arial" w:hAnsi="Arial"/>
                <w:sz w:val="16"/>
                <w:szCs w:val="16"/>
                <w:color w:val="auto"/>
              </w:rPr>
              <w:t>copies of your proxy materials, sign,</w:t>
            </w:r>
          </w:p>
        </w:tc>
      </w:tr>
      <w:tr>
        <w:trPr>
          <w:trHeight w:val="189"/>
        </w:trPr>
        <w:tc>
          <w:tcPr>
            <w:tcW w:w="278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rPr>
              <w:t>provided</w:t>
            </w:r>
          </w:p>
        </w:tc>
        <w:tc>
          <w:tcPr>
            <w:tcW w:w="2720" w:type="dxa"/>
            <w:vAlign w:val="bottom"/>
          </w:tcPr>
          <w:p>
            <w:pPr>
              <w:jc w:val="center"/>
              <w:ind w:left="59"/>
              <w:spacing w:after="0"/>
              <w:rPr>
                <w:sz w:val="20"/>
                <w:szCs w:val="20"/>
                <w:color w:val="auto"/>
              </w:rPr>
            </w:pPr>
            <w:r>
              <w:rPr>
                <w:rFonts w:ascii="Arial" w:cs="Arial" w:eastAsia="Arial" w:hAnsi="Arial"/>
                <w:sz w:val="16"/>
                <w:szCs w:val="16"/>
                <w:color w:val="auto"/>
              </w:rPr>
              <w:t>date, and return your proxy card or</w:t>
            </w:r>
          </w:p>
        </w:tc>
      </w:tr>
      <w:tr>
        <w:trPr>
          <w:trHeight w:val="195"/>
        </w:trPr>
        <w:tc>
          <w:tcPr>
            <w:tcW w:w="2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720" w:type="dxa"/>
            <w:vAlign w:val="bottom"/>
          </w:tcPr>
          <w:p>
            <w:pPr>
              <w:jc w:val="center"/>
              <w:ind w:left="59"/>
              <w:spacing w:after="0"/>
              <w:rPr>
                <w:sz w:val="20"/>
                <w:szCs w:val="20"/>
                <w:color w:val="auto"/>
              </w:rPr>
            </w:pPr>
            <w:r>
              <w:rPr>
                <w:rFonts w:ascii="Arial" w:cs="Arial" w:eastAsia="Arial" w:hAnsi="Arial"/>
                <w:sz w:val="16"/>
                <w:szCs w:val="16"/>
                <w:color w:val="auto"/>
              </w:rPr>
              <w:t>voting instruction form</w:t>
            </w:r>
          </w:p>
        </w:tc>
      </w:tr>
    </w:tbl>
    <w:p>
      <w:pPr>
        <w:spacing w:after="0" w:line="22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Shareholders who hold their shares beneficially through an institutional holder of record, such as a broker or 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"Other Information—Meeting and Voting Logistics—Voting Shares Held by a Broker" for more information.</w:t>
      </w:r>
    </w:p>
    <w:p>
      <w:pPr>
        <w:spacing w:after="0" w:line="94"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Further information on how to vote, including if you hold voting shares in the 401(k) Plan, is provided at the end of this proxy statement under "Other Information—Meeting and Voting Logistics."</w:t>
      </w:r>
    </w:p>
    <w:p>
      <w:pPr>
        <w:spacing w:after="0" w:line="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You may vote your shares prior to the Annual Meeting until 11:59 p.m. EDT on May 1, 2022, online or by telephone. If you are voting by mail, your marked, signed, and dated proxy card must be received by May 1, 2022. Shareholders who hold their shares in the 401(k) Plan must vote in advance of the Annual Meeting, by April 27, 2022, so the plan trustee can vote their shares accordingly. See "Other Information—Meeting and Voting Logistics—Voting Shares Held in the Company 401(k) Plan" for more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Voting at Our 2022 Annual Meeting</w:t>
      </w:r>
    </w:p>
    <w:p>
      <w:pPr>
        <w:spacing w:after="0" w:line="8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You may also opt to vote by attending the Annual Meeting, which will be held online via live webcast at </w:t>
      </w:r>
      <w:r>
        <w:rPr>
          <w:rFonts w:ascii="Arial" w:cs="Arial" w:eastAsia="Arial" w:hAnsi="Arial"/>
          <w:sz w:val="16"/>
          <w:szCs w:val="16"/>
          <w:color w:val="EE2724"/>
        </w:rPr>
        <w:t>virtualshareholdermeeting.com/LLY2022</w:t>
      </w:r>
      <w:r>
        <w:rPr>
          <w:rFonts w:ascii="Arial" w:cs="Arial" w:eastAsia="Arial" w:hAnsi="Arial"/>
          <w:sz w:val="16"/>
          <w:szCs w:val="16"/>
          <w:color w:val="auto"/>
        </w:rPr>
        <w:t xml:space="preserve"> on Monday, May 2, 2022, at 11:00 a.m. EDT. See the section titled "Other Information—Meeting and Voting Logistics" for instructions.</w:t>
      </w: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1. Election of Directors</w:t>
      </w:r>
    </w:p>
    <w:p>
      <w:pPr>
        <w:spacing w:after="0" w:line="9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Under our articles of incorporation, the board is divided into three classes with approximately one-third of the directors standing for election each year. The term for directors to be elected this year will expire at the annual meeting of shareholders held in 2025. Each of the director nominees listed below has agreed to serve that term. The following sections provide information about our director nominees, including their qualifications, the director nomination process, and director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each of the following director nominees:</w:t>
      </w:r>
    </w:p>
    <w:p>
      <w:pPr>
        <w:spacing w:after="0" w:line="143" w:lineRule="exact"/>
        <w:rPr>
          <w:sz w:val="20"/>
          <w:szCs w:val="20"/>
          <w:color w:val="auto"/>
        </w:rPr>
      </w:pPr>
    </w:p>
    <w:p>
      <w:pPr>
        <w:ind w:left="300" w:hanging="130"/>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Ralph Alvarez</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Kimberly H. Johnson</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Juan R. Luciano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982" w:right="359" w:bottom="1440" w:gutter="0" w:footer="0" w:header="0"/>
        </w:sectPr>
      </w:pPr>
    </w:p>
    <w:bookmarkStart w:id="16" w:name="page17"/>
    <w:bookmarkEnd w:id="16"/>
    <w:p>
      <w:pPr>
        <w:spacing w:after="0"/>
        <w:rPr>
          <w:sz w:val="20"/>
          <w:szCs w:val="20"/>
          <w:color w:val="auto"/>
        </w:rPr>
      </w:pPr>
      <w:r>
        <w:rPr>
          <w:rFonts w:ascii="Arial" w:cs="Arial" w:eastAsia="Arial" w:hAnsi="Arial"/>
          <w:sz w:val="27"/>
          <w:szCs w:val="27"/>
          <w:b w:val="1"/>
          <w:bCs w:val="1"/>
          <w:color w:val="EF3729"/>
        </w:rPr>
        <w:t>Board Operations and Governance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of Directors</w:t>
      </w:r>
    </w:p>
    <w:p>
      <w:pPr>
        <w:spacing w:after="0" w:line="72" w:lineRule="exact"/>
        <w:rPr>
          <w:sz w:val="20"/>
          <w:szCs w:val="20"/>
          <w:color w:val="auto"/>
        </w:rPr>
      </w:pPr>
    </w:p>
    <w:p>
      <w:pPr>
        <w:jc w:val="both"/>
        <w:ind w:right="300"/>
        <w:spacing w:after="0" w:line="237" w:lineRule="auto"/>
        <w:rPr>
          <w:sz w:val="20"/>
          <w:szCs w:val="20"/>
          <w:color w:val="auto"/>
        </w:rPr>
      </w:pPr>
      <w:r>
        <w:rPr>
          <w:rFonts w:ascii="Arial" w:cs="Arial" w:eastAsia="Arial" w:hAnsi="Arial"/>
          <w:sz w:val="16"/>
          <w:szCs w:val="16"/>
          <w:color w:val="auto"/>
        </w:rPr>
        <w:t>Each of our directors is elected to serve until his or her successor is duly elected and qualified. If a bona fide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 Biographies</w:t>
      </w:r>
    </w:p>
    <w:p>
      <w:pPr>
        <w:spacing w:after="0" w:line="8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Set forth below is information, as of February 22, 2022, regarding our directors and director nominees, which has been confirmed by each of them for inclusion in this proxy statement. We have provided the most significant experiences, qualifications, attributes, and skills that led to the conclusion that each director or director nominee should serve as a director in light of our business and structure.</w:t>
      </w:r>
    </w:p>
    <w:p>
      <w:pPr>
        <w:spacing w:after="0" w:line="9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Class of 2022</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three directors listed below will seek reelection at the Annual Meeting. See "Item 1. Election of Directors" above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87630</wp:posOffset>
            </wp:positionV>
            <wp:extent cx="702945" cy="702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Ralph Alvarez</w:t>
      </w:r>
    </w:p>
    <w:p>
      <w:pPr>
        <w:spacing w:after="0" w:line="30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66, Director since 2009,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Compensation (chair)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80" w:type="dxa"/>
            <w:vAlign w:val="bottom"/>
            <w:shd w:val="clear" w:color="auto" w:fill="F4F6F6"/>
          </w:tcPr>
          <w:p>
            <w:pPr>
              <w:spacing w:after="0"/>
              <w:rPr>
                <w:sz w:val="17"/>
                <w:szCs w:val="17"/>
                <w:color w:val="auto"/>
              </w:rPr>
            </w:pPr>
          </w:p>
        </w:tc>
        <w:tc>
          <w:tcPr>
            <w:tcW w:w="4620" w:type="dxa"/>
            <w:vAlign w:val="bottom"/>
            <w:shd w:val="clear" w:color="auto" w:fill="F4F6F6"/>
          </w:tcPr>
          <w:p>
            <w:pPr>
              <w:spacing w:after="0"/>
              <w:rPr>
                <w:sz w:val="17"/>
                <w:szCs w:val="17"/>
                <w:color w:val="auto"/>
              </w:rPr>
            </w:pPr>
          </w:p>
        </w:tc>
        <w:tc>
          <w:tcPr>
            <w:tcW w:w="3220" w:type="dxa"/>
            <w:vAlign w:val="bottom"/>
            <w:shd w:val="clear" w:color="auto" w:fill="F4F6F6"/>
          </w:tcPr>
          <w:p>
            <w:pPr>
              <w:ind w:left="580"/>
              <w:spacing w:after="0"/>
              <w:rPr>
                <w:sz w:val="20"/>
                <w:szCs w:val="20"/>
                <w:color w:val="auto"/>
              </w:rPr>
            </w:pPr>
            <w:r>
              <w:rPr>
                <w:rFonts w:ascii="Arial" w:cs="Arial" w:eastAsia="Arial" w:hAnsi="Arial"/>
                <w:sz w:val="16"/>
                <w:szCs w:val="16"/>
                <w:b w:val="1"/>
                <w:bCs w:val="1"/>
                <w:color w:val="00A1DE"/>
              </w:rPr>
              <w:t>MEMBERSHIPS + OTHER</w:t>
            </w:r>
          </w:p>
        </w:tc>
      </w:tr>
      <w:tr>
        <w:trPr>
          <w:trHeight w:val="234"/>
        </w:trPr>
        <w:tc>
          <w:tcPr>
            <w:tcW w:w="338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4620" w:type="dxa"/>
            <w:vAlign w:val="bottom"/>
            <w:shd w:val="clear" w:color="auto" w:fill="F4F6F6"/>
          </w:tcPr>
          <w:p>
            <w:pPr>
              <w:ind w:left="240"/>
              <w:spacing w:after="0"/>
              <w:rPr>
                <w:sz w:val="20"/>
                <w:szCs w:val="20"/>
                <w:color w:val="auto"/>
              </w:rPr>
            </w:pPr>
            <w:r>
              <w:rPr>
                <w:rFonts w:ascii="Arial" w:cs="Arial" w:eastAsia="Arial" w:hAnsi="Arial"/>
                <w:sz w:val="16"/>
                <w:szCs w:val="16"/>
                <w:b w:val="1"/>
                <w:bCs w:val="1"/>
                <w:color w:val="00A1DE"/>
              </w:rPr>
              <w:t>PRIOR PUBLIC BOARDS</w:t>
            </w:r>
          </w:p>
        </w:tc>
        <w:tc>
          <w:tcPr>
            <w:tcW w:w="3220" w:type="dxa"/>
            <w:vAlign w:val="bottom"/>
            <w:shd w:val="clear" w:color="auto" w:fill="F4F6F6"/>
          </w:tcPr>
          <w:p>
            <w:pPr>
              <w:ind w:left="580"/>
              <w:spacing w:after="0"/>
              <w:rPr>
                <w:sz w:val="20"/>
                <w:szCs w:val="20"/>
                <w:color w:val="auto"/>
              </w:rPr>
            </w:pPr>
            <w:r>
              <w:rPr>
                <w:rFonts w:ascii="Arial" w:cs="Arial" w:eastAsia="Arial" w:hAnsi="Arial"/>
                <w:sz w:val="16"/>
                <w:szCs w:val="16"/>
                <w:b w:val="1"/>
                <w:bCs w:val="1"/>
                <w:color w:val="00A1DE"/>
              </w:rPr>
              <w:t>ORGANIZATIONS</w:t>
            </w:r>
          </w:p>
        </w:tc>
      </w:tr>
      <w:tr>
        <w:trPr>
          <w:trHeight w:val="218"/>
        </w:trPr>
        <w:tc>
          <w:tcPr>
            <w:tcW w:w="3380" w:type="dxa"/>
            <w:vAlign w:val="bottom"/>
          </w:tcPr>
          <w:p>
            <w:pPr>
              <w:ind w:left="20"/>
              <w:spacing w:after="0"/>
              <w:rPr>
                <w:sz w:val="20"/>
                <w:szCs w:val="20"/>
                <w:color w:val="auto"/>
              </w:rPr>
            </w:pPr>
            <w:r>
              <w:rPr>
                <w:rFonts w:ascii="Arial" w:cs="Arial" w:eastAsia="Arial" w:hAnsi="Arial"/>
                <w:sz w:val="16"/>
                <w:szCs w:val="16"/>
                <w:color w:val="auto"/>
              </w:rPr>
              <w:t>Lowe's Companies, Inc.; Traeger, Inc.; First</w:t>
            </w:r>
          </w:p>
        </w:tc>
        <w:tc>
          <w:tcPr>
            <w:tcW w:w="4620" w:type="dxa"/>
            <w:vAlign w:val="bottom"/>
          </w:tcPr>
          <w:p>
            <w:pPr>
              <w:ind w:left="240"/>
              <w:spacing w:after="0"/>
              <w:rPr>
                <w:sz w:val="20"/>
                <w:szCs w:val="20"/>
                <w:color w:val="auto"/>
              </w:rPr>
            </w:pPr>
            <w:r>
              <w:rPr>
                <w:rFonts w:ascii="Arial" w:cs="Arial" w:eastAsia="Arial" w:hAnsi="Arial"/>
                <w:sz w:val="16"/>
                <w:szCs w:val="16"/>
                <w:color w:val="auto"/>
              </w:rPr>
              <w:t>Dunkin’ Brands Group, Inc.; McDonald's Corporation;</w:t>
            </w:r>
          </w:p>
        </w:tc>
        <w:tc>
          <w:tcPr>
            <w:tcW w:w="3220" w:type="dxa"/>
            <w:vAlign w:val="bottom"/>
          </w:tcPr>
          <w:p>
            <w:pPr>
              <w:ind w:left="580"/>
              <w:spacing w:after="0"/>
              <w:rPr>
                <w:sz w:val="20"/>
                <w:szCs w:val="20"/>
                <w:color w:val="auto"/>
              </w:rPr>
            </w:pPr>
            <w:r>
              <w:rPr>
                <w:rFonts w:ascii="Arial" w:cs="Arial" w:eastAsia="Arial" w:hAnsi="Arial"/>
                <w:sz w:val="16"/>
                <w:szCs w:val="16"/>
                <w:color w:val="auto"/>
              </w:rPr>
              <w:t>University of Miami President's</w:t>
            </w:r>
          </w:p>
        </w:tc>
      </w:tr>
      <w:tr>
        <w:trPr>
          <w:trHeight w:val="222"/>
        </w:trPr>
        <w:tc>
          <w:tcPr>
            <w:tcW w:w="3380" w:type="dxa"/>
            <w:vAlign w:val="bottom"/>
          </w:tcPr>
          <w:p>
            <w:pPr>
              <w:ind w:left="20"/>
              <w:spacing w:after="0"/>
              <w:rPr>
                <w:sz w:val="20"/>
                <w:szCs w:val="20"/>
                <w:color w:val="auto"/>
              </w:rPr>
            </w:pPr>
            <w:r>
              <w:rPr>
                <w:rFonts w:ascii="Arial" w:cs="Arial" w:eastAsia="Arial" w:hAnsi="Arial"/>
                <w:sz w:val="16"/>
                <w:szCs w:val="16"/>
                <w:color w:val="auto"/>
              </w:rPr>
              <w:t>Watch Restaurant Group, Inc.</w:t>
            </w:r>
          </w:p>
        </w:tc>
        <w:tc>
          <w:tcPr>
            <w:tcW w:w="4620" w:type="dxa"/>
            <w:vAlign w:val="bottom"/>
          </w:tcPr>
          <w:p>
            <w:pPr>
              <w:ind w:left="240"/>
              <w:spacing w:after="0"/>
              <w:rPr>
                <w:sz w:val="20"/>
                <w:szCs w:val="20"/>
                <w:color w:val="auto"/>
              </w:rPr>
            </w:pPr>
            <w:r>
              <w:rPr>
                <w:rFonts w:ascii="Arial" w:cs="Arial" w:eastAsia="Arial" w:hAnsi="Arial"/>
                <w:sz w:val="16"/>
                <w:szCs w:val="16"/>
                <w:color w:val="auto"/>
              </w:rPr>
              <w:t>KeyCorp; Skylark Co., Ltd.; Realogy Holdings Corp.</w:t>
            </w:r>
          </w:p>
        </w:tc>
        <w:tc>
          <w:tcPr>
            <w:tcW w:w="3220" w:type="dxa"/>
            <w:vAlign w:val="bottom"/>
          </w:tcPr>
          <w:p>
            <w:pPr>
              <w:ind w:left="580"/>
              <w:spacing w:after="0"/>
              <w:rPr>
                <w:sz w:val="20"/>
                <w:szCs w:val="20"/>
                <w:color w:val="auto"/>
              </w:rPr>
            </w:pPr>
            <w:r>
              <w:rPr>
                <w:rFonts w:ascii="Arial" w:cs="Arial" w:eastAsia="Arial" w:hAnsi="Arial"/>
                <w:sz w:val="16"/>
                <w:szCs w:val="16"/>
                <w:color w:val="auto"/>
              </w:rPr>
              <w:t>Council</w:t>
            </w:r>
          </w:p>
        </w:tc>
      </w:tr>
      <w:tr>
        <w:trPr>
          <w:trHeight w:val="128"/>
        </w:trPr>
        <w:tc>
          <w:tcPr>
            <w:tcW w:w="33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43"/>
        </w:trPr>
        <w:tc>
          <w:tcPr>
            <w:tcW w:w="338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4620" w:type="dxa"/>
            <w:vAlign w:val="bottom"/>
            <w:shd w:val="clear" w:color="auto" w:fill="F4F6F6"/>
          </w:tcPr>
          <w:p>
            <w:pPr>
              <w:spacing w:after="0"/>
              <w:rPr>
                <w:sz w:val="21"/>
                <w:szCs w:val="21"/>
                <w:color w:val="auto"/>
              </w:rPr>
            </w:pPr>
          </w:p>
        </w:tc>
        <w:tc>
          <w:tcPr>
            <w:tcW w:w="322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40" w:hanging="114"/>
        <w:spacing w:after="0"/>
        <w:tabs>
          <w:tab w:leader="none" w:pos="1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Operating Partner (2017 - present)</w:t>
      </w:r>
    </w:p>
    <w:p>
      <w:pPr>
        <w:spacing w:after="0" w:line="192" w:lineRule="exact"/>
        <w:rPr>
          <w:rFonts w:ascii="Arial" w:cs="Arial" w:eastAsia="Arial" w:hAnsi="Arial"/>
          <w:sz w:val="16"/>
          <w:szCs w:val="16"/>
          <w:color w:val="auto"/>
        </w:rPr>
      </w:pPr>
    </w:p>
    <w:p>
      <w:pPr>
        <w:ind w:left="140" w:hanging="114"/>
        <w:spacing w:after="0"/>
        <w:tabs>
          <w:tab w:leader="none" w:pos="1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Skylark Co., Ltd., </w:t>
      </w:r>
      <w:r>
        <w:rPr>
          <w:rFonts w:ascii="Arial" w:cs="Arial" w:eastAsia="Arial" w:hAnsi="Arial"/>
          <w:sz w:val="16"/>
          <w:szCs w:val="16"/>
          <w:color w:val="auto"/>
        </w:rPr>
        <w:t>a leading restaurant operator in Japan</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Chairman of the Board (2013 - 2018)</w:t>
      </w:r>
    </w:p>
    <w:p>
      <w:pPr>
        <w:spacing w:after="0" w:line="192" w:lineRule="exact"/>
        <w:rPr>
          <w:rFonts w:ascii="Arial" w:cs="Arial" w:eastAsia="Arial" w:hAnsi="Arial"/>
          <w:sz w:val="16"/>
          <w:szCs w:val="16"/>
          <w:color w:val="auto"/>
        </w:rPr>
      </w:pPr>
    </w:p>
    <w:p>
      <w:pPr>
        <w:ind w:left="140" w:hanging="114"/>
        <w:spacing w:after="0"/>
        <w:tabs>
          <w:tab w:leader="none" w:pos="1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McDonald's Corporation, </w:t>
      </w:r>
      <w:r>
        <w:rPr>
          <w:rFonts w:ascii="Arial" w:cs="Arial" w:eastAsia="Arial" w:hAnsi="Arial"/>
          <w:sz w:val="16"/>
          <w:szCs w:val="16"/>
          <w:color w:val="auto"/>
        </w:rPr>
        <w:t>a leading global foodservice retailer</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President and Chief Operating Officer (2006 - 2009)</w:t>
      </w:r>
    </w:p>
    <w:p>
      <w:pPr>
        <w:spacing w:after="0" w:line="3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b w:val="1"/>
          <w:bCs w:val="1"/>
          <w:color w:val="00A1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234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59" w:lineRule="exact"/>
        <w:rPr>
          <w:sz w:val="20"/>
          <w:szCs w:val="20"/>
          <w:color w:val="auto"/>
        </w:rPr>
      </w:pPr>
    </w:p>
    <w:p>
      <w:pPr>
        <w:ind w:left="20" w:right="100"/>
        <w:spacing w:after="0" w:line="250" w:lineRule="auto"/>
        <w:rPr>
          <w:sz w:val="20"/>
          <w:szCs w:val="20"/>
          <w:color w:val="auto"/>
        </w:rPr>
      </w:pPr>
      <w:r>
        <w:rPr>
          <w:rFonts w:ascii="Arial" w:cs="Arial" w:eastAsia="Arial" w:hAnsi="Arial"/>
          <w:sz w:val="16"/>
          <w:szCs w:val="16"/>
          <w:color w:val="auto"/>
        </w:rPr>
        <w:t>Through his positions at Skylark Co., Ltd. and McDonald’s Corporation, as well as with other global restaurant businesses, Mr. Alvarez has extensive experience in consumer marketing, global operations, international business, and strategic planning. Mr. Alvarez is an audit committee financial expert based on his public company experience, including his prior audit committee service on the Lowe’s board of directors. His international experience includes a special focus on Japan and emerging markets. He also has extensive corporate governance experience through his service on other public company boards as well as several private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20" w:top="982" w:right="359" w:bottom="1440" w:gutter="0" w:footer="0" w:header="0"/>
        </w:sectPr>
      </w:pPr>
    </w:p>
    <w:bookmarkStart w:id="17" w:name="page18"/>
    <w:bookmarkEnd w:id="17"/>
    <w:p>
      <w:pPr>
        <w:ind w:left="162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370840</wp:posOffset>
            </wp:positionH>
            <wp:positionV relativeFrom="page">
              <wp:posOffset>517525</wp:posOffset>
            </wp:positionV>
            <wp:extent cx="702945" cy="702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t>Kimberly H. Johnson</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Age: 49, Director since 2021,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709803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NON-PROFIT BOARDS + OTHER ORGANIZATIONS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Princeton University, Trustee; Share Our Strength, Director; Planet Word,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70980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CAREER HIGHLIGHTS</w:t>
      </w:r>
    </w:p>
    <w:p>
      <w:pPr>
        <w:spacing w:after="0" w:line="213" w:lineRule="exact"/>
        <w:rPr>
          <w:sz w:val="20"/>
          <w:szCs w:val="20"/>
          <w:color w:val="auto"/>
        </w:rPr>
      </w:pPr>
    </w:p>
    <w:p>
      <w:pPr>
        <w:ind w:left="140" w:hanging="107"/>
        <w:spacing w:after="0"/>
        <w:tabs>
          <w:tab w:leader="none" w:pos="1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Federal National Mortgage Association (Fannie Mae), </w:t>
      </w:r>
      <w:r>
        <w:rPr>
          <w:rFonts w:ascii="Arial" w:cs="Arial" w:eastAsia="Arial" w:hAnsi="Arial"/>
          <w:sz w:val="16"/>
          <w:szCs w:val="16"/>
          <w:color w:val="auto"/>
        </w:rPr>
        <w:t>provider of affordable mortgage financing in the United States</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Executive Vice President and Chief Operating Officer (2018 - present)</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Executive Vice President and Chief Risk Officer (2017 - 2018)</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Senior Vice President and Chief Risk Officer (2015 - 2017)</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Senior Vice President and Deputy Chief Risk Officer (2013 - 2015)</w:t>
      </w:r>
    </w:p>
    <w:p>
      <w:pPr>
        <w:spacing w:after="0" w:line="192" w:lineRule="exact"/>
        <w:rPr>
          <w:rFonts w:ascii="Arial" w:cs="Arial" w:eastAsia="Arial" w:hAnsi="Arial"/>
          <w:sz w:val="16"/>
          <w:szCs w:val="16"/>
          <w:color w:val="auto"/>
        </w:rPr>
      </w:pPr>
    </w:p>
    <w:p>
      <w:pPr>
        <w:ind w:left="140" w:hanging="107"/>
        <w:spacing w:after="0"/>
        <w:tabs>
          <w:tab w:leader="none" w:pos="1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Credit Suisse AG, </w:t>
      </w:r>
      <w:r>
        <w:rPr>
          <w:rFonts w:ascii="Arial" w:cs="Arial" w:eastAsia="Arial" w:hAnsi="Arial"/>
          <w:sz w:val="16"/>
          <w:szCs w:val="16"/>
          <w:color w:val="auto"/>
        </w:rPr>
        <w:t>a global wealth manager, investment bank, and financial services firm founded and based in Switzerland</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Director, Interest Rate Derivative Products (2005 - 2006)</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Vice President (2002 - 2004)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709803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66" w:lineRule="exact"/>
        <w:rPr>
          <w:sz w:val="20"/>
          <w:szCs w:val="20"/>
          <w:color w:val="auto"/>
        </w:rPr>
      </w:pPr>
    </w:p>
    <w:p>
      <w:pPr>
        <w:ind w:left="40" w:right="340"/>
        <w:spacing w:after="0" w:line="242" w:lineRule="auto"/>
        <w:rPr>
          <w:sz w:val="20"/>
          <w:szCs w:val="20"/>
          <w:color w:val="auto"/>
        </w:rPr>
      </w:pPr>
      <w:r>
        <w:rPr>
          <w:rFonts w:ascii="Arial" w:cs="Arial" w:eastAsia="Arial" w:hAnsi="Arial"/>
          <w:sz w:val="16"/>
          <w:szCs w:val="16"/>
          <w:color w:val="auto"/>
        </w:rPr>
        <w:t>Through her roles at Fannie Mae, where she also serves on the management committee, Ms. Johnson brings to the board significant financial expertise and a strong background in technology, governance, and strategy for global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423545</wp:posOffset>
            </wp:positionV>
            <wp:extent cx="702945" cy="702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spacing w:after="0"/>
        <w:rPr>
          <w:sz w:val="20"/>
          <w:szCs w:val="20"/>
          <w:color w:val="auto"/>
        </w:rPr>
      </w:pPr>
      <w:r>
        <w:rPr>
          <w:rFonts w:ascii="Arial" w:cs="Arial" w:eastAsia="Arial" w:hAnsi="Arial"/>
          <w:sz w:val="27"/>
          <w:szCs w:val="27"/>
          <w:b w:val="1"/>
          <w:bCs w:val="1"/>
          <w:color w:val="EF3729"/>
        </w:rPr>
        <w:t>Juan R. Luciano</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Age: 60, Director since 2016, Lead Independent Director since 2019,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Directors and Corporate Governance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shd w:val="clear" w:color="auto" w:fill="F4F6F6"/>
          </w:tcPr>
          <w:p>
            <w:pPr>
              <w:spacing w:after="0"/>
              <w:rPr>
                <w:sz w:val="17"/>
                <w:szCs w:val="17"/>
                <w:color w:val="auto"/>
              </w:rPr>
            </w:pPr>
          </w:p>
        </w:tc>
        <w:tc>
          <w:tcPr>
            <w:tcW w:w="5140" w:type="dxa"/>
            <w:vAlign w:val="bottom"/>
            <w:shd w:val="clear" w:color="auto" w:fill="F4F6F6"/>
          </w:tcPr>
          <w:p>
            <w:pPr>
              <w:spacing w:after="0"/>
              <w:rPr>
                <w:sz w:val="17"/>
                <w:szCs w:val="17"/>
                <w:color w:val="auto"/>
              </w:rPr>
            </w:pPr>
          </w:p>
        </w:tc>
        <w:tc>
          <w:tcPr>
            <w:tcW w:w="3080" w:type="dxa"/>
            <w:vAlign w:val="bottom"/>
            <w:shd w:val="clear" w:color="auto" w:fill="F4F6F6"/>
          </w:tcPr>
          <w:p>
            <w:pPr>
              <w:ind w:left="60"/>
              <w:spacing w:after="0"/>
              <w:rPr>
                <w:sz w:val="20"/>
                <w:szCs w:val="20"/>
                <w:color w:val="auto"/>
              </w:rPr>
            </w:pPr>
            <w:r>
              <w:rPr>
                <w:rFonts w:ascii="Arial" w:cs="Arial" w:eastAsia="Arial" w:hAnsi="Arial"/>
                <w:sz w:val="16"/>
                <w:szCs w:val="16"/>
                <w:b w:val="1"/>
                <w:bCs w:val="1"/>
                <w:color w:val="00A1DE"/>
              </w:rPr>
              <w:t>MEMBERSHIPS + OTHER</w:t>
            </w:r>
          </w:p>
        </w:tc>
      </w:tr>
      <w:tr>
        <w:trPr>
          <w:trHeight w:val="234"/>
        </w:trPr>
        <w:tc>
          <w:tcPr>
            <w:tcW w:w="300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5140" w:type="dxa"/>
            <w:vAlign w:val="bottom"/>
            <w:shd w:val="clear" w:color="auto" w:fill="F4F6F6"/>
          </w:tcPr>
          <w:p>
            <w:pPr>
              <w:ind w:left="580"/>
              <w:spacing w:after="0"/>
              <w:rPr>
                <w:sz w:val="20"/>
                <w:szCs w:val="20"/>
                <w:color w:val="auto"/>
              </w:rPr>
            </w:pPr>
            <w:r>
              <w:rPr>
                <w:rFonts w:ascii="Arial" w:cs="Arial" w:eastAsia="Arial" w:hAnsi="Arial"/>
                <w:sz w:val="16"/>
                <w:szCs w:val="16"/>
                <w:b w:val="1"/>
                <w:bCs w:val="1"/>
                <w:color w:val="00A1DE"/>
              </w:rPr>
              <w:t>NON-PROFIT BOARDS</w:t>
            </w:r>
          </w:p>
        </w:tc>
        <w:tc>
          <w:tcPr>
            <w:tcW w:w="3080" w:type="dxa"/>
            <w:vAlign w:val="bottom"/>
            <w:shd w:val="clear" w:color="auto" w:fill="F4F6F6"/>
          </w:tcPr>
          <w:p>
            <w:pPr>
              <w:ind w:left="60"/>
              <w:spacing w:after="0"/>
              <w:rPr>
                <w:sz w:val="20"/>
                <w:szCs w:val="20"/>
                <w:color w:val="auto"/>
              </w:rPr>
            </w:pPr>
            <w:r>
              <w:rPr>
                <w:rFonts w:ascii="Arial" w:cs="Arial" w:eastAsia="Arial" w:hAnsi="Arial"/>
                <w:sz w:val="16"/>
                <w:szCs w:val="16"/>
                <w:b w:val="1"/>
                <w:bCs w:val="1"/>
                <w:color w:val="00A1DE"/>
              </w:rPr>
              <w:t>ORGANIZATIONS</w:t>
            </w:r>
          </w:p>
        </w:tc>
      </w:tr>
      <w:tr>
        <w:trPr>
          <w:trHeight w:val="177"/>
        </w:trPr>
        <w:tc>
          <w:tcPr>
            <w:tcW w:w="3000" w:type="dxa"/>
            <w:vAlign w:val="bottom"/>
          </w:tcPr>
          <w:p>
            <w:pPr>
              <w:ind w:left="20"/>
              <w:spacing w:after="0" w:line="178" w:lineRule="exact"/>
              <w:rPr>
                <w:sz w:val="20"/>
                <w:szCs w:val="20"/>
                <w:color w:val="auto"/>
              </w:rPr>
            </w:pPr>
            <w:r>
              <w:rPr>
                <w:rFonts w:ascii="Arial" w:cs="Arial" w:eastAsia="Arial" w:hAnsi="Arial"/>
                <w:sz w:val="16"/>
                <w:szCs w:val="16"/>
                <w:color w:val="auto"/>
              </w:rPr>
              <w:t>Archer-Daniels-Midland Company</w:t>
            </w:r>
          </w:p>
        </w:tc>
        <w:tc>
          <w:tcPr>
            <w:tcW w:w="5140" w:type="dxa"/>
            <w:vAlign w:val="bottom"/>
          </w:tcPr>
          <w:p>
            <w:pPr>
              <w:ind w:left="580"/>
              <w:spacing w:after="0" w:line="178" w:lineRule="exact"/>
              <w:rPr>
                <w:sz w:val="20"/>
                <w:szCs w:val="20"/>
                <w:color w:val="auto"/>
              </w:rPr>
            </w:pPr>
            <w:r>
              <w:rPr>
                <w:rFonts w:ascii="Arial" w:cs="Arial" w:eastAsia="Arial" w:hAnsi="Arial"/>
                <w:sz w:val="16"/>
                <w:szCs w:val="16"/>
                <w:color w:val="auto"/>
              </w:rPr>
              <w:t>Intersect Illinois; Kellogg School of Management, Northwestern</w:t>
            </w:r>
          </w:p>
        </w:tc>
        <w:tc>
          <w:tcPr>
            <w:tcW w:w="3080" w:type="dxa"/>
            <w:vAlign w:val="bottom"/>
          </w:tcPr>
          <w:p>
            <w:pPr>
              <w:ind w:left="60"/>
              <w:spacing w:after="0" w:line="178" w:lineRule="exact"/>
              <w:rPr>
                <w:sz w:val="20"/>
                <w:szCs w:val="20"/>
                <w:color w:val="auto"/>
              </w:rPr>
            </w:pPr>
            <w:r>
              <w:rPr>
                <w:rFonts w:ascii="Arial" w:cs="Arial" w:eastAsia="Arial" w:hAnsi="Arial"/>
                <w:sz w:val="16"/>
                <w:szCs w:val="16"/>
                <w:color w:val="auto"/>
              </w:rPr>
              <w:t>Economic Club of Chicago; Commercial</w:t>
            </w:r>
          </w:p>
        </w:tc>
      </w:tr>
      <w:tr>
        <w:trPr>
          <w:trHeight w:val="189"/>
        </w:trPr>
        <w:tc>
          <w:tcPr>
            <w:tcW w:w="3000" w:type="dxa"/>
            <w:vAlign w:val="bottom"/>
          </w:tcPr>
          <w:p>
            <w:pPr>
              <w:spacing w:after="0"/>
              <w:rPr>
                <w:sz w:val="16"/>
                <w:szCs w:val="16"/>
                <w:color w:val="auto"/>
              </w:rPr>
            </w:pPr>
          </w:p>
        </w:tc>
        <w:tc>
          <w:tcPr>
            <w:tcW w:w="5140" w:type="dxa"/>
            <w:vAlign w:val="bottom"/>
          </w:tcPr>
          <w:p>
            <w:pPr>
              <w:ind w:left="580"/>
              <w:spacing w:after="0"/>
              <w:rPr>
                <w:sz w:val="20"/>
                <w:szCs w:val="20"/>
                <w:color w:val="auto"/>
              </w:rPr>
            </w:pPr>
            <w:r>
              <w:rPr>
                <w:rFonts w:ascii="Arial" w:cs="Arial" w:eastAsia="Arial" w:hAnsi="Arial"/>
                <w:sz w:val="16"/>
                <w:szCs w:val="16"/>
                <w:color w:val="auto"/>
              </w:rPr>
              <w:t>University; Rush University Medical Center Board of Trustees</w:t>
            </w:r>
          </w:p>
        </w:tc>
        <w:tc>
          <w:tcPr>
            <w:tcW w:w="3080" w:type="dxa"/>
            <w:vAlign w:val="bottom"/>
          </w:tcPr>
          <w:p>
            <w:pPr>
              <w:ind w:left="60"/>
              <w:spacing w:after="0"/>
              <w:rPr>
                <w:sz w:val="20"/>
                <w:szCs w:val="20"/>
                <w:color w:val="auto"/>
              </w:rPr>
            </w:pPr>
            <w:r>
              <w:rPr>
                <w:rFonts w:ascii="Arial" w:cs="Arial" w:eastAsia="Arial" w:hAnsi="Arial"/>
                <w:sz w:val="16"/>
                <w:szCs w:val="16"/>
                <w:color w:val="auto"/>
              </w:rPr>
              <w:t>Club of Chicago; The Business</w:t>
            </w:r>
          </w:p>
        </w:tc>
      </w:tr>
      <w:tr>
        <w:trPr>
          <w:trHeight w:val="204"/>
        </w:trPr>
        <w:tc>
          <w:tcPr>
            <w:tcW w:w="30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080" w:type="dxa"/>
            <w:vAlign w:val="bottom"/>
          </w:tcPr>
          <w:p>
            <w:pPr>
              <w:ind w:left="60"/>
              <w:spacing w:after="0"/>
              <w:rPr>
                <w:sz w:val="20"/>
                <w:szCs w:val="20"/>
                <w:color w:val="auto"/>
              </w:rPr>
            </w:pPr>
            <w:r>
              <w:rPr>
                <w:rFonts w:ascii="Arial" w:cs="Arial" w:eastAsia="Arial" w:hAnsi="Arial"/>
                <w:sz w:val="16"/>
                <w:szCs w:val="16"/>
                <w:color w:val="auto"/>
              </w:rPr>
              <w:t>Roundtable</w:t>
            </w:r>
          </w:p>
        </w:tc>
      </w:tr>
      <w:tr>
        <w:trPr>
          <w:trHeight w:val="253"/>
        </w:trPr>
        <w:tc>
          <w:tcPr>
            <w:tcW w:w="300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5140" w:type="dxa"/>
            <w:vAlign w:val="bottom"/>
            <w:shd w:val="clear" w:color="auto" w:fill="F4F6F6"/>
          </w:tcPr>
          <w:p>
            <w:pPr>
              <w:spacing w:after="0"/>
              <w:rPr>
                <w:sz w:val="21"/>
                <w:szCs w:val="21"/>
                <w:color w:val="auto"/>
              </w:rPr>
            </w:pPr>
          </w:p>
        </w:tc>
        <w:tc>
          <w:tcPr>
            <w:tcW w:w="308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20" w:hanging="107"/>
        <w:spacing w:after="0"/>
        <w:tabs>
          <w:tab w:leader="none" w:pos="1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Archer-Daniels-Midland Company, </w:t>
      </w:r>
      <w:r>
        <w:rPr>
          <w:rFonts w:ascii="Arial" w:cs="Arial" w:eastAsia="Arial" w:hAnsi="Arial"/>
          <w:sz w:val="16"/>
          <w:szCs w:val="16"/>
          <w:color w:val="auto"/>
        </w:rPr>
        <w:t>a global food-processing and commodities-trading company</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Chairman (2016 - present)</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Chief Executive Officer and President (2015 - present)</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President (2014 - 2015)</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 Vice President and Chief Operating Officer (2011 - 2014)</w:t>
      </w:r>
    </w:p>
    <w:p>
      <w:pPr>
        <w:spacing w:after="0" w:line="192" w:lineRule="exact"/>
        <w:rPr>
          <w:rFonts w:ascii="Arial" w:cs="Arial" w:eastAsia="Arial" w:hAnsi="Arial"/>
          <w:sz w:val="16"/>
          <w:szCs w:val="16"/>
          <w:color w:val="auto"/>
        </w:rPr>
      </w:pPr>
    </w:p>
    <w:p>
      <w:pPr>
        <w:ind w:left="120" w:hanging="107"/>
        <w:spacing w:after="0"/>
        <w:tabs>
          <w:tab w:leader="none" w:pos="1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Dow Chemical Company, </w:t>
      </w:r>
      <w:r>
        <w:rPr>
          <w:rFonts w:ascii="Arial" w:cs="Arial" w:eastAsia="Arial" w:hAnsi="Arial"/>
          <w:sz w:val="16"/>
          <w:szCs w:val="16"/>
          <w:color w:val="auto"/>
        </w:rPr>
        <w:t>a multinational chemical company</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 Vice President and President, Performance Division (2010 - 2011)</w:t>
      </w:r>
    </w:p>
    <w:p>
      <w:pPr>
        <w:spacing w:after="0" w:line="3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b w:val="1"/>
          <w:bCs w:val="1"/>
          <w:color w:val="00A1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234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46" w:lineRule="exact"/>
        <w:rPr>
          <w:sz w:val="20"/>
          <w:szCs w:val="20"/>
          <w:color w:val="auto"/>
        </w:rPr>
      </w:pPr>
    </w:p>
    <w:p>
      <w:pPr>
        <w:jc w:val="both"/>
        <w:ind w:left="20" w:right="300"/>
        <w:spacing w:after="0" w:line="237" w:lineRule="auto"/>
        <w:rPr>
          <w:sz w:val="20"/>
          <w:szCs w:val="20"/>
          <w:color w:val="auto"/>
        </w:rPr>
      </w:pPr>
      <w:r>
        <w:rPr>
          <w:rFonts w:ascii="Arial" w:cs="Arial" w:eastAsia="Arial" w:hAnsi="Arial"/>
          <w:sz w:val="16"/>
          <w:szCs w:val="16"/>
          <w:color w:val="auto"/>
        </w:rPr>
        <w:t>Mr. Luciano has chief executive officer and global business experience with Archer-Daniels-Midland Company, where he has established a reputation for strong results-oriented and strategic leadership, as well as many years of global leadership experience at The Dow Chemical Company. He brings to the board a strong technology and operations background, along with expertise in the highly regulated food and agriculture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40" w:top="1211"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b w:val="1"/>
          <w:bCs w:val="1"/>
          <w:color w:val="1CA8E1"/>
        </w:rPr>
        <w:t>Class of 2023</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five directors are serving terms that will expire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87630</wp:posOffset>
            </wp:positionV>
            <wp:extent cx="702945" cy="702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00"/>
        <w:spacing w:after="0"/>
        <w:rPr>
          <w:sz w:val="20"/>
          <w:szCs w:val="20"/>
          <w:color w:val="auto"/>
        </w:rPr>
      </w:pPr>
      <w:r>
        <w:rPr>
          <w:rFonts w:ascii="Arial" w:cs="Arial" w:eastAsia="Arial" w:hAnsi="Arial"/>
          <w:sz w:val="27"/>
          <w:szCs w:val="27"/>
          <w:b w:val="1"/>
          <w:bCs w:val="1"/>
          <w:color w:val="EF3729"/>
        </w:rPr>
        <w:t>Michael L. Eskew*</w:t>
      </w:r>
    </w:p>
    <w:p>
      <w:pPr>
        <w:spacing w:after="0" w:line="30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72, Director since 2008,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Directors and Corporate Governance (chair)</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8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6400" w:type="dxa"/>
            <w:vAlign w:val="bottom"/>
            <w:shd w:val="clear" w:color="auto" w:fill="F4F6F6"/>
          </w:tcPr>
          <w:p>
            <w:pPr>
              <w:ind w:left="580"/>
              <w:spacing w:after="0"/>
              <w:rPr>
                <w:sz w:val="20"/>
                <w:szCs w:val="20"/>
                <w:color w:val="auto"/>
              </w:rPr>
            </w:pPr>
            <w:r>
              <w:rPr>
                <w:rFonts w:ascii="Arial" w:cs="Arial" w:eastAsia="Arial" w:hAnsi="Arial"/>
                <w:sz w:val="16"/>
                <w:szCs w:val="16"/>
                <w:b w:val="1"/>
                <w:bCs w:val="1"/>
                <w:color w:val="00A1DE"/>
              </w:rPr>
              <w:t>NON-PROFIT BOARDS</w:t>
            </w:r>
          </w:p>
        </w:tc>
      </w:tr>
      <w:tr>
        <w:trPr>
          <w:trHeight w:val="220"/>
        </w:trPr>
        <w:tc>
          <w:tcPr>
            <w:tcW w:w="4820" w:type="dxa"/>
            <w:vAlign w:val="bottom"/>
          </w:tcPr>
          <w:p>
            <w:pPr>
              <w:ind w:left="20"/>
              <w:spacing w:after="0"/>
              <w:rPr>
                <w:sz w:val="20"/>
                <w:szCs w:val="20"/>
                <w:color w:val="auto"/>
              </w:rPr>
            </w:pPr>
            <w:r>
              <w:rPr>
                <w:rFonts w:ascii="Arial" w:cs="Arial" w:eastAsia="Arial" w:hAnsi="Arial"/>
                <w:sz w:val="16"/>
                <w:szCs w:val="16"/>
                <w:color w:val="auto"/>
              </w:rPr>
              <w:t>3M Corporation; IBM Corporation; The Allstate Corporation</w:t>
            </w:r>
          </w:p>
        </w:tc>
        <w:tc>
          <w:tcPr>
            <w:tcW w:w="6400" w:type="dxa"/>
            <w:vAlign w:val="bottom"/>
          </w:tcPr>
          <w:p>
            <w:pPr>
              <w:ind w:left="580"/>
              <w:spacing w:after="0"/>
              <w:rPr>
                <w:sz w:val="20"/>
                <w:szCs w:val="20"/>
                <w:color w:val="auto"/>
              </w:rPr>
            </w:pPr>
            <w:r>
              <w:rPr>
                <w:rFonts w:ascii="Arial" w:cs="Arial" w:eastAsia="Arial" w:hAnsi="Arial"/>
                <w:sz w:val="16"/>
                <w:szCs w:val="16"/>
                <w:color w:val="auto"/>
              </w:rPr>
              <w:t>Chairman of the board of trustees of The Annie E. Casey Foundation</w:t>
            </w:r>
          </w:p>
        </w:tc>
      </w:tr>
      <w:tr>
        <w:trPr>
          <w:trHeight w:val="253"/>
        </w:trPr>
        <w:tc>
          <w:tcPr>
            <w:tcW w:w="48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640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40" w:hanging="107"/>
        <w:spacing w:after="0"/>
        <w:tabs>
          <w:tab w:leader="none" w:pos="14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United Parcel Service, Inc. (UPS), </w:t>
      </w:r>
      <w:r>
        <w:rPr>
          <w:rFonts w:ascii="Arial" w:cs="Arial" w:eastAsia="Arial" w:hAnsi="Arial"/>
          <w:sz w:val="16"/>
          <w:szCs w:val="16"/>
          <w:color w:val="auto"/>
        </w:rPr>
        <w:t>a global shipping and logistics company</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UPS Board of Directors (1998 - 2014)</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Chairman and Chief Executive Officer (2002 - 2007)</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Vice Chairman (2000 - 2002)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2343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40" w:right="100"/>
        <w:spacing w:after="0" w:line="251" w:lineRule="auto"/>
        <w:rPr>
          <w:sz w:val="20"/>
          <w:szCs w:val="20"/>
          <w:color w:val="auto"/>
        </w:rPr>
      </w:pPr>
      <w:r>
        <w:rPr>
          <w:rFonts w:ascii="Arial" w:cs="Arial" w:eastAsia="Arial" w:hAnsi="Arial"/>
          <w:sz w:val="16"/>
          <w:szCs w:val="16"/>
          <w:color w:val="auto"/>
        </w:rPr>
        <w:t>Mr. Eskew has chief executive officer experience with UPS, where he established a record of success in managing complex worldwide operations, strategic planning, and building a strong consumer-brand focus. He is an audit committee financial expert based on his chief executive officer experience and his service on other U.S. public company audit committees. He has extensive corporate governance experience through his service on the boards of other companies.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Eskew will retire from the board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464820</wp:posOffset>
            </wp:positionV>
            <wp:extent cx="728345" cy="728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0"/>
        <w:spacing w:after="0"/>
        <w:rPr>
          <w:sz w:val="20"/>
          <w:szCs w:val="20"/>
          <w:color w:val="auto"/>
        </w:rPr>
      </w:pPr>
      <w:r>
        <w:rPr>
          <w:rFonts w:ascii="Arial" w:cs="Arial" w:eastAsia="Arial" w:hAnsi="Arial"/>
          <w:sz w:val="27"/>
          <w:szCs w:val="27"/>
          <w:b w:val="1"/>
          <w:bCs w:val="1"/>
          <w:color w:val="EF3729"/>
        </w:rPr>
        <w:t>William G. Kaelin, Jr., M.D.</w:t>
      </w:r>
    </w:p>
    <w:p>
      <w:pPr>
        <w:spacing w:after="0" w:line="30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64, Director since 2012,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Directors and Corporate Governance; Science and Technology (chair)</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00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INDUSTRY MEMBERSHIPS</w:t>
            </w:r>
          </w:p>
        </w:tc>
        <w:tc>
          <w:tcPr>
            <w:tcW w:w="8220" w:type="dxa"/>
            <w:vAlign w:val="bottom"/>
            <w:shd w:val="clear" w:color="auto" w:fill="F4F6F6"/>
          </w:tcPr>
          <w:p>
            <w:pPr>
              <w:ind w:left="60"/>
              <w:spacing w:after="0"/>
              <w:rPr>
                <w:sz w:val="20"/>
                <w:szCs w:val="20"/>
                <w:color w:val="auto"/>
              </w:rPr>
            </w:pPr>
            <w:r>
              <w:rPr>
                <w:rFonts w:ascii="Arial" w:cs="Arial" w:eastAsia="Arial" w:hAnsi="Arial"/>
                <w:sz w:val="16"/>
                <w:szCs w:val="16"/>
                <w:b w:val="1"/>
                <w:bCs w:val="1"/>
                <w:color w:val="00A1DE"/>
              </w:rPr>
              <w:t>HONORS</w:t>
            </w:r>
          </w:p>
        </w:tc>
      </w:tr>
      <w:tr>
        <w:trPr>
          <w:trHeight w:val="191"/>
        </w:trPr>
        <w:tc>
          <w:tcPr>
            <w:tcW w:w="3000" w:type="dxa"/>
            <w:vAlign w:val="bottom"/>
          </w:tcPr>
          <w:p>
            <w:pPr>
              <w:ind w:left="20"/>
              <w:spacing w:after="0"/>
              <w:rPr>
                <w:sz w:val="20"/>
                <w:szCs w:val="20"/>
                <w:color w:val="auto"/>
              </w:rPr>
            </w:pPr>
            <w:r>
              <w:rPr>
                <w:rFonts w:ascii="Arial" w:cs="Arial" w:eastAsia="Arial" w:hAnsi="Arial"/>
                <w:sz w:val="16"/>
                <w:szCs w:val="16"/>
                <w:color w:val="auto"/>
              </w:rPr>
              <w:t>National Academy of Medicine; National</w:t>
            </w:r>
          </w:p>
        </w:tc>
        <w:tc>
          <w:tcPr>
            <w:tcW w:w="8220" w:type="dxa"/>
            <w:vAlign w:val="bottom"/>
          </w:tcPr>
          <w:p>
            <w:pPr>
              <w:ind w:left="60"/>
              <w:spacing w:after="0"/>
              <w:rPr>
                <w:sz w:val="20"/>
                <w:szCs w:val="20"/>
                <w:color w:val="auto"/>
              </w:rPr>
            </w:pPr>
            <w:r>
              <w:rPr>
                <w:rFonts w:ascii="Arial" w:cs="Arial" w:eastAsia="Arial" w:hAnsi="Arial"/>
                <w:sz w:val="16"/>
                <w:szCs w:val="16"/>
                <w:color w:val="auto"/>
              </w:rPr>
              <w:t>Nobel Prize in Physiology or Medicine; Albert Lasker Basic Medical Research Award; Wiley Prize in Biomedical</w:t>
            </w:r>
          </w:p>
        </w:tc>
      </w:tr>
      <w:tr>
        <w:trPr>
          <w:trHeight w:val="176"/>
        </w:trPr>
        <w:tc>
          <w:tcPr>
            <w:tcW w:w="3000" w:type="dxa"/>
            <w:vAlign w:val="bottom"/>
          </w:tcPr>
          <w:p>
            <w:pPr>
              <w:ind w:left="20"/>
              <w:spacing w:after="0" w:line="175" w:lineRule="exact"/>
              <w:rPr>
                <w:sz w:val="20"/>
                <w:szCs w:val="20"/>
                <w:color w:val="auto"/>
              </w:rPr>
            </w:pPr>
            <w:r>
              <w:rPr>
                <w:rFonts w:ascii="Arial" w:cs="Arial" w:eastAsia="Arial" w:hAnsi="Arial"/>
                <w:sz w:val="16"/>
                <w:szCs w:val="16"/>
                <w:color w:val="auto"/>
              </w:rPr>
              <w:t>Academy of Sciences; American College</w:t>
            </w:r>
          </w:p>
        </w:tc>
        <w:tc>
          <w:tcPr>
            <w:tcW w:w="8220" w:type="dxa"/>
            <w:vAlign w:val="bottom"/>
          </w:tcPr>
          <w:p>
            <w:pPr>
              <w:ind w:left="60"/>
              <w:spacing w:after="0" w:line="175" w:lineRule="exact"/>
              <w:rPr>
                <w:sz w:val="20"/>
                <w:szCs w:val="20"/>
                <w:color w:val="auto"/>
              </w:rPr>
            </w:pPr>
            <w:r>
              <w:rPr>
                <w:rFonts w:ascii="Arial" w:cs="Arial" w:eastAsia="Arial" w:hAnsi="Arial"/>
                <w:sz w:val="16"/>
                <w:szCs w:val="16"/>
                <w:color w:val="auto"/>
              </w:rPr>
              <w:t>Sciences from the Rockefeller University; Steven C. Beering Award from the Indiana University School of</w:t>
            </w:r>
          </w:p>
        </w:tc>
      </w:tr>
      <w:tr>
        <w:trPr>
          <w:trHeight w:val="175"/>
        </w:trPr>
        <w:tc>
          <w:tcPr>
            <w:tcW w:w="3000" w:type="dxa"/>
            <w:vAlign w:val="bottom"/>
          </w:tcPr>
          <w:p>
            <w:pPr>
              <w:ind w:left="20"/>
              <w:spacing w:after="0" w:line="175" w:lineRule="exact"/>
              <w:rPr>
                <w:sz w:val="20"/>
                <w:szCs w:val="20"/>
                <w:color w:val="auto"/>
              </w:rPr>
            </w:pPr>
            <w:r>
              <w:rPr>
                <w:rFonts w:ascii="Arial" w:cs="Arial" w:eastAsia="Arial" w:hAnsi="Arial"/>
                <w:sz w:val="16"/>
                <w:szCs w:val="16"/>
                <w:color w:val="auto"/>
              </w:rPr>
              <w:t>of Physicians; Association of American</w:t>
            </w:r>
          </w:p>
        </w:tc>
        <w:tc>
          <w:tcPr>
            <w:tcW w:w="8220" w:type="dxa"/>
            <w:vAlign w:val="bottom"/>
          </w:tcPr>
          <w:p>
            <w:pPr>
              <w:ind w:left="60"/>
              <w:spacing w:after="0" w:line="175" w:lineRule="exact"/>
              <w:rPr>
                <w:sz w:val="20"/>
                <w:szCs w:val="20"/>
                <w:color w:val="auto"/>
              </w:rPr>
            </w:pPr>
            <w:r>
              <w:rPr>
                <w:rFonts w:ascii="Arial" w:cs="Arial" w:eastAsia="Arial" w:hAnsi="Arial"/>
                <w:sz w:val="16"/>
                <w:szCs w:val="16"/>
                <w:color w:val="auto"/>
              </w:rPr>
              <w:t>Medicine; ASCI's Stanley J. Korsmeyer Award; Paul Marks Prize for Cancer Research from the Memorial Sloan</w:t>
            </w:r>
          </w:p>
        </w:tc>
      </w:tr>
      <w:tr>
        <w:trPr>
          <w:trHeight w:val="175"/>
        </w:trPr>
        <w:tc>
          <w:tcPr>
            <w:tcW w:w="3000" w:type="dxa"/>
            <w:vAlign w:val="bottom"/>
          </w:tcPr>
          <w:p>
            <w:pPr>
              <w:ind w:left="20"/>
              <w:spacing w:after="0" w:line="175" w:lineRule="exact"/>
              <w:rPr>
                <w:sz w:val="20"/>
                <w:szCs w:val="20"/>
                <w:color w:val="auto"/>
              </w:rPr>
            </w:pPr>
            <w:r>
              <w:rPr>
                <w:rFonts w:ascii="Arial" w:cs="Arial" w:eastAsia="Arial" w:hAnsi="Arial"/>
                <w:sz w:val="16"/>
                <w:szCs w:val="16"/>
                <w:color w:val="auto"/>
              </w:rPr>
              <w:t>Physicians; American Society of Clinical</w:t>
            </w:r>
          </w:p>
        </w:tc>
        <w:tc>
          <w:tcPr>
            <w:tcW w:w="8220" w:type="dxa"/>
            <w:vAlign w:val="bottom"/>
          </w:tcPr>
          <w:p>
            <w:pPr>
              <w:ind w:left="60"/>
              <w:spacing w:after="0" w:line="175" w:lineRule="exact"/>
              <w:rPr>
                <w:sz w:val="20"/>
                <w:szCs w:val="20"/>
                <w:color w:val="auto"/>
              </w:rPr>
            </w:pPr>
            <w:r>
              <w:rPr>
                <w:rFonts w:ascii="Arial" w:cs="Arial" w:eastAsia="Arial" w:hAnsi="Arial"/>
                <w:sz w:val="16"/>
                <w:szCs w:val="16"/>
                <w:color w:val="auto"/>
              </w:rPr>
              <w:t>Kettering Cancer Center; Richard and Hinda Rosenthal Prize from the American Association for Cancer</w:t>
            </w:r>
          </w:p>
        </w:tc>
      </w:tr>
      <w:tr>
        <w:trPr>
          <w:trHeight w:val="175"/>
        </w:trPr>
        <w:tc>
          <w:tcPr>
            <w:tcW w:w="3000" w:type="dxa"/>
            <w:vAlign w:val="bottom"/>
          </w:tcPr>
          <w:p>
            <w:pPr>
              <w:ind w:left="20"/>
              <w:spacing w:after="0" w:line="175" w:lineRule="exact"/>
              <w:rPr>
                <w:sz w:val="20"/>
                <w:szCs w:val="20"/>
                <w:color w:val="auto"/>
              </w:rPr>
            </w:pPr>
            <w:r>
              <w:rPr>
                <w:rFonts w:ascii="Arial" w:cs="Arial" w:eastAsia="Arial" w:hAnsi="Arial"/>
                <w:sz w:val="16"/>
                <w:szCs w:val="16"/>
                <w:color w:val="auto"/>
              </w:rPr>
              <w:t>Investigation (ASCI); American Academy</w:t>
            </w:r>
          </w:p>
        </w:tc>
        <w:tc>
          <w:tcPr>
            <w:tcW w:w="8220" w:type="dxa"/>
            <w:vAlign w:val="bottom"/>
          </w:tcPr>
          <w:p>
            <w:pPr>
              <w:ind w:left="60"/>
              <w:spacing w:after="0" w:line="175" w:lineRule="exact"/>
              <w:rPr>
                <w:sz w:val="20"/>
                <w:szCs w:val="20"/>
                <w:color w:val="auto"/>
              </w:rPr>
            </w:pPr>
            <w:r>
              <w:rPr>
                <w:rFonts w:ascii="Arial" w:cs="Arial" w:eastAsia="Arial" w:hAnsi="Arial"/>
                <w:sz w:val="16"/>
                <w:szCs w:val="16"/>
                <w:color w:val="auto"/>
              </w:rPr>
              <w:t>Research; Scientific Grand Prix of the Foundation Lefoulon-Delalande; Canada Gairdner International Award;</w:t>
            </w:r>
          </w:p>
        </w:tc>
      </w:tr>
      <w:tr>
        <w:trPr>
          <w:trHeight w:val="175"/>
        </w:trPr>
        <w:tc>
          <w:tcPr>
            <w:tcW w:w="3000" w:type="dxa"/>
            <w:vAlign w:val="bottom"/>
          </w:tcPr>
          <w:p>
            <w:pPr>
              <w:ind w:left="20"/>
              <w:spacing w:after="0" w:line="175" w:lineRule="exact"/>
              <w:rPr>
                <w:sz w:val="20"/>
                <w:szCs w:val="20"/>
                <w:color w:val="auto"/>
              </w:rPr>
            </w:pPr>
            <w:r>
              <w:rPr>
                <w:rFonts w:ascii="Arial" w:cs="Arial" w:eastAsia="Arial" w:hAnsi="Arial"/>
                <w:sz w:val="16"/>
                <w:szCs w:val="16"/>
                <w:color w:val="auto"/>
              </w:rPr>
              <w:t>of Arts and Sciences</w:t>
            </w:r>
          </w:p>
        </w:tc>
        <w:tc>
          <w:tcPr>
            <w:tcW w:w="8220" w:type="dxa"/>
            <w:vAlign w:val="bottom"/>
          </w:tcPr>
          <w:p>
            <w:pPr>
              <w:ind w:left="60"/>
              <w:spacing w:after="0" w:line="175" w:lineRule="exact"/>
              <w:rPr>
                <w:sz w:val="20"/>
                <w:szCs w:val="20"/>
                <w:color w:val="auto"/>
              </w:rPr>
            </w:pPr>
            <w:r>
              <w:rPr>
                <w:rFonts w:ascii="Arial" w:cs="Arial" w:eastAsia="Arial" w:hAnsi="Arial"/>
                <w:sz w:val="16"/>
                <w:szCs w:val="16"/>
                <w:color w:val="auto"/>
              </w:rPr>
              <w:t>Doris Duke Distinguished Clinical Scientist Award; Helis Award from Baylor College of Medicine; Massry Prize</w:t>
            </w:r>
          </w:p>
        </w:tc>
      </w:tr>
      <w:tr>
        <w:trPr>
          <w:trHeight w:val="204"/>
        </w:trPr>
        <w:tc>
          <w:tcPr>
            <w:tcW w:w="3000" w:type="dxa"/>
            <w:vAlign w:val="bottom"/>
          </w:tcPr>
          <w:p>
            <w:pPr>
              <w:spacing w:after="0"/>
              <w:rPr>
                <w:sz w:val="17"/>
                <w:szCs w:val="17"/>
                <w:color w:val="auto"/>
              </w:rPr>
            </w:pPr>
          </w:p>
        </w:tc>
        <w:tc>
          <w:tcPr>
            <w:tcW w:w="8220" w:type="dxa"/>
            <w:vAlign w:val="bottom"/>
          </w:tcPr>
          <w:p>
            <w:pPr>
              <w:ind w:left="60"/>
              <w:spacing w:after="0"/>
              <w:rPr>
                <w:sz w:val="20"/>
                <w:szCs w:val="20"/>
                <w:color w:val="auto"/>
              </w:rPr>
            </w:pPr>
            <w:r>
              <w:rPr>
                <w:rFonts w:ascii="Arial" w:cs="Arial" w:eastAsia="Arial" w:hAnsi="Arial"/>
                <w:sz w:val="16"/>
                <w:szCs w:val="16"/>
                <w:color w:val="auto"/>
              </w:rPr>
              <w:t>from the Meira and Shaul G. Massry Foundation</w:t>
            </w:r>
          </w:p>
        </w:tc>
      </w:tr>
      <w:tr>
        <w:trPr>
          <w:trHeight w:val="253"/>
        </w:trPr>
        <w:tc>
          <w:tcPr>
            <w:tcW w:w="300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8220" w:type="dxa"/>
            <w:vAlign w:val="bottom"/>
            <w:shd w:val="clear" w:color="auto" w:fill="F4F6F6"/>
          </w:tcPr>
          <w:p>
            <w:pPr>
              <w:spacing w:after="0"/>
              <w:rPr>
                <w:sz w:val="21"/>
                <w:szCs w:val="21"/>
                <w:color w:val="auto"/>
              </w:rPr>
            </w:pPr>
          </w:p>
        </w:tc>
      </w:tr>
    </w:tbl>
    <w:p>
      <w:pPr>
        <w:spacing w:after="0" w:line="1" w:lineRule="exact"/>
        <w:rPr>
          <w:sz w:val="20"/>
          <w:szCs w:val="20"/>
          <w:color w:val="auto"/>
        </w:rPr>
      </w:pPr>
    </w:p>
    <w:p>
      <w:pPr>
        <w:ind w:left="140" w:hanging="107"/>
        <w:spacing w:after="0"/>
        <w:tabs>
          <w:tab w:leader="none" w:pos="1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Harvard Medical School</w:t>
      </w:r>
    </w:p>
    <w:p>
      <w:pPr>
        <w:spacing w:after="0" w:line="89" w:lineRule="exact"/>
        <w:rPr>
          <w:rFonts w:ascii="Arial" w:cs="Arial" w:eastAsia="Arial" w:hAnsi="Arial"/>
          <w:sz w:val="17"/>
          <w:szCs w:val="17"/>
          <w:b w:val="1"/>
          <w:bCs w:val="1"/>
          <w:color w:val="auto"/>
        </w:rPr>
      </w:pPr>
    </w:p>
    <w:p>
      <w:pPr>
        <w:ind w:left="360" w:hanging="102"/>
        <w:spacing w:after="0"/>
        <w:tabs>
          <w:tab w:leader="none" w:pos="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Sidney Farber Professor of Medicine (2018 - present)</w:t>
      </w:r>
    </w:p>
    <w:p>
      <w:pPr>
        <w:spacing w:after="0" w:line="113" w:lineRule="exact"/>
        <w:rPr>
          <w:rFonts w:ascii="Arial" w:cs="Arial" w:eastAsia="Arial" w:hAnsi="Arial"/>
          <w:sz w:val="16"/>
          <w:szCs w:val="16"/>
          <w:color w:val="auto"/>
        </w:rPr>
      </w:pPr>
    </w:p>
    <w:p>
      <w:pPr>
        <w:ind w:left="360" w:hanging="102"/>
        <w:spacing w:after="0"/>
        <w:tabs>
          <w:tab w:leader="none" w:pos="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Professor of Medicine (2002 - 2018)</w:t>
      </w:r>
    </w:p>
    <w:p>
      <w:pPr>
        <w:spacing w:after="0" w:line="300" w:lineRule="exact"/>
        <w:rPr>
          <w:rFonts w:ascii="Arial" w:cs="Arial" w:eastAsia="Arial" w:hAnsi="Arial"/>
          <w:sz w:val="16"/>
          <w:szCs w:val="16"/>
          <w:color w:val="auto"/>
        </w:rPr>
      </w:pPr>
    </w:p>
    <w:p>
      <w:pPr>
        <w:ind w:left="140" w:hanging="107"/>
        <w:spacing w:after="0"/>
        <w:tabs>
          <w:tab w:leader="none" w:pos="1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Dana-Farber Cancer Institute and Brigham and Women's Hospital</w:t>
      </w:r>
    </w:p>
    <w:p>
      <w:pPr>
        <w:spacing w:after="0" w:line="129" w:lineRule="exact"/>
        <w:rPr>
          <w:rFonts w:ascii="Arial" w:cs="Arial" w:eastAsia="Arial" w:hAnsi="Arial"/>
          <w:sz w:val="17"/>
          <w:szCs w:val="17"/>
          <w:b w:val="1"/>
          <w:bCs w:val="1"/>
          <w:color w:val="auto"/>
        </w:rPr>
      </w:pPr>
    </w:p>
    <w:p>
      <w:pPr>
        <w:ind w:left="360" w:hanging="102"/>
        <w:spacing w:after="0"/>
        <w:tabs>
          <w:tab w:leader="none" w:pos="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Professor (2002 - present)</w:t>
      </w:r>
    </w:p>
    <w:p>
      <w:pPr>
        <w:spacing w:after="0" w:line="30" w:lineRule="exact"/>
        <w:rPr>
          <w:rFonts w:ascii="Arial" w:cs="Arial" w:eastAsia="Arial" w:hAnsi="Arial"/>
          <w:sz w:val="16"/>
          <w:szCs w:val="16"/>
          <w:color w:val="auto"/>
        </w:rPr>
      </w:pPr>
    </w:p>
    <w:p>
      <w:pPr>
        <w:ind w:left="140" w:hanging="107"/>
        <w:spacing w:after="0"/>
        <w:tabs>
          <w:tab w:leader="none" w:pos="1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Howard Hughes Medical Institute</w:t>
      </w:r>
    </w:p>
    <w:p>
      <w:pPr>
        <w:spacing w:after="0" w:line="89" w:lineRule="exact"/>
        <w:rPr>
          <w:rFonts w:ascii="Arial" w:cs="Arial" w:eastAsia="Arial" w:hAnsi="Arial"/>
          <w:sz w:val="17"/>
          <w:szCs w:val="17"/>
          <w:b w:val="1"/>
          <w:bCs w:val="1"/>
          <w:color w:val="auto"/>
        </w:rPr>
      </w:pPr>
    </w:p>
    <w:p>
      <w:pPr>
        <w:ind w:left="360" w:hanging="102"/>
        <w:spacing w:after="0"/>
        <w:tabs>
          <w:tab w:leader="none" w:pos="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Investigator (2002 - present)</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Assistant Investigator (1998 - 2002)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2343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40" w:right="80"/>
        <w:spacing w:after="0" w:line="253" w:lineRule="auto"/>
        <w:rPr>
          <w:sz w:val="20"/>
          <w:szCs w:val="20"/>
          <w:color w:val="auto"/>
        </w:rPr>
      </w:pPr>
      <w:r>
        <w:rPr>
          <w:rFonts w:ascii="Arial" w:cs="Arial" w:eastAsia="Arial" w:hAnsi="Arial"/>
          <w:sz w:val="16"/>
          <w:szCs w:val="16"/>
          <w:color w:val="auto"/>
        </w:rPr>
        <w:t>Dr. Kaelin is a prominent medical researcher and academician. He has extensive experience at Harvard Medical School, a major medical institution, as well as special expertise in oncology—a key component of Lilly's business. He also has deep expertise in basic science, including mechanisms of drug action, and experience with pharmaceutical discovery research.</w:t>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926" w:right="339" w:bottom="1440" w:gutter="0" w:footer="0" w:header="0"/>
          <w:type w:val="continuous"/>
        </w:sectPr>
      </w:pPr>
    </w:p>
    <w:bookmarkStart w:id="19" w:name="page20"/>
    <w:bookmarkEnd w:id="19"/>
    <w:p>
      <w:pPr>
        <w:ind w:left="158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353695</wp:posOffset>
            </wp:positionH>
            <wp:positionV relativeFrom="page">
              <wp:posOffset>517525</wp:posOffset>
            </wp:positionV>
            <wp:extent cx="702945" cy="702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t>David A. Ricks</w:t>
      </w:r>
    </w:p>
    <w:p>
      <w:pPr>
        <w:spacing w:after="0" w:line="30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xml:space="preserve">Age: 54, Director since 2017,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none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6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2580" w:type="dxa"/>
            <w:vAlign w:val="bottom"/>
            <w:shd w:val="clear" w:color="auto" w:fill="F4F6F6"/>
          </w:tcPr>
          <w:p>
            <w:pPr>
              <w:ind w:left="200"/>
              <w:spacing w:after="0"/>
              <w:rPr>
                <w:sz w:val="20"/>
                <w:szCs w:val="20"/>
                <w:color w:val="auto"/>
              </w:rPr>
            </w:pPr>
            <w:r>
              <w:rPr>
                <w:rFonts w:ascii="Arial" w:cs="Arial" w:eastAsia="Arial" w:hAnsi="Arial"/>
                <w:sz w:val="16"/>
                <w:szCs w:val="16"/>
                <w:b w:val="1"/>
                <w:bCs w:val="1"/>
                <w:color w:val="00A1DE"/>
              </w:rPr>
              <w:t>NON-PROFIT BOARDS</w:t>
            </w:r>
          </w:p>
        </w:tc>
        <w:tc>
          <w:tcPr>
            <w:tcW w:w="7080" w:type="dxa"/>
            <w:vAlign w:val="bottom"/>
            <w:shd w:val="clear" w:color="auto" w:fill="F4F6F6"/>
          </w:tcPr>
          <w:p>
            <w:pPr>
              <w:ind w:left="320"/>
              <w:spacing w:after="0"/>
              <w:rPr>
                <w:sz w:val="20"/>
                <w:szCs w:val="20"/>
                <w:color w:val="auto"/>
              </w:rPr>
            </w:pPr>
            <w:r>
              <w:rPr>
                <w:rFonts w:ascii="Arial" w:cs="Arial" w:eastAsia="Arial" w:hAnsi="Arial"/>
                <w:sz w:val="16"/>
                <w:szCs w:val="16"/>
                <w:b w:val="1"/>
                <w:bCs w:val="1"/>
                <w:color w:val="00A1DE"/>
              </w:rPr>
              <w:t>INDUSTRY MEMBERSHIPS</w:t>
            </w:r>
          </w:p>
        </w:tc>
      </w:tr>
      <w:tr>
        <w:trPr>
          <w:trHeight w:val="218"/>
        </w:trPr>
        <w:tc>
          <w:tcPr>
            <w:tcW w:w="1560" w:type="dxa"/>
            <w:vAlign w:val="bottom"/>
          </w:tcPr>
          <w:p>
            <w:pPr>
              <w:ind w:left="20"/>
              <w:spacing w:after="0"/>
              <w:rPr>
                <w:sz w:val="20"/>
                <w:szCs w:val="20"/>
                <w:color w:val="auto"/>
              </w:rPr>
            </w:pPr>
            <w:r>
              <w:rPr>
                <w:rFonts w:ascii="Arial" w:cs="Arial" w:eastAsia="Arial" w:hAnsi="Arial"/>
                <w:sz w:val="16"/>
                <w:szCs w:val="16"/>
                <w:color w:val="auto"/>
              </w:rPr>
              <w:t>Adobe Inc.</w:t>
            </w:r>
          </w:p>
        </w:tc>
        <w:tc>
          <w:tcPr>
            <w:tcW w:w="2580" w:type="dxa"/>
            <w:vAlign w:val="bottom"/>
          </w:tcPr>
          <w:p>
            <w:pPr>
              <w:ind w:left="200"/>
              <w:spacing w:after="0"/>
              <w:rPr>
                <w:sz w:val="20"/>
                <w:szCs w:val="20"/>
                <w:color w:val="auto"/>
              </w:rPr>
            </w:pPr>
            <w:r>
              <w:rPr>
                <w:rFonts w:ascii="Arial" w:cs="Arial" w:eastAsia="Arial" w:hAnsi="Arial"/>
                <w:sz w:val="16"/>
                <w:szCs w:val="16"/>
                <w:color w:val="auto"/>
              </w:rPr>
              <w:t>Board of Governors for Riley</w:t>
            </w:r>
          </w:p>
        </w:tc>
        <w:tc>
          <w:tcPr>
            <w:tcW w:w="7080" w:type="dxa"/>
            <w:vAlign w:val="bottom"/>
          </w:tcPr>
          <w:p>
            <w:pPr>
              <w:ind w:left="320"/>
              <w:spacing w:after="0"/>
              <w:rPr>
                <w:sz w:val="20"/>
                <w:szCs w:val="20"/>
                <w:color w:val="auto"/>
              </w:rPr>
            </w:pPr>
            <w:r>
              <w:rPr>
                <w:rFonts w:ascii="Arial" w:cs="Arial" w:eastAsia="Arial" w:hAnsi="Arial"/>
                <w:sz w:val="16"/>
                <w:szCs w:val="16"/>
                <w:color w:val="auto"/>
              </w:rPr>
              <w:t>International Federation of Pharmaceutical Manufacturers &amp; Associations (IFPMA) CEO</w:t>
            </w:r>
          </w:p>
        </w:tc>
      </w:tr>
      <w:tr>
        <w:trPr>
          <w:trHeight w:val="189"/>
        </w:trPr>
        <w:tc>
          <w:tcPr>
            <w:tcW w:w="156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Arial" w:cs="Arial" w:eastAsia="Arial" w:hAnsi="Arial"/>
                <w:sz w:val="16"/>
                <w:szCs w:val="16"/>
                <w:color w:val="auto"/>
              </w:rPr>
              <w:t>Children's Foundation;</w:t>
            </w:r>
          </w:p>
        </w:tc>
        <w:tc>
          <w:tcPr>
            <w:tcW w:w="7080" w:type="dxa"/>
            <w:vAlign w:val="bottom"/>
          </w:tcPr>
          <w:p>
            <w:pPr>
              <w:ind w:left="320"/>
              <w:spacing w:after="0"/>
              <w:rPr>
                <w:sz w:val="20"/>
                <w:szCs w:val="20"/>
                <w:color w:val="auto"/>
              </w:rPr>
            </w:pPr>
            <w:r>
              <w:rPr>
                <w:rFonts w:ascii="Arial" w:cs="Arial" w:eastAsia="Arial" w:hAnsi="Arial"/>
                <w:sz w:val="16"/>
                <w:szCs w:val="16"/>
                <w:color w:val="auto"/>
              </w:rPr>
              <w:t>Steering Committee; Pharmaceutical Research and Manufacturers of America (PhRMA); The</w:t>
            </w:r>
          </w:p>
        </w:tc>
      </w:tr>
      <w:tr>
        <w:trPr>
          <w:trHeight w:val="189"/>
        </w:trPr>
        <w:tc>
          <w:tcPr>
            <w:tcW w:w="156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Arial" w:cs="Arial" w:eastAsia="Arial" w:hAnsi="Arial"/>
                <w:sz w:val="16"/>
                <w:szCs w:val="16"/>
                <w:color w:val="auto"/>
              </w:rPr>
              <w:t>Central Indiana Corporate</w:t>
            </w:r>
          </w:p>
        </w:tc>
        <w:tc>
          <w:tcPr>
            <w:tcW w:w="7080" w:type="dxa"/>
            <w:vAlign w:val="bottom"/>
          </w:tcPr>
          <w:p>
            <w:pPr>
              <w:ind w:left="320"/>
              <w:spacing w:after="0"/>
              <w:rPr>
                <w:sz w:val="20"/>
                <w:szCs w:val="20"/>
                <w:color w:val="auto"/>
              </w:rPr>
            </w:pPr>
            <w:r>
              <w:rPr>
                <w:rFonts w:ascii="Arial" w:cs="Arial" w:eastAsia="Arial" w:hAnsi="Arial"/>
                <w:sz w:val="16"/>
                <w:szCs w:val="16"/>
                <w:color w:val="auto"/>
              </w:rPr>
              <w:t>Business Roundtable; National Council for Expanding American Innovation (NCEAI)</w:t>
            </w:r>
          </w:p>
        </w:tc>
      </w:tr>
      <w:tr>
        <w:trPr>
          <w:trHeight w:val="195"/>
        </w:trPr>
        <w:tc>
          <w:tcPr>
            <w:tcW w:w="156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Arial" w:cs="Arial" w:eastAsia="Arial" w:hAnsi="Arial"/>
                <w:sz w:val="16"/>
                <w:szCs w:val="16"/>
                <w:color w:val="auto"/>
              </w:rPr>
              <w:t>Partnership</w:t>
            </w:r>
          </w:p>
        </w:tc>
        <w:tc>
          <w:tcPr>
            <w:tcW w:w="7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2343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CAREER HIGHLIGHTS</w:t>
      </w:r>
    </w:p>
    <w:p>
      <w:pPr>
        <w:spacing w:after="0" w:line="51" w:lineRule="exact"/>
        <w:rPr>
          <w:sz w:val="20"/>
          <w:szCs w:val="20"/>
          <w:color w:val="auto"/>
        </w:rPr>
      </w:pPr>
    </w:p>
    <w:p>
      <w:pPr>
        <w:ind w:left="120" w:hanging="107"/>
        <w:spacing w:after="0"/>
        <w:tabs>
          <w:tab w:leader="none" w:pos="1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Eli Lilly and Company</w:t>
      </w:r>
    </w:p>
    <w:p>
      <w:pPr>
        <w:spacing w:after="0" w:line="89" w:lineRule="exact"/>
        <w:rPr>
          <w:rFonts w:ascii="Arial" w:cs="Arial" w:eastAsia="Arial" w:hAnsi="Arial"/>
          <w:sz w:val="17"/>
          <w:szCs w:val="17"/>
          <w:b w:val="1"/>
          <w:bCs w:val="1"/>
          <w:color w:val="auto"/>
        </w:rPr>
      </w:pPr>
    </w:p>
    <w:p>
      <w:pPr>
        <w:ind w:left="340" w:hanging="102"/>
        <w:spacing w:after="0"/>
        <w:tabs>
          <w:tab w:leader="none" w:pos="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Chair, President, and Chief Executive Officer (2017 - present)</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Senior Vice President and President, Lilly Bio-Medicines (2012 - 2016)</w:t>
      </w:r>
    </w:p>
    <w:p>
      <w:pPr>
        <w:spacing w:after="0" w:line="3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b w:val="1"/>
          <w:bCs w:val="1"/>
          <w:color w:val="00A1DE"/>
        </w:rPr>
        <w:t>QUALIFICATIONS</w:t>
      </w:r>
    </w:p>
    <w:p>
      <w:pPr>
        <w:spacing w:after="0" w:line="65" w:lineRule="exact"/>
        <w:rPr>
          <w:rFonts w:ascii="Arial" w:cs="Arial" w:eastAsia="Arial" w:hAnsi="Arial"/>
          <w:sz w:val="16"/>
          <w:szCs w:val="16"/>
          <w:color w:val="auto"/>
        </w:rPr>
      </w:pPr>
    </w:p>
    <w:p>
      <w:pPr>
        <w:ind w:left="20" w:right="180"/>
        <w:spacing w:after="0" w:line="295" w:lineRule="auto"/>
        <w:rPr>
          <w:rFonts w:ascii="Arial" w:cs="Arial" w:eastAsia="Arial" w:hAnsi="Arial"/>
          <w:sz w:val="16"/>
          <w:szCs w:val="16"/>
          <w:color w:val="auto"/>
        </w:rPr>
      </w:pPr>
      <w:r>
        <w:rPr>
          <w:rFonts w:ascii="Arial" w:cs="Arial" w:eastAsia="Arial" w:hAnsi="Arial"/>
          <w:sz w:val="16"/>
          <w:szCs w:val="16"/>
          <w:color w:val="auto"/>
        </w:rPr>
        <w:t>Mr. Ricks was named President and Chief Executive Officer on January 1, 2017, and Chair on June 1, 2017. Mr. Ricks joined Lilly in 1996, and most recently served as president of Lilly Bio-Medicines. He has significant expertise across Lilly’s value chain and global operations, as well as in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-450850</wp:posOffset>
            </wp:positionV>
            <wp:extent cx="71234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363220</wp:posOffset>
            </wp:positionV>
            <wp:extent cx="702945" cy="70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80"/>
        <w:spacing w:after="0"/>
        <w:rPr>
          <w:sz w:val="20"/>
          <w:szCs w:val="20"/>
          <w:color w:val="auto"/>
        </w:rPr>
      </w:pPr>
      <w:r>
        <w:rPr>
          <w:rFonts w:ascii="Arial" w:cs="Arial" w:eastAsia="Arial" w:hAnsi="Arial"/>
          <w:sz w:val="27"/>
          <w:szCs w:val="27"/>
          <w:b w:val="1"/>
          <w:bCs w:val="1"/>
          <w:color w:val="EF3729"/>
        </w:rPr>
        <w:t>Marschall S. Runge, M.D., Ph.D.</w:t>
      </w:r>
    </w:p>
    <w:p>
      <w:pPr>
        <w:spacing w:after="0" w:line="30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xml:space="preserve">Age: 67,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Ethics and Compliance;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712343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NON-PROFIT BOARDS</w:t>
      </w:r>
    </w:p>
    <w:p>
      <w:pPr>
        <w:spacing w:after="0" w:line="79" w:lineRule="exact"/>
        <w:rPr>
          <w:sz w:val="20"/>
          <w:szCs w:val="20"/>
          <w:color w:val="auto"/>
        </w:rPr>
      </w:pPr>
    </w:p>
    <w:p>
      <w:pPr>
        <w:ind w:left="20"/>
        <w:spacing w:after="0" w:line="260" w:lineRule="auto"/>
        <w:rPr>
          <w:sz w:val="20"/>
          <w:szCs w:val="20"/>
          <w:color w:val="auto"/>
        </w:rPr>
      </w:pPr>
      <w:r>
        <w:rPr>
          <w:rFonts w:ascii="Arial" w:cs="Arial" w:eastAsia="Arial" w:hAnsi="Arial"/>
          <w:sz w:val="16"/>
          <w:szCs w:val="16"/>
          <w:color w:val="auto"/>
        </w:rPr>
        <w:t>University of Michigan Health (vice chair); Michigan Health Corporation (chair)</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CAREER HIGHLIGHTS</w:t>
      </w:r>
    </w:p>
    <w:p>
      <w:pPr>
        <w:spacing w:after="0" w:line="51" w:lineRule="exact"/>
        <w:rPr>
          <w:sz w:val="20"/>
          <w:szCs w:val="20"/>
          <w:color w:val="auto"/>
        </w:rPr>
      </w:pPr>
    </w:p>
    <w:p>
      <w:pPr>
        <w:ind w:left="120" w:hanging="107"/>
        <w:spacing w:after="0"/>
        <w:tabs>
          <w:tab w:leader="none" w:pos="12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University of Michigan</w:t>
      </w:r>
    </w:p>
    <w:p>
      <w:pPr>
        <w:spacing w:after="0" w:line="89" w:lineRule="exact"/>
        <w:rPr>
          <w:rFonts w:ascii="Arial" w:cs="Arial" w:eastAsia="Arial" w:hAnsi="Arial"/>
          <w:sz w:val="17"/>
          <w:szCs w:val="17"/>
          <w:b w:val="1"/>
          <w:bCs w:val="1"/>
          <w:color w:val="auto"/>
        </w:rPr>
      </w:pPr>
    </w:p>
    <w:p>
      <w:pPr>
        <w:ind w:left="340" w:hanging="102"/>
        <w:spacing w:after="0"/>
        <w:tabs>
          <w:tab w:leader="none" w:pos="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CEO, Michigan Medicine (2015 - present)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MEMBERSHIPS + OTHER ORGANIZATIONS</w:t>
      </w:r>
    </w:p>
    <w:p>
      <w:pPr>
        <w:spacing w:after="0" w:line="120"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American Association of Medical Colleges; American College of Cardiology; American Medical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80645</wp:posOffset>
            </wp:positionV>
            <wp:extent cx="71234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897" w:lineRule="exact"/>
        <w:rPr>
          <w:sz w:val="20"/>
          <w:szCs w:val="20"/>
          <w:color w:val="auto"/>
        </w:rPr>
      </w:pPr>
    </w:p>
    <w:p>
      <w:pPr>
        <w:sectPr>
          <w:pgSz w:w="11900" w:h="16838" w:orient="portrait"/>
          <w:cols w:equalWidth="0" w:num="2">
            <w:col w:w="4200" w:space="200"/>
            <w:col w:w="6820"/>
          </w:cols>
          <w:pgMar w:left="340" w:top="1211" w:right="339" w:bottom="1440" w:gutter="0" w:footer="0" w:header="0"/>
          <w:type w:val="continuous"/>
        </w:sectPr>
      </w:pPr>
    </w:p>
    <w:p>
      <w:pPr>
        <w:ind w:left="340" w:hanging="102"/>
        <w:spacing w:after="0"/>
        <w:tabs>
          <w:tab w:leader="none" w:pos="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Vice President for Medical Affairs (2015 - present)</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Dean, Medical School (2015 - present)</w:t>
      </w:r>
    </w:p>
    <w:p>
      <w:pPr>
        <w:spacing w:after="0" w:line="30" w:lineRule="exact"/>
        <w:rPr>
          <w:rFonts w:ascii="Arial" w:cs="Arial" w:eastAsia="Arial" w:hAnsi="Arial"/>
          <w:sz w:val="16"/>
          <w:szCs w:val="16"/>
          <w:color w:val="auto"/>
        </w:rPr>
      </w:pPr>
    </w:p>
    <w:p>
      <w:pPr>
        <w:ind w:left="120" w:hanging="107"/>
        <w:spacing w:after="0"/>
        <w:tabs>
          <w:tab w:leader="none" w:pos="1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University of North Carolina School of Medicine</w:t>
      </w:r>
    </w:p>
    <w:p>
      <w:pPr>
        <w:spacing w:after="0" w:line="89" w:lineRule="exact"/>
        <w:rPr>
          <w:rFonts w:ascii="Arial" w:cs="Arial" w:eastAsia="Arial" w:hAnsi="Arial"/>
          <w:sz w:val="17"/>
          <w:szCs w:val="17"/>
          <w:b w:val="1"/>
          <w:bCs w:val="1"/>
          <w:color w:val="auto"/>
        </w:rPr>
      </w:pPr>
    </w:p>
    <w:p>
      <w:pPr>
        <w:ind w:left="340" w:hanging="102"/>
        <w:spacing w:after="0"/>
        <w:tabs>
          <w:tab w:leader="none" w:pos="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Dean (2010 - 2015)</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Chair of the Department of Medicine (2000 - 2015)</w:t>
      </w:r>
    </w:p>
    <w:p>
      <w:pPr>
        <w:spacing w:after="0" w:line="59" w:lineRule="exact"/>
        <w:rPr>
          <w:rFonts w:ascii="Arial" w:cs="Arial" w:eastAsia="Arial" w:hAnsi="Arial"/>
          <w:sz w:val="16"/>
          <w:szCs w:val="16"/>
          <w:color w:val="auto"/>
        </w:rPr>
      </w:pPr>
    </w:p>
    <w:p>
      <w:pPr>
        <w:ind w:left="340" w:hanging="102"/>
        <w:spacing w:after="0"/>
        <w:tabs>
          <w:tab w:leader="none" w:pos="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Principal Investigator and Director of the North Carolina Translational and Clinical Sciences Institute (2010 - 2015)</w:t>
      </w:r>
    </w:p>
    <w:p>
      <w:pPr>
        <w:spacing w:after="0" w:line="3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b w:val="1"/>
          <w:bCs w:val="1"/>
          <w:color w:val="00A1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2343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46" w:lineRule="exact"/>
        <w:rPr>
          <w:sz w:val="20"/>
          <w:szCs w:val="20"/>
          <w:color w:val="auto"/>
        </w:rPr>
      </w:pPr>
    </w:p>
    <w:p>
      <w:pPr>
        <w:ind w:left="20" w:right="200"/>
        <w:spacing w:after="0" w:line="242" w:lineRule="auto"/>
        <w:rPr>
          <w:sz w:val="20"/>
          <w:szCs w:val="20"/>
          <w:color w:val="auto"/>
        </w:rPr>
      </w:pPr>
      <w:r>
        <w:rPr>
          <w:rFonts w:ascii="Arial" w:cs="Arial" w:eastAsia="Arial" w:hAnsi="Arial"/>
          <w:sz w:val="16"/>
          <w:szCs w:val="16"/>
          <w:color w:val="auto"/>
        </w:rPr>
        <w:t>Dr. Runge brings the unique perspective of a practicing physician who has a broad background in healthcare and academia. He has extensive experience as a practicing cardiologist, a strong understanding of healthcare facility systems, and deep expertise in biomedical research and clinical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40" w:top="1211" w:right="339" w:bottom="1440" w:gutter="0" w:footer="0" w:header="0"/>
          <w:type w:val="continuous"/>
        </w:sectPr>
      </w:pPr>
    </w:p>
    <w:bookmarkStart w:id="20" w:name="page21"/>
    <w:bookmarkEnd w:id="20"/>
    <w:p>
      <w:pPr>
        <w:ind w:left="160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353695</wp:posOffset>
            </wp:positionH>
            <wp:positionV relativeFrom="page">
              <wp:posOffset>517525</wp:posOffset>
            </wp:positionV>
            <wp:extent cx="702945" cy="702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t>Karen Walker</w:t>
      </w:r>
    </w:p>
    <w:p>
      <w:pPr>
        <w:spacing w:after="0" w:line="30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60, Director since 2018,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Compensation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4500" w:type="dxa"/>
            <w:vAlign w:val="bottom"/>
            <w:shd w:val="clear" w:color="auto" w:fill="F4F6F6"/>
          </w:tcPr>
          <w:p>
            <w:pPr>
              <w:ind w:left="960"/>
              <w:spacing w:after="0"/>
              <w:rPr>
                <w:sz w:val="20"/>
                <w:szCs w:val="20"/>
                <w:color w:val="auto"/>
              </w:rPr>
            </w:pPr>
            <w:r>
              <w:rPr>
                <w:rFonts w:ascii="Arial" w:cs="Arial" w:eastAsia="Arial" w:hAnsi="Arial"/>
                <w:sz w:val="16"/>
                <w:szCs w:val="16"/>
                <w:b w:val="1"/>
                <w:bCs w:val="1"/>
                <w:color w:val="00A1DE"/>
              </w:rPr>
              <w:t>NON-PROFIT BOARDS</w:t>
            </w:r>
          </w:p>
        </w:tc>
        <w:tc>
          <w:tcPr>
            <w:tcW w:w="4000" w:type="dxa"/>
            <w:vAlign w:val="bottom"/>
            <w:shd w:val="clear" w:color="auto" w:fill="F4F6F6"/>
          </w:tcPr>
          <w:p>
            <w:pPr>
              <w:ind w:left="120"/>
              <w:spacing w:after="0"/>
              <w:rPr>
                <w:sz w:val="20"/>
                <w:szCs w:val="20"/>
                <w:color w:val="auto"/>
              </w:rPr>
            </w:pPr>
            <w:r>
              <w:rPr>
                <w:rFonts w:ascii="Arial" w:cs="Arial" w:eastAsia="Arial" w:hAnsi="Arial"/>
                <w:sz w:val="16"/>
                <w:szCs w:val="16"/>
                <w:b w:val="1"/>
                <w:bCs w:val="1"/>
                <w:color w:val="00A1DE"/>
              </w:rPr>
              <w:t>MEMBERSHIPS + OTHER ORGANIZATIONS</w:t>
            </w:r>
          </w:p>
        </w:tc>
      </w:tr>
      <w:tr>
        <w:trPr>
          <w:trHeight w:val="218"/>
        </w:trPr>
        <w:tc>
          <w:tcPr>
            <w:tcW w:w="2720" w:type="dxa"/>
            <w:vAlign w:val="bottom"/>
          </w:tcPr>
          <w:p>
            <w:pPr>
              <w:ind w:left="20"/>
              <w:spacing w:after="0"/>
              <w:rPr>
                <w:sz w:val="20"/>
                <w:szCs w:val="20"/>
                <w:color w:val="auto"/>
              </w:rPr>
            </w:pPr>
            <w:r>
              <w:rPr>
                <w:rFonts w:ascii="Arial" w:cs="Arial" w:eastAsia="Arial" w:hAnsi="Arial"/>
                <w:sz w:val="16"/>
                <w:szCs w:val="16"/>
                <w:color w:val="auto"/>
              </w:rPr>
              <w:t>Sprout Social, Inc.</w:t>
            </w:r>
          </w:p>
        </w:tc>
        <w:tc>
          <w:tcPr>
            <w:tcW w:w="4500" w:type="dxa"/>
            <w:vAlign w:val="bottom"/>
          </w:tcPr>
          <w:p>
            <w:pPr>
              <w:ind w:left="960"/>
              <w:spacing w:after="0"/>
              <w:rPr>
                <w:sz w:val="20"/>
                <w:szCs w:val="20"/>
                <w:color w:val="auto"/>
              </w:rPr>
            </w:pPr>
            <w:r>
              <w:rPr>
                <w:rFonts w:ascii="Arial" w:cs="Arial" w:eastAsia="Arial" w:hAnsi="Arial"/>
                <w:sz w:val="16"/>
                <w:szCs w:val="16"/>
                <w:color w:val="auto"/>
              </w:rPr>
              <w:t>Salvation Army Advisory Board of Silicon Valley</w:t>
            </w:r>
          </w:p>
        </w:tc>
        <w:tc>
          <w:tcPr>
            <w:tcW w:w="4000" w:type="dxa"/>
            <w:vAlign w:val="bottom"/>
          </w:tcPr>
          <w:p>
            <w:pPr>
              <w:ind w:left="120"/>
              <w:spacing w:after="0"/>
              <w:rPr>
                <w:sz w:val="20"/>
                <w:szCs w:val="20"/>
                <w:color w:val="auto"/>
              </w:rPr>
            </w:pPr>
            <w:r>
              <w:rPr>
                <w:rFonts w:ascii="Arial" w:cs="Arial" w:eastAsia="Arial" w:hAnsi="Arial"/>
                <w:sz w:val="16"/>
                <w:szCs w:val="16"/>
                <w:color w:val="auto"/>
              </w:rPr>
              <w:t>Association of National Advertisers (board and</w:t>
            </w:r>
          </w:p>
        </w:tc>
      </w:tr>
      <w:tr>
        <w:trPr>
          <w:trHeight w:val="204"/>
        </w:trPr>
        <w:tc>
          <w:tcPr>
            <w:tcW w:w="2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executive committee)</w:t>
            </w:r>
          </w:p>
        </w:tc>
      </w:tr>
      <w:tr>
        <w:trPr>
          <w:trHeight w:val="253"/>
        </w:trPr>
        <w:tc>
          <w:tcPr>
            <w:tcW w:w="27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4500" w:type="dxa"/>
            <w:vAlign w:val="bottom"/>
            <w:shd w:val="clear" w:color="auto" w:fill="F4F6F6"/>
          </w:tcPr>
          <w:p>
            <w:pPr>
              <w:spacing w:after="0"/>
              <w:rPr>
                <w:sz w:val="21"/>
                <w:szCs w:val="21"/>
                <w:color w:val="auto"/>
              </w:rPr>
            </w:pPr>
          </w:p>
        </w:tc>
        <w:tc>
          <w:tcPr>
            <w:tcW w:w="400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40" w:hanging="114"/>
        <w:spacing w:after="0"/>
        <w:tabs>
          <w:tab w:leader="none" w:pos="1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Intel Corporation, </w:t>
      </w:r>
      <w:r>
        <w:rPr>
          <w:rFonts w:ascii="Arial" w:cs="Arial" w:eastAsia="Arial" w:hAnsi="Arial"/>
          <w:sz w:val="16"/>
          <w:szCs w:val="16"/>
          <w:color w:val="auto"/>
        </w:rPr>
        <w:t>a leader in the semiconductor industry</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Senior Vice President and Chief Marketing Officer (2019 - present)</w:t>
      </w:r>
    </w:p>
    <w:p>
      <w:pPr>
        <w:spacing w:after="0" w:line="192" w:lineRule="exact"/>
        <w:rPr>
          <w:rFonts w:ascii="Arial" w:cs="Arial" w:eastAsia="Arial" w:hAnsi="Arial"/>
          <w:sz w:val="16"/>
          <w:szCs w:val="16"/>
          <w:color w:val="auto"/>
        </w:rPr>
      </w:pPr>
    </w:p>
    <w:p>
      <w:pPr>
        <w:ind w:left="140" w:hanging="114"/>
        <w:spacing w:after="0"/>
        <w:tabs>
          <w:tab w:leader="none" w:pos="1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Cisco Systems, Inc., </w:t>
      </w:r>
      <w:r>
        <w:rPr>
          <w:rFonts w:ascii="Arial" w:cs="Arial" w:eastAsia="Arial" w:hAnsi="Arial"/>
          <w:sz w:val="16"/>
          <w:szCs w:val="16"/>
          <w:color w:val="auto"/>
        </w:rPr>
        <w:t>a provider of communications technologies and services to commercial and governmental customers</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Senior Vice President and Chief Marketing Officer (2015 - 2019)</w:t>
      </w:r>
    </w:p>
    <w:p>
      <w:pPr>
        <w:spacing w:after="0" w:line="59" w:lineRule="exact"/>
        <w:rPr>
          <w:rFonts w:ascii="Arial" w:cs="Arial" w:eastAsia="Arial" w:hAnsi="Arial"/>
          <w:sz w:val="16"/>
          <w:szCs w:val="16"/>
          <w:color w:val="auto"/>
        </w:rPr>
      </w:pPr>
    </w:p>
    <w:p>
      <w:pPr>
        <w:ind w:left="360" w:hanging="109"/>
        <w:spacing w:after="0"/>
        <w:tabs>
          <w:tab w:leader="none" w:pos="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Senior Vice President, Marketing (2013 - 2015)</w:t>
      </w:r>
    </w:p>
    <w:p>
      <w:pPr>
        <w:spacing w:after="0" w:line="59" w:lineRule="exact"/>
        <w:rPr>
          <w:rFonts w:ascii="Arial" w:cs="Arial" w:eastAsia="Arial" w:hAnsi="Arial"/>
          <w:sz w:val="16"/>
          <w:szCs w:val="16"/>
          <w:color w:val="auto"/>
        </w:rPr>
      </w:pPr>
    </w:p>
    <w:p>
      <w:pPr>
        <w:ind w:left="360" w:hanging="109"/>
        <w:spacing w:after="0"/>
        <w:tabs>
          <w:tab w:leader="none" w:pos="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Senior Vice President of Segment, Services and Partner Marketing (2012 - 2013)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QUALIFICATIONS</w:t>
      </w:r>
    </w:p>
    <w:p>
      <w:pPr>
        <w:spacing w:after="0" w:line="66" w:lineRule="exact"/>
        <w:rPr>
          <w:sz w:val="20"/>
          <w:szCs w:val="20"/>
          <w:color w:val="auto"/>
        </w:rPr>
      </w:pPr>
    </w:p>
    <w:p>
      <w:pPr>
        <w:ind w:left="20" w:right="2800"/>
        <w:spacing w:after="0" w:line="235" w:lineRule="auto"/>
        <w:rPr>
          <w:sz w:val="20"/>
          <w:szCs w:val="20"/>
          <w:color w:val="auto"/>
        </w:rPr>
      </w:pPr>
      <w:r>
        <w:rPr>
          <w:rFonts w:ascii="Arial" w:cs="Arial" w:eastAsia="Arial" w:hAnsi="Arial"/>
          <w:sz w:val="16"/>
          <w:szCs w:val="16"/>
          <w:color w:val="auto"/>
        </w:rPr>
        <w:t>Ms. Walker brings extensive marketing and digital expertise. She has valuable business experience developed through her business and consumer leadership positions in the information technology industry and is a recognized industry authority on both technology and marketing. Her business expertise includes senior field and marketing roles in Europe, North America, and the Asia-Pacific region.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Class of 2024</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five directors are serving terms that will expire in 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87630</wp:posOffset>
            </wp:positionV>
            <wp:extent cx="702945" cy="702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00"/>
        <w:spacing w:after="0"/>
        <w:rPr>
          <w:sz w:val="20"/>
          <w:szCs w:val="20"/>
          <w:color w:val="auto"/>
        </w:rPr>
      </w:pPr>
      <w:r>
        <w:rPr>
          <w:rFonts w:ascii="Arial" w:cs="Arial" w:eastAsia="Arial" w:hAnsi="Arial"/>
          <w:sz w:val="27"/>
          <w:szCs w:val="27"/>
          <w:b w:val="1"/>
          <w:bCs w:val="1"/>
          <w:color w:val="EF3729"/>
        </w:rPr>
        <w:t>Katherine Baicker, Ph.D.</w:t>
      </w:r>
    </w:p>
    <w:p>
      <w:pPr>
        <w:spacing w:after="0" w:line="306"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Age: 50, Director since 2011,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Ethics and Compliance (chair); Science and Technology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14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PRIOR PUBLIC BOARDS</w:t>
            </w:r>
          </w:p>
        </w:tc>
        <w:tc>
          <w:tcPr>
            <w:tcW w:w="9060" w:type="dxa"/>
            <w:vAlign w:val="bottom"/>
            <w:shd w:val="clear" w:color="auto" w:fill="F4F6F6"/>
          </w:tcPr>
          <w:p>
            <w:pPr>
              <w:ind w:left="200"/>
              <w:spacing w:after="0"/>
              <w:rPr>
                <w:sz w:val="20"/>
                <w:szCs w:val="20"/>
                <w:color w:val="auto"/>
              </w:rPr>
            </w:pPr>
            <w:r>
              <w:rPr>
                <w:rFonts w:ascii="Arial" w:cs="Arial" w:eastAsia="Arial" w:hAnsi="Arial"/>
                <w:sz w:val="16"/>
                <w:szCs w:val="16"/>
                <w:b w:val="1"/>
                <w:bCs w:val="1"/>
                <w:color w:val="00A1DE"/>
              </w:rPr>
              <w:t>MEMBERSHIPS + OTHER ORGANIZATIONS</w:t>
            </w:r>
          </w:p>
        </w:tc>
      </w:tr>
      <w:tr>
        <w:trPr>
          <w:trHeight w:val="218"/>
        </w:trPr>
        <w:tc>
          <w:tcPr>
            <w:tcW w:w="2140" w:type="dxa"/>
            <w:vAlign w:val="bottom"/>
          </w:tcPr>
          <w:p>
            <w:pPr>
              <w:ind w:left="20"/>
              <w:spacing w:after="0"/>
              <w:rPr>
                <w:sz w:val="20"/>
                <w:szCs w:val="20"/>
                <w:color w:val="auto"/>
              </w:rPr>
            </w:pPr>
            <w:r>
              <w:rPr>
                <w:rFonts w:ascii="Arial" w:cs="Arial" w:eastAsia="Arial" w:hAnsi="Arial"/>
                <w:sz w:val="16"/>
                <w:szCs w:val="16"/>
                <w:color w:val="auto"/>
              </w:rPr>
              <w:t>HMS Holdings Corp.</w:t>
            </w:r>
          </w:p>
        </w:tc>
        <w:tc>
          <w:tcPr>
            <w:tcW w:w="9060" w:type="dxa"/>
            <w:vAlign w:val="bottom"/>
          </w:tcPr>
          <w:p>
            <w:pPr>
              <w:ind w:left="200"/>
              <w:spacing w:after="0"/>
              <w:rPr>
                <w:sz w:val="20"/>
                <w:szCs w:val="20"/>
                <w:color w:val="auto"/>
              </w:rPr>
            </w:pPr>
            <w:r>
              <w:rPr>
                <w:rFonts w:ascii="Arial" w:cs="Arial" w:eastAsia="Arial" w:hAnsi="Arial"/>
                <w:sz w:val="16"/>
                <w:szCs w:val="16"/>
                <w:color w:val="auto"/>
              </w:rPr>
              <w:t>Panel of Health Advisers to the Congressional Budget Office; Advisory Board of the National Institute for Health Care</w:t>
            </w:r>
          </w:p>
        </w:tc>
      </w:tr>
      <w:tr>
        <w:trPr>
          <w:trHeight w:val="189"/>
        </w:trPr>
        <w:tc>
          <w:tcPr>
            <w:tcW w:w="2140" w:type="dxa"/>
            <w:vAlign w:val="bottom"/>
          </w:tcPr>
          <w:p>
            <w:pPr>
              <w:spacing w:after="0"/>
              <w:rPr>
                <w:sz w:val="16"/>
                <w:szCs w:val="16"/>
                <w:color w:val="auto"/>
              </w:rPr>
            </w:pPr>
          </w:p>
        </w:tc>
        <w:tc>
          <w:tcPr>
            <w:tcW w:w="9060" w:type="dxa"/>
            <w:vAlign w:val="bottom"/>
          </w:tcPr>
          <w:p>
            <w:pPr>
              <w:ind w:left="200"/>
              <w:spacing w:after="0"/>
              <w:rPr>
                <w:sz w:val="20"/>
                <w:szCs w:val="20"/>
                <w:color w:val="auto"/>
              </w:rPr>
            </w:pPr>
            <w:r>
              <w:rPr>
                <w:rFonts w:ascii="Arial" w:cs="Arial" w:eastAsia="Arial" w:hAnsi="Arial"/>
                <w:sz w:val="16"/>
                <w:szCs w:val="16"/>
                <w:color w:val="auto"/>
              </w:rPr>
              <w:t>Management; Editorial Board of Health Affairs; Research Associate of the National Bureau of Economic Research; Trustee</w:t>
            </w:r>
          </w:p>
        </w:tc>
      </w:tr>
      <w:tr>
        <w:trPr>
          <w:trHeight w:val="189"/>
        </w:trPr>
        <w:tc>
          <w:tcPr>
            <w:tcW w:w="2140" w:type="dxa"/>
            <w:vAlign w:val="bottom"/>
          </w:tcPr>
          <w:p>
            <w:pPr>
              <w:spacing w:after="0"/>
              <w:rPr>
                <w:sz w:val="16"/>
                <w:szCs w:val="16"/>
                <w:color w:val="auto"/>
              </w:rPr>
            </w:pPr>
          </w:p>
        </w:tc>
        <w:tc>
          <w:tcPr>
            <w:tcW w:w="9060" w:type="dxa"/>
            <w:vAlign w:val="bottom"/>
          </w:tcPr>
          <w:p>
            <w:pPr>
              <w:ind w:left="200"/>
              <w:spacing w:after="0"/>
              <w:rPr>
                <w:sz w:val="20"/>
                <w:szCs w:val="20"/>
                <w:color w:val="auto"/>
              </w:rPr>
            </w:pPr>
            <w:r>
              <w:rPr>
                <w:rFonts w:ascii="Arial" w:cs="Arial" w:eastAsia="Arial" w:hAnsi="Arial"/>
                <w:sz w:val="16"/>
                <w:szCs w:val="16"/>
                <w:color w:val="auto"/>
              </w:rPr>
              <w:t>of the Mayo Clinic, National Opinion Research Center, and the Chicago Council on Global Affairs; Member of the National</w:t>
            </w:r>
          </w:p>
        </w:tc>
      </w:tr>
      <w:tr>
        <w:trPr>
          <w:trHeight w:val="189"/>
        </w:trPr>
        <w:tc>
          <w:tcPr>
            <w:tcW w:w="2140" w:type="dxa"/>
            <w:vAlign w:val="bottom"/>
          </w:tcPr>
          <w:p>
            <w:pPr>
              <w:spacing w:after="0"/>
              <w:rPr>
                <w:sz w:val="16"/>
                <w:szCs w:val="16"/>
                <w:color w:val="auto"/>
              </w:rPr>
            </w:pPr>
          </w:p>
        </w:tc>
        <w:tc>
          <w:tcPr>
            <w:tcW w:w="9060" w:type="dxa"/>
            <w:vAlign w:val="bottom"/>
          </w:tcPr>
          <w:p>
            <w:pPr>
              <w:ind w:left="200"/>
              <w:spacing w:after="0"/>
              <w:rPr>
                <w:sz w:val="20"/>
                <w:szCs w:val="20"/>
                <w:color w:val="auto"/>
              </w:rPr>
            </w:pPr>
            <w:r>
              <w:rPr>
                <w:rFonts w:ascii="Arial" w:cs="Arial" w:eastAsia="Arial" w:hAnsi="Arial"/>
                <w:sz w:val="16"/>
                <w:szCs w:val="16"/>
                <w:color w:val="auto"/>
              </w:rPr>
              <w:t>Academy of Medicine, the National Academy of Social Insurance, the Council on Foreign Relations, and the American</w:t>
            </w:r>
          </w:p>
        </w:tc>
      </w:tr>
      <w:tr>
        <w:trPr>
          <w:trHeight w:val="204"/>
        </w:trPr>
        <w:tc>
          <w:tcPr>
            <w:tcW w:w="2140" w:type="dxa"/>
            <w:vAlign w:val="bottom"/>
          </w:tcPr>
          <w:p>
            <w:pPr>
              <w:spacing w:after="0"/>
              <w:rPr>
                <w:sz w:val="17"/>
                <w:szCs w:val="17"/>
                <w:color w:val="auto"/>
              </w:rPr>
            </w:pPr>
          </w:p>
        </w:tc>
        <w:tc>
          <w:tcPr>
            <w:tcW w:w="9060" w:type="dxa"/>
            <w:vAlign w:val="bottom"/>
          </w:tcPr>
          <w:p>
            <w:pPr>
              <w:ind w:left="200"/>
              <w:spacing w:after="0"/>
              <w:rPr>
                <w:sz w:val="20"/>
                <w:szCs w:val="20"/>
                <w:color w:val="auto"/>
              </w:rPr>
            </w:pPr>
            <w:r>
              <w:rPr>
                <w:rFonts w:ascii="Arial" w:cs="Arial" w:eastAsia="Arial" w:hAnsi="Arial"/>
                <w:sz w:val="16"/>
                <w:szCs w:val="16"/>
                <w:color w:val="auto"/>
              </w:rPr>
              <w:t>Academy of Arts and Sciences</w:t>
            </w:r>
          </w:p>
        </w:tc>
      </w:tr>
      <w:tr>
        <w:trPr>
          <w:trHeight w:val="253"/>
        </w:trPr>
        <w:tc>
          <w:tcPr>
            <w:tcW w:w="214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9060" w:type="dxa"/>
            <w:vAlign w:val="bottom"/>
            <w:shd w:val="clear" w:color="auto" w:fill="F4F6F6"/>
          </w:tcPr>
          <w:p>
            <w:pPr>
              <w:spacing w:after="0"/>
              <w:rPr>
                <w:sz w:val="21"/>
                <w:szCs w:val="21"/>
                <w:color w:val="auto"/>
              </w:rPr>
            </w:pPr>
          </w:p>
        </w:tc>
      </w:tr>
    </w:tbl>
    <w:p>
      <w:pPr>
        <w:spacing w:after="0" w:line="55" w:lineRule="exact"/>
        <w:rPr>
          <w:sz w:val="20"/>
          <w:szCs w:val="20"/>
          <w:color w:val="auto"/>
        </w:rPr>
      </w:pPr>
    </w:p>
    <w:p>
      <w:pPr>
        <w:ind w:left="140" w:hanging="101"/>
        <w:spacing w:after="0"/>
        <w:tabs>
          <w:tab w:leader="none" w:pos="140" w:val="left"/>
        </w:tabs>
        <w:numPr>
          <w:ilvl w:val="0"/>
          <w:numId w:val="24"/>
        </w:numPr>
        <w:rPr>
          <w:rFonts w:ascii="Arial" w:cs="Arial" w:eastAsia="Arial" w:hAnsi="Arial"/>
          <w:sz w:val="16"/>
          <w:szCs w:val="16"/>
          <w:color w:val="auto"/>
        </w:rPr>
      </w:pPr>
      <w:r>
        <w:rPr>
          <w:rFonts w:ascii="Arial" w:cs="Arial" w:eastAsia="Arial" w:hAnsi="Arial"/>
          <w:sz w:val="17"/>
          <w:szCs w:val="17"/>
          <w:b w:val="1"/>
          <w:bCs w:val="1"/>
          <w:color w:val="auto"/>
        </w:rPr>
        <w:t>Harris School of Public Policy, University of Chicago</w:t>
      </w:r>
    </w:p>
    <w:p>
      <w:pPr>
        <w:spacing w:after="0" w:line="197"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Dean and the Emmett Dedmon Professor (2017 - present)</w:t>
      </w:r>
    </w:p>
    <w:p>
      <w:pPr>
        <w:spacing w:after="0" w:line="30" w:lineRule="exact"/>
        <w:rPr>
          <w:rFonts w:ascii="Arial" w:cs="Arial" w:eastAsia="Arial" w:hAnsi="Arial"/>
          <w:sz w:val="16"/>
          <w:szCs w:val="16"/>
          <w:color w:val="auto"/>
        </w:rPr>
      </w:pPr>
    </w:p>
    <w:p>
      <w:pPr>
        <w:ind w:left="140" w:hanging="101"/>
        <w:spacing w:after="0"/>
        <w:tabs>
          <w:tab w:leader="none" w:pos="1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Harvard T.H. Chan School of Public Health, Department of Health Policy and Management</w:t>
      </w:r>
    </w:p>
    <w:p>
      <w:pPr>
        <w:spacing w:after="0" w:line="89" w:lineRule="exact"/>
        <w:rPr>
          <w:rFonts w:ascii="Arial" w:cs="Arial" w:eastAsia="Arial" w:hAnsi="Arial"/>
          <w:sz w:val="17"/>
          <w:szCs w:val="17"/>
          <w:b w:val="1"/>
          <w:bCs w:val="1"/>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 Boyden Gray Professor (2014 - 2017)</w:t>
      </w:r>
    </w:p>
    <w:p>
      <w:pPr>
        <w:spacing w:after="0" w:line="59"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Acting Chair (2014 - 2016)</w:t>
      </w:r>
    </w:p>
    <w:p>
      <w:pPr>
        <w:spacing w:after="0" w:line="59"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Professor of health economics (2007 - 2017)</w:t>
      </w:r>
    </w:p>
    <w:p>
      <w:pPr>
        <w:spacing w:after="0" w:line="30" w:lineRule="exact"/>
        <w:rPr>
          <w:rFonts w:ascii="Arial" w:cs="Arial" w:eastAsia="Arial" w:hAnsi="Arial"/>
          <w:sz w:val="16"/>
          <w:szCs w:val="16"/>
          <w:color w:val="auto"/>
        </w:rPr>
      </w:pPr>
    </w:p>
    <w:p>
      <w:pPr>
        <w:ind w:left="140" w:hanging="101"/>
        <w:spacing w:after="0"/>
        <w:tabs>
          <w:tab w:leader="none" w:pos="1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Council of Economic Advisers, Executive Office of the President</w:t>
      </w:r>
    </w:p>
    <w:p>
      <w:pPr>
        <w:spacing w:after="0" w:line="89" w:lineRule="exact"/>
        <w:rPr>
          <w:rFonts w:ascii="Arial" w:cs="Arial" w:eastAsia="Arial" w:hAnsi="Arial"/>
          <w:sz w:val="17"/>
          <w:szCs w:val="17"/>
          <w:b w:val="1"/>
          <w:bCs w:val="1"/>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Member (2005 - 2007)</w:t>
      </w:r>
    </w:p>
    <w:p>
      <w:pPr>
        <w:spacing w:after="0" w:line="59" w:lineRule="exact"/>
        <w:rPr>
          <w:rFonts w:ascii="Arial" w:cs="Arial" w:eastAsia="Arial" w:hAnsi="Arial"/>
          <w:sz w:val="16"/>
          <w:szCs w:val="16"/>
          <w:color w:val="auto"/>
        </w:rPr>
      </w:pPr>
    </w:p>
    <w:p>
      <w:pPr>
        <w:ind w:left="360" w:hanging="95"/>
        <w:spacing w:after="0"/>
        <w:tabs>
          <w:tab w:leader="none" w:pos="3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Senior Economist (2001 - 2002)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40" w:right="960"/>
        <w:spacing w:after="0" w:line="260" w:lineRule="auto"/>
        <w:rPr>
          <w:sz w:val="20"/>
          <w:szCs w:val="20"/>
          <w:color w:val="auto"/>
        </w:rPr>
      </w:pPr>
      <w:r>
        <w:rPr>
          <w:rFonts w:ascii="Arial" w:cs="Arial" w:eastAsia="Arial" w:hAnsi="Arial"/>
          <w:sz w:val="16"/>
          <w:szCs w:val="16"/>
          <w:color w:val="auto"/>
        </w:rPr>
        <w:t>Dr. Baicker is a leading researcher in the fields of health economics and public economics. As a valued adviser to numerous healthcare-related commissions and committees, her expertise in healthcare policy and healthcare delivery is recognized in both academia and government.</w:t>
      </w:r>
    </w:p>
    <w:p>
      <w:pPr>
        <w:sectPr>
          <w:pgSz w:w="11900" w:h="16838" w:orient="portrait"/>
          <w:cols w:equalWidth="0" w:num="1">
            <w:col w:w="11220"/>
          </w:cols>
          <w:pgMar w:left="320" w:top="12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1211" w:right="359" w:bottom="1440" w:gutter="0" w:footer="0" w:header="0"/>
          <w:type w:val="continuous"/>
        </w:sectPr>
      </w:pPr>
    </w:p>
    <w:bookmarkStart w:id="21" w:name="page22"/>
    <w:bookmarkEnd w:id="21"/>
    <w:p>
      <w:pPr>
        <w:ind w:left="158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362585</wp:posOffset>
            </wp:positionH>
            <wp:positionV relativeFrom="page">
              <wp:posOffset>517525</wp:posOffset>
            </wp:positionV>
            <wp:extent cx="702945"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t>J. Erik Fyrwald</w:t>
      </w:r>
    </w:p>
    <w:p>
      <w:pPr>
        <w:spacing w:after="0" w:line="30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 xml:space="preserve">Age: 62, Director since 2005,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Compensation; Science and Technology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1840" w:type="dxa"/>
            <w:vAlign w:val="bottom"/>
            <w:shd w:val="clear" w:color="auto" w:fill="F4F6F6"/>
          </w:tcPr>
          <w:p>
            <w:pPr>
              <w:ind w:left="60"/>
              <w:spacing w:after="0"/>
              <w:rPr>
                <w:sz w:val="20"/>
                <w:szCs w:val="20"/>
                <w:color w:val="auto"/>
              </w:rPr>
            </w:pPr>
            <w:r>
              <w:rPr>
                <w:rFonts w:ascii="Arial" w:cs="Arial" w:eastAsia="Arial" w:hAnsi="Arial"/>
                <w:sz w:val="16"/>
                <w:szCs w:val="16"/>
                <w:b w:val="1"/>
                <w:bCs w:val="1"/>
                <w:color w:val="00A1DE"/>
              </w:rPr>
              <w:t>PRIVATE BOARDS</w:t>
            </w:r>
          </w:p>
        </w:tc>
        <w:tc>
          <w:tcPr>
            <w:tcW w:w="7560" w:type="dxa"/>
            <w:vAlign w:val="bottom"/>
            <w:shd w:val="clear" w:color="auto" w:fill="F4F6F6"/>
          </w:tcPr>
          <w:p>
            <w:pPr>
              <w:ind w:left="340"/>
              <w:spacing w:after="0"/>
              <w:rPr>
                <w:sz w:val="20"/>
                <w:szCs w:val="20"/>
                <w:color w:val="auto"/>
              </w:rPr>
            </w:pPr>
            <w:r>
              <w:rPr>
                <w:rFonts w:ascii="Arial" w:cs="Arial" w:eastAsia="Arial" w:hAnsi="Arial"/>
                <w:sz w:val="16"/>
                <w:szCs w:val="16"/>
                <w:b w:val="1"/>
                <w:bCs w:val="1"/>
                <w:color w:val="00A1DE"/>
              </w:rPr>
              <w:t>NON-PROFIT BOARDS</w:t>
            </w:r>
          </w:p>
        </w:tc>
      </w:tr>
      <w:tr>
        <w:trPr>
          <w:trHeight w:val="191"/>
        </w:trPr>
        <w:tc>
          <w:tcPr>
            <w:tcW w:w="1820" w:type="dxa"/>
            <w:vAlign w:val="bottom"/>
          </w:tcPr>
          <w:p>
            <w:pPr>
              <w:ind w:left="20"/>
              <w:spacing w:after="0"/>
              <w:rPr>
                <w:sz w:val="20"/>
                <w:szCs w:val="20"/>
                <w:color w:val="auto"/>
              </w:rPr>
            </w:pPr>
            <w:r>
              <w:rPr>
                <w:rFonts w:ascii="Arial" w:cs="Arial" w:eastAsia="Arial" w:hAnsi="Arial"/>
                <w:sz w:val="16"/>
                <w:szCs w:val="16"/>
                <w:color w:val="auto"/>
              </w:rPr>
              <w:t>Bunge Limited</w:t>
            </w:r>
          </w:p>
        </w:tc>
        <w:tc>
          <w:tcPr>
            <w:tcW w:w="1840" w:type="dxa"/>
            <w:vAlign w:val="bottom"/>
          </w:tcPr>
          <w:p>
            <w:pPr>
              <w:ind w:left="60"/>
              <w:spacing w:after="0"/>
              <w:rPr>
                <w:sz w:val="20"/>
                <w:szCs w:val="20"/>
                <w:color w:val="auto"/>
              </w:rPr>
            </w:pPr>
            <w:r>
              <w:rPr>
                <w:rFonts w:ascii="Arial" w:cs="Arial" w:eastAsia="Arial" w:hAnsi="Arial"/>
                <w:sz w:val="16"/>
                <w:szCs w:val="16"/>
                <w:color w:val="auto"/>
              </w:rPr>
              <w:t>Syngenta Group</w:t>
            </w:r>
          </w:p>
        </w:tc>
        <w:tc>
          <w:tcPr>
            <w:tcW w:w="7560" w:type="dxa"/>
            <w:vAlign w:val="bottom"/>
          </w:tcPr>
          <w:p>
            <w:pPr>
              <w:ind w:left="340"/>
              <w:spacing w:after="0"/>
              <w:rPr>
                <w:sz w:val="20"/>
                <w:szCs w:val="20"/>
                <w:color w:val="auto"/>
              </w:rPr>
            </w:pPr>
            <w:r>
              <w:rPr>
                <w:rFonts w:ascii="Arial" w:cs="Arial" w:eastAsia="Arial" w:hAnsi="Arial"/>
                <w:sz w:val="16"/>
                <w:szCs w:val="16"/>
                <w:color w:val="auto"/>
              </w:rPr>
              <w:t>UN World Food Program Farm to Market Alliance;</w:t>
            </w:r>
          </w:p>
        </w:tc>
      </w:tr>
      <w:tr>
        <w:trPr>
          <w:trHeight w:val="175"/>
        </w:trPr>
        <w:tc>
          <w:tcPr>
            <w:tcW w:w="1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560" w:type="dxa"/>
            <w:vAlign w:val="bottom"/>
          </w:tcPr>
          <w:p>
            <w:pPr>
              <w:ind w:left="340"/>
              <w:spacing w:after="0" w:line="175" w:lineRule="exact"/>
              <w:rPr>
                <w:sz w:val="20"/>
                <w:szCs w:val="20"/>
                <w:color w:val="auto"/>
              </w:rPr>
            </w:pPr>
            <w:r>
              <w:rPr>
                <w:rFonts w:ascii="Arial" w:cs="Arial" w:eastAsia="Arial" w:hAnsi="Arial"/>
                <w:sz w:val="16"/>
                <w:szCs w:val="16"/>
                <w:color w:val="auto"/>
              </w:rPr>
              <w:t>CropLife International (chair); Swiss-American Chamber of Commerce;</w:t>
            </w:r>
          </w:p>
        </w:tc>
      </w:tr>
      <w:tr>
        <w:trPr>
          <w:trHeight w:val="204"/>
        </w:trPr>
        <w:tc>
          <w:tcPr>
            <w:tcW w:w="1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560" w:type="dxa"/>
            <w:vAlign w:val="bottom"/>
          </w:tcPr>
          <w:p>
            <w:pPr>
              <w:ind w:left="340"/>
              <w:spacing w:after="0"/>
              <w:rPr>
                <w:sz w:val="20"/>
                <w:szCs w:val="20"/>
                <w:color w:val="auto"/>
              </w:rPr>
            </w:pPr>
            <w:r>
              <w:rPr>
                <w:rFonts w:ascii="Arial" w:cs="Arial" w:eastAsia="Arial" w:hAnsi="Arial"/>
                <w:sz w:val="16"/>
                <w:szCs w:val="16"/>
                <w:color w:val="auto"/>
              </w:rPr>
              <w:t>Syngenta Foundation for Sustainable Agriculture</w:t>
            </w:r>
          </w:p>
        </w:tc>
      </w:tr>
      <w:tr>
        <w:trPr>
          <w:trHeight w:val="253"/>
        </w:trPr>
        <w:tc>
          <w:tcPr>
            <w:tcW w:w="18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1840" w:type="dxa"/>
            <w:vAlign w:val="bottom"/>
            <w:shd w:val="clear" w:color="auto" w:fill="F4F6F6"/>
          </w:tcPr>
          <w:p>
            <w:pPr>
              <w:spacing w:after="0"/>
              <w:rPr>
                <w:sz w:val="21"/>
                <w:szCs w:val="21"/>
                <w:color w:val="auto"/>
              </w:rPr>
            </w:pPr>
          </w:p>
        </w:tc>
        <w:tc>
          <w:tcPr>
            <w:tcW w:w="756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20" w:hanging="107"/>
        <w:spacing w:after="0"/>
        <w:tabs>
          <w:tab w:leader="none" w:pos="1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Syngenta Group, </w:t>
      </w:r>
      <w:r>
        <w:rPr>
          <w:rFonts w:ascii="Arial" w:cs="Arial" w:eastAsia="Arial" w:hAnsi="Arial"/>
          <w:sz w:val="16"/>
          <w:szCs w:val="16"/>
          <w:color w:val="auto"/>
        </w:rPr>
        <w:t>a global Swiss-based agriculture technology company that produces agrochemicals and seeds</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President and Chief Executive Officer (2016 - present)</w:t>
      </w:r>
    </w:p>
    <w:p>
      <w:pPr>
        <w:spacing w:after="0" w:line="192" w:lineRule="exact"/>
        <w:rPr>
          <w:rFonts w:ascii="Arial" w:cs="Arial" w:eastAsia="Arial" w:hAnsi="Arial"/>
          <w:sz w:val="16"/>
          <w:szCs w:val="16"/>
          <w:color w:val="auto"/>
        </w:rPr>
      </w:pPr>
    </w:p>
    <w:p>
      <w:pPr>
        <w:ind w:left="120" w:hanging="107"/>
        <w:spacing w:after="0"/>
        <w:tabs>
          <w:tab w:leader="none" w:pos="1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President and Chief Executive Officer (2012 - 2016)</w:t>
      </w:r>
    </w:p>
    <w:p>
      <w:pPr>
        <w:spacing w:after="0" w:line="192" w:lineRule="exact"/>
        <w:rPr>
          <w:rFonts w:ascii="Arial" w:cs="Arial" w:eastAsia="Arial" w:hAnsi="Arial"/>
          <w:sz w:val="16"/>
          <w:szCs w:val="16"/>
          <w:color w:val="auto"/>
        </w:rPr>
      </w:pPr>
    </w:p>
    <w:p>
      <w:pPr>
        <w:ind w:left="120" w:hanging="107"/>
        <w:spacing w:after="0"/>
        <w:tabs>
          <w:tab w:leader="none" w:pos="1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Ecolab Inc., </w:t>
      </w:r>
      <w:r>
        <w:rPr>
          <w:rFonts w:ascii="Arial" w:cs="Arial" w:eastAsia="Arial" w:hAnsi="Arial"/>
          <w:sz w:val="16"/>
          <w:szCs w:val="16"/>
          <w:color w:val="auto"/>
        </w:rPr>
        <w:t>a leading provider of cleaning, sanitization, and water products and services</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President (2012)</w:t>
      </w:r>
    </w:p>
    <w:p>
      <w:pPr>
        <w:spacing w:after="0" w:line="192" w:lineRule="exact"/>
        <w:rPr>
          <w:rFonts w:ascii="Arial" w:cs="Arial" w:eastAsia="Arial" w:hAnsi="Arial"/>
          <w:sz w:val="16"/>
          <w:szCs w:val="16"/>
          <w:color w:val="auto"/>
        </w:rPr>
      </w:pPr>
    </w:p>
    <w:p>
      <w:pPr>
        <w:ind w:left="120" w:hanging="107"/>
        <w:spacing w:after="0"/>
        <w:tabs>
          <w:tab w:leader="none" w:pos="1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Chairman and Chief Executive Officer (2008 - 2011)</w:t>
      </w:r>
    </w:p>
    <w:p>
      <w:pPr>
        <w:spacing w:after="0" w:line="192" w:lineRule="exact"/>
        <w:rPr>
          <w:rFonts w:ascii="Arial" w:cs="Arial" w:eastAsia="Arial" w:hAnsi="Arial"/>
          <w:sz w:val="16"/>
          <w:szCs w:val="16"/>
          <w:color w:val="auto"/>
        </w:rPr>
      </w:pPr>
    </w:p>
    <w:p>
      <w:pPr>
        <w:ind w:left="120" w:hanging="107"/>
        <w:spacing w:after="0"/>
        <w:tabs>
          <w:tab w:leader="none" w:pos="1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E.I. duPont de Nemours and Company, </w:t>
      </w:r>
      <w:r>
        <w:rPr>
          <w:rFonts w:ascii="Arial" w:cs="Arial" w:eastAsia="Arial" w:hAnsi="Arial"/>
          <w:sz w:val="16"/>
          <w:szCs w:val="16"/>
          <w:color w:val="auto"/>
        </w:rPr>
        <w:t>a global chemical company</w:t>
      </w:r>
    </w:p>
    <w:p>
      <w:pPr>
        <w:spacing w:after="0" w:line="143" w:lineRule="exact"/>
        <w:rPr>
          <w:rFonts w:ascii="Arial" w:cs="Arial" w:eastAsia="Arial" w:hAnsi="Arial"/>
          <w:sz w:val="17"/>
          <w:szCs w:val="17"/>
          <w:b w:val="1"/>
          <w:bCs w:val="1"/>
          <w:color w:val="auto"/>
        </w:rPr>
      </w:pPr>
    </w:p>
    <w:p>
      <w:pPr>
        <w:ind w:left="340" w:hanging="102"/>
        <w:spacing w:after="0"/>
        <w:tabs>
          <w:tab w:leader="none" w:pos="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Group Vice President, agriculture and nutrition (2003 - 2008)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712343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20" w:right="180"/>
        <w:spacing w:after="0" w:line="260" w:lineRule="auto"/>
        <w:rPr>
          <w:sz w:val="20"/>
          <w:szCs w:val="20"/>
          <w:color w:val="auto"/>
        </w:rPr>
      </w:pPr>
      <w:r>
        <w:rPr>
          <w:rFonts w:ascii="Arial" w:cs="Arial" w:eastAsia="Arial" w:hAnsi="Arial"/>
          <w:sz w:val="16"/>
          <w:szCs w:val="16"/>
          <w:color w:val="auto"/>
        </w:rPr>
        <w:t>Mr. Fyrwald has a strong record of operational and strategic leadership in complex worldwide businesses with a focus on technology and innovation. He is an engineer by training and has significant chief executive officer experience with Syngenta, Univar, and Nalco.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551180</wp:posOffset>
            </wp:positionV>
            <wp:extent cx="702945" cy="702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7"/>
          <w:szCs w:val="27"/>
          <w:b w:val="1"/>
          <w:bCs w:val="1"/>
          <w:color w:val="EF3729"/>
        </w:rPr>
        <w:t>Jamere Jackson</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Age: 53, Director since 2016,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(chair); Ethics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94615</wp:posOffset>
            </wp:positionV>
            <wp:extent cx="709803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PUBLIC BOARDS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Hibbett Sports,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87630</wp:posOffset>
            </wp:positionV>
            <wp:extent cx="709803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CAREER HIGHLIGHTS</w:t>
      </w:r>
    </w:p>
    <w:p>
      <w:pPr>
        <w:spacing w:after="0" w:line="213" w:lineRule="exact"/>
        <w:rPr>
          <w:sz w:val="20"/>
          <w:szCs w:val="20"/>
          <w:color w:val="auto"/>
        </w:rPr>
      </w:pPr>
    </w:p>
    <w:p>
      <w:pPr>
        <w:ind w:left="140" w:hanging="107"/>
        <w:spacing w:after="0"/>
        <w:tabs>
          <w:tab w:leader="none" w:pos="1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Autozone, Inc., </w:t>
      </w:r>
      <w:r>
        <w:rPr>
          <w:rFonts w:ascii="Arial" w:cs="Arial" w:eastAsia="Arial" w:hAnsi="Arial"/>
          <w:sz w:val="16"/>
          <w:szCs w:val="16"/>
          <w:color w:val="auto"/>
        </w:rPr>
        <w:t>a leading retailer and distributor of automotive replacement parts and accessories in the United States, Mexico, and Brazil</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(2020 - present)</w:t>
      </w:r>
    </w:p>
    <w:p>
      <w:pPr>
        <w:spacing w:after="0" w:line="192" w:lineRule="exact"/>
        <w:rPr>
          <w:rFonts w:ascii="Arial" w:cs="Arial" w:eastAsia="Arial" w:hAnsi="Arial"/>
          <w:sz w:val="16"/>
          <w:szCs w:val="16"/>
          <w:color w:val="auto"/>
        </w:rPr>
      </w:pPr>
    </w:p>
    <w:p>
      <w:pPr>
        <w:ind w:left="140" w:hanging="107"/>
        <w:spacing w:after="0"/>
        <w:tabs>
          <w:tab w:leader="none" w:pos="1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Hertz Global Holdings Inc., </w:t>
      </w:r>
      <w:r>
        <w:rPr>
          <w:rFonts w:ascii="Arial" w:cs="Arial" w:eastAsia="Arial" w:hAnsi="Arial"/>
          <w:sz w:val="16"/>
          <w:szCs w:val="16"/>
          <w:color w:val="auto"/>
        </w:rPr>
        <w:t>a global vehicle rental, leasing, and fleet management business</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Chief Financial Officer (2018 - 2020)</w:t>
      </w:r>
    </w:p>
    <w:p>
      <w:pPr>
        <w:spacing w:after="0" w:line="192" w:lineRule="exact"/>
        <w:rPr>
          <w:rFonts w:ascii="Arial" w:cs="Arial" w:eastAsia="Arial" w:hAnsi="Arial"/>
          <w:sz w:val="16"/>
          <w:szCs w:val="16"/>
          <w:color w:val="auto"/>
        </w:rPr>
      </w:pPr>
    </w:p>
    <w:p>
      <w:pPr>
        <w:ind w:left="140" w:hanging="107"/>
        <w:spacing w:after="0"/>
        <w:tabs>
          <w:tab w:leader="none" w:pos="1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Chief Financial Officer (2014 - 2018)</w:t>
      </w:r>
    </w:p>
    <w:p>
      <w:pPr>
        <w:spacing w:after="0" w:line="192" w:lineRule="exact"/>
        <w:rPr>
          <w:rFonts w:ascii="Arial" w:cs="Arial" w:eastAsia="Arial" w:hAnsi="Arial"/>
          <w:sz w:val="16"/>
          <w:szCs w:val="16"/>
          <w:color w:val="auto"/>
        </w:rPr>
      </w:pPr>
    </w:p>
    <w:p>
      <w:pPr>
        <w:ind w:left="140" w:hanging="107"/>
        <w:spacing w:after="0"/>
        <w:tabs>
          <w:tab w:leader="none" w:pos="14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Electric Company, </w:t>
      </w:r>
      <w:r>
        <w:rPr>
          <w:rFonts w:ascii="Arial" w:cs="Arial" w:eastAsia="Arial" w:hAnsi="Arial"/>
          <w:sz w:val="16"/>
          <w:szCs w:val="16"/>
          <w:color w:val="auto"/>
        </w:rPr>
        <w:t>an American multinational company and leader in the power, renewable energy, aviation and healthcare industries</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Vice President and Chief Financial Officer, General Electric Oil &amp; Gas, drilling and surface division (2013 - 2014)</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Senior Executive, Finance, General Electric Aviation (2007 - 2013)</w:t>
      </w:r>
    </w:p>
    <w:p>
      <w:pPr>
        <w:spacing w:after="0" w:line="59" w:lineRule="exact"/>
        <w:rPr>
          <w:rFonts w:ascii="Arial" w:cs="Arial" w:eastAsia="Arial" w:hAnsi="Arial"/>
          <w:sz w:val="16"/>
          <w:szCs w:val="16"/>
          <w:color w:val="auto"/>
        </w:rPr>
      </w:pPr>
    </w:p>
    <w:p>
      <w:pPr>
        <w:ind w:left="360" w:hanging="102"/>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Finance Executive, General Electric Corporate (2004 - 2007)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709803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40" w:right="300"/>
        <w:spacing w:after="0" w:line="253" w:lineRule="auto"/>
        <w:rPr>
          <w:sz w:val="20"/>
          <w:szCs w:val="20"/>
          <w:color w:val="auto"/>
        </w:rPr>
      </w:pPr>
      <w:r>
        <w:rPr>
          <w:rFonts w:ascii="Arial" w:cs="Arial" w:eastAsia="Arial" w:hAnsi="Arial"/>
          <w:sz w:val="16"/>
          <w:szCs w:val="16"/>
          <w:color w:val="auto"/>
        </w:rPr>
        <w:t>Through his senior financial roles at Autozone, Hertz, Nielsen, and General Electric, Mr. Jackson brings to the board significant global financial expertise and a strong background in strategic planning. He has spent his professional career in a broad range of financial and strategic planning roles. He is an audit committee financial expert, based on his chief financial officer experience and his training as a certified public accountant.</w:t>
      </w:r>
    </w:p>
    <w:p>
      <w:pPr>
        <w:sectPr>
          <w:pgSz w:w="11900" w:h="16838" w:orient="portrait"/>
          <w:cols w:equalWidth="0" w:num="1">
            <w:col w:w="11220"/>
          </w:cols>
          <w:pgMar w:left="340" w:top="1211" w:right="33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40" w:top="1211" w:right="339" w:bottom="545" w:gutter="0" w:footer="0" w:header="0"/>
          <w:type w:val="continuous"/>
        </w:sectPr>
      </w:pPr>
    </w:p>
    <w:bookmarkStart w:id="22" w:name="page23"/>
    <w:bookmarkEnd w:id="22"/>
    <w:p>
      <w:pPr>
        <w:ind w:left="1740"/>
        <w:spacing w:after="0"/>
        <w:rPr>
          <w:sz w:val="20"/>
          <w:szCs w:val="20"/>
          <w:color w:val="auto"/>
        </w:rPr>
      </w:pPr>
      <w:r>
        <w:rPr>
          <w:rFonts w:ascii="Arial" w:cs="Arial" w:eastAsia="Arial" w:hAnsi="Arial"/>
          <w:sz w:val="27"/>
          <w:szCs w:val="27"/>
          <w:b w:val="1"/>
          <w:bCs w:val="1"/>
          <w:color w:val="EF3729"/>
        </w:rPr>
        <w:drawing>
          <wp:anchor simplePos="0" relativeHeight="251657728" behindDoc="1" locked="0" layoutInCell="0" allowOverlap="1">
            <wp:simplePos x="0" y="0"/>
            <wp:positionH relativeFrom="page">
              <wp:posOffset>439420</wp:posOffset>
            </wp:positionH>
            <wp:positionV relativeFrom="page">
              <wp:posOffset>517525</wp:posOffset>
            </wp:positionV>
            <wp:extent cx="702945" cy="702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t>Gabrielle Sulzberger</w:t>
      </w:r>
    </w:p>
    <w:p>
      <w:pPr>
        <w:spacing w:after="0" w:line="30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Age: 61, Director since 2021,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Ethics and Compliance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4380" w:type="dxa"/>
            <w:vAlign w:val="bottom"/>
            <w:shd w:val="clear" w:color="auto" w:fill="F4F6F6"/>
          </w:tcPr>
          <w:p>
            <w:pPr>
              <w:ind w:left="200"/>
              <w:spacing w:after="0"/>
              <w:rPr>
                <w:sz w:val="20"/>
                <w:szCs w:val="20"/>
                <w:color w:val="auto"/>
              </w:rPr>
            </w:pPr>
            <w:r>
              <w:rPr>
                <w:rFonts w:ascii="Arial" w:cs="Arial" w:eastAsia="Arial" w:hAnsi="Arial"/>
                <w:sz w:val="16"/>
                <w:szCs w:val="16"/>
                <w:b w:val="1"/>
                <w:bCs w:val="1"/>
                <w:color w:val="00A1DE"/>
              </w:rPr>
              <w:t>PRIOR PUBLIC BOARDS</w:t>
            </w:r>
          </w:p>
        </w:tc>
        <w:tc>
          <w:tcPr>
            <w:tcW w:w="3520" w:type="dxa"/>
            <w:vAlign w:val="bottom"/>
            <w:shd w:val="clear" w:color="auto" w:fill="F4F6F6"/>
          </w:tcPr>
          <w:p>
            <w:pPr>
              <w:ind w:left="120"/>
              <w:spacing w:after="0"/>
              <w:rPr>
                <w:sz w:val="20"/>
                <w:szCs w:val="20"/>
                <w:color w:val="auto"/>
              </w:rPr>
            </w:pPr>
            <w:r>
              <w:rPr>
                <w:rFonts w:ascii="Arial" w:cs="Arial" w:eastAsia="Arial" w:hAnsi="Arial"/>
                <w:sz w:val="16"/>
                <w:szCs w:val="16"/>
                <w:b w:val="1"/>
                <w:bCs w:val="1"/>
                <w:color w:val="00A1DE"/>
              </w:rPr>
              <w:t>NON-PROFIT BOARDS</w:t>
            </w:r>
          </w:p>
        </w:tc>
      </w:tr>
      <w:tr>
        <w:trPr>
          <w:trHeight w:val="177"/>
        </w:trPr>
        <w:tc>
          <w:tcPr>
            <w:tcW w:w="3320" w:type="dxa"/>
            <w:vAlign w:val="bottom"/>
          </w:tcPr>
          <w:p>
            <w:pPr>
              <w:ind w:left="20"/>
              <w:spacing w:after="0" w:line="178" w:lineRule="exact"/>
              <w:rPr>
                <w:sz w:val="20"/>
                <w:szCs w:val="20"/>
                <w:color w:val="auto"/>
              </w:rPr>
            </w:pPr>
            <w:r>
              <w:rPr>
                <w:rFonts w:ascii="Arial" w:cs="Arial" w:eastAsia="Arial" w:hAnsi="Arial"/>
                <w:sz w:val="16"/>
                <w:szCs w:val="16"/>
                <w:color w:val="auto"/>
              </w:rPr>
              <w:t>Mastercard Incorporated;</w:t>
            </w:r>
          </w:p>
        </w:tc>
        <w:tc>
          <w:tcPr>
            <w:tcW w:w="4380" w:type="dxa"/>
            <w:vAlign w:val="bottom"/>
          </w:tcPr>
          <w:p>
            <w:pPr>
              <w:ind w:left="200"/>
              <w:spacing w:after="0" w:line="178" w:lineRule="exact"/>
              <w:rPr>
                <w:sz w:val="20"/>
                <w:szCs w:val="20"/>
                <w:color w:val="auto"/>
              </w:rPr>
            </w:pPr>
            <w:r>
              <w:rPr>
                <w:rFonts w:ascii="Arial" w:cs="Arial" w:eastAsia="Arial" w:hAnsi="Arial"/>
                <w:sz w:val="16"/>
                <w:szCs w:val="16"/>
                <w:color w:val="auto"/>
              </w:rPr>
              <w:t>Whole Foods Markets, Inc.; Teva Pharmaceuticals</w:t>
            </w:r>
          </w:p>
        </w:tc>
        <w:tc>
          <w:tcPr>
            <w:tcW w:w="3520" w:type="dxa"/>
            <w:vAlign w:val="bottom"/>
          </w:tcPr>
          <w:p>
            <w:pPr>
              <w:ind w:left="120"/>
              <w:spacing w:after="0" w:line="178" w:lineRule="exact"/>
              <w:rPr>
                <w:sz w:val="20"/>
                <w:szCs w:val="20"/>
                <w:color w:val="auto"/>
              </w:rPr>
            </w:pPr>
            <w:r>
              <w:rPr>
                <w:rFonts w:ascii="Arial" w:cs="Arial" w:eastAsia="Arial" w:hAnsi="Arial"/>
                <w:sz w:val="16"/>
                <w:szCs w:val="16"/>
                <w:color w:val="auto"/>
              </w:rPr>
              <w:t>Metropolitan Museum of Art; Ford Foundation;</w:t>
            </w: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Cerevel Therapeutics Holdings, Inc.; Warby</w:t>
            </w:r>
          </w:p>
        </w:tc>
        <w:tc>
          <w:tcPr>
            <w:tcW w:w="4380" w:type="dxa"/>
            <w:vAlign w:val="bottom"/>
          </w:tcPr>
          <w:p>
            <w:pPr>
              <w:ind w:left="200"/>
              <w:spacing w:after="0" w:line="162" w:lineRule="exact"/>
              <w:rPr>
                <w:sz w:val="20"/>
                <w:szCs w:val="20"/>
                <w:color w:val="auto"/>
              </w:rPr>
            </w:pPr>
            <w:r>
              <w:rPr>
                <w:rFonts w:ascii="Arial" w:cs="Arial" w:eastAsia="Arial" w:hAnsi="Arial"/>
                <w:sz w:val="16"/>
                <w:szCs w:val="16"/>
                <w:color w:val="auto"/>
              </w:rPr>
              <w:t>Industries Limited; Stage Stores, Inc.; IndyMac Bancorp,</w:t>
            </w:r>
          </w:p>
        </w:tc>
        <w:tc>
          <w:tcPr>
            <w:tcW w:w="3520" w:type="dxa"/>
            <w:vAlign w:val="bottom"/>
          </w:tcPr>
          <w:p>
            <w:pPr>
              <w:ind w:left="120"/>
              <w:spacing w:after="0" w:line="162" w:lineRule="exact"/>
              <w:rPr>
                <w:sz w:val="20"/>
                <w:szCs w:val="20"/>
                <w:color w:val="auto"/>
              </w:rPr>
            </w:pPr>
            <w:r>
              <w:rPr>
                <w:rFonts w:ascii="Arial" w:cs="Arial" w:eastAsia="Arial" w:hAnsi="Arial"/>
                <w:sz w:val="16"/>
                <w:szCs w:val="16"/>
                <w:color w:val="auto"/>
              </w:rPr>
              <w:t>Trinity Wall Street; Sesame Street Workshop;</w:t>
            </w:r>
          </w:p>
        </w:tc>
      </w:tr>
      <w:tr>
        <w:trPr>
          <w:trHeight w:val="203"/>
        </w:trPr>
        <w:tc>
          <w:tcPr>
            <w:tcW w:w="3320" w:type="dxa"/>
            <w:vAlign w:val="bottom"/>
          </w:tcPr>
          <w:p>
            <w:pPr>
              <w:ind w:left="20"/>
              <w:spacing w:after="0"/>
              <w:rPr>
                <w:sz w:val="20"/>
                <w:szCs w:val="20"/>
                <w:color w:val="auto"/>
              </w:rPr>
            </w:pPr>
            <w:r>
              <w:rPr>
                <w:rFonts w:ascii="Arial" w:cs="Arial" w:eastAsia="Arial" w:hAnsi="Arial"/>
                <w:sz w:val="16"/>
                <w:szCs w:val="16"/>
                <w:color w:val="auto"/>
              </w:rPr>
              <w:t>Parker Inc.</w:t>
            </w:r>
          </w:p>
        </w:tc>
        <w:tc>
          <w:tcPr>
            <w:tcW w:w="4380" w:type="dxa"/>
            <w:vAlign w:val="bottom"/>
          </w:tcPr>
          <w:p>
            <w:pPr>
              <w:ind w:left="200"/>
              <w:spacing w:after="0"/>
              <w:rPr>
                <w:sz w:val="20"/>
                <w:szCs w:val="20"/>
                <w:color w:val="auto"/>
              </w:rPr>
            </w:pPr>
            <w:r>
              <w:rPr>
                <w:rFonts w:ascii="Arial" w:cs="Arial" w:eastAsia="Arial" w:hAnsi="Arial"/>
                <w:sz w:val="16"/>
                <w:szCs w:val="16"/>
                <w:color w:val="auto"/>
              </w:rPr>
              <w:t>Inc.; Bright Horizons Family Solutions Inc.; Brixmor</w:t>
            </w:r>
          </w:p>
        </w:tc>
        <w:tc>
          <w:tcPr>
            <w:tcW w:w="3520" w:type="dxa"/>
            <w:vAlign w:val="bottom"/>
          </w:tcPr>
          <w:p>
            <w:pPr>
              <w:ind w:left="120"/>
              <w:spacing w:after="0"/>
              <w:rPr>
                <w:sz w:val="20"/>
                <w:szCs w:val="20"/>
                <w:color w:val="auto"/>
              </w:rPr>
            </w:pPr>
            <w:r>
              <w:rPr>
                <w:rFonts w:ascii="Arial" w:cs="Arial" w:eastAsia="Arial" w:hAnsi="Arial"/>
                <w:sz w:val="16"/>
                <w:szCs w:val="16"/>
                <w:color w:val="auto"/>
              </w:rPr>
              <w:t>TimesUp</w:t>
            </w:r>
          </w:p>
        </w:tc>
      </w:tr>
      <w:tr>
        <w:trPr>
          <w:trHeight w:val="204"/>
        </w:trPr>
        <w:tc>
          <w:tcPr>
            <w:tcW w:w="3320" w:type="dxa"/>
            <w:vAlign w:val="bottom"/>
          </w:tcPr>
          <w:p>
            <w:pPr>
              <w:spacing w:after="0"/>
              <w:rPr>
                <w:sz w:val="17"/>
                <w:szCs w:val="17"/>
                <w:color w:val="auto"/>
              </w:rPr>
            </w:pPr>
          </w:p>
        </w:tc>
        <w:tc>
          <w:tcPr>
            <w:tcW w:w="4380" w:type="dxa"/>
            <w:vAlign w:val="bottom"/>
          </w:tcPr>
          <w:p>
            <w:pPr>
              <w:ind w:left="200"/>
              <w:spacing w:after="0"/>
              <w:rPr>
                <w:sz w:val="20"/>
                <w:szCs w:val="20"/>
                <w:color w:val="auto"/>
              </w:rPr>
            </w:pPr>
            <w:r>
              <w:rPr>
                <w:rFonts w:ascii="Arial" w:cs="Arial" w:eastAsia="Arial" w:hAnsi="Arial"/>
                <w:sz w:val="16"/>
                <w:szCs w:val="16"/>
                <w:color w:val="auto"/>
              </w:rPr>
              <w:t>Property Group Inc.</w:t>
            </w:r>
          </w:p>
        </w:tc>
        <w:tc>
          <w:tcPr>
            <w:tcW w:w="3520" w:type="dxa"/>
            <w:vAlign w:val="bottom"/>
          </w:tcPr>
          <w:p>
            <w:pPr>
              <w:spacing w:after="0"/>
              <w:rPr>
                <w:sz w:val="17"/>
                <w:szCs w:val="17"/>
                <w:color w:val="auto"/>
              </w:rPr>
            </w:pPr>
          </w:p>
        </w:tc>
      </w:tr>
      <w:tr>
        <w:trPr>
          <w:trHeight w:val="253"/>
        </w:trPr>
        <w:tc>
          <w:tcPr>
            <w:tcW w:w="332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CAREER HIGHLIGHTS</w:t>
            </w:r>
          </w:p>
        </w:tc>
        <w:tc>
          <w:tcPr>
            <w:tcW w:w="4380" w:type="dxa"/>
            <w:vAlign w:val="bottom"/>
            <w:shd w:val="clear" w:color="auto" w:fill="F4F6F6"/>
          </w:tcPr>
          <w:p>
            <w:pPr>
              <w:spacing w:after="0"/>
              <w:rPr>
                <w:sz w:val="21"/>
                <w:szCs w:val="21"/>
                <w:color w:val="auto"/>
              </w:rPr>
            </w:pPr>
          </w:p>
        </w:tc>
        <w:tc>
          <w:tcPr>
            <w:tcW w:w="3520" w:type="dxa"/>
            <w:vAlign w:val="bottom"/>
            <w:shd w:val="clear" w:color="auto" w:fill="F4F6F6"/>
          </w:tcPr>
          <w:p>
            <w:pPr>
              <w:spacing w:after="0"/>
              <w:rPr>
                <w:sz w:val="21"/>
                <w:szCs w:val="21"/>
                <w:color w:val="auto"/>
              </w:rPr>
            </w:pPr>
          </w:p>
        </w:tc>
      </w:tr>
    </w:tbl>
    <w:p>
      <w:pPr>
        <w:spacing w:after="0" w:line="163" w:lineRule="exact"/>
        <w:rPr>
          <w:sz w:val="20"/>
          <w:szCs w:val="20"/>
          <w:color w:val="auto"/>
        </w:rPr>
      </w:pPr>
    </w:p>
    <w:p>
      <w:pPr>
        <w:ind w:left="140" w:hanging="107"/>
        <w:spacing w:after="0"/>
        <w:tabs>
          <w:tab w:leader="none" w:pos="1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Teneo, </w:t>
      </w:r>
      <w:r>
        <w:rPr>
          <w:rFonts w:ascii="Arial" w:cs="Arial" w:eastAsia="Arial" w:hAnsi="Arial"/>
          <w:sz w:val="16"/>
          <w:szCs w:val="16"/>
          <w:color w:val="auto"/>
        </w:rPr>
        <w:t>a global CEO advisory firm</w:t>
      </w:r>
    </w:p>
    <w:p>
      <w:pPr>
        <w:spacing w:after="0" w:line="197" w:lineRule="exact"/>
        <w:rPr>
          <w:rFonts w:ascii="Arial" w:cs="Arial" w:eastAsia="Arial" w:hAnsi="Arial"/>
          <w:sz w:val="17"/>
          <w:szCs w:val="17"/>
          <w:b w:val="1"/>
          <w:bCs w:val="1"/>
          <w:color w:val="auto"/>
        </w:rPr>
      </w:pPr>
    </w:p>
    <w:p>
      <w:pPr>
        <w:ind w:left="360" w:hanging="102"/>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Chair of Global ESG Advisory (2021 - present)</w:t>
      </w:r>
    </w:p>
    <w:p>
      <w:pPr>
        <w:spacing w:after="0" w:line="300" w:lineRule="exact"/>
        <w:rPr>
          <w:rFonts w:ascii="Arial" w:cs="Arial" w:eastAsia="Arial" w:hAnsi="Arial"/>
          <w:sz w:val="16"/>
          <w:szCs w:val="16"/>
          <w:color w:val="auto"/>
        </w:rPr>
      </w:pPr>
    </w:p>
    <w:p>
      <w:pPr>
        <w:ind w:left="140" w:hanging="107"/>
        <w:spacing w:after="0"/>
        <w:tabs>
          <w:tab w:leader="none" w:pos="1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TwoSigma Impact, </w:t>
      </w:r>
      <w:r>
        <w:rPr>
          <w:rFonts w:ascii="Arial" w:cs="Arial" w:eastAsia="Arial" w:hAnsi="Arial"/>
          <w:sz w:val="16"/>
          <w:szCs w:val="16"/>
          <w:color w:val="auto"/>
        </w:rPr>
        <w:t>a private equity fund based in New York, New York</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Strategic Advisor (2021 - present)</w:t>
      </w:r>
    </w:p>
    <w:p>
      <w:pPr>
        <w:spacing w:after="0" w:line="192" w:lineRule="exact"/>
        <w:rPr>
          <w:rFonts w:ascii="Arial" w:cs="Arial" w:eastAsia="Arial" w:hAnsi="Arial"/>
          <w:sz w:val="16"/>
          <w:szCs w:val="16"/>
          <w:color w:val="auto"/>
        </w:rPr>
      </w:pPr>
    </w:p>
    <w:p>
      <w:pPr>
        <w:ind w:left="140" w:hanging="107"/>
        <w:spacing w:after="0"/>
        <w:tabs>
          <w:tab w:leader="none" w:pos="1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Rustic Canyon/Fontis Partners L.P., </w:t>
      </w:r>
      <w:r>
        <w:rPr>
          <w:rFonts w:ascii="Arial" w:cs="Arial" w:eastAsia="Arial" w:hAnsi="Arial"/>
          <w:sz w:val="16"/>
          <w:szCs w:val="16"/>
          <w:color w:val="auto"/>
        </w:rPr>
        <w:t>a private equity fund based in Pasadena, California</w:t>
      </w:r>
    </w:p>
    <w:p>
      <w:pPr>
        <w:spacing w:after="0" w:line="143" w:lineRule="exact"/>
        <w:rPr>
          <w:rFonts w:ascii="Arial" w:cs="Arial" w:eastAsia="Arial" w:hAnsi="Arial"/>
          <w:sz w:val="17"/>
          <w:szCs w:val="17"/>
          <w:b w:val="1"/>
          <w:bCs w:val="1"/>
          <w:color w:val="auto"/>
        </w:rPr>
      </w:pPr>
    </w:p>
    <w:p>
      <w:pPr>
        <w:ind w:left="360" w:hanging="102"/>
        <w:spacing w:after="0"/>
        <w:tabs>
          <w:tab w:leader="none" w:pos="3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General Partner (2005 - 2018)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2343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A1DE"/>
        </w:rPr>
        <w:t>QUALIFICATIONS</w:t>
      </w:r>
    </w:p>
    <w:p>
      <w:pPr>
        <w:spacing w:after="0" w:line="66" w:lineRule="exact"/>
        <w:rPr>
          <w:sz w:val="20"/>
          <w:szCs w:val="20"/>
          <w:color w:val="auto"/>
        </w:rPr>
      </w:pPr>
    </w:p>
    <w:p>
      <w:pPr>
        <w:ind w:left="40" w:right="260"/>
        <w:spacing w:after="0" w:line="235" w:lineRule="auto"/>
        <w:rPr>
          <w:sz w:val="20"/>
          <w:szCs w:val="20"/>
          <w:color w:val="auto"/>
        </w:rPr>
      </w:pPr>
      <w:r>
        <w:rPr>
          <w:rFonts w:ascii="Arial" w:cs="Arial" w:eastAsia="Arial" w:hAnsi="Arial"/>
          <w:sz w:val="16"/>
          <w:szCs w:val="16"/>
          <w:color w:val="auto"/>
        </w:rPr>
        <w:t>Ms. Sulzberger brings 30 years of experience advising public and privately held companies in consumer products, retail, financial services, and life sciences, and deep corporate governance experience through her work with corporate boards. She is an audit committee financial expert based on her audit committee service at Cerevel and Whole Foods, her experience in private equity, and her prior service as chief financial officer of several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492760</wp:posOffset>
            </wp:positionV>
            <wp:extent cx="720090" cy="720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EF3729"/>
        </w:rPr>
        <w:t>Jackson P. Tai</w:t>
      </w:r>
    </w:p>
    <w:p>
      <w:pPr>
        <w:spacing w:after="0" w:line="30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 xml:space="preserve">Age: 71, Director since 2013, </w:t>
      </w:r>
      <w:r>
        <w:rPr>
          <w:rFonts w:ascii="Arial" w:cs="Arial" w:eastAsia="Arial" w:hAnsi="Arial"/>
          <w:sz w:val="14"/>
          <w:szCs w:val="14"/>
          <w:b w:val="1"/>
          <w:bCs w:val="1"/>
          <w:color w:val="auto"/>
        </w:rPr>
        <w:t>Board Committees:</w:t>
      </w:r>
      <w:r>
        <w:rPr>
          <w:rFonts w:ascii="Arial" w:cs="Arial" w:eastAsia="Arial" w:hAnsi="Arial"/>
          <w:sz w:val="14"/>
          <w:szCs w:val="14"/>
          <w:color w:val="auto"/>
        </w:rPr>
        <w:t xml:space="preserve"> Audit; Directors and Corporate Governance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60" w:type="dxa"/>
            <w:vAlign w:val="bottom"/>
            <w:shd w:val="clear" w:color="auto" w:fill="F4F6F6"/>
          </w:tcPr>
          <w:p>
            <w:pPr>
              <w:spacing w:after="0"/>
              <w:rPr>
                <w:sz w:val="17"/>
                <w:szCs w:val="17"/>
                <w:color w:val="auto"/>
              </w:rPr>
            </w:pPr>
          </w:p>
        </w:tc>
        <w:tc>
          <w:tcPr>
            <w:tcW w:w="5140" w:type="dxa"/>
            <w:vAlign w:val="bottom"/>
            <w:shd w:val="clear" w:color="auto" w:fill="F4F6F6"/>
          </w:tcPr>
          <w:p>
            <w:pPr>
              <w:spacing w:after="0"/>
              <w:rPr>
                <w:sz w:val="17"/>
                <w:szCs w:val="17"/>
                <w:color w:val="auto"/>
              </w:rPr>
            </w:pPr>
          </w:p>
        </w:tc>
        <w:tc>
          <w:tcPr>
            <w:tcW w:w="2080" w:type="dxa"/>
            <w:vAlign w:val="bottom"/>
            <w:shd w:val="clear" w:color="auto" w:fill="F4F6F6"/>
          </w:tcPr>
          <w:p>
            <w:pPr>
              <w:spacing w:after="0"/>
              <w:rPr>
                <w:sz w:val="17"/>
                <w:szCs w:val="17"/>
                <w:color w:val="auto"/>
              </w:rPr>
            </w:pPr>
          </w:p>
        </w:tc>
        <w:tc>
          <w:tcPr>
            <w:tcW w:w="2340" w:type="dxa"/>
            <w:vAlign w:val="bottom"/>
            <w:shd w:val="clear" w:color="auto" w:fill="F4F6F6"/>
          </w:tcPr>
          <w:p>
            <w:pPr>
              <w:ind w:left="140"/>
              <w:spacing w:after="0"/>
              <w:rPr>
                <w:sz w:val="20"/>
                <w:szCs w:val="20"/>
                <w:color w:val="auto"/>
              </w:rPr>
            </w:pPr>
            <w:r>
              <w:rPr>
                <w:rFonts w:ascii="Arial" w:cs="Arial" w:eastAsia="Arial" w:hAnsi="Arial"/>
                <w:sz w:val="16"/>
                <w:szCs w:val="16"/>
                <w:b w:val="1"/>
                <w:bCs w:val="1"/>
                <w:color w:val="00A1DE"/>
              </w:rPr>
              <w:t>MEMBERSHIPS + OTHER</w:t>
            </w:r>
          </w:p>
        </w:tc>
      </w:tr>
      <w:tr>
        <w:trPr>
          <w:trHeight w:val="234"/>
        </w:trPr>
        <w:tc>
          <w:tcPr>
            <w:tcW w:w="1660" w:type="dxa"/>
            <w:vAlign w:val="bottom"/>
            <w:shd w:val="clear" w:color="auto" w:fill="F4F6F6"/>
          </w:tcPr>
          <w:p>
            <w:pPr>
              <w:ind w:left="20"/>
              <w:spacing w:after="0"/>
              <w:rPr>
                <w:sz w:val="20"/>
                <w:szCs w:val="20"/>
                <w:color w:val="auto"/>
              </w:rPr>
            </w:pPr>
            <w:r>
              <w:rPr>
                <w:rFonts w:ascii="Arial" w:cs="Arial" w:eastAsia="Arial" w:hAnsi="Arial"/>
                <w:sz w:val="16"/>
                <w:szCs w:val="16"/>
                <w:b w:val="1"/>
                <w:bCs w:val="1"/>
                <w:color w:val="00A1DE"/>
              </w:rPr>
              <w:t>PUBLIC BOARDS</w:t>
            </w:r>
          </w:p>
        </w:tc>
        <w:tc>
          <w:tcPr>
            <w:tcW w:w="5140" w:type="dxa"/>
            <w:vAlign w:val="bottom"/>
            <w:shd w:val="clear" w:color="auto" w:fill="F4F6F6"/>
          </w:tcPr>
          <w:p>
            <w:pPr>
              <w:ind w:left="260"/>
              <w:spacing w:after="0"/>
              <w:rPr>
                <w:sz w:val="20"/>
                <w:szCs w:val="20"/>
                <w:color w:val="auto"/>
              </w:rPr>
            </w:pPr>
            <w:r>
              <w:rPr>
                <w:rFonts w:ascii="Arial" w:cs="Arial" w:eastAsia="Arial" w:hAnsi="Arial"/>
                <w:sz w:val="16"/>
                <w:szCs w:val="16"/>
                <w:b w:val="1"/>
                <w:bCs w:val="1"/>
                <w:color w:val="00A1DE"/>
              </w:rPr>
              <w:t>PRIOR PUBLIC BOARDS</w:t>
            </w:r>
          </w:p>
        </w:tc>
        <w:tc>
          <w:tcPr>
            <w:tcW w:w="2080" w:type="dxa"/>
            <w:vAlign w:val="bottom"/>
            <w:shd w:val="clear" w:color="auto" w:fill="F4F6F6"/>
          </w:tcPr>
          <w:p>
            <w:pPr>
              <w:ind w:left="180"/>
              <w:spacing w:after="0"/>
              <w:rPr>
                <w:sz w:val="20"/>
                <w:szCs w:val="20"/>
                <w:color w:val="auto"/>
              </w:rPr>
            </w:pPr>
            <w:r>
              <w:rPr>
                <w:rFonts w:ascii="Arial" w:cs="Arial" w:eastAsia="Arial" w:hAnsi="Arial"/>
                <w:sz w:val="16"/>
                <w:szCs w:val="16"/>
                <w:b w:val="1"/>
                <w:bCs w:val="1"/>
                <w:color w:val="00A1DE"/>
              </w:rPr>
              <w:t>NON-PROFIT BOARDS</w:t>
            </w:r>
          </w:p>
        </w:tc>
        <w:tc>
          <w:tcPr>
            <w:tcW w:w="2340" w:type="dxa"/>
            <w:vAlign w:val="bottom"/>
            <w:shd w:val="clear" w:color="auto" w:fill="F4F6F6"/>
          </w:tcPr>
          <w:p>
            <w:pPr>
              <w:ind w:left="140"/>
              <w:spacing w:after="0"/>
              <w:rPr>
                <w:sz w:val="20"/>
                <w:szCs w:val="20"/>
                <w:color w:val="auto"/>
              </w:rPr>
            </w:pPr>
            <w:r>
              <w:rPr>
                <w:rFonts w:ascii="Arial" w:cs="Arial" w:eastAsia="Arial" w:hAnsi="Arial"/>
                <w:sz w:val="16"/>
                <w:szCs w:val="16"/>
                <w:b w:val="1"/>
                <w:bCs w:val="1"/>
                <w:color w:val="00A1DE"/>
              </w:rPr>
              <w:t>ORGANIZATIONS</w:t>
            </w:r>
          </w:p>
        </w:tc>
      </w:tr>
      <w:tr>
        <w:trPr>
          <w:trHeight w:val="218"/>
        </w:trPr>
        <w:tc>
          <w:tcPr>
            <w:tcW w:w="6800" w:type="dxa"/>
            <w:vAlign w:val="bottom"/>
            <w:gridSpan w:val="2"/>
          </w:tcPr>
          <w:p>
            <w:pPr>
              <w:ind w:left="20"/>
              <w:spacing w:after="0"/>
              <w:rPr>
                <w:sz w:val="20"/>
                <w:szCs w:val="20"/>
                <w:color w:val="auto"/>
              </w:rPr>
            </w:pPr>
            <w:r>
              <w:rPr>
                <w:rFonts w:ascii="Arial" w:cs="Arial" w:eastAsia="Arial" w:hAnsi="Arial"/>
                <w:sz w:val="16"/>
                <w:szCs w:val="16"/>
                <w:color w:val="auto"/>
              </w:rPr>
              <w:t>Mastercard Incorporated; Canada Pension Plan; Investment Board; Koninklijke Philips N.V.;</w:t>
            </w:r>
          </w:p>
        </w:tc>
        <w:tc>
          <w:tcPr>
            <w:tcW w:w="2080" w:type="dxa"/>
            <w:vAlign w:val="bottom"/>
          </w:tcPr>
          <w:p>
            <w:pPr>
              <w:ind w:left="180"/>
              <w:spacing w:after="0"/>
              <w:rPr>
                <w:sz w:val="20"/>
                <w:szCs w:val="20"/>
                <w:color w:val="auto"/>
              </w:rPr>
            </w:pPr>
            <w:r>
              <w:rPr>
                <w:rFonts w:ascii="Arial" w:cs="Arial" w:eastAsia="Arial" w:hAnsi="Arial"/>
                <w:sz w:val="16"/>
                <w:szCs w:val="16"/>
                <w:color w:val="auto"/>
              </w:rPr>
              <w:t>Metropolitan Opera;</w:t>
            </w:r>
          </w:p>
        </w:tc>
        <w:tc>
          <w:tcPr>
            <w:tcW w:w="2340" w:type="dxa"/>
            <w:vAlign w:val="bottom"/>
          </w:tcPr>
          <w:p>
            <w:pPr>
              <w:ind w:left="140"/>
              <w:spacing w:after="0"/>
              <w:rPr>
                <w:sz w:val="20"/>
                <w:szCs w:val="20"/>
                <w:color w:val="auto"/>
              </w:rPr>
            </w:pPr>
            <w:r>
              <w:rPr>
                <w:rFonts w:ascii="Arial" w:cs="Arial" w:eastAsia="Arial" w:hAnsi="Arial"/>
                <w:sz w:val="16"/>
                <w:szCs w:val="16"/>
                <w:color w:val="auto"/>
              </w:rPr>
              <w:t>Harvard Business School</w:t>
            </w: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HSBC Holdings plc</w:t>
            </w:r>
          </w:p>
        </w:tc>
        <w:tc>
          <w:tcPr>
            <w:tcW w:w="5140" w:type="dxa"/>
            <w:vAlign w:val="bottom"/>
          </w:tcPr>
          <w:p>
            <w:pPr>
              <w:ind w:left="260"/>
              <w:spacing w:after="0"/>
              <w:rPr>
                <w:sz w:val="20"/>
                <w:szCs w:val="20"/>
                <w:color w:val="auto"/>
              </w:rPr>
            </w:pPr>
            <w:r>
              <w:rPr>
                <w:rFonts w:ascii="Arial" w:cs="Arial" w:eastAsia="Arial" w:hAnsi="Arial"/>
                <w:sz w:val="16"/>
                <w:szCs w:val="16"/>
                <w:color w:val="auto"/>
              </w:rPr>
              <w:t>The Bank of China Limited; Singapore Airlines Limited; NYSE</w:t>
            </w:r>
          </w:p>
        </w:tc>
        <w:tc>
          <w:tcPr>
            <w:tcW w:w="2080" w:type="dxa"/>
            <w:vAlign w:val="bottom"/>
          </w:tcPr>
          <w:p>
            <w:pPr>
              <w:ind w:left="180"/>
              <w:spacing w:after="0"/>
              <w:rPr>
                <w:sz w:val="20"/>
                <w:szCs w:val="20"/>
                <w:color w:val="auto"/>
              </w:rPr>
            </w:pPr>
            <w:r>
              <w:rPr>
                <w:rFonts w:ascii="Arial" w:cs="Arial" w:eastAsia="Arial" w:hAnsi="Arial"/>
                <w:sz w:val="16"/>
                <w:szCs w:val="16"/>
                <w:color w:val="auto"/>
              </w:rPr>
              <w:t>Rensselaer Polytechnic</w:t>
            </w:r>
          </w:p>
        </w:tc>
        <w:tc>
          <w:tcPr>
            <w:tcW w:w="2340" w:type="dxa"/>
            <w:vAlign w:val="bottom"/>
          </w:tcPr>
          <w:p>
            <w:pPr>
              <w:ind w:left="140"/>
              <w:spacing w:after="0"/>
              <w:rPr>
                <w:sz w:val="20"/>
                <w:szCs w:val="20"/>
                <w:color w:val="auto"/>
              </w:rPr>
            </w:pPr>
            <w:r>
              <w:rPr>
                <w:rFonts w:ascii="Arial" w:cs="Arial" w:eastAsia="Arial" w:hAnsi="Arial"/>
                <w:sz w:val="16"/>
                <w:szCs w:val="16"/>
                <w:color w:val="auto"/>
              </w:rPr>
              <w:t>Asia-Pacific Advisory Board</w:t>
            </w:r>
          </w:p>
        </w:tc>
      </w:tr>
      <w:tr>
        <w:trPr>
          <w:trHeight w:val="189"/>
        </w:trPr>
        <w:tc>
          <w:tcPr>
            <w:tcW w:w="1660" w:type="dxa"/>
            <w:vAlign w:val="bottom"/>
          </w:tcPr>
          <w:p>
            <w:pPr>
              <w:spacing w:after="0"/>
              <w:rPr>
                <w:sz w:val="16"/>
                <w:szCs w:val="16"/>
                <w:color w:val="auto"/>
              </w:rPr>
            </w:pPr>
          </w:p>
        </w:tc>
        <w:tc>
          <w:tcPr>
            <w:tcW w:w="5140" w:type="dxa"/>
            <w:vAlign w:val="bottom"/>
          </w:tcPr>
          <w:p>
            <w:pPr>
              <w:ind w:left="260"/>
              <w:spacing w:after="0"/>
              <w:rPr>
                <w:sz w:val="20"/>
                <w:szCs w:val="20"/>
                <w:color w:val="auto"/>
              </w:rPr>
            </w:pPr>
            <w:r>
              <w:rPr>
                <w:rFonts w:ascii="Arial" w:cs="Arial" w:eastAsia="Arial" w:hAnsi="Arial"/>
                <w:sz w:val="16"/>
                <w:szCs w:val="16"/>
                <w:color w:val="auto"/>
              </w:rPr>
              <w:t>Euronext; ING Groep N.V.; CapitaLand Limited (Singapore); DBS</w:t>
            </w:r>
          </w:p>
        </w:tc>
        <w:tc>
          <w:tcPr>
            <w:tcW w:w="2080" w:type="dxa"/>
            <w:vAlign w:val="bottom"/>
          </w:tcPr>
          <w:p>
            <w:pPr>
              <w:ind w:left="180"/>
              <w:spacing w:after="0"/>
              <w:rPr>
                <w:sz w:val="20"/>
                <w:szCs w:val="20"/>
                <w:color w:val="auto"/>
              </w:rPr>
            </w:pPr>
            <w:r>
              <w:rPr>
                <w:rFonts w:ascii="Arial" w:cs="Arial" w:eastAsia="Arial" w:hAnsi="Arial"/>
                <w:sz w:val="16"/>
                <w:szCs w:val="16"/>
                <w:color w:val="auto"/>
              </w:rPr>
              <w:t>Institute</w:t>
            </w:r>
          </w:p>
        </w:tc>
        <w:tc>
          <w:tcPr>
            <w:tcW w:w="2340" w:type="dxa"/>
            <w:vAlign w:val="bottom"/>
          </w:tcPr>
          <w:p>
            <w:pPr>
              <w:spacing w:after="0"/>
              <w:rPr>
                <w:sz w:val="16"/>
                <w:szCs w:val="16"/>
                <w:color w:val="auto"/>
              </w:rPr>
            </w:pPr>
          </w:p>
        </w:tc>
      </w:tr>
      <w:tr>
        <w:trPr>
          <w:trHeight w:val="195"/>
        </w:trPr>
        <w:tc>
          <w:tcPr>
            <w:tcW w:w="1660" w:type="dxa"/>
            <w:vAlign w:val="bottom"/>
          </w:tcPr>
          <w:p>
            <w:pPr>
              <w:spacing w:after="0"/>
              <w:rPr>
                <w:sz w:val="16"/>
                <w:szCs w:val="16"/>
                <w:color w:val="auto"/>
              </w:rPr>
            </w:pPr>
          </w:p>
        </w:tc>
        <w:tc>
          <w:tcPr>
            <w:tcW w:w="5140" w:type="dxa"/>
            <w:vAlign w:val="bottom"/>
          </w:tcPr>
          <w:p>
            <w:pPr>
              <w:ind w:left="260"/>
              <w:spacing w:after="0"/>
              <w:rPr>
                <w:sz w:val="20"/>
                <w:szCs w:val="20"/>
                <w:color w:val="auto"/>
              </w:rPr>
            </w:pPr>
            <w:r>
              <w:rPr>
                <w:rFonts w:ascii="Arial" w:cs="Arial" w:eastAsia="Arial" w:hAnsi="Arial"/>
                <w:sz w:val="16"/>
                <w:szCs w:val="16"/>
                <w:color w:val="auto"/>
              </w:rPr>
              <w:t>Group Holdings Ltd and DBS Bank Ltd</w:t>
            </w:r>
          </w:p>
        </w:tc>
        <w:tc>
          <w:tcPr>
            <w:tcW w:w="208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2343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A1DE"/>
        </w:rPr>
        <w:t>CAREER HIGHLIGHTS</w:t>
      </w:r>
    </w:p>
    <w:p>
      <w:pPr>
        <w:spacing w:after="0" w:line="213" w:lineRule="exact"/>
        <w:rPr>
          <w:sz w:val="20"/>
          <w:szCs w:val="20"/>
          <w:color w:val="auto"/>
        </w:rPr>
      </w:pPr>
    </w:p>
    <w:p>
      <w:pPr>
        <w:ind w:left="140" w:hanging="114"/>
        <w:spacing w:after="0"/>
        <w:tabs>
          <w:tab w:leader="none" w:pos="14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DBS Group Holdings Ltd and DBS Bank Ltd (formerly the Development Bank of Singapore), </w:t>
      </w:r>
      <w:r>
        <w:rPr>
          <w:rFonts w:ascii="Arial" w:cs="Arial" w:eastAsia="Arial" w:hAnsi="Arial"/>
          <w:sz w:val="16"/>
          <w:szCs w:val="16"/>
          <w:color w:val="auto"/>
        </w:rPr>
        <w:t>one of the largest financial services groups in Asia</w:t>
      </w:r>
    </w:p>
    <w:p>
      <w:pPr>
        <w:spacing w:after="0" w:line="143" w:lineRule="exact"/>
        <w:rPr>
          <w:rFonts w:ascii="Arial" w:cs="Arial" w:eastAsia="Arial" w:hAnsi="Arial"/>
          <w:sz w:val="17"/>
          <w:szCs w:val="17"/>
          <w:b w:val="1"/>
          <w:bCs w:val="1"/>
          <w:color w:val="auto"/>
        </w:rPr>
      </w:pPr>
    </w:p>
    <w:p>
      <w:pPr>
        <w:ind w:left="360" w:hanging="109"/>
        <w:spacing w:after="0"/>
        <w:tabs>
          <w:tab w:leader="none" w:pos="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Vice Chairman and Chief Executive Officer (2002 - 2007)</w:t>
      </w:r>
    </w:p>
    <w:p>
      <w:pPr>
        <w:spacing w:after="0" w:line="59" w:lineRule="exact"/>
        <w:rPr>
          <w:rFonts w:ascii="Arial" w:cs="Arial" w:eastAsia="Arial" w:hAnsi="Arial"/>
          <w:sz w:val="16"/>
          <w:szCs w:val="16"/>
          <w:color w:val="auto"/>
        </w:rPr>
      </w:pPr>
    </w:p>
    <w:p>
      <w:pPr>
        <w:ind w:left="360" w:hanging="109"/>
        <w:spacing w:after="0"/>
        <w:tabs>
          <w:tab w:leader="none" w:pos="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President and Chief Operating Officer (2001 - 2002)</w:t>
      </w:r>
    </w:p>
    <w:p>
      <w:pPr>
        <w:spacing w:after="0" w:line="59" w:lineRule="exact"/>
        <w:rPr>
          <w:rFonts w:ascii="Arial" w:cs="Arial" w:eastAsia="Arial" w:hAnsi="Arial"/>
          <w:sz w:val="16"/>
          <w:szCs w:val="16"/>
          <w:color w:val="auto"/>
        </w:rPr>
      </w:pPr>
    </w:p>
    <w:p>
      <w:pPr>
        <w:ind w:left="360" w:hanging="109"/>
        <w:spacing w:after="0"/>
        <w:tabs>
          <w:tab w:leader="none" w:pos="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Chief Financial Officer (1999 - 2001)</w:t>
      </w:r>
    </w:p>
    <w:p>
      <w:pPr>
        <w:spacing w:after="0" w:line="192" w:lineRule="exact"/>
        <w:rPr>
          <w:rFonts w:ascii="Arial" w:cs="Arial" w:eastAsia="Arial" w:hAnsi="Arial"/>
          <w:sz w:val="16"/>
          <w:szCs w:val="16"/>
          <w:color w:val="auto"/>
        </w:rPr>
      </w:pPr>
    </w:p>
    <w:p>
      <w:pPr>
        <w:ind w:left="140" w:hanging="114"/>
        <w:spacing w:after="0"/>
        <w:tabs>
          <w:tab w:leader="none" w:pos="14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J.P. Morgan &amp; Co. Incorporated, </w:t>
      </w:r>
      <w:r>
        <w:rPr>
          <w:rFonts w:ascii="Arial" w:cs="Arial" w:eastAsia="Arial" w:hAnsi="Arial"/>
          <w:sz w:val="16"/>
          <w:szCs w:val="16"/>
          <w:color w:val="auto"/>
        </w:rPr>
        <w:t>a leading global financial institution</w:t>
      </w:r>
    </w:p>
    <w:p>
      <w:pPr>
        <w:spacing w:after="0" w:line="143" w:lineRule="exact"/>
        <w:rPr>
          <w:rFonts w:ascii="Arial" w:cs="Arial" w:eastAsia="Arial" w:hAnsi="Arial"/>
          <w:sz w:val="17"/>
          <w:szCs w:val="17"/>
          <w:b w:val="1"/>
          <w:bCs w:val="1"/>
          <w:color w:val="auto"/>
        </w:rPr>
      </w:pPr>
    </w:p>
    <w:p>
      <w:pPr>
        <w:ind w:left="360" w:right="180" w:hanging="109"/>
        <w:spacing w:after="0" w:line="260" w:lineRule="auto"/>
        <w:tabs>
          <w:tab w:leader="none" w:pos="3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Managing Director in the Investment Banking Division (1974 - 1999), including service as the senior officer for Japan Capital Markets and chairman of the Asia Pacific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343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A1DE"/>
        </w:rPr>
        <w:t>QUALIFICATIONS</w:t>
      </w:r>
    </w:p>
    <w:p>
      <w:pPr>
        <w:spacing w:after="0" w:line="79" w:lineRule="exact"/>
        <w:rPr>
          <w:sz w:val="20"/>
          <w:szCs w:val="20"/>
          <w:color w:val="auto"/>
        </w:rPr>
      </w:pPr>
    </w:p>
    <w:p>
      <w:pPr>
        <w:ind w:left="20" w:right="80"/>
        <w:spacing w:after="0" w:line="251" w:lineRule="auto"/>
        <w:rPr>
          <w:sz w:val="20"/>
          <w:szCs w:val="20"/>
          <w:color w:val="auto"/>
        </w:rPr>
      </w:pPr>
      <w:r>
        <w:rPr>
          <w:rFonts w:ascii="Arial" w:cs="Arial" w:eastAsia="Arial" w:hAnsi="Arial"/>
          <w:sz w:val="16"/>
          <w:szCs w:val="16"/>
          <w:color w:val="auto"/>
        </w:rPr>
        <w:t>Mr. Tai is a former chief executive officer with extensive experience in international business and finance, and he is an audit committee financial expert based on his public company experience, including as an audit committee member of HSBC Holdings and Mastercard, and as chair of the risk committee of HSBC Holdings. He has deep expertise in the Asia-Pacific region, an important growth market for Lilly. He also has broad corporate governance experience from his service on public company boards in North America, Europe, and Asia.</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7"/>
          <w:szCs w:val="27"/>
          <w:b w:val="1"/>
          <w:bCs w:val="1"/>
          <w:color w:val="EF3729"/>
        </w:rPr>
        <w:t>Director Qualifications and Nomination Process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Qualifications</w:t>
      </w:r>
    </w:p>
    <w:p>
      <w:pPr>
        <w:spacing w:after="0" w:line="16" w:lineRule="exact"/>
        <w:rPr>
          <w:sz w:val="20"/>
          <w:szCs w:val="20"/>
          <w:color w:val="auto"/>
        </w:rPr>
      </w:pPr>
    </w:p>
    <w:p>
      <w:pPr>
        <w:ind w:right="380"/>
        <w:spacing w:after="0" w:line="235" w:lineRule="auto"/>
        <w:rPr>
          <w:sz w:val="20"/>
          <w:szCs w:val="20"/>
          <w:color w:val="auto"/>
        </w:rPr>
      </w:pPr>
      <w:r>
        <w:rPr>
          <w:rFonts w:ascii="Arial" w:cs="Arial" w:eastAsia="Arial" w:hAnsi="Arial"/>
          <w:sz w:val="16"/>
          <w:szCs w:val="16"/>
          <w:b w:val="1"/>
          <w:bCs w:val="1"/>
          <w:color w:val="EE2724"/>
        </w:rPr>
        <w:t xml:space="preserve">Experience: </w:t>
      </w:r>
      <w:r>
        <w:rPr>
          <w:rFonts w:ascii="Arial" w:cs="Arial" w:eastAsia="Arial" w:hAnsi="Arial"/>
          <w:sz w:val="16"/>
          <w:szCs w:val="16"/>
          <w:color w:val="000000"/>
        </w:rPr>
        <w:t>Our directors are responsible for overseeing the company's business consistent with their fiduciary duties. This significant responsibility</w:t>
      </w:r>
      <w:r>
        <w:rPr>
          <w:rFonts w:ascii="Arial" w:cs="Arial" w:eastAsia="Arial" w:hAnsi="Arial"/>
          <w:sz w:val="16"/>
          <w:szCs w:val="16"/>
          <w:b w:val="1"/>
          <w:bCs w:val="1"/>
          <w:color w:val="EE2724"/>
        </w:rPr>
        <w:t xml:space="preserve"> </w:t>
      </w:r>
      <w:r>
        <w:rPr>
          <w:rFonts w:ascii="Arial" w:cs="Arial" w:eastAsia="Arial" w:hAnsi="Arial"/>
          <w:sz w:val="16"/>
          <w:szCs w:val="16"/>
          <w:color w:val="000000"/>
        </w:rPr>
        <w:t>requires highly skilled individuals with various qualities, attributes, and professional experience. We believe the board is well-rounded, with a balance of relevant perspectives and experience, as illustrated in the following chart. Categories referencing "expertise" indicate that the director is an expert in the field, while "experience" indicates direct experience, including management and oversight of significant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81280</wp:posOffset>
            </wp:positionV>
            <wp:extent cx="2065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86"/>
        </w:trPr>
        <w:tc>
          <w:tcPr>
            <w:tcW w:w="2400" w:type="dxa"/>
            <w:vAlign w:val="bottom"/>
          </w:tcPr>
          <w:p>
            <w:pPr>
              <w:jc w:val="right"/>
              <w:spacing w:after="0"/>
              <w:rPr>
                <w:sz w:val="20"/>
                <w:szCs w:val="20"/>
                <w:color w:val="auto"/>
              </w:rPr>
            </w:pPr>
            <w:r>
              <w:rPr>
                <w:rFonts w:ascii="Arial" w:cs="Arial" w:eastAsia="Arial" w:hAnsi="Arial"/>
                <w:sz w:val="13"/>
                <w:szCs w:val="13"/>
                <w:color w:val="auto"/>
              </w:rPr>
              <w:t>CEO Experience:</w:t>
            </w:r>
          </w:p>
        </w:tc>
        <w:tc>
          <w:tcPr>
            <w:tcW w:w="840" w:type="dxa"/>
            <w:vAlign w:val="bottom"/>
            <w:shd w:val="clear" w:color="auto" w:fill="1CA8E1"/>
          </w:tcPr>
          <w:p>
            <w:pPr>
              <w:spacing w:after="0"/>
              <w:rPr>
                <w:sz w:val="24"/>
                <w:szCs w:val="24"/>
                <w:color w:val="auto"/>
              </w:rPr>
            </w:pPr>
          </w:p>
        </w:tc>
        <w:tc>
          <w:tcPr>
            <w:tcW w:w="300" w:type="dxa"/>
            <w:vAlign w:val="bottom"/>
            <w:shd w:val="clear" w:color="auto" w:fill="1CA8E1"/>
          </w:tcPr>
          <w:p>
            <w:pPr>
              <w:spacing w:after="0"/>
              <w:rPr>
                <w:sz w:val="24"/>
                <w:szCs w:val="24"/>
                <w:color w:val="auto"/>
              </w:rPr>
            </w:pPr>
          </w:p>
        </w:tc>
        <w:tc>
          <w:tcPr>
            <w:tcW w:w="300" w:type="dxa"/>
            <w:vAlign w:val="bottom"/>
            <w:shd w:val="clear" w:color="auto" w:fill="1CA8E1"/>
          </w:tcPr>
          <w:p>
            <w:pPr>
              <w:spacing w:after="0"/>
              <w:rPr>
                <w:sz w:val="24"/>
                <w:szCs w:val="24"/>
                <w:color w:val="auto"/>
              </w:rPr>
            </w:pPr>
          </w:p>
        </w:tc>
        <w:tc>
          <w:tcPr>
            <w:tcW w:w="580" w:type="dxa"/>
            <w:vAlign w:val="bottom"/>
          </w:tcPr>
          <w:p>
            <w:pPr>
              <w:jc w:val="right"/>
              <w:ind w:right="286"/>
              <w:spacing w:after="0"/>
              <w:rPr>
                <w:sz w:val="20"/>
                <w:szCs w:val="20"/>
                <w:color w:val="auto"/>
              </w:rPr>
            </w:pPr>
            <w:r>
              <w:rPr>
                <w:rFonts w:ascii="Arial" w:cs="Arial" w:eastAsia="Arial" w:hAnsi="Arial"/>
                <w:sz w:val="19"/>
                <w:szCs w:val="19"/>
                <w:b w:val="1"/>
                <w:bCs w:val="1"/>
                <w:color w:val="00A1DE"/>
              </w:rPr>
              <w:t>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0" w:type="dxa"/>
            <w:vAlign w:val="bottom"/>
            <w:vMerge w:val="restart"/>
          </w:tcPr>
          <w:p>
            <w:pPr>
              <w:jc w:val="right"/>
              <w:spacing w:after="0"/>
              <w:rPr>
                <w:sz w:val="20"/>
                <w:szCs w:val="20"/>
                <w:color w:val="auto"/>
              </w:rPr>
            </w:pPr>
            <w:r>
              <w:rPr>
                <w:rFonts w:ascii="Arial" w:cs="Arial" w:eastAsia="Arial" w:hAnsi="Arial"/>
                <w:sz w:val="13"/>
                <w:szCs w:val="13"/>
                <w:color w:val="auto"/>
              </w:rPr>
              <w:t>Financial Expertise:</w:t>
            </w:r>
          </w:p>
        </w:tc>
        <w:tc>
          <w:tcPr>
            <w:tcW w:w="840" w:type="dxa"/>
            <w:vAlign w:val="bottom"/>
            <w:shd w:val="clear" w:color="auto" w:fill="1CA8E1"/>
          </w:tcPr>
          <w:p>
            <w:pPr>
              <w:spacing w:after="0"/>
              <w:rPr>
                <w:sz w:val="2"/>
                <w:szCs w:val="2"/>
                <w:color w:val="auto"/>
              </w:rPr>
            </w:pPr>
          </w:p>
        </w:tc>
        <w:tc>
          <w:tcPr>
            <w:tcW w:w="300" w:type="dxa"/>
            <w:vAlign w:val="bottom"/>
            <w:shd w:val="clear" w:color="auto" w:fill="1CA8E1"/>
          </w:tcPr>
          <w:p>
            <w:pPr>
              <w:spacing w:after="0"/>
              <w:rPr>
                <w:sz w:val="2"/>
                <w:szCs w:val="2"/>
                <w:color w:val="auto"/>
              </w:rPr>
            </w:pPr>
          </w:p>
        </w:tc>
        <w:tc>
          <w:tcPr>
            <w:tcW w:w="300" w:type="dxa"/>
            <w:vAlign w:val="bottom"/>
            <w:shd w:val="clear" w:color="auto" w:fill="1CA8E1"/>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9"/>
                <w:szCs w:val="19"/>
                <w:b w:val="1"/>
                <w:bCs w:val="1"/>
                <w:color w:val="00A1DE"/>
              </w:rPr>
              <w:t>9</w:t>
            </w:r>
          </w:p>
        </w:tc>
        <w:tc>
          <w:tcPr>
            <w:tcW w:w="0" w:type="dxa"/>
            <w:vAlign w:val="bottom"/>
          </w:tcPr>
          <w:p>
            <w:pPr>
              <w:spacing w:after="0" w:line="20" w:lineRule="exact"/>
              <w:rPr>
                <w:sz w:val="1"/>
                <w:szCs w:val="1"/>
                <w:color w:val="auto"/>
              </w:rPr>
            </w:pPr>
          </w:p>
        </w:tc>
      </w:tr>
      <w:tr>
        <w:trPr>
          <w:trHeight w:val="290"/>
        </w:trPr>
        <w:tc>
          <w:tcPr>
            <w:tcW w:w="2400" w:type="dxa"/>
            <w:vAlign w:val="bottom"/>
            <w:vMerge w:val="continue"/>
          </w:tcPr>
          <w:p>
            <w:pPr>
              <w:spacing w:after="0"/>
              <w:rPr>
                <w:sz w:val="24"/>
                <w:szCs w:val="24"/>
                <w:color w:val="auto"/>
              </w:rPr>
            </w:pPr>
          </w:p>
        </w:tc>
        <w:tc>
          <w:tcPr>
            <w:tcW w:w="840" w:type="dxa"/>
            <w:vAlign w:val="bottom"/>
            <w:tcBorders>
              <w:bottom w:val="single" w:sz="8" w:color="1CA8E1"/>
            </w:tcBorders>
            <w:shd w:val="clear" w:color="auto" w:fill="1CA8E1"/>
          </w:tcPr>
          <w:p>
            <w:pPr>
              <w:spacing w:after="0"/>
              <w:rPr>
                <w:sz w:val="24"/>
                <w:szCs w:val="24"/>
                <w:color w:val="auto"/>
              </w:rPr>
            </w:pPr>
          </w:p>
        </w:tc>
        <w:tc>
          <w:tcPr>
            <w:tcW w:w="300" w:type="dxa"/>
            <w:vAlign w:val="bottom"/>
            <w:tcBorders>
              <w:bottom w:val="single" w:sz="8" w:color="1CA8E1"/>
            </w:tcBorders>
            <w:shd w:val="clear" w:color="auto" w:fill="1CA8E1"/>
          </w:tcPr>
          <w:p>
            <w:pPr>
              <w:spacing w:after="0"/>
              <w:rPr>
                <w:sz w:val="24"/>
                <w:szCs w:val="24"/>
                <w:color w:val="auto"/>
              </w:rPr>
            </w:pPr>
          </w:p>
        </w:tc>
        <w:tc>
          <w:tcPr>
            <w:tcW w:w="880" w:type="dxa"/>
            <w:vAlign w:val="bottom"/>
            <w:tcBorders>
              <w:bottom w:val="single" w:sz="8" w:color="1CA8E1"/>
            </w:tcBorders>
            <w:gridSpan w:val="2"/>
            <w:shd w:val="clear" w:color="auto" w:fill="1CA8E1"/>
          </w:tcPr>
          <w:p>
            <w:pPr>
              <w:spacing w:after="0"/>
              <w:rPr>
                <w:sz w:val="24"/>
                <w:szCs w:val="24"/>
                <w:color w:val="auto"/>
              </w:rPr>
            </w:pPr>
          </w:p>
        </w:tc>
        <w:tc>
          <w:tcPr>
            <w:tcW w:w="580" w:type="dxa"/>
            <w:vAlign w:val="bottom"/>
            <w:tcBorders>
              <w:bottom w:val="single" w:sz="8" w:color="1CA8E1"/>
            </w:tcBorders>
            <w:shd w:val="clear" w:color="auto" w:fill="1CA8E1"/>
          </w:tcPr>
          <w:p>
            <w:pPr>
              <w:spacing w:after="0"/>
              <w:rPr>
                <w:sz w:val="24"/>
                <w:szCs w:val="24"/>
                <w:color w:val="auto"/>
              </w:rPr>
            </w:pP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400" w:type="dxa"/>
            <w:vAlign w:val="bottom"/>
          </w:tcPr>
          <w:p>
            <w:pPr>
              <w:jc w:val="right"/>
              <w:spacing w:after="0"/>
              <w:rPr>
                <w:sz w:val="20"/>
                <w:szCs w:val="20"/>
                <w:color w:val="auto"/>
              </w:rPr>
            </w:pPr>
            <w:r>
              <w:rPr>
                <w:rFonts w:ascii="Arial" w:cs="Arial" w:eastAsia="Arial" w:hAnsi="Arial"/>
                <w:sz w:val="13"/>
                <w:szCs w:val="13"/>
                <w:color w:val="auto"/>
              </w:rPr>
              <w:t>Relevant Scientific/Academic Expertise:</w:t>
            </w:r>
          </w:p>
        </w:tc>
        <w:tc>
          <w:tcPr>
            <w:tcW w:w="840" w:type="dxa"/>
            <w:vAlign w:val="bottom"/>
            <w:shd w:val="clear" w:color="auto" w:fill="1CA8E1"/>
          </w:tcPr>
          <w:p>
            <w:pPr>
              <w:spacing w:after="0"/>
              <w:rPr>
                <w:sz w:val="24"/>
                <w:szCs w:val="24"/>
                <w:color w:val="auto"/>
              </w:rPr>
            </w:pPr>
          </w:p>
        </w:tc>
        <w:tc>
          <w:tcPr>
            <w:tcW w:w="300" w:type="dxa"/>
            <w:vAlign w:val="bottom"/>
          </w:tcPr>
          <w:p>
            <w:pPr>
              <w:jc w:val="right"/>
              <w:ind w:right="66"/>
              <w:spacing w:after="0"/>
              <w:rPr>
                <w:sz w:val="20"/>
                <w:szCs w:val="20"/>
                <w:color w:val="auto"/>
              </w:rPr>
            </w:pPr>
            <w:r>
              <w:rPr>
                <w:rFonts w:ascii="Arial" w:cs="Arial" w:eastAsia="Arial" w:hAnsi="Arial"/>
                <w:sz w:val="19"/>
                <w:szCs w:val="19"/>
                <w:b w:val="1"/>
                <w:bCs w:val="1"/>
                <w:color w:val="00A1DE"/>
              </w:rPr>
              <w:t>3</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400" w:type="dxa"/>
            <w:vAlign w:val="bottom"/>
          </w:tcPr>
          <w:p>
            <w:pPr>
              <w:jc w:val="right"/>
              <w:spacing w:after="0"/>
              <w:rPr>
                <w:sz w:val="20"/>
                <w:szCs w:val="20"/>
                <w:color w:val="auto"/>
              </w:rPr>
            </w:pPr>
            <w:r>
              <w:rPr>
                <w:rFonts w:ascii="Arial" w:cs="Arial" w:eastAsia="Arial" w:hAnsi="Arial"/>
                <w:sz w:val="13"/>
                <w:szCs w:val="13"/>
                <w:color w:val="auto"/>
              </w:rPr>
              <w:t>Healthcare Experience:</w:t>
            </w:r>
          </w:p>
        </w:tc>
        <w:tc>
          <w:tcPr>
            <w:tcW w:w="1140" w:type="dxa"/>
            <w:vAlign w:val="bottom"/>
            <w:gridSpan w:val="2"/>
            <w:shd w:val="clear" w:color="auto" w:fill="1CA8E1"/>
          </w:tcPr>
          <w:p>
            <w:pPr>
              <w:spacing w:after="0"/>
              <w:rPr>
                <w:sz w:val="24"/>
                <w:szCs w:val="24"/>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b w:val="1"/>
                <w:bCs w:val="1"/>
                <w:color w:val="00A1DE"/>
                <w:w w:val="94"/>
              </w:rPr>
              <w:t>4</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400" w:type="dxa"/>
            <w:vAlign w:val="bottom"/>
          </w:tcPr>
          <w:p>
            <w:pPr>
              <w:jc w:val="right"/>
              <w:spacing w:after="0"/>
              <w:rPr>
                <w:sz w:val="20"/>
                <w:szCs w:val="20"/>
                <w:color w:val="auto"/>
              </w:rPr>
            </w:pPr>
            <w:r>
              <w:rPr>
                <w:rFonts w:ascii="Arial" w:cs="Arial" w:eastAsia="Arial" w:hAnsi="Arial"/>
                <w:sz w:val="13"/>
                <w:szCs w:val="13"/>
                <w:color w:val="auto"/>
              </w:rPr>
              <w:t>Operational/Strategic Expertise:</w:t>
            </w:r>
          </w:p>
        </w:tc>
        <w:tc>
          <w:tcPr>
            <w:tcW w:w="2020" w:type="dxa"/>
            <w:vAlign w:val="bottom"/>
            <w:gridSpan w:val="4"/>
            <w:shd w:val="clear" w:color="auto" w:fill="1CA8E1"/>
          </w:tcPr>
          <w:p>
            <w:pPr>
              <w:spacing w:after="0"/>
              <w:rPr>
                <w:sz w:val="24"/>
                <w:szCs w:val="24"/>
                <w:color w:val="auto"/>
              </w:rPr>
            </w:pPr>
          </w:p>
        </w:tc>
        <w:tc>
          <w:tcPr>
            <w:tcW w:w="580" w:type="dxa"/>
            <w:vAlign w:val="bottom"/>
            <w:shd w:val="clear" w:color="auto" w:fill="1CA8E1"/>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b w:val="1"/>
                <w:bCs w:val="1"/>
                <w:color w:val="00A1DE"/>
                <w:w w:val="94"/>
              </w:rPr>
              <w:t>9</w:t>
            </w:r>
          </w:p>
        </w:tc>
        <w:tc>
          <w:tcPr>
            <w:tcW w:w="0" w:type="dxa"/>
            <w:vAlign w:val="bottom"/>
          </w:tcPr>
          <w:p>
            <w:pPr>
              <w:spacing w:after="0"/>
              <w:rPr>
                <w:sz w:val="1"/>
                <w:szCs w:val="1"/>
                <w:color w:val="auto"/>
              </w:rPr>
            </w:pPr>
          </w:p>
        </w:tc>
      </w:tr>
      <w:tr>
        <w:trPr>
          <w:trHeight w:val="285"/>
        </w:trPr>
        <w:tc>
          <w:tcPr>
            <w:tcW w:w="2400" w:type="dxa"/>
            <w:vAlign w:val="bottom"/>
          </w:tcPr>
          <w:p>
            <w:pPr>
              <w:jc w:val="right"/>
              <w:spacing w:after="0"/>
              <w:rPr>
                <w:sz w:val="20"/>
                <w:szCs w:val="20"/>
                <w:color w:val="auto"/>
              </w:rPr>
            </w:pPr>
            <w:r>
              <w:rPr>
                <w:rFonts w:ascii="Arial" w:cs="Arial" w:eastAsia="Arial" w:hAnsi="Arial"/>
                <w:sz w:val="13"/>
                <w:szCs w:val="13"/>
                <w:color w:val="auto"/>
              </w:rPr>
              <w:t>International Experience:</w:t>
            </w:r>
          </w:p>
        </w:tc>
        <w:tc>
          <w:tcPr>
            <w:tcW w:w="2020" w:type="dxa"/>
            <w:vAlign w:val="bottom"/>
            <w:gridSpan w:val="4"/>
            <w:shd w:val="clear" w:color="auto" w:fill="1CA8E1"/>
          </w:tcPr>
          <w:p>
            <w:pPr>
              <w:spacing w:after="0"/>
              <w:rPr>
                <w:sz w:val="24"/>
                <w:szCs w:val="24"/>
                <w:color w:val="auto"/>
              </w:rPr>
            </w:pPr>
          </w:p>
        </w:tc>
        <w:tc>
          <w:tcPr>
            <w:tcW w:w="580" w:type="dxa"/>
            <w:vAlign w:val="bottom"/>
          </w:tcPr>
          <w:p>
            <w:pPr>
              <w:jc w:val="right"/>
              <w:ind w:right="286"/>
              <w:spacing w:after="0"/>
              <w:rPr>
                <w:sz w:val="20"/>
                <w:szCs w:val="20"/>
                <w:color w:val="auto"/>
              </w:rPr>
            </w:pPr>
            <w:r>
              <w:rPr>
                <w:rFonts w:ascii="Arial" w:cs="Arial" w:eastAsia="Arial" w:hAnsi="Arial"/>
                <w:sz w:val="19"/>
                <w:szCs w:val="19"/>
                <w:b w:val="1"/>
                <w:bCs w:val="1"/>
                <w:color w:val="00A1DE"/>
              </w:rPr>
              <w:t>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2020" w:type="dxa"/>
            <w:vAlign w:val="bottom"/>
            <w:gridSpan w:val="4"/>
            <w:shd w:val="clear" w:color="auto" w:fill="1CA8E1"/>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400" w:type="dxa"/>
            <w:vAlign w:val="bottom"/>
          </w:tcPr>
          <w:p>
            <w:pPr>
              <w:jc w:val="right"/>
              <w:spacing w:after="0"/>
              <w:rPr>
                <w:sz w:val="20"/>
                <w:szCs w:val="20"/>
                <w:color w:val="auto"/>
              </w:rPr>
            </w:pPr>
            <w:r>
              <w:rPr>
                <w:rFonts w:ascii="Arial" w:cs="Arial" w:eastAsia="Arial" w:hAnsi="Arial"/>
                <w:sz w:val="13"/>
                <w:szCs w:val="13"/>
                <w:color w:val="auto"/>
              </w:rPr>
              <w:t>Marketing and Sales Expertise:</w:t>
            </w:r>
          </w:p>
        </w:tc>
        <w:tc>
          <w:tcPr>
            <w:tcW w:w="1440" w:type="dxa"/>
            <w:vAlign w:val="bottom"/>
            <w:gridSpan w:val="3"/>
            <w:shd w:val="clear" w:color="auto" w:fill="1CA8E1"/>
          </w:tcPr>
          <w:p>
            <w:pPr>
              <w:spacing w:after="0"/>
              <w:rPr>
                <w:sz w:val="24"/>
                <w:szCs w:val="24"/>
                <w:color w:val="auto"/>
              </w:rPr>
            </w:pPr>
          </w:p>
        </w:tc>
        <w:tc>
          <w:tcPr>
            <w:tcW w:w="580" w:type="dxa"/>
            <w:vAlign w:val="bottom"/>
          </w:tcPr>
          <w:p>
            <w:pPr>
              <w:jc w:val="right"/>
              <w:ind w:right="206"/>
              <w:spacing w:after="0"/>
              <w:rPr>
                <w:sz w:val="20"/>
                <w:szCs w:val="20"/>
                <w:color w:val="auto"/>
              </w:rPr>
            </w:pPr>
            <w:r>
              <w:rPr>
                <w:rFonts w:ascii="Arial" w:cs="Arial" w:eastAsia="Arial" w:hAnsi="Arial"/>
                <w:sz w:val="19"/>
                <w:szCs w:val="19"/>
                <w:b w:val="1"/>
                <w:bCs w:val="1"/>
                <w:color w:val="00A1DE"/>
              </w:rPr>
              <w:t>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400" w:type="dxa"/>
            <w:vAlign w:val="bottom"/>
          </w:tcPr>
          <w:p>
            <w:pPr>
              <w:jc w:val="right"/>
              <w:spacing w:after="0"/>
              <w:rPr>
                <w:sz w:val="20"/>
                <w:szCs w:val="20"/>
                <w:color w:val="auto"/>
              </w:rPr>
            </w:pPr>
            <w:r>
              <w:rPr>
                <w:rFonts w:ascii="Arial" w:cs="Arial" w:eastAsia="Arial" w:hAnsi="Arial"/>
                <w:sz w:val="13"/>
                <w:szCs w:val="13"/>
                <w:color w:val="auto"/>
              </w:rPr>
              <w:t>Digital/Technology Expertise:</w:t>
            </w:r>
          </w:p>
        </w:tc>
        <w:tc>
          <w:tcPr>
            <w:tcW w:w="840" w:type="dxa"/>
            <w:vAlign w:val="bottom"/>
            <w:shd w:val="clear" w:color="auto" w:fill="1CA8E1"/>
          </w:tcPr>
          <w:p>
            <w:pPr>
              <w:spacing w:after="0"/>
              <w:rPr>
                <w:sz w:val="24"/>
                <w:szCs w:val="24"/>
                <w:color w:val="auto"/>
              </w:rPr>
            </w:pPr>
          </w:p>
        </w:tc>
        <w:tc>
          <w:tcPr>
            <w:tcW w:w="300" w:type="dxa"/>
            <w:vAlign w:val="bottom"/>
          </w:tcPr>
          <w:p>
            <w:pPr>
              <w:jc w:val="right"/>
              <w:ind w:right="6"/>
              <w:spacing w:after="0"/>
              <w:rPr>
                <w:sz w:val="20"/>
                <w:szCs w:val="20"/>
                <w:color w:val="auto"/>
              </w:rPr>
            </w:pPr>
            <w:r>
              <w:rPr>
                <w:rFonts w:ascii="Arial" w:cs="Arial" w:eastAsia="Arial" w:hAnsi="Arial"/>
                <w:sz w:val="19"/>
                <w:szCs w:val="19"/>
                <w:b w:val="1"/>
                <w:bCs w:val="1"/>
                <w:color w:val="00A1DE"/>
              </w:rPr>
              <w:t>3</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840" w:type="dxa"/>
            <w:vAlign w:val="bottom"/>
            <w:shd w:val="clear" w:color="auto" w:fill="1CA8E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2065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-393700</wp:posOffset>
            </wp:positionV>
            <wp:extent cx="20656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-591185</wp:posOffset>
            </wp:positionV>
            <wp:extent cx="20656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-788035</wp:posOffset>
            </wp:positionV>
            <wp:extent cx="2065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-985520</wp:posOffset>
            </wp:positionV>
            <wp:extent cx="2065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-1182370</wp:posOffset>
            </wp:positionV>
            <wp:extent cx="2065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656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-1379220</wp:posOffset>
            </wp:positionV>
            <wp:extent cx="20656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4"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b w:val="1"/>
          <w:bCs w:val="1"/>
          <w:color w:val="EE2724"/>
        </w:rPr>
        <w:t xml:space="preserve">Board Tenure: </w:t>
      </w:r>
      <w:r>
        <w:rPr>
          <w:rFonts w:ascii="Arial" w:cs="Arial" w:eastAsia="Arial" w:hAnsi="Arial"/>
          <w:sz w:val="16"/>
          <w:szCs w:val="16"/>
          <w:color w:val="000000"/>
        </w:rPr>
        <w:t>As the following chart demonstrates, our director composition reflects a mix of tenure on the board, which provides an effective balance of</w:t>
      </w:r>
      <w:r>
        <w:rPr>
          <w:rFonts w:ascii="Arial" w:cs="Arial" w:eastAsia="Arial" w:hAnsi="Arial"/>
          <w:sz w:val="16"/>
          <w:szCs w:val="16"/>
          <w:b w:val="1"/>
          <w:bCs w:val="1"/>
          <w:color w:val="EE2724"/>
        </w:rPr>
        <w:t xml:space="preserve"> </w:t>
      </w:r>
      <w:r>
        <w:rPr>
          <w:rFonts w:ascii="Arial" w:cs="Arial" w:eastAsia="Arial" w:hAnsi="Arial"/>
          <w:sz w:val="16"/>
          <w:szCs w:val="16"/>
          <w:color w:val="000000"/>
        </w:rPr>
        <w:t>historical perspective and an understanding of the evolution of our business with fresh perspectives and insights. Mr. Eskew, who joined the board in 2008, will retire from the board following the Annual Meeting. The following graphic highlights the tenure of our current board members:</w:t>
      </w:r>
    </w:p>
    <w:p>
      <w:pPr>
        <w:spacing w:after="0" w:line="123" w:lineRule="exact"/>
        <w:rPr>
          <w:sz w:val="20"/>
          <w:szCs w:val="20"/>
          <w:color w:val="auto"/>
        </w:rPr>
      </w:pPr>
    </w:p>
    <w:tbl>
      <w:tblPr>
        <w:tblLayout w:type="fixed"/>
        <w:tblInd w:w="1900" w:type="dxa"/>
        <w:tblCellMar>
          <w:top w:w="0" w:type="dxa"/>
          <w:left w:w="0" w:type="dxa"/>
          <w:bottom w:w="0" w:type="dxa"/>
          <w:right w:w="0" w:type="dxa"/>
        </w:tblCellMar>
      </w:tblPr>
      <w:tr>
        <w:trPr>
          <w:trHeight w:val="299"/>
        </w:trPr>
        <w:tc>
          <w:tcPr>
            <w:tcW w:w="820" w:type="dxa"/>
            <w:vAlign w:val="bottom"/>
          </w:tcPr>
          <w:p>
            <w:pPr>
              <w:jc w:val="right"/>
              <w:spacing w:after="0"/>
              <w:rPr>
                <w:sz w:val="20"/>
                <w:szCs w:val="20"/>
                <w:color w:val="auto"/>
              </w:rPr>
            </w:pPr>
            <w:r>
              <w:rPr>
                <w:rFonts w:ascii="Arial" w:cs="Arial" w:eastAsia="Arial" w:hAnsi="Arial"/>
                <w:sz w:val="13"/>
                <w:szCs w:val="13"/>
                <w:color w:val="auto"/>
              </w:rPr>
              <w:t>Less than 3</w:t>
            </w:r>
          </w:p>
        </w:tc>
        <w:tc>
          <w:tcPr>
            <w:tcW w:w="400" w:type="dxa"/>
            <w:vAlign w:val="bottom"/>
          </w:tcPr>
          <w:p>
            <w:pPr>
              <w:ind w:left="20"/>
              <w:spacing w:after="0"/>
              <w:rPr>
                <w:sz w:val="20"/>
                <w:szCs w:val="20"/>
                <w:color w:val="auto"/>
              </w:rPr>
            </w:pPr>
            <w:r>
              <w:rPr>
                <w:rFonts w:ascii="Arial" w:cs="Arial" w:eastAsia="Arial" w:hAnsi="Arial"/>
                <w:sz w:val="13"/>
                <w:szCs w:val="13"/>
                <w:color w:val="auto"/>
                <w:w w:val="95"/>
              </w:rPr>
              <w:t>Years:</w:t>
            </w:r>
          </w:p>
        </w:tc>
        <w:tc>
          <w:tcPr>
            <w:tcW w:w="620" w:type="dxa"/>
            <w:vAlign w:val="bottom"/>
            <w:shd w:val="clear" w:color="auto" w:fill="1CA8E1"/>
          </w:tcPr>
          <w:p>
            <w:pPr>
              <w:spacing w:after="0"/>
              <w:rPr>
                <w:sz w:val="24"/>
                <w:szCs w:val="24"/>
                <w:color w:val="auto"/>
              </w:rPr>
            </w:pPr>
          </w:p>
        </w:tc>
        <w:tc>
          <w:tcPr>
            <w:tcW w:w="320" w:type="dxa"/>
            <w:vAlign w:val="bottom"/>
          </w:tcPr>
          <w:p>
            <w:pPr>
              <w:jc w:val="right"/>
              <w:ind w:right="86"/>
              <w:spacing w:after="0"/>
              <w:rPr>
                <w:sz w:val="20"/>
                <w:szCs w:val="20"/>
                <w:color w:val="auto"/>
              </w:rPr>
            </w:pPr>
            <w:r>
              <w:rPr>
                <w:rFonts w:ascii="Arial" w:cs="Arial" w:eastAsia="Arial" w:hAnsi="Arial"/>
                <w:sz w:val="19"/>
                <w:szCs w:val="19"/>
                <w:b w:val="1"/>
                <w:bCs w:val="1"/>
                <w:color w:val="00A1DE"/>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1"/>
        </w:trPr>
        <w:tc>
          <w:tcPr>
            <w:tcW w:w="820" w:type="dxa"/>
            <w:vAlign w:val="bottom"/>
          </w:tcPr>
          <w:p>
            <w:pPr>
              <w:jc w:val="right"/>
              <w:spacing w:after="0"/>
              <w:rPr>
                <w:sz w:val="20"/>
                <w:szCs w:val="20"/>
                <w:color w:val="auto"/>
              </w:rPr>
            </w:pPr>
            <w:r>
              <w:rPr>
                <w:rFonts w:ascii="Arial" w:cs="Arial" w:eastAsia="Arial" w:hAnsi="Arial"/>
                <w:sz w:val="13"/>
                <w:szCs w:val="13"/>
                <w:color w:val="auto"/>
              </w:rPr>
              <w:t>3-5</w:t>
            </w:r>
          </w:p>
        </w:tc>
        <w:tc>
          <w:tcPr>
            <w:tcW w:w="400" w:type="dxa"/>
            <w:vAlign w:val="bottom"/>
          </w:tcPr>
          <w:p>
            <w:pPr>
              <w:ind w:left="20"/>
              <w:spacing w:after="0"/>
              <w:rPr>
                <w:sz w:val="20"/>
                <w:szCs w:val="20"/>
                <w:color w:val="auto"/>
              </w:rPr>
            </w:pPr>
            <w:r>
              <w:rPr>
                <w:rFonts w:ascii="Arial" w:cs="Arial" w:eastAsia="Arial" w:hAnsi="Arial"/>
                <w:sz w:val="13"/>
                <w:szCs w:val="13"/>
                <w:color w:val="auto"/>
                <w:w w:val="95"/>
              </w:rPr>
              <w:t>Years:</w:t>
            </w:r>
          </w:p>
        </w:tc>
        <w:tc>
          <w:tcPr>
            <w:tcW w:w="940" w:type="dxa"/>
            <w:vAlign w:val="bottom"/>
            <w:gridSpan w:val="2"/>
            <w:shd w:val="clear" w:color="auto" w:fill="1CA8E1"/>
          </w:tcPr>
          <w:p>
            <w:pPr>
              <w:spacing w:after="0"/>
              <w:rPr>
                <w:sz w:val="24"/>
                <w:szCs w:val="24"/>
                <w:color w:val="auto"/>
              </w:rPr>
            </w:pPr>
          </w:p>
        </w:tc>
        <w:tc>
          <w:tcPr>
            <w:tcW w:w="320" w:type="dxa"/>
            <w:vAlign w:val="bottom"/>
          </w:tcPr>
          <w:p>
            <w:pPr>
              <w:jc w:val="right"/>
              <w:ind w:right="106"/>
              <w:spacing w:after="0"/>
              <w:rPr>
                <w:sz w:val="20"/>
                <w:szCs w:val="20"/>
                <w:color w:val="auto"/>
              </w:rPr>
            </w:pPr>
            <w:r>
              <w:rPr>
                <w:rFonts w:ascii="Arial" w:cs="Arial" w:eastAsia="Arial" w:hAnsi="Arial"/>
                <w:sz w:val="19"/>
                <w:szCs w:val="19"/>
                <w:b w:val="1"/>
                <w:bCs w:val="1"/>
                <w:color w:val="00A1DE"/>
                <w:w w:val="94"/>
              </w:rPr>
              <w:t>3</w:t>
            </w:r>
          </w:p>
        </w:tc>
        <w:tc>
          <w:tcPr>
            <w:tcW w:w="120" w:type="dxa"/>
            <w:vAlign w:val="bottom"/>
          </w:tcPr>
          <w:p>
            <w:pPr>
              <w:spacing w:after="0"/>
              <w:rPr>
                <w:sz w:val="24"/>
                <w:szCs w:val="24"/>
                <w:color w:val="auto"/>
              </w:rPr>
            </w:pPr>
          </w:p>
        </w:tc>
      </w:tr>
      <w:tr>
        <w:trPr>
          <w:trHeight w:val="283"/>
        </w:trPr>
        <w:tc>
          <w:tcPr>
            <w:tcW w:w="820" w:type="dxa"/>
            <w:vAlign w:val="bottom"/>
          </w:tcPr>
          <w:p>
            <w:pPr>
              <w:jc w:val="right"/>
              <w:spacing w:after="0"/>
              <w:rPr>
                <w:sz w:val="20"/>
                <w:szCs w:val="20"/>
                <w:color w:val="auto"/>
              </w:rPr>
            </w:pPr>
            <w:r>
              <w:rPr>
                <w:rFonts w:ascii="Arial" w:cs="Arial" w:eastAsia="Arial" w:hAnsi="Arial"/>
                <w:sz w:val="13"/>
                <w:szCs w:val="13"/>
                <w:color w:val="auto"/>
              </w:rPr>
              <w:t>6-10</w:t>
            </w:r>
          </w:p>
        </w:tc>
        <w:tc>
          <w:tcPr>
            <w:tcW w:w="400" w:type="dxa"/>
            <w:vAlign w:val="bottom"/>
          </w:tcPr>
          <w:p>
            <w:pPr>
              <w:ind w:left="20"/>
              <w:spacing w:after="0"/>
              <w:rPr>
                <w:sz w:val="20"/>
                <w:szCs w:val="20"/>
                <w:color w:val="auto"/>
              </w:rPr>
            </w:pPr>
            <w:r>
              <w:rPr>
                <w:rFonts w:ascii="Arial" w:cs="Arial" w:eastAsia="Arial" w:hAnsi="Arial"/>
                <w:sz w:val="13"/>
                <w:szCs w:val="13"/>
                <w:color w:val="auto"/>
                <w:w w:val="95"/>
              </w:rPr>
              <w:t>Years:</w:t>
            </w:r>
          </w:p>
        </w:tc>
        <w:tc>
          <w:tcPr>
            <w:tcW w:w="1260" w:type="dxa"/>
            <w:vAlign w:val="bottom"/>
            <w:gridSpan w:val="3"/>
            <w:shd w:val="clear" w:color="auto" w:fill="1CA8E1"/>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9"/>
                <w:szCs w:val="19"/>
                <w:b w:val="1"/>
                <w:bCs w:val="1"/>
                <w:color w:val="00A1DE"/>
                <w:w w:val="94"/>
              </w:rPr>
              <w:t>4</w:t>
            </w:r>
          </w:p>
        </w:tc>
      </w:tr>
      <w:tr>
        <w:trPr>
          <w:trHeight w:val="310"/>
        </w:trPr>
        <w:tc>
          <w:tcPr>
            <w:tcW w:w="820" w:type="dxa"/>
            <w:vAlign w:val="bottom"/>
          </w:tcPr>
          <w:p>
            <w:pPr>
              <w:jc w:val="right"/>
              <w:spacing w:after="0"/>
              <w:rPr>
                <w:sz w:val="20"/>
                <w:szCs w:val="20"/>
                <w:color w:val="auto"/>
              </w:rPr>
            </w:pPr>
            <w:r>
              <w:rPr>
                <w:rFonts w:ascii="Arial" w:cs="Arial" w:eastAsia="Arial" w:hAnsi="Arial"/>
                <w:sz w:val="13"/>
                <w:szCs w:val="13"/>
                <w:color w:val="auto"/>
              </w:rPr>
              <w:t>More than 10</w:t>
            </w:r>
          </w:p>
        </w:tc>
        <w:tc>
          <w:tcPr>
            <w:tcW w:w="400" w:type="dxa"/>
            <w:vAlign w:val="bottom"/>
          </w:tcPr>
          <w:p>
            <w:pPr>
              <w:ind w:left="20"/>
              <w:spacing w:after="0"/>
              <w:rPr>
                <w:sz w:val="20"/>
                <w:szCs w:val="20"/>
                <w:color w:val="auto"/>
              </w:rPr>
            </w:pPr>
            <w:r>
              <w:rPr>
                <w:rFonts w:ascii="Arial" w:cs="Arial" w:eastAsia="Arial" w:hAnsi="Arial"/>
                <w:sz w:val="13"/>
                <w:szCs w:val="13"/>
                <w:color w:val="auto"/>
                <w:w w:val="95"/>
              </w:rPr>
              <w:t>Years:</w:t>
            </w:r>
          </w:p>
        </w:tc>
        <w:tc>
          <w:tcPr>
            <w:tcW w:w="1260" w:type="dxa"/>
            <w:vAlign w:val="bottom"/>
            <w:gridSpan w:val="3"/>
            <w:shd w:val="clear" w:color="auto" w:fill="1CA8E1"/>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9"/>
                <w:szCs w:val="19"/>
                <w:b w:val="1"/>
                <w:bCs w:val="1"/>
                <w:color w:val="00A1DE"/>
                <w:w w:val="94"/>
              </w:rPr>
              <w:t>4</w:t>
            </w:r>
          </w:p>
        </w:tc>
      </w:tr>
      <w:tr>
        <w:trPr>
          <w:trHeight w:val="39"/>
        </w:trPr>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shd w:val="clear" w:color="auto" w:fill="1CA8E1"/>
          </w:tcPr>
          <w:p>
            <w:pPr>
              <w:spacing w:after="0"/>
              <w:rPr>
                <w:sz w:val="3"/>
                <w:szCs w:val="3"/>
                <w:color w:val="auto"/>
              </w:rPr>
            </w:pPr>
          </w:p>
        </w:tc>
        <w:tc>
          <w:tcPr>
            <w:tcW w:w="320" w:type="dxa"/>
            <w:vAlign w:val="bottom"/>
            <w:shd w:val="clear" w:color="auto" w:fill="1CA8E1"/>
          </w:tcPr>
          <w:p>
            <w:pPr>
              <w:spacing w:after="0"/>
              <w:rPr>
                <w:sz w:val="3"/>
                <w:szCs w:val="3"/>
                <w:color w:val="auto"/>
              </w:rPr>
            </w:pPr>
          </w:p>
        </w:tc>
        <w:tc>
          <w:tcPr>
            <w:tcW w:w="320" w:type="dxa"/>
            <w:vAlign w:val="bottom"/>
            <w:shd w:val="clear" w:color="auto" w:fill="1CA8E1"/>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-196215</wp:posOffset>
            </wp:positionV>
            <wp:extent cx="796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-393700</wp:posOffset>
            </wp:positionV>
            <wp:extent cx="796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-591185</wp:posOffset>
            </wp:positionV>
            <wp:extent cx="796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37"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b w:val="1"/>
          <w:bCs w:val="1"/>
          <w:color w:val="EE2724"/>
        </w:rPr>
        <w:t xml:space="preserve">Diversity: </w:t>
      </w:r>
      <w:r>
        <w:rPr>
          <w:rFonts w:ascii="Arial" w:cs="Arial" w:eastAsia="Arial" w:hAnsi="Arial"/>
          <w:sz w:val="16"/>
          <w:szCs w:val="16"/>
          <w:color w:val="000000"/>
        </w:rPr>
        <w:t>The board strives to achieve diversity in the broadest sense, including persons diverse in geography, gender, ethnicity, age, and experiences.</w:t>
      </w:r>
      <w:r>
        <w:rPr>
          <w:rFonts w:ascii="Arial" w:cs="Arial" w:eastAsia="Arial" w:hAnsi="Arial"/>
          <w:sz w:val="16"/>
          <w:szCs w:val="16"/>
          <w:b w:val="1"/>
          <w:bCs w:val="1"/>
          <w:color w:val="EE2724"/>
        </w:rPr>
        <w:t xml:space="preserve"> </w:t>
      </w:r>
      <w:r>
        <w:rPr>
          <w:rFonts w:ascii="Arial" w:cs="Arial" w:eastAsia="Arial" w:hAnsi="Arial"/>
          <w:sz w:val="16"/>
          <w:szCs w:val="16"/>
          <w:color w:val="000000"/>
        </w:rPr>
        <w:t>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current 13 directors range in age from 49 to 72 and include four women and six minority group members (MGM).</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EE2724"/>
        </w:rPr>
        <w:t xml:space="preserve">Character: </w:t>
      </w:r>
      <w:r>
        <w:rPr>
          <w:rFonts w:ascii="Arial" w:cs="Arial" w:eastAsia="Arial" w:hAnsi="Arial"/>
          <w:sz w:val="16"/>
          <w:szCs w:val="16"/>
          <w:color w:val="000000"/>
        </w:rPr>
        <w:t>Board members should possess the personal attributes necessary to be an effective director, including unquestioned integrity, sound judgment, a</w:t>
      </w:r>
      <w:r>
        <w:rPr>
          <w:rFonts w:ascii="Arial" w:cs="Arial" w:eastAsia="Arial" w:hAnsi="Arial"/>
          <w:sz w:val="16"/>
          <w:szCs w:val="16"/>
          <w:b w:val="1"/>
          <w:bCs w:val="1"/>
          <w:color w:val="EE2724"/>
        </w:rPr>
        <w:t xml:space="preserve"> </w:t>
      </w:r>
      <w:r>
        <w:rPr>
          <w:rFonts w:ascii="Arial" w:cs="Arial" w:eastAsia="Arial" w:hAnsi="Arial"/>
          <w:sz w:val="16"/>
          <w:szCs w:val="16"/>
          <w:color w:val="000000"/>
        </w:rPr>
        <w:t>collaborative spirit, and commitment to the company, our shareholders, and other constituencies.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Refreshment</w:t>
      </w:r>
    </w:p>
    <w:p>
      <w:pPr>
        <w:spacing w:after="0" w:line="1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viewpoints, diversity, and expertise necessary to support our complex and evolving business. The Directors and Corporate Governance Committee, with input from all board members, also considers the contributions of the individual directors.</w:t>
      </w:r>
    </w:p>
    <w:p>
      <w:pPr>
        <w:spacing w:after="0" w:line="4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Based on this assessment, the Directors and Corporate Governance Committee has recommended that each of the directors in the class of 2022 be elected at the Annual Meeting.</w:t>
      </w:r>
    </w:p>
    <w:p>
      <w:pPr>
        <w:spacing w:after="0" w:line="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board delegates the director screening process to the Directors and Corporate Governance Committee, which receives input from other board members. Director candidates are identified from several sources, including executive search firms retained by the committee, incumbent directors, management, and shareholders. The Directors and Corporate Governance Committee has retained Russell Reynolds Associates, an executive search and leadership consulting firm, to assist with identifying potential director candidates.</w:t>
      </w:r>
    </w:p>
    <w:p>
      <w:pPr>
        <w:spacing w:after="0" w:line="9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Directors and Corporate Governance Committee employs the same process to evaluate all candidates, including those submitted by shareholders. The committee initially evaluates a candidate based on publicly available information and any additional information supplied by the party recommending the candidate. If the candidate appears to satisfy the selection criteria and the committee’s initial evaluation is favorable, the committee, assisted by management or a search firm, gathers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982" w:right="339" w:bottom="1440" w:gutter="0" w:footer="0" w:header="0"/>
        </w:sectPr>
      </w:pPr>
    </w:p>
    <w:bookmarkStart w:id="24" w:name="page25"/>
    <w:bookmarkEnd w:id="24"/>
    <w:p>
      <w:pPr>
        <w:ind w:right="160"/>
        <w:spacing w:after="0" w:line="251" w:lineRule="auto"/>
        <w:rPr>
          <w:sz w:val="20"/>
          <w:szCs w:val="20"/>
          <w:color w:val="auto"/>
        </w:rPr>
      </w:pPr>
      <w:r>
        <w:rPr>
          <w:rFonts w:ascii="Arial" w:cs="Arial" w:eastAsia="Arial" w:hAnsi="Arial"/>
          <w:sz w:val="16"/>
          <w:szCs w:val="16"/>
          <w:color w:val="auto"/>
        </w:rPr>
        <w:t>additional data on the candidate’s qualifications, availability, probable level of interest, and any potential conflicts of interest. If the committee’s subsequent evaluation continues to be favorable, the candidate is contacted by the chair of the board and one or more of the independent directors, including the lead independent director, for direct discussions to determine the mutual level of interest in pursuing the candidacy. If these discussions are favorable, the committee recommends that the board nominate the candidate for election by the shareholders (or elects the candidate to fill a vacancy,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Compensation</w:t>
      </w:r>
    </w:p>
    <w:p>
      <w:pPr>
        <w:spacing w:after="0" w:line="9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Directors who are employees receive no additional compensation for serving on the board. Non-employee director compensation is reviewed and approved by the board, on the recommendation of the Directors and Corporate Governance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retainers and meeting fees in effect in 2021 for all non-employee directors: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4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highlight w:val="lightGray"/>
              </w:rPr>
              <w:t>Board and Committee Membership</w:t>
            </w:r>
          </w:p>
        </w:tc>
        <w:tc>
          <w:tcPr>
            <w:tcW w:w="900" w:type="dxa"/>
            <w:vAlign w:val="bottom"/>
            <w:shd w:val="clear" w:color="auto" w:fill="DBDBDB"/>
          </w:tcPr>
          <w:p>
            <w:pPr>
              <w:spacing w:after="0"/>
              <w:rPr>
                <w:sz w:val="24"/>
                <w:szCs w:val="24"/>
                <w:color w:val="auto"/>
              </w:rPr>
            </w:pPr>
          </w:p>
        </w:tc>
        <w:tc>
          <w:tcPr>
            <w:tcW w:w="3780" w:type="dxa"/>
            <w:vAlign w:val="bottom"/>
            <w:shd w:val="clear" w:color="auto" w:fill="DBDBDB"/>
          </w:tcPr>
          <w:p>
            <w:pPr>
              <w:spacing w:after="0"/>
              <w:rPr>
                <w:sz w:val="24"/>
                <w:szCs w:val="24"/>
                <w:color w:val="auto"/>
              </w:rPr>
            </w:pPr>
          </w:p>
        </w:tc>
        <w:tc>
          <w:tcPr>
            <w:tcW w:w="6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highlight w:val="lightGray"/>
              </w:rPr>
              <w:t>Retainers</w:t>
            </w:r>
          </w:p>
        </w:tc>
        <w:tc>
          <w:tcPr>
            <w:tcW w:w="900" w:type="dxa"/>
            <w:vAlign w:val="bottom"/>
            <w:shd w:val="clear" w:color="auto" w:fill="DBDBDB"/>
          </w:tcPr>
          <w:p>
            <w:pPr>
              <w:spacing w:after="0"/>
              <w:rPr>
                <w:sz w:val="16"/>
                <w:szCs w:val="16"/>
                <w:color w:val="auto"/>
              </w:rPr>
            </w:pPr>
          </w:p>
        </w:tc>
        <w:tc>
          <w:tcPr>
            <w:tcW w:w="3780" w:type="dxa"/>
            <w:vAlign w:val="bottom"/>
            <w:shd w:val="clear" w:color="auto" w:fill="DBDBDB"/>
          </w:tcPr>
          <w:p>
            <w:pPr>
              <w:ind w:left="1480"/>
              <w:spacing w:after="0"/>
              <w:rPr>
                <w:sz w:val="20"/>
                <w:szCs w:val="20"/>
                <w:color w:val="auto"/>
              </w:rPr>
            </w:pPr>
            <w:r>
              <w:rPr>
                <w:rFonts w:ascii="Arial" w:cs="Arial" w:eastAsia="Arial" w:hAnsi="Arial"/>
                <w:sz w:val="16"/>
                <w:szCs w:val="16"/>
                <w:b w:val="1"/>
                <w:bCs w:val="1"/>
                <w:color w:val="00A1DE"/>
                <w:highlight w:val="lightGray"/>
              </w:rPr>
              <w:t>Leadership Retainers</w:t>
            </w:r>
          </w:p>
        </w:tc>
        <w:tc>
          <w:tcPr>
            <w:tcW w:w="6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(annual, paid in monthly installments)</w:t>
            </w:r>
          </w:p>
        </w:tc>
        <w:tc>
          <w:tcPr>
            <w:tcW w:w="900" w:type="dxa"/>
            <w:vAlign w:val="bottom"/>
            <w:shd w:val="clear" w:color="auto" w:fill="DBDBDB"/>
          </w:tcPr>
          <w:p>
            <w:pPr>
              <w:spacing w:after="0"/>
              <w:rPr>
                <w:sz w:val="21"/>
                <w:szCs w:val="21"/>
                <w:color w:val="auto"/>
              </w:rPr>
            </w:pPr>
          </w:p>
        </w:tc>
        <w:tc>
          <w:tcPr>
            <w:tcW w:w="3780" w:type="dxa"/>
            <w:vAlign w:val="bottom"/>
            <w:shd w:val="clear" w:color="auto" w:fill="DBDBDB"/>
          </w:tcPr>
          <w:p>
            <w:pPr>
              <w:ind w:left="980"/>
              <w:spacing w:after="0"/>
              <w:rPr>
                <w:sz w:val="20"/>
                <w:szCs w:val="20"/>
                <w:color w:val="auto"/>
              </w:rPr>
            </w:pPr>
            <w:r>
              <w:rPr>
                <w:rFonts w:ascii="Arial" w:cs="Arial" w:eastAsia="Arial" w:hAnsi="Arial"/>
                <w:sz w:val="16"/>
                <w:szCs w:val="16"/>
                <w:color w:val="auto"/>
              </w:rPr>
              <w:t>(annual, paid in monthly installments)</w:t>
            </w:r>
          </w:p>
        </w:tc>
        <w:tc>
          <w:tcPr>
            <w:tcW w:w="6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420" w:type="dxa"/>
            <w:vAlign w:val="bottom"/>
          </w:tcPr>
          <w:p>
            <w:pPr>
              <w:ind w:left="20"/>
              <w:spacing w:after="0"/>
              <w:rPr>
                <w:sz w:val="20"/>
                <w:szCs w:val="20"/>
                <w:color w:val="auto"/>
              </w:rPr>
            </w:pPr>
            <w:r>
              <w:rPr>
                <w:rFonts w:ascii="Arial" w:cs="Arial" w:eastAsia="Arial" w:hAnsi="Arial"/>
                <w:sz w:val="14"/>
                <w:szCs w:val="14"/>
                <w:color w:val="auto"/>
              </w:rPr>
              <w:t>Annual board retainer</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$110,000</w:t>
            </w:r>
          </w:p>
        </w:tc>
        <w:tc>
          <w:tcPr>
            <w:tcW w:w="3780" w:type="dxa"/>
            <w:vAlign w:val="bottom"/>
          </w:tcPr>
          <w:p>
            <w:pPr>
              <w:ind w:left="200"/>
              <w:spacing w:after="0"/>
              <w:rPr>
                <w:sz w:val="20"/>
                <w:szCs w:val="20"/>
                <w:color w:val="auto"/>
              </w:rPr>
            </w:pPr>
            <w:r>
              <w:rPr>
                <w:rFonts w:ascii="Arial" w:cs="Arial" w:eastAsia="Arial" w:hAnsi="Arial"/>
                <w:sz w:val="14"/>
                <w:szCs w:val="14"/>
                <w:color w:val="auto"/>
              </w:rPr>
              <w:t>Lead independent director</w:t>
            </w:r>
          </w:p>
        </w:tc>
        <w:tc>
          <w:tcPr>
            <w:tcW w:w="660" w:type="dxa"/>
            <w:vAlign w:val="bottom"/>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327"/>
        </w:trPr>
        <w:tc>
          <w:tcPr>
            <w:tcW w:w="3420" w:type="dxa"/>
            <w:vAlign w:val="bottom"/>
          </w:tcPr>
          <w:p>
            <w:pPr>
              <w:ind w:left="20"/>
              <w:spacing w:after="0"/>
              <w:rPr>
                <w:sz w:val="20"/>
                <w:szCs w:val="20"/>
                <w:color w:val="auto"/>
              </w:rPr>
            </w:pPr>
            <w:r>
              <w:rPr>
                <w:rFonts w:ascii="Arial" w:cs="Arial" w:eastAsia="Arial" w:hAnsi="Arial"/>
                <w:sz w:val="14"/>
                <w:szCs w:val="14"/>
                <w:color w:val="auto"/>
              </w:rPr>
              <w:t>Audit Committee and Science and Technology</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$6,000</w:t>
            </w:r>
          </w:p>
        </w:tc>
        <w:tc>
          <w:tcPr>
            <w:tcW w:w="3780" w:type="dxa"/>
            <w:vAlign w:val="bottom"/>
          </w:tcPr>
          <w:p>
            <w:pPr>
              <w:ind w:left="200"/>
              <w:spacing w:after="0"/>
              <w:rPr>
                <w:sz w:val="20"/>
                <w:szCs w:val="20"/>
                <w:color w:val="auto"/>
              </w:rPr>
            </w:pPr>
            <w:r>
              <w:rPr>
                <w:rFonts w:ascii="Arial" w:cs="Arial" w:eastAsia="Arial" w:hAnsi="Arial"/>
                <w:sz w:val="14"/>
                <w:szCs w:val="14"/>
                <w:color w:val="auto"/>
              </w:rPr>
              <w:t>Audit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172"/>
        </w:trPr>
        <w:tc>
          <w:tcPr>
            <w:tcW w:w="3420" w:type="dxa"/>
            <w:vAlign w:val="bottom"/>
          </w:tcPr>
          <w:p>
            <w:pPr>
              <w:ind w:left="20"/>
              <w:spacing w:after="0"/>
              <w:rPr>
                <w:sz w:val="20"/>
                <w:szCs w:val="20"/>
                <w:color w:val="auto"/>
              </w:rPr>
            </w:pPr>
            <w:r>
              <w:rPr>
                <w:rFonts w:ascii="Arial" w:cs="Arial" w:eastAsia="Arial" w:hAnsi="Arial"/>
                <w:sz w:val="14"/>
                <w:szCs w:val="14"/>
                <w:color w:val="auto"/>
              </w:rPr>
              <w:t>Committee members (including the chairs)</w:t>
            </w:r>
          </w:p>
        </w:tc>
        <w:tc>
          <w:tcPr>
            <w:tcW w:w="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3420" w:type="dxa"/>
            <w:vAlign w:val="bottom"/>
          </w:tcPr>
          <w:p>
            <w:pPr>
              <w:ind w:left="20"/>
              <w:spacing w:after="0"/>
              <w:rPr>
                <w:sz w:val="20"/>
                <w:szCs w:val="20"/>
                <w:color w:val="auto"/>
              </w:rPr>
            </w:pPr>
            <w:r>
              <w:rPr>
                <w:rFonts w:ascii="Arial" w:cs="Arial" w:eastAsia="Arial" w:hAnsi="Arial"/>
                <w:sz w:val="14"/>
                <w:szCs w:val="14"/>
                <w:color w:val="auto"/>
              </w:rPr>
              <w:t>Compensation Committee, Directors and Corporate</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$3,000</w:t>
            </w:r>
          </w:p>
        </w:tc>
        <w:tc>
          <w:tcPr>
            <w:tcW w:w="3780" w:type="dxa"/>
            <w:vAlign w:val="bottom"/>
          </w:tcPr>
          <w:p>
            <w:pPr>
              <w:ind w:left="200"/>
              <w:spacing w:after="0"/>
              <w:rPr>
                <w:sz w:val="20"/>
                <w:szCs w:val="20"/>
                <w:color w:val="auto"/>
              </w:rPr>
            </w:pPr>
            <w:r>
              <w:rPr>
                <w:rFonts w:ascii="Arial" w:cs="Arial" w:eastAsia="Arial" w:hAnsi="Arial"/>
                <w:sz w:val="14"/>
                <w:szCs w:val="14"/>
                <w:color w:val="auto"/>
              </w:rPr>
              <w:t>Science and Technology Committee chair</w:t>
            </w:r>
          </w:p>
        </w:tc>
        <w:tc>
          <w:tcPr>
            <w:tcW w:w="6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Governance Committee, and Ethics and</w:t>
            </w:r>
          </w:p>
        </w:tc>
        <w:tc>
          <w:tcPr>
            <w:tcW w:w="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Compliance Committee members (including the</w:t>
            </w:r>
          </w:p>
        </w:tc>
        <w:tc>
          <w:tcPr>
            <w:tcW w:w="900" w:type="dxa"/>
            <w:vAlign w:val="bottom"/>
          </w:tcPr>
          <w:p>
            <w:pPr>
              <w:spacing w:after="0"/>
              <w:rPr>
                <w:sz w:val="14"/>
                <w:szCs w:val="14"/>
                <w:color w:val="auto"/>
              </w:rPr>
            </w:pPr>
          </w:p>
        </w:tc>
        <w:tc>
          <w:tcPr>
            <w:tcW w:w="3780" w:type="dxa"/>
            <w:vAlign w:val="bottom"/>
            <w:vMerge w:val="restart"/>
          </w:tcPr>
          <w:p>
            <w:pPr>
              <w:ind w:left="200"/>
              <w:spacing w:after="0"/>
              <w:rPr>
                <w:sz w:val="20"/>
                <w:szCs w:val="20"/>
                <w:color w:val="auto"/>
              </w:rPr>
            </w:pPr>
            <w:r>
              <w:rPr>
                <w:rFonts w:ascii="Arial" w:cs="Arial" w:eastAsia="Arial" w:hAnsi="Arial"/>
                <w:sz w:val="14"/>
                <w:szCs w:val="14"/>
                <w:color w:val="auto"/>
              </w:rPr>
              <w:t>All other committee chairs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91"/>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chairs)</w:t>
            </w:r>
          </w:p>
        </w:tc>
        <w:tc>
          <w:tcPr>
            <w:tcW w:w="90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Directors are reimbursed for customary and usual travel expenses in connection with their travel to and from board meetings and other company events. Non-employee directors may also receive additional cash compensation for serving on ad hoc committees that may be formed by the board from time to time.</w:t>
      </w:r>
    </w:p>
    <w:p>
      <w:pPr>
        <w:spacing w:after="0" w:line="9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Effective January 1, 2022, leadership retainers for committee chairs were increased to $22,000 for the Audit Committee chair, $18,000 for the Science and Technology Committee chair, and $17,000 for all other committee chairs. No increase was made to the lead independent director retainer.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Compensation</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significant portion of non-employee director compensation is linked to the long-term performance of Lilly stock. In 2021, non-employee directors received an annual equity-based award valued at $175,000. The award was credited to each non-employee director’s deferred stock account established under the Lilly Directors’ Deferral Plan as a number of units calculated by dividing $175,000 by the closing stock price on a pre-set annual date (approximately 677 units). The units track the economic value of shares of company stock with stock dividends being deemed "reinvested" in additional units based on the market price of the stock on the date dividends are paid. The units become converted into and issuable to the non-employee directors as shares of company stock commencing on the second January following a director's departure from board service (either in lump sum or installments as described below). When applicable, the annual equity-based award is prorated for time served.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2022, non-employee directors will receive an annual equity-based award valued at $180,000.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Ownership Guidelines</w:t>
      </w:r>
    </w:p>
    <w:p>
      <w:pPr>
        <w:spacing w:after="0" w:line="7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Directors are required to hold meaningful equity ownership positions in the company. 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this ownership level. All non-employee directors serving at least five years have satisfied these guidelines. All other non-employee directors are, or in the case of recently elected directors, are expected to begin making progress toward these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Compensation Cap for Directors</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2018, the board approved an annual cap to the total annual compensation (cash and equity 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Directors’ Deferral Plan</w:t>
      </w:r>
    </w:p>
    <w:p>
      <w:pPr>
        <w:spacing w:after="0" w:line="83"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In addition to the annual equity-based grants credited to each non-employee director’s deferred stock account as described above, the Lilly Directors' Deferral Plan allows non-employee directors to defer receipt of all or part of their cash</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843" w:right="379" w:bottom="1440" w:gutter="0" w:footer="0" w:header="0"/>
        </w:sectPr>
      </w:pPr>
    </w:p>
    <w:bookmarkStart w:id="25" w:name="page26"/>
    <w:bookmarkEnd w:id="25"/>
    <w:p>
      <w:pPr>
        <w:ind w:right="200"/>
        <w:spacing w:after="0" w:line="260" w:lineRule="auto"/>
        <w:rPr>
          <w:sz w:val="20"/>
          <w:szCs w:val="20"/>
          <w:color w:val="auto"/>
        </w:rPr>
      </w:pPr>
      <w:r>
        <w:rPr>
          <w:rFonts w:ascii="Arial" w:cs="Arial" w:eastAsia="Arial" w:hAnsi="Arial"/>
          <w:sz w:val="16"/>
          <w:szCs w:val="16"/>
          <w:color w:val="auto"/>
        </w:rPr>
        <w:t>compensation until after their service on the board has ended. Each director can choose to invest any amounts deferred in one or both of the following two accounts:</w:t>
      </w:r>
    </w:p>
    <w:p>
      <w:pPr>
        <w:spacing w:after="0" w:line="67"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color w:val="EE2724"/>
        </w:rPr>
        <w:t xml:space="preserve">Deferred Stock Account. </w:t>
      </w:r>
      <w:r>
        <w:rPr>
          <w:rFonts w:ascii="Arial" w:cs="Arial" w:eastAsia="Arial" w:hAnsi="Arial"/>
          <w:sz w:val="16"/>
          <w:szCs w:val="16"/>
          <w:color w:val="000000"/>
        </w:rPr>
        <w:t>This account allows the non-employee director, in effect, to invest his or her deferred cash compensation in company stock.</w:t>
      </w:r>
      <w:r>
        <w:rPr>
          <w:rFonts w:ascii="Arial" w:cs="Arial" w:eastAsia="Arial" w:hAnsi="Arial"/>
          <w:sz w:val="16"/>
          <w:szCs w:val="16"/>
          <w:b w:val="1"/>
          <w:bCs w:val="1"/>
          <w:color w:val="EE2724"/>
        </w:rPr>
        <w:t xml:space="preserve"> </w:t>
      </w:r>
      <w:r>
        <w:rPr>
          <w:rFonts w:ascii="Arial" w:cs="Arial" w:eastAsia="Arial" w:hAnsi="Arial"/>
          <w:sz w:val="16"/>
          <w:szCs w:val="16"/>
          <w:color w:val="000000"/>
        </w:rPr>
        <w:t>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converted into and issuable to the non-employee director as shares of company stock commencing on the second January following the director's departure from board service (either in a lump sum or installments as described below). The deferral stock account is the same account where the annual equity-based awards are credited with the same conversion timing and procedure applicable to the annual equity-based awards.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EE2724"/>
        </w:rPr>
        <w:t xml:space="preserve">Deferred Compensation Account. </w:t>
      </w:r>
      <w:r>
        <w:rPr>
          <w:rFonts w:ascii="Arial" w:cs="Arial" w:eastAsia="Arial" w:hAnsi="Arial"/>
          <w:sz w:val="16"/>
          <w:szCs w:val="16"/>
          <w:color w:val="000000"/>
        </w:rPr>
        <w:t>Deferred cash compensation in this account earns interest each year at a rate of 120 percent of the applicable federal</w:t>
      </w:r>
      <w:r>
        <w:rPr>
          <w:rFonts w:ascii="Arial" w:cs="Arial" w:eastAsia="Arial" w:hAnsi="Arial"/>
          <w:sz w:val="16"/>
          <w:szCs w:val="16"/>
          <w:b w:val="1"/>
          <w:bCs w:val="1"/>
          <w:color w:val="EE2724"/>
        </w:rPr>
        <w:t xml:space="preserve"> </w:t>
      </w:r>
      <w:r>
        <w:rPr>
          <w:rFonts w:ascii="Arial" w:cs="Arial" w:eastAsia="Arial" w:hAnsi="Arial"/>
          <w:sz w:val="16"/>
          <w:szCs w:val="16"/>
          <w:color w:val="000000"/>
        </w:rPr>
        <w:t>long-term rate, compounded monthly, as established the preceding December by the U.S. Treasury Department under Section 1274(d) of the Internal Revenue Code of 1986 (the Internal Revenue Code). The aggregate amount of interest that accrued in 2021 for the participating directors was $68,808, at a rate of 1.6 percent. The rate for 2022 is 2.3 percent.</w:t>
      </w:r>
    </w:p>
    <w:p>
      <w:pPr>
        <w:spacing w:after="0" w:line="9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Compensation for Non-Employee Directors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160" w:type="dxa"/>
            <w:vAlign w:val="bottom"/>
            <w:shd w:val="clear" w:color="auto" w:fill="DBDBDB"/>
          </w:tcPr>
          <w:p>
            <w:pPr>
              <w:spacing w:after="0"/>
              <w:rPr>
                <w:sz w:val="24"/>
                <w:szCs w:val="24"/>
                <w:color w:val="auto"/>
              </w:rPr>
            </w:pPr>
          </w:p>
        </w:tc>
        <w:tc>
          <w:tcPr>
            <w:tcW w:w="2000" w:type="dxa"/>
            <w:vAlign w:val="bottom"/>
            <w:shd w:val="clear" w:color="auto" w:fill="DBDBDB"/>
          </w:tcPr>
          <w:p>
            <w:pPr>
              <w:spacing w:after="0"/>
              <w:rPr>
                <w:sz w:val="24"/>
                <w:szCs w:val="24"/>
                <w:color w:val="auto"/>
              </w:rPr>
            </w:pPr>
          </w:p>
        </w:tc>
        <w:tc>
          <w:tcPr>
            <w:tcW w:w="1600" w:type="dxa"/>
            <w:vAlign w:val="bottom"/>
            <w:shd w:val="clear" w:color="auto" w:fill="DBDBDB"/>
          </w:tcPr>
          <w:p>
            <w:pPr>
              <w:spacing w:after="0"/>
              <w:rPr>
                <w:sz w:val="24"/>
                <w:szCs w:val="24"/>
                <w:color w:val="auto"/>
              </w:rPr>
            </w:pPr>
          </w:p>
        </w:tc>
        <w:tc>
          <w:tcPr>
            <w:tcW w:w="1840" w:type="dxa"/>
            <w:vAlign w:val="bottom"/>
            <w:shd w:val="clear" w:color="auto" w:fill="DBDBDB"/>
          </w:tcPr>
          <w:p>
            <w:pPr>
              <w:jc w:val="right"/>
              <w:ind w:right="632"/>
              <w:spacing w:after="0"/>
              <w:rPr>
                <w:sz w:val="20"/>
                <w:szCs w:val="20"/>
                <w:color w:val="auto"/>
              </w:rPr>
            </w:pPr>
            <w:r>
              <w:rPr>
                <w:rFonts w:ascii="Arial" w:cs="Arial" w:eastAsia="Arial" w:hAnsi="Arial"/>
                <w:sz w:val="14"/>
                <w:szCs w:val="14"/>
                <w:b w:val="1"/>
                <w:bCs w:val="1"/>
                <w:color w:val="1CA8E1"/>
              </w:rPr>
              <w:t>All Other</w:t>
            </w:r>
          </w:p>
        </w:tc>
        <w:tc>
          <w:tcPr>
            <w:tcW w:w="13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DBDBDB"/>
          </w:tcPr>
          <w:p>
            <w:pPr>
              <w:spacing w:after="0"/>
              <w:rPr>
                <w:sz w:val="14"/>
                <w:szCs w:val="14"/>
                <w:color w:val="auto"/>
              </w:rPr>
            </w:pPr>
          </w:p>
        </w:tc>
        <w:tc>
          <w:tcPr>
            <w:tcW w:w="2000" w:type="dxa"/>
            <w:vAlign w:val="bottom"/>
            <w:vMerge w:val="restart"/>
            <w:shd w:val="clear" w:color="auto" w:fill="DBDBDB"/>
          </w:tcPr>
          <w:p>
            <w:pPr>
              <w:jc w:val="right"/>
              <w:ind w:right="292"/>
              <w:spacing w:after="0"/>
              <w:rPr>
                <w:sz w:val="20"/>
                <w:szCs w:val="20"/>
                <w:color w:val="auto"/>
              </w:rPr>
            </w:pPr>
            <w:r>
              <w:rPr>
                <w:rFonts w:ascii="Arial" w:cs="Arial" w:eastAsia="Arial" w:hAnsi="Arial"/>
                <w:sz w:val="14"/>
                <w:szCs w:val="14"/>
                <w:b w:val="1"/>
                <w:bCs w:val="1"/>
                <w:color w:val="1CA8E1"/>
              </w:rPr>
              <w:t>Fees Earned</w:t>
            </w:r>
          </w:p>
        </w:tc>
        <w:tc>
          <w:tcPr>
            <w:tcW w:w="1600" w:type="dxa"/>
            <w:vAlign w:val="bottom"/>
            <w:shd w:val="clear" w:color="auto" w:fill="DBDBDB"/>
          </w:tcPr>
          <w:p>
            <w:pPr>
              <w:spacing w:after="0"/>
              <w:rPr>
                <w:sz w:val="14"/>
                <w:szCs w:val="14"/>
                <w:color w:val="auto"/>
              </w:rPr>
            </w:pPr>
          </w:p>
        </w:tc>
        <w:tc>
          <w:tcPr>
            <w:tcW w:w="1840" w:type="dxa"/>
            <w:vAlign w:val="bottom"/>
            <w:shd w:val="clear" w:color="auto" w:fill="DBDBDB"/>
          </w:tcPr>
          <w:p>
            <w:pPr>
              <w:jc w:val="right"/>
              <w:ind w:right="432"/>
              <w:spacing w:after="0"/>
              <w:rPr>
                <w:sz w:val="20"/>
                <w:szCs w:val="20"/>
                <w:color w:val="auto"/>
              </w:rPr>
            </w:pPr>
            <w:r>
              <w:rPr>
                <w:rFonts w:ascii="Arial" w:cs="Arial" w:eastAsia="Arial" w:hAnsi="Arial"/>
                <w:sz w:val="14"/>
                <w:szCs w:val="14"/>
                <w:b w:val="1"/>
                <w:bCs w:val="1"/>
                <w:color w:val="1CA8E1"/>
              </w:rPr>
              <w:t>Compensation</w:t>
            </w:r>
          </w:p>
        </w:tc>
        <w:tc>
          <w:tcPr>
            <w:tcW w:w="13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60" w:type="dxa"/>
            <w:vAlign w:val="bottom"/>
            <w:shd w:val="clear" w:color="auto" w:fill="DBDBDB"/>
          </w:tcPr>
          <w:p>
            <w:pPr>
              <w:spacing w:after="0"/>
              <w:rPr>
                <w:sz w:val="4"/>
                <w:szCs w:val="4"/>
                <w:color w:val="auto"/>
              </w:rPr>
            </w:pPr>
          </w:p>
        </w:tc>
        <w:tc>
          <w:tcPr>
            <w:tcW w:w="2000" w:type="dxa"/>
            <w:vAlign w:val="bottom"/>
            <w:vMerge w:val="continue"/>
            <w:shd w:val="clear" w:color="auto" w:fill="DBDBDB"/>
          </w:tcPr>
          <w:p>
            <w:pPr>
              <w:spacing w:after="0"/>
              <w:rPr>
                <w:sz w:val="4"/>
                <w:szCs w:val="4"/>
                <w:color w:val="auto"/>
              </w:rPr>
            </w:pPr>
          </w:p>
        </w:tc>
        <w:tc>
          <w:tcPr>
            <w:tcW w:w="1600" w:type="dxa"/>
            <w:vAlign w:val="bottom"/>
            <w:vMerge w:val="restart"/>
            <w:shd w:val="clear" w:color="auto" w:fill="DBDBDB"/>
          </w:tcPr>
          <w:p>
            <w:pPr>
              <w:jc w:val="right"/>
              <w:ind w:right="152"/>
              <w:spacing w:after="0" w:line="202" w:lineRule="exact"/>
              <w:rPr>
                <w:sz w:val="20"/>
                <w:szCs w:val="20"/>
                <w:color w:val="auto"/>
              </w:rPr>
            </w:pPr>
            <w:r>
              <w:rPr>
                <w:rFonts w:ascii="Arial" w:cs="Arial" w:eastAsia="Arial" w:hAnsi="Arial"/>
                <w:sz w:val="14"/>
                <w:szCs w:val="14"/>
                <w:b w:val="1"/>
                <w:bCs w:val="1"/>
                <w:color w:val="1CA8E1"/>
              </w:rPr>
              <w:t>Stock Awards ($)</w:t>
            </w:r>
            <w:r>
              <w:rPr>
                <w:rFonts w:ascii="Arial" w:cs="Arial" w:eastAsia="Arial" w:hAnsi="Arial"/>
                <w:sz w:val="18"/>
                <w:szCs w:val="18"/>
                <w:b w:val="1"/>
                <w:bCs w:val="1"/>
                <w:color w:val="1CA8E1"/>
                <w:vertAlign w:val="superscript"/>
              </w:rPr>
              <w:t>1</w:t>
            </w:r>
          </w:p>
        </w:tc>
        <w:tc>
          <w:tcPr>
            <w:tcW w:w="1840" w:type="dxa"/>
            <w:vAlign w:val="bottom"/>
            <w:vMerge w:val="restart"/>
            <w:shd w:val="clear" w:color="auto" w:fill="DBDBDB"/>
          </w:tcPr>
          <w:p>
            <w:pPr>
              <w:jc w:val="right"/>
              <w:ind w:right="292"/>
              <w:spacing w:after="0" w:line="202" w:lineRule="exact"/>
              <w:rPr>
                <w:sz w:val="20"/>
                <w:szCs w:val="20"/>
                <w:color w:val="auto"/>
              </w:rPr>
            </w:pPr>
            <w:r>
              <w:rPr>
                <w:rFonts w:ascii="Arial" w:cs="Arial" w:eastAsia="Arial" w:hAnsi="Arial"/>
                <w:sz w:val="14"/>
                <w:szCs w:val="14"/>
                <w:b w:val="1"/>
                <w:bCs w:val="1"/>
                <w:color w:val="1CA8E1"/>
              </w:rPr>
              <w:t>and Payments ($)</w:t>
            </w:r>
            <w:r>
              <w:rPr>
                <w:rFonts w:ascii="Arial" w:cs="Arial" w:eastAsia="Arial" w:hAnsi="Arial"/>
                <w:sz w:val="18"/>
                <w:szCs w:val="18"/>
                <w:b w:val="1"/>
                <w:bCs w:val="1"/>
                <w:color w:val="1CA8E1"/>
                <w:vertAlign w:val="superscript"/>
              </w:rPr>
              <w:t>2</w:t>
            </w:r>
          </w:p>
        </w:tc>
        <w:tc>
          <w:tcPr>
            <w:tcW w:w="1340" w:type="dxa"/>
            <w:vAlign w:val="bottom"/>
            <w:vMerge w:val="restart"/>
            <w:shd w:val="clear" w:color="auto" w:fill="DBDBDB"/>
          </w:tcPr>
          <w:p>
            <w:pPr>
              <w:jc w:val="right"/>
              <w:ind w:right="332"/>
              <w:spacing w:after="0" w:line="202" w:lineRule="exact"/>
              <w:rPr>
                <w:sz w:val="20"/>
                <w:szCs w:val="20"/>
                <w:color w:val="auto"/>
              </w:rPr>
            </w:pPr>
            <w:r>
              <w:rPr>
                <w:rFonts w:ascii="Arial" w:cs="Arial" w:eastAsia="Arial" w:hAnsi="Arial"/>
                <w:sz w:val="14"/>
                <w:szCs w:val="14"/>
                <w:b w:val="1"/>
                <w:bCs w:val="1"/>
                <w:color w:val="1CA8E1"/>
              </w:rPr>
              <w:t>Total ($)</w:t>
            </w:r>
            <w:r>
              <w:rPr>
                <w:rFonts w:ascii="Arial" w:cs="Arial" w:eastAsia="Arial" w:hAnsi="Arial"/>
                <w:sz w:val="18"/>
                <w:szCs w:val="18"/>
                <w:b w:val="1"/>
                <w:bCs w:val="1"/>
                <w:color w:val="1CA8E1"/>
                <w:vertAlign w:val="superscript"/>
              </w:rPr>
              <w:t>3</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20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4"/>
                <w:szCs w:val="14"/>
                <w:b w:val="1"/>
                <w:bCs w:val="1"/>
                <w:color w:val="1CA8E1"/>
              </w:rPr>
              <w:t>or Paid in Cash ($)</w:t>
            </w:r>
          </w:p>
        </w:tc>
        <w:tc>
          <w:tcPr>
            <w:tcW w:w="1600" w:type="dxa"/>
            <w:vAlign w:val="bottom"/>
            <w:tcBorders>
              <w:bottom w:val="single" w:sz="8" w:color="DBDBDB"/>
            </w:tcBorders>
            <w:vMerge w:val="continue"/>
            <w:shd w:val="clear" w:color="auto" w:fill="DBDBDB"/>
          </w:tcPr>
          <w:p>
            <w:pPr>
              <w:spacing w:after="0"/>
              <w:rPr>
                <w:sz w:val="15"/>
                <w:szCs w:val="15"/>
                <w:color w:val="auto"/>
              </w:rPr>
            </w:pPr>
          </w:p>
        </w:tc>
        <w:tc>
          <w:tcPr>
            <w:tcW w:w="1840" w:type="dxa"/>
            <w:vAlign w:val="bottom"/>
            <w:tcBorders>
              <w:bottom w:val="single" w:sz="8" w:color="DBDBDB"/>
            </w:tcBorders>
            <w:vMerge w:val="continue"/>
            <w:shd w:val="clear" w:color="auto" w:fill="DBDBDB"/>
          </w:tcPr>
          <w:p>
            <w:pPr>
              <w:spacing w:after="0"/>
              <w:rPr>
                <w:sz w:val="15"/>
                <w:szCs w:val="15"/>
                <w:color w:val="auto"/>
              </w:rPr>
            </w:pPr>
          </w:p>
        </w:tc>
        <w:tc>
          <w:tcPr>
            <w:tcW w:w="1340" w:type="dxa"/>
            <w:vAlign w:val="bottom"/>
            <w:tcBorders>
              <w:bottom w:val="single" w:sz="8" w:color="DBDBDB"/>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3"/>
                <w:szCs w:val="13"/>
                <w:color w:val="auto"/>
              </w:rPr>
              <w:t>Mr. Alvarez</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$131,000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$306,000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Dr. Baicker</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$131,000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$306,000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Mr. Eskew</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$131,000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$10,000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$316,000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Mr. Fyrwald</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$119,000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$52,708</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$346,708</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Mr. Jackson</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$137,000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$312,000</w:t>
            </w:r>
          </w:p>
        </w:tc>
        <w:tc>
          <w:tcPr>
            <w:tcW w:w="0" w:type="dxa"/>
            <w:vAlign w:val="bottom"/>
          </w:tcPr>
          <w:p>
            <w:pPr>
              <w:spacing w:after="0"/>
              <w:rPr>
                <w:sz w:val="1"/>
                <w:szCs w:val="1"/>
                <w:color w:val="auto"/>
              </w:rPr>
            </w:pPr>
          </w:p>
        </w:tc>
      </w:tr>
      <w:tr>
        <w:trPr>
          <w:trHeight w:val="256"/>
        </w:trPr>
        <w:tc>
          <w:tcPr>
            <w:tcW w:w="2160" w:type="dxa"/>
            <w:vAlign w:val="bottom"/>
          </w:tcPr>
          <w:p>
            <w:pPr>
              <w:ind w:left="20"/>
              <w:spacing w:after="0"/>
              <w:rPr>
                <w:sz w:val="20"/>
                <w:szCs w:val="20"/>
                <w:color w:val="auto"/>
              </w:rPr>
            </w:pPr>
            <w:r>
              <w:rPr>
                <w:rFonts w:ascii="Arial" w:cs="Arial" w:eastAsia="Arial" w:hAnsi="Arial"/>
                <w:sz w:val="13"/>
                <w:szCs w:val="13"/>
                <w:color w:val="auto"/>
              </w:rPr>
              <w:t>Ms. Johnson</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$101,155</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$160,417</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$261,572</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Dr. Kaelin</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$134,000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$7,000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$316,000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Mr. Luciano</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$151,000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$326,000</w:t>
            </w:r>
          </w:p>
        </w:tc>
        <w:tc>
          <w:tcPr>
            <w:tcW w:w="0" w:type="dxa"/>
            <w:vAlign w:val="bottom"/>
          </w:tcPr>
          <w:p>
            <w:pPr>
              <w:spacing w:after="0"/>
              <w:rPr>
                <w:sz w:val="1"/>
                <w:szCs w:val="1"/>
                <w:color w:val="auto"/>
              </w:rPr>
            </w:pPr>
          </w:p>
        </w:tc>
      </w:tr>
      <w:tr>
        <w:trPr>
          <w:trHeight w:val="256"/>
        </w:trPr>
        <w:tc>
          <w:tcPr>
            <w:tcW w:w="2160" w:type="dxa"/>
            <w:vAlign w:val="bottom"/>
          </w:tcPr>
          <w:p>
            <w:pPr>
              <w:ind w:left="20"/>
              <w:spacing w:after="0"/>
              <w:rPr>
                <w:sz w:val="20"/>
                <w:szCs w:val="20"/>
                <w:color w:val="auto"/>
              </w:rPr>
            </w:pPr>
            <w:r>
              <w:rPr>
                <w:rFonts w:ascii="Arial" w:cs="Arial" w:eastAsia="Arial" w:hAnsi="Arial"/>
                <w:sz w:val="13"/>
                <w:szCs w:val="13"/>
                <w:color w:val="auto"/>
              </w:rPr>
              <w:t>Dr. Runge</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$119,000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$294,000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Ms. Sulzberger</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$111,323</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$286,323</w:t>
            </w:r>
          </w:p>
        </w:tc>
        <w:tc>
          <w:tcPr>
            <w:tcW w:w="0" w:type="dxa"/>
            <w:vAlign w:val="bottom"/>
          </w:tcPr>
          <w:p>
            <w:pPr>
              <w:spacing w:after="0"/>
              <w:rPr>
                <w:sz w:val="1"/>
                <w:szCs w:val="1"/>
                <w:color w:val="auto"/>
              </w:rPr>
            </w:pPr>
          </w:p>
        </w:tc>
      </w:tr>
      <w:tr>
        <w:trPr>
          <w:trHeight w:val="256"/>
        </w:trPr>
        <w:tc>
          <w:tcPr>
            <w:tcW w:w="2160" w:type="dxa"/>
            <w:vAlign w:val="bottom"/>
          </w:tcPr>
          <w:p>
            <w:pPr>
              <w:ind w:left="20"/>
              <w:spacing w:after="0"/>
              <w:rPr>
                <w:sz w:val="20"/>
                <w:szCs w:val="20"/>
                <w:color w:val="auto"/>
              </w:rPr>
            </w:pPr>
            <w:r>
              <w:rPr>
                <w:rFonts w:ascii="Arial" w:cs="Arial" w:eastAsia="Arial" w:hAnsi="Arial"/>
                <w:sz w:val="13"/>
                <w:szCs w:val="13"/>
                <w:color w:val="auto"/>
              </w:rPr>
              <w:t>Mr. Tai</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$119,000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$60,000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$354,000</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Ms. Walker</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$119,000</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$175,000</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$40,000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$334,000</w:t>
            </w:r>
          </w:p>
        </w:tc>
        <w:tc>
          <w:tcPr>
            <w:tcW w:w="0" w:type="dxa"/>
            <w:vAlign w:val="bottom"/>
          </w:tcPr>
          <w:p>
            <w:pPr>
              <w:spacing w:after="0"/>
              <w:rPr>
                <w:sz w:val="1"/>
                <w:szCs w:val="1"/>
                <w:color w:val="auto"/>
              </w:rPr>
            </w:pPr>
          </w:p>
        </w:tc>
      </w:tr>
      <w:tr>
        <w:trPr>
          <w:trHeight w:val="351"/>
        </w:trPr>
        <w:tc>
          <w:tcPr>
            <w:tcW w:w="2160" w:type="dxa"/>
            <w:vAlign w:val="bottom"/>
          </w:tcPr>
          <w:p>
            <w:pPr>
              <w:ind w:left="20"/>
              <w:spacing w:after="0"/>
              <w:rPr>
                <w:sz w:val="20"/>
                <w:szCs w:val="20"/>
                <w:color w:val="auto"/>
              </w:rPr>
            </w:pPr>
            <w:r>
              <w:rPr>
                <w:rFonts w:ascii="Arial" w:cs="Arial" w:eastAsia="Arial" w:hAnsi="Arial"/>
                <w:sz w:val="13"/>
                <w:szCs w:val="13"/>
                <w:i w:val="1"/>
                <w:iCs w:val="1"/>
                <w:color w:val="auto"/>
              </w:rPr>
              <w:t>Former Directors:</w:t>
            </w: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Arial" w:cs="Arial" w:eastAsia="Arial" w:hAnsi="Arial"/>
                <w:sz w:val="13"/>
                <w:szCs w:val="13"/>
                <w:color w:val="auto"/>
              </w:rPr>
              <w:t>Carolyn R. Bertozzi, Ph.D.</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$79,333</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$116,667</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$196,000</w:t>
            </w:r>
          </w:p>
        </w:tc>
        <w:tc>
          <w:tcPr>
            <w:tcW w:w="0" w:type="dxa"/>
            <w:vAlign w:val="bottom"/>
          </w:tcPr>
          <w:p>
            <w:pPr>
              <w:spacing w:after="0"/>
              <w:rPr>
                <w:sz w:val="1"/>
                <w:szCs w:val="1"/>
                <w:color w:val="auto"/>
              </w:rPr>
            </w:pPr>
          </w:p>
        </w:tc>
      </w:tr>
      <w:tr>
        <w:trPr>
          <w:trHeight w:val="268"/>
        </w:trPr>
        <w:tc>
          <w:tcPr>
            <w:tcW w:w="2160" w:type="dxa"/>
            <w:vAlign w:val="bottom"/>
          </w:tcPr>
          <w:p>
            <w:pPr>
              <w:ind w:left="20"/>
              <w:spacing w:after="0"/>
              <w:rPr>
                <w:sz w:val="20"/>
                <w:szCs w:val="20"/>
                <w:color w:val="auto"/>
              </w:rPr>
            </w:pPr>
            <w:r>
              <w:rPr>
                <w:rFonts w:ascii="Arial" w:cs="Arial" w:eastAsia="Arial" w:hAnsi="Arial"/>
                <w:sz w:val="13"/>
                <w:szCs w:val="13"/>
                <w:color w:val="auto"/>
              </w:rPr>
              <w:t>Kathi P. Seifert</w:t>
            </w:r>
          </w:p>
        </w:tc>
        <w:tc>
          <w:tcPr>
            <w:tcW w:w="2000" w:type="dxa"/>
            <w:vAlign w:val="bottom"/>
          </w:tcPr>
          <w:p>
            <w:pPr>
              <w:jc w:val="right"/>
              <w:ind w:right="352"/>
              <w:spacing w:after="0"/>
              <w:rPr>
                <w:sz w:val="20"/>
                <w:szCs w:val="20"/>
                <w:color w:val="auto"/>
              </w:rPr>
            </w:pPr>
            <w:r>
              <w:rPr>
                <w:rFonts w:ascii="Arial" w:cs="Arial" w:eastAsia="Arial" w:hAnsi="Arial"/>
                <w:sz w:val="13"/>
                <w:szCs w:val="13"/>
                <w:color w:val="auto"/>
              </w:rPr>
              <w:t>$39,602</w:t>
            </w:r>
          </w:p>
        </w:tc>
        <w:tc>
          <w:tcPr>
            <w:tcW w:w="1600" w:type="dxa"/>
            <w:vAlign w:val="bottom"/>
          </w:tcPr>
          <w:p>
            <w:pPr>
              <w:jc w:val="right"/>
              <w:ind w:right="432"/>
              <w:spacing w:after="0"/>
              <w:rPr>
                <w:sz w:val="20"/>
                <w:szCs w:val="20"/>
                <w:color w:val="auto"/>
              </w:rPr>
            </w:pPr>
            <w:r>
              <w:rPr>
                <w:rFonts w:ascii="Arial" w:cs="Arial" w:eastAsia="Arial" w:hAnsi="Arial"/>
                <w:sz w:val="13"/>
                <w:szCs w:val="13"/>
                <w:color w:val="auto"/>
              </w:rPr>
              <w:t>$72,917</w:t>
            </w:r>
          </w:p>
        </w:tc>
        <w:tc>
          <w:tcPr>
            <w:tcW w:w="1840" w:type="dxa"/>
            <w:vAlign w:val="bottom"/>
          </w:tcPr>
          <w:p>
            <w:pPr>
              <w:jc w:val="right"/>
              <w:ind w:right="392"/>
              <w:spacing w:after="0"/>
              <w:rPr>
                <w:sz w:val="20"/>
                <w:szCs w:val="20"/>
                <w:color w:val="auto"/>
              </w:rPr>
            </w:pPr>
            <w:r>
              <w:rPr>
                <w:rFonts w:ascii="Arial" w:cs="Arial" w:eastAsia="Arial" w:hAnsi="Arial"/>
                <w:sz w:val="13"/>
                <w:szCs w:val="13"/>
                <w:color w:val="auto"/>
              </w:rPr>
              <w:t>$46,500</w:t>
            </w:r>
          </w:p>
        </w:tc>
        <w:tc>
          <w:tcPr>
            <w:tcW w:w="1340" w:type="dxa"/>
            <w:vAlign w:val="bottom"/>
          </w:tcPr>
          <w:p>
            <w:pPr>
              <w:jc w:val="right"/>
              <w:ind w:right="292"/>
              <w:spacing w:after="0"/>
              <w:rPr>
                <w:sz w:val="20"/>
                <w:szCs w:val="20"/>
                <w:color w:val="auto"/>
              </w:rPr>
            </w:pPr>
            <w:r>
              <w:rPr>
                <w:rFonts w:ascii="Arial" w:cs="Arial" w:eastAsia="Arial" w:hAnsi="Arial"/>
                <w:sz w:val="13"/>
                <w:szCs w:val="13"/>
                <w:color w:val="auto"/>
              </w:rPr>
              <w:t>$159,019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firstLine="8"/>
        <w:spacing w:after="0" w:line="246" w:lineRule="auto"/>
        <w:tabs>
          <w:tab w:leader="none" w:pos="86" w:val="left"/>
        </w:tabs>
        <w:numPr>
          <w:ilvl w:val="0"/>
          <w:numId w:val="29"/>
        </w:numPr>
        <w:rPr>
          <w:rFonts w:ascii="Arial" w:cs="Arial" w:eastAsia="Arial" w:hAnsi="Arial"/>
          <w:sz w:val="18"/>
          <w:szCs w:val="18"/>
          <w:color w:val="auto"/>
          <w:vertAlign w:val="superscript"/>
        </w:rPr>
      </w:pPr>
      <w:r>
        <w:rPr>
          <w:rFonts w:ascii="Arial" w:cs="Arial" w:eastAsia="Arial" w:hAnsi="Arial"/>
          <w:sz w:val="13"/>
          <w:szCs w:val="13"/>
          <w:color w:val="auto"/>
        </w:rPr>
        <w:t>Each non-employee director received an equity-based award of units valued at $175,000 (approximately 677 units) except Ms. Johnson, Dr. Bertozzi and Ms. Seifert, each of whom received a pro-rated award for a partial year of service.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2021,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 w:lineRule="exact"/>
        <w:rPr>
          <w:rFonts w:ascii="Arial" w:cs="Arial" w:eastAsia="Arial" w:hAnsi="Arial"/>
          <w:sz w:val="18"/>
          <w:szCs w:val="18"/>
          <w:color w:val="auto"/>
          <w:vertAlign w:val="superscript"/>
        </w:rPr>
      </w:pPr>
    </w:p>
    <w:p>
      <w:pPr>
        <w:ind w:right="20"/>
        <w:spacing w:after="0" w:line="247"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This column consists of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up to a maximum of $30,000 per year for each individual. The Foundation matched these donations via payments made directly to the recipient charity. The amounts for Mr. Fyrwald, Mr. Kaelin, Ms. Seifert, Mr. Tai and Ms. Walker include matching contributions for donations made at the end of 2020 (Mr. Fyrwald - $27,926; Mr. Kaelin - $4,000; Ms. Seifert - $9,000; Mr. Tai - $30,000; Ms. Walker - $20,000) for which the matching contribution was not paid until 2021. The amount for Ms. Seifert also includes a $10,000 donation by the Foundation to a charity of Ms. Seifert's choosing in honor of her retirement from the board, consistent with the company's traditional practice for retiring directors.</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Non-employee directors do not participate in a company pension plan or non-equity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843"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2022 Director Compensation</w:t>
      </w:r>
    </w:p>
    <w:p>
      <w:pPr>
        <w:spacing w:after="0" w:line="70"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The Directors and Corporate Governance Committee performs regular reviews of non-employee director compensation. In 2021, the Directors and Corporate Governance Committee performed an in depth review of non-employee director compensation, including a general industry peer group analysis and a pharmaceutical company peer group analysis conducted with the assistance of an outside compensation consultant, discussions regarding the effectiveness of the non-employee directors in their various duties, and other considerations, including the desire to have non-employee director compensation positioned near the market median when compared against the general industry peer group. Following this review, and upon the recommendation of the Directors and Corporate Governance Committee, the board approved increases to the non-employee director committee leadership retainers effective January 1, 2022, and the annual non-employee director equity-award beginning in 2022, as further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Director Independence</w:t>
      </w:r>
    </w:p>
    <w:p>
      <w:pPr>
        <w:spacing w:after="0" w:line="78"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 board 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0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company's process for determining director independence is set forth in our Standards for Director Independence, which can be found on our website at </w:t>
      </w:r>
      <w:r>
        <w:rPr>
          <w:rFonts w:ascii="Arial" w:cs="Arial" w:eastAsia="Arial" w:hAnsi="Arial"/>
          <w:sz w:val="16"/>
          <w:szCs w:val="16"/>
          <w:color w:val="EE2724"/>
        </w:rPr>
        <w:t>lilly.com/leadership/governance</w:t>
      </w:r>
      <w:r>
        <w:rPr>
          <w:rFonts w:ascii="Arial" w:cs="Arial" w:eastAsia="Arial" w:hAnsi="Arial"/>
          <w:sz w:val="16"/>
          <w:szCs w:val="16"/>
          <w:color w:val="000000"/>
        </w:rPr>
        <w:t>, along with our corporate governance guidelines.</w:t>
      </w:r>
    </w:p>
    <w:p>
      <w:pPr>
        <w:spacing w:after="0" w:line="7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On the recommendation of the Directors and Corporate Governance Committee, the board determined that each current non-employee director is independent. The board also determined that the members of our Audit and Compensation Committees also meet the heightened independence standards applicable to those committees. Prior to their departures from our board in 2021, the board had reached the same conclusions about Dr. Bertozzi and Ms. Seifert.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10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making its independence determinations, the board considered that some of the current non-employee directors are affiliated with companies or entities to which the company sold products or made payments, or from which the company purchased products or services during the year. Drs. Baicker, Kaelin, and Runge are employed at medical or academic institutions with which the company engages in clinical research, provides research grants, and/or engages in commercial transactions in the ordinary course of business. Mr. Luciano is employed by Archer-Daniels-Midland Company and Mr. Fyrwald is employed by Syngenta Group. The company engages in routine business transactions with these organizations. Aggregate payments to or from each such organization, in each of the last three fiscal years, did not exceed the greater of $1 million or 2 percent of that organization's consolidated gross revenues in a single fiscal year. In reviewing these relationships, the board considers all relevant factors, including:</w:t>
      </w:r>
    </w:p>
    <w:p>
      <w:pPr>
        <w:spacing w:after="0" w:line="100" w:lineRule="exact"/>
        <w:rPr>
          <w:sz w:val="20"/>
          <w:szCs w:val="20"/>
          <w:color w:val="auto"/>
        </w:rPr>
      </w:pPr>
    </w:p>
    <w:p>
      <w:pPr>
        <w:ind w:left="660" w:right="240" w:hanging="328"/>
        <w:spacing w:after="0" w:line="260" w:lineRule="auto"/>
        <w:tabs>
          <w:tab w:leader="none" w:pos="6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any transactions were entered into at arm's length in the normal course of business and, to the extent they are commercial relationships, have standard commercial terms; and</w:t>
      </w:r>
    </w:p>
    <w:p>
      <w:pPr>
        <w:spacing w:after="0" w:line="87" w:lineRule="exact"/>
        <w:rPr>
          <w:rFonts w:ascii="Arial" w:cs="Arial" w:eastAsia="Arial" w:hAnsi="Arial"/>
          <w:sz w:val="16"/>
          <w:szCs w:val="16"/>
          <w:color w:val="auto"/>
        </w:rPr>
      </w:pPr>
    </w:p>
    <w:p>
      <w:pPr>
        <w:ind w:left="660" w:right="100" w:hanging="328"/>
        <w:spacing w:after="0" w:line="260" w:lineRule="auto"/>
        <w:tabs>
          <w:tab w:leader="none" w:pos="6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any director had any direct business relationships with the company or received any direct personal benefit from any of these transactions, relationships, or arrangements.</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Committees of the 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duties and membership of our board-appointed committees are described below.</w:t>
      </w:r>
    </w:p>
    <w:p>
      <w:pPr>
        <w:spacing w:after="0" w:line="113"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All committee members are independent as defined in the NYSE listing requirements and Lilly's independence standards. The members of the Audit and Compensation Committees each meet the additional independence requirements applicable to them as members of those committees.</w:t>
      </w:r>
    </w:p>
    <w:p>
      <w:pPr>
        <w:spacing w:after="0" w:line="74"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The Directors and Corporate Governance Committee, together with the lead independent director, identifies and recommends to the board candidates for membership on the board and board committees, and develops and recommends criteria and policies relating to service and tenure of directors. The board has no set policy for rotation of committee members or chairs but annually reviews committee memberships and chair positions, seeking the best blend of continuity and innovative perspectives on the committees.</w:t>
      </w:r>
    </w:p>
    <w:p>
      <w:pPr>
        <w:spacing w:after="0" w:line="103"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chair of each committee determines the frequency and agenda of committee meetings, subject to any minimums specified in the relevant committee charter, and the committees meet alone in executive session on a regular basis.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976" w:right="339" w:bottom="1440" w:gutter="0" w:footer="0" w:header="0"/>
        </w:sectPr>
      </w:pPr>
    </w:p>
    <w:bookmarkStart w:id="27" w:name="page28"/>
    <w:bookmarkEnd w:id="27"/>
    <w:p>
      <w:pPr>
        <w:spacing w:after="0"/>
        <w:rPr>
          <w:sz w:val="20"/>
          <w:szCs w:val="20"/>
          <w:color w:val="auto"/>
        </w:rPr>
      </w:pPr>
      <w:r>
        <w:rPr>
          <w:rFonts w:ascii="Arial" w:cs="Arial" w:eastAsia="Arial" w:hAnsi="Arial"/>
          <w:sz w:val="27"/>
          <w:szCs w:val="27"/>
          <w:b w:val="1"/>
          <w:bCs w:val="1"/>
          <w:color w:val="EF3729"/>
        </w:rPr>
        <w:t>Membership and Meetings of the Board and Its Committees</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In 2021,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2021 annual meeting of shareholders with the exception of Ms. Seifert, who retired following the 2021 annual meeting. Current committee membership and the number of meetings of the board and each committee held in 2021 are shown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3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Directors and</w:t>
            </w:r>
          </w:p>
        </w:tc>
        <w:tc>
          <w:tcPr>
            <w:tcW w:w="12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3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Corporate</w:t>
            </w:r>
          </w:p>
        </w:tc>
        <w:tc>
          <w:tcPr>
            <w:tcW w:w="12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Ethics and</w:t>
            </w:r>
          </w:p>
        </w:tc>
        <w:tc>
          <w:tcPr>
            <w:tcW w:w="12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Science and</w:t>
            </w:r>
          </w:p>
        </w:tc>
        <w:tc>
          <w:tcPr>
            <w:tcW w:w="0" w:type="dxa"/>
            <w:vAlign w:val="bottom"/>
          </w:tcPr>
          <w:p>
            <w:pPr>
              <w:spacing w:after="0"/>
              <w:rPr>
                <w:sz w:val="1"/>
                <w:szCs w:val="1"/>
                <w:color w:val="auto"/>
              </w:rPr>
            </w:pPr>
          </w:p>
        </w:tc>
      </w:tr>
      <w:tr>
        <w:trPr>
          <w:trHeight w:val="202"/>
        </w:trPr>
        <w:tc>
          <w:tcPr>
            <w:tcW w:w="14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w w:val="98"/>
              </w:rPr>
              <w:t>Board</w:t>
            </w:r>
          </w:p>
        </w:tc>
        <w:tc>
          <w:tcPr>
            <w:tcW w:w="9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Audit</w:t>
            </w:r>
          </w:p>
        </w:tc>
        <w:tc>
          <w:tcPr>
            <w:tcW w:w="1460" w:type="dxa"/>
            <w:vAlign w:val="bottom"/>
            <w:shd w:val="clear" w:color="auto" w:fill="DBDBDB"/>
          </w:tcPr>
          <w:p>
            <w:pPr>
              <w:jc w:val="center"/>
              <w:ind w:left="16"/>
              <w:spacing w:after="0"/>
              <w:rPr>
                <w:sz w:val="20"/>
                <w:szCs w:val="20"/>
                <w:color w:val="auto"/>
              </w:rPr>
            </w:pPr>
            <w:r>
              <w:rPr>
                <w:rFonts w:ascii="Arial" w:cs="Arial" w:eastAsia="Arial" w:hAnsi="Arial"/>
                <w:sz w:val="14"/>
                <w:szCs w:val="14"/>
                <w:b w:val="1"/>
                <w:bCs w:val="1"/>
                <w:color w:val="1CA8E1"/>
              </w:rPr>
              <w:t>Compensation</w:t>
            </w:r>
          </w:p>
        </w:tc>
        <w:tc>
          <w:tcPr>
            <w:tcW w:w="13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Governance</w:t>
            </w:r>
          </w:p>
        </w:tc>
        <w:tc>
          <w:tcPr>
            <w:tcW w:w="12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Compliance</w:t>
            </w:r>
          </w:p>
        </w:tc>
        <w:tc>
          <w:tcPr>
            <w:tcW w:w="12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w w:val="99"/>
              </w:rPr>
              <w:t>Technology</w:t>
            </w: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3"/>
                <w:szCs w:val="13"/>
                <w:color w:val="auto"/>
              </w:rPr>
              <w:t>Mr. Alvarez</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60" w:type="dxa"/>
            <w:vAlign w:val="bottom"/>
          </w:tcPr>
          <w:p>
            <w:pPr>
              <w:jc w:val="center"/>
              <w:ind w:left="36"/>
              <w:spacing w:after="0"/>
              <w:rPr>
                <w:sz w:val="20"/>
                <w:szCs w:val="20"/>
                <w:color w:val="auto"/>
              </w:rPr>
            </w:pPr>
            <w:r>
              <w:rPr>
                <w:rFonts w:ascii="Arial" w:cs="Arial" w:eastAsia="Arial" w:hAnsi="Arial"/>
                <w:sz w:val="16"/>
                <w:szCs w:val="16"/>
                <w:b w:val="1"/>
                <w:bCs w:val="1"/>
                <w:color w:val="EE2724"/>
                <w:w w:val="86"/>
              </w:rPr>
              <w:t>C</w:t>
            </w: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Dr. Baicker</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EE2724"/>
              </w:rPr>
              <w:t>C</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Eskew</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EE2724"/>
              </w:rPr>
              <w:t>C</w:t>
            </w: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Fyrwald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jc w:val="center"/>
              <w:ind w:left="36"/>
              <w:spacing w:after="0"/>
              <w:rPr>
                <w:sz w:val="20"/>
                <w:szCs w:val="20"/>
                <w:color w:val="auto"/>
              </w:rPr>
            </w:pPr>
            <w:r>
              <w:rPr>
                <w:rFonts w:ascii="Arial" w:cs="Arial" w:eastAsia="Arial" w:hAnsi="Arial"/>
                <w:sz w:val="18"/>
                <w:szCs w:val="18"/>
                <w:color w:val="auto"/>
                <w:w w:val="99"/>
              </w:rPr>
              <w:t>ü</w:t>
            </w: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Jackson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EE2724"/>
              </w:rPr>
              <w:t>C</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Ms. Johnson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jc w:val="center"/>
              <w:ind w:left="36"/>
              <w:spacing w:after="0"/>
              <w:rPr>
                <w:sz w:val="20"/>
                <w:szCs w:val="20"/>
                <w:color w:val="auto"/>
              </w:rPr>
            </w:pPr>
            <w:r>
              <w:rPr>
                <w:rFonts w:ascii="Arial" w:cs="Arial" w:eastAsia="Arial" w:hAnsi="Arial"/>
                <w:sz w:val="18"/>
                <w:szCs w:val="18"/>
                <w:color w:val="auto"/>
                <w:w w:val="99"/>
              </w:rPr>
              <w:t>ü</w:t>
            </w:r>
          </w:p>
        </w:tc>
        <w:tc>
          <w:tcPr>
            <w:tcW w:w="13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Dr. Kaelin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EE2724"/>
                <w:w w:val="86"/>
              </w:rPr>
              <w:t>C</w:t>
            </w: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Luciano</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EE2724"/>
                <w:w w:val="93"/>
              </w:rPr>
              <w:t>LD</w:t>
            </w:r>
          </w:p>
        </w:tc>
        <w:tc>
          <w:tcPr>
            <w:tcW w:w="980" w:type="dxa"/>
            <w:vAlign w:val="bottom"/>
          </w:tcPr>
          <w:p>
            <w:pPr>
              <w:spacing w:after="0"/>
              <w:rPr>
                <w:sz w:val="23"/>
                <w:szCs w:val="23"/>
                <w:color w:val="auto"/>
              </w:rPr>
            </w:pPr>
          </w:p>
        </w:tc>
        <w:tc>
          <w:tcPr>
            <w:tcW w:w="1460" w:type="dxa"/>
            <w:vAlign w:val="bottom"/>
          </w:tcPr>
          <w:p>
            <w:pPr>
              <w:jc w:val="center"/>
              <w:ind w:left="36"/>
              <w:spacing w:after="0"/>
              <w:rPr>
                <w:sz w:val="20"/>
                <w:szCs w:val="20"/>
                <w:color w:val="auto"/>
              </w:rPr>
            </w:pPr>
            <w:r>
              <w:rPr>
                <w:rFonts w:ascii="Arial" w:cs="Arial" w:eastAsia="Arial" w:hAnsi="Arial"/>
                <w:sz w:val="18"/>
                <w:szCs w:val="18"/>
                <w:color w:val="auto"/>
                <w:w w:val="99"/>
              </w:rPr>
              <w:t>ü</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Ricks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Dr. Runge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Ms. Sulzberger</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Mr. Tai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20"/>
              <w:spacing w:after="0"/>
              <w:rPr>
                <w:sz w:val="20"/>
                <w:szCs w:val="20"/>
                <w:color w:val="auto"/>
              </w:rPr>
            </w:pPr>
            <w:r>
              <w:rPr>
                <w:rFonts w:ascii="Arial" w:cs="Arial" w:eastAsia="Arial" w:hAnsi="Arial"/>
                <w:sz w:val="13"/>
                <w:szCs w:val="13"/>
                <w:color w:val="auto"/>
              </w:rPr>
              <w:t>Ms. Walker</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460" w:type="dxa"/>
            <w:vAlign w:val="bottom"/>
          </w:tcPr>
          <w:p>
            <w:pPr>
              <w:jc w:val="center"/>
              <w:ind w:left="36"/>
              <w:spacing w:after="0"/>
              <w:rPr>
                <w:sz w:val="20"/>
                <w:szCs w:val="20"/>
                <w:color w:val="auto"/>
              </w:rPr>
            </w:pPr>
            <w:r>
              <w:rPr>
                <w:rFonts w:ascii="Arial" w:cs="Arial" w:eastAsia="Arial" w:hAnsi="Arial"/>
                <w:sz w:val="18"/>
                <w:szCs w:val="18"/>
                <w:color w:val="auto"/>
                <w:w w:val="99"/>
              </w:rPr>
              <w:t>ü</w:t>
            </w: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E6E6E6"/>
          </w:tcPr>
          <w:p>
            <w:pPr>
              <w:ind w:left="20"/>
              <w:spacing w:after="0"/>
              <w:rPr>
                <w:sz w:val="20"/>
                <w:szCs w:val="20"/>
                <w:color w:val="auto"/>
              </w:rPr>
            </w:pPr>
            <w:r>
              <w:rPr>
                <w:rFonts w:ascii="Arial" w:cs="Arial" w:eastAsia="Arial" w:hAnsi="Arial"/>
                <w:sz w:val="14"/>
                <w:szCs w:val="14"/>
                <w:b w:val="1"/>
                <w:bCs w:val="1"/>
                <w:color w:val="1CA8E1"/>
              </w:rPr>
              <w:t>Number of 2021</w:t>
            </w:r>
          </w:p>
        </w:tc>
        <w:tc>
          <w:tcPr>
            <w:tcW w:w="114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1CA8E1"/>
              </w:rPr>
              <w:t>7</w:t>
            </w:r>
          </w:p>
        </w:tc>
        <w:tc>
          <w:tcPr>
            <w:tcW w:w="98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1CA8E1"/>
              </w:rPr>
              <w:t>9</w:t>
            </w:r>
          </w:p>
        </w:tc>
        <w:tc>
          <w:tcPr>
            <w:tcW w:w="1460" w:type="dxa"/>
            <w:vAlign w:val="bottom"/>
            <w:vMerge w:val="restart"/>
            <w:shd w:val="clear" w:color="auto" w:fill="E6E6E6"/>
          </w:tcPr>
          <w:p>
            <w:pPr>
              <w:jc w:val="center"/>
              <w:ind w:left="16"/>
              <w:spacing w:after="0"/>
              <w:rPr>
                <w:sz w:val="20"/>
                <w:szCs w:val="20"/>
                <w:color w:val="auto"/>
              </w:rPr>
            </w:pPr>
            <w:r>
              <w:rPr>
                <w:rFonts w:ascii="Arial" w:cs="Arial" w:eastAsia="Arial" w:hAnsi="Arial"/>
                <w:sz w:val="14"/>
                <w:szCs w:val="14"/>
                <w:b w:val="1"/>
                <w:bCs w:val="1"/>
                <w:color w:val="1CA8E1"/>
              </w:rPr>
              <w:t>9</w:t>
            </w:r>
          </w:p>
        </w:tc>
        <w:tc>
          <w:tcPr>
            <w:tcW w:w="130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1CA8E1"/>
              </w:rPr>
              <w:t>4</w:t>
            </w:r>
          </w:p>
        </w:tc>
        <w:tc>
          <w:tcPr>
            <w:tcW w:w="122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1CA8E1"/>
              </w:rPr>
              <w:t>6</w:t>
            </w:r>
          </w:p>
        </w:tc>
        <w:tc>
          <w:tcPr>
            <w:tcW w:w="120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1CA8E1"/>
              </w:rPr>
              <w:t>9</w:t>
            </w:r>
          </w:p>
        </w:tc>
        <w:tc>
          <w:tcPr>
            <w:tcW w:w="0" w:type="dxa"/>
            <w:vAlign w:val="bottom"/>
          </w:tcPr>
          <w:p>
            <w:pPr>
              <w:spacing w:after="0"/>
              <w:rPr>
                <w:sz w:val="1"/>
                <w:szCs w:val="1"/>
                <w:color w:val="auto"/>
              </w:rPr>
            </w:pPr>
          </w:p>
        </w:tc>
      </w:tr>
      <w:tr>
        <w:trPr>
          <w:trHeight w:val="82"/>
        </w:trPr>
        <w:tc>
          <w:tcPr>
            <w:tcW w:w="1460" w:type="dxa"/>
            <w:vAlign w:val="bottom"/>
            <w:vMerge w:val="restart"/>
            <w:shd w:val="clear" w:color="auto" w:fill="E6E6E6"/>
          </w:tcPr>
          <w:p>
            <w:pPr>
              <w:ind w:left="20"/>
              <w:spacing w:after="0"/>
              <w:rPr>
                <w:sz w:val="20"/>
                <w:szCs w:val="20"/>
                <w:color w:val="auto"/>
              </w:rPr>
            </w:pPr>
            <w:r>
              <w:rPr>
                <w:rFonts w:ascii="Arial" w:cs="Arial" w:eastAsia="Arial" w:hAnsi="Arial"/>
                <w:sz w:val="14"/>
                <w:szCs w:val="14"/>
                <w:b w:val="1"/>
                <w:bCs w:val="1"/>
                <w:color w:val="1CA8E1"/>
              </w:rPr>
              <w:t>Meetings</w:t>
            </w:r>
          </w:p>
        </w:tc>
        <w:tc>
          <w:tcPr>
            <w:tcW w:w="1140" w:type="dxa"/>
            <w:vAlign w:val="bottom"/>
            <w:vMerge w:val="continue"/>
            <w:shd w:val="clear" w:color="auto" w:fill="E6E6E6"/>
          </w:tcPr>
          <w:p>
            <w:pPr>
              <w:spacing w:after="0"/>
              <w:rPr>
                <w:sz w:val="7"/>
                <w:szCs w:val="7"/>
                <w:color w:val="auto"/>
              </w:rPr>
            </w:pPr>
          </w:p>
        </w:tc>
        <w:tc>
          <w:tcPr>
            <w:tcW w:w="980" w:type="dxa"/>
            <w:vAlign w:val="bottom"/>
            <w:vMerge w:val="continue"/>
            <w:shd w:val="clear" w:color="auto" w:fill="E6E6E6"/>
          </w:tcPr>
          <w:p>
            <w:pPr>
              <w:spacing w:after="0"/>
              <w:rPr>
                <w:sz w:val="7"/>
                <w:szCs w:val="7"/>
                <w:color w:val="auto"/>
              </w:rPr>
            </w:pPr>
          </w:p>
        </w:tc>
        <w:tc>
          <w:tcPr>
            <w:tcW w:w="1460" w:type="dxa"/>
            <w:vAlign w:val="bottom"/>
            <w:vMerge w:val="continue"/>
            <w:shd w:val="clear" w:color="auto" w:fill="E6E6E6"/>
          </w:tcPr>
          <w:p>
            <w:pPr>
              <w:spacing w:after="0"/>
              <w:rPr>
                <w:sz w:val="7"/>
                <w:szCs w:val="7"/>
                <w:color w:val="auto"/>
              </w:rPr>
            </w:pPr>
          </w:p>
        </w:tc>
        <w:tc>
          <w:tcPr>
            <w:tcW w:w="1300" w:type="dxa"/>
            <w:vAlign w:val="bottom"/>
            <w:vMerge w:val="continue"/>
            <w:shd w:val="clear" w:color="auto" w:fill="E6E6E6"/>
          </w:tcPr>
          <w:p>
            <w:pPr>
              <w:spacing w:after="0"/>
              <w:rPr>
                <w:sz w:val="7"/>
                <w:szCs w:val="7"/>
                <w:color w:val="auto"/>
              </w:rPr>
            </w:pPr>
          </w:p>
        </w:tc>
        <w:tc>
          <w:tcPr>
            <w:tcW w:w="1220" w:type="dxa"/>
            <w:vAlign w:val="bottom"/>
            <w:vMerge w:val="continue"/>
            <w:shd w:val="clear" w:color="auto" w:fill="E6E6E6"/>
          </w:tcPr>
          <w:p>
            <w:pPr>
              <w:spacing w:after="0"/>
              <w:rPr>
                <w:sz w:val="7"/>
                <w:szCs w:val="7"/>
                <w:color w:val="auto"/>
              </w:rPr>
            </w:pPr>
          </w:p>
        </w:tc>
        <w:tc>
          <w:tcPr>
            <w:tcW w:w="1200" w:type="dxa"/>
            <w:vAlign w:val="bottom"/>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460" w:type="dxa"/>
            <w:vAlign w:val="bottom"/>
            <w:vMerge w:val="continue"/>
            <w:shd w:val="clear" w:color="auto" w:fill="E6E6E6"/>
          </w:tcPr>
          <w:p>
            <w:pPr>
              <w:spacing w:after="0"/>
              <w:rPr>
                <w:sz w:val="10"/>
                <w:szCs w:val="10"/>
                <w:color w:val="auto"/>
              </w:rPr>
            </w:pPr>
          </w:p>
        </w:tc>
        <w:tc>
          <w:tcPr>
            <w:tcW w:w="1140" w:type="dxa"/>
            <w:vAlign w:val="bottom"/>
            <w:shd w:val="clear" w:color="auto" w:fill="E6E6E6"/>
          </w:tcPr>
          <w:p>
            <w:pPr>
              <w:spacing w:after="0"/>
              <w:rPr>
                <w:sz w:val="10"/>
                <w:szCs w:val="10"/>
                <w:color w:val="auto"/>
              </w:rPr>
            </w:pPr>
          </w:p>
        </w:tc>
        <w:tc>
          <w:tcPr>
            <w:tcW w:w="980" w:type="dxa"/>
            <w:vAlign w:val="bottom"/>
            <w:shd w:val="clear" w:color="auto" w:fill="E6E6E6"/>
          </w:tcPr>
          <w:p>
            <w:pPr>
              <w:spacing w:after="0"/>
              <w:rPr>
                <w:sz w:val="10"/>
                <w:szCs w:val="10"/>
                <w:color w:val="auto"/>
              </w:rPr>
            </w:pPr>
          </w:p>
        </w:tc>
        <w:tc>
          <w:tcPr>
            <w:tcW w:w="1460" w:type="dxa"/>
            <w:vAlign w:val="bottom"/>
            <w:shd w:val="clear" w:color="auto" w:fill="E6E6E6"/>
          </w:tcPr>
          <w:p>
            <w:pPr>
              <w:spacing w:after="0"/>
              <w:rPr>
                <w:sz w:val="10"/>
                <w:szCs w:val="10"/>
                <w:color w:val="auto"/>
              </w:rPr>
            </w:pPr>
          </w:p>
        </w:tc>
        <w:tc>
          <w:tcPr>
            <w:tcW w:w="1300" w:type="dxa"/>
            <w:vAlign w:val="bottom"/>
            <w:shd w:val="clear" w:color="auto" w:fill="E6E6E6"/>
          </w:tcPr>
          <w:p>
            <w:pPr>
              <w:spacing w:after="0"/>
              <w:rPr>
                <w:sz w:val="10"/>
                <w:szCs w:val="10"/>
                <w:color w:val="auto"/>
              </w:rPr>
            </w:pPr>
          </w:p>
        </w:tc>
        <w:tc>
          <w:tcPr>
            <w:tcW w:w="1220" w:type="dxa"/>
            <w:vAlign w:val="bottom"/>
            <w:shd w:val="clear" w:color="auto" w:fill="E6E6E6"/>
          </w:tcPr>
          <w:p>
            <w:pPr>
              <w:spacing w:after="0"/>
              <w:rPr>
                <w:sz w:val="10"/>
                <w:szCs w:val="10"/>
                <w:color w:val="auto"/>
              </w:rPr>
            </w:pPr>
          </w:p>
        </w:tc>
        <w:tc>
          <w:tcPr>
            <w:tcW w:w="120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3"/>
          <w:szCs w:val="13"/>
          <w:b w:val="1"/>
          <w:bCs w:val="1"/>
          <w:color w:val="EE2724"/>
        </w:rPr>
      </w:pPr>
      <w:r>
        <w:rPr>
          <w:rFonts w:ascii="Arial" w:cs="Arial" w:eastAsia="Arial" w:hAnsi="Arial"/>
          <w:sz w:val="13"/>
          <w:szCs w:val="13"/>
          <w:b w:val="1"/>
          <w:bCs w:val="1"/>
          <w:color w:val="EE2724"/>
        </w:rPr>
        <w:t>Committee Chair</w:t>
      </w:r>
    </w:p>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EE2724"/>
        </w:rPr>
        <w:t>LD</w:t>
        <w:tab/>
        <w:t>Lead Independent Director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committee charters are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 Key responsibilities of each committee are set forth below.</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assists the board in fulfilling its oversight responsibilities by monitoring:</w:t>
      </w:r>
    </w:p>
    <w:p>
      <w:pPr>
        <w:spacing w:after="0" w:line="113"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integrity of financial information provided to our shareholders and others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management's systems of internal controls and disclosure controls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performance of internal and independent audit functions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qualifications and independence of the company’s independent auditor</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processes and procedures related to identifying and mitigating enterprise-level risks.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sole authority to appoint or replace the independent auditor, subject to shareholder ratification.</w:t>
      </w:r>
    </w:p>
    <w:p>
      <w:pPr>
        <w:spacing w:after="0" w:line="11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board has determined that Mr. Alvarez, Mr. Eskew, Mr. Jackson, Ms. Sulzberger, and Mr. Tai are audit committee financial experts, as defined in the rules of the U.S. Securities and Exchange Commission (SEC).</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113" w:lineRule="exact"/>
        <w:rPr>
          <w:sz w:val="20"/>
          <w:szCs w:val="20"/>
          <w:color w:val="auto"/>
        </w:rPr>
      </w:pPr>
    </w:p>
    <w:p>
      <w:pPr>
        <w:ind w:left="660" w:right="220" w:hanging="328"/>
        <w:spacing w:after="0" w:line="260"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establishes the compensation of our CEO, in consultation with other independent directors and our external compensation consultant, and other executive officers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oversees the company's global compensation philosophy and human management capital efforts, including DEI efforts</w:t>
      </w:r>
    </w:p>
    <w:p>
      <w:pPr>
        <w:spacing w:after="0" w:line="113" w:lineRule="exact"/>
        <w:rPr>
          <w:rFonts w:ascii="Arial" w:cs="Arial" w:eastAsia="Arial" w:hAnsi="Arial"/>
          <w:sz w:val="16"/>
          <w:szCs w:val="16"/>
          <w:color w:val="auto"/>
        </w:rPr>
      </w:pPr>
    </w:p>
    <w:p>
      <w:pPr>
        <w:ind w:left="660" w:right="280" w:hanging="328"/>
        <w:spacing w:after="0" w:line="260"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acts as the oversight committee with respect to the company’s deferred compensation plans, management stock plans, and other management incentive and benefit programs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reviews succession plans for the CEO and other key senior leadership positions, including a broad review of our succession management</w:t>
      </w:r>
    </w:p>
    <w:p>
      <w:pPr>
        <w:sectPr>
          <w:pgSz w:w="11900" w:h="16838" w:orient="portrait"/>
          <w:cols w:equalWidth="0" w:num="1">
            <w:col w:w="11140"/>
          </w:cols>
          <w:pgMar w:left="320" w:top="982" w:right="4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982" w:right="439" w:bottom="1440" w:gutter="0" w:footer="0" w:header="0"/>
          <w:type w:val="continuous"/>
        </w:sectPr>
      </w:pPr>
    </w:p>
    <w:bookmarkStart w:id="28" w:name="page29"/>
    <w:bookmarkEnd w:id="28"/>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advises our management and the board regarding other human capital management, DEI efforts, and employee compensation and benefits matters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reviews, monitors, and oversees stock ownership guidelines for executive officers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oversees the company’s executive compensation recovery policy</w:t>
      </w:r>
    </w:p>
    <w:p>
      <w:pPr>
        <w:spacing w:after="0" w:line="113" w:lineRule="exact"/>
        <w:rPr>
          <w:rFonts w:ascii="Arial" w:cs="Arial" w:eastAsia="Arial" w:hAnsi="Arial"/>
          <w:sz w:val="16"/>
          <w:szCs w:val="16"/>
          <w:color w:val="auto"/>
        </w:rPr>
      </w:pPr>
    </w:p>
    <w:p>
      <w:pPr>
        <w:ind w:left="660" w:right="140" w:hanging="328"/>
        <w:spacing w:after="0" w:line="260" w:lineRule="auto"/>
        <w:tabs>
          <w:tab w:leader="none" w:pos="6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oversees the company’s engagement with shareholders regarding executive compensation matters, including reviewing and evaluating the results of advisory votes on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8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During the year ended December 31, 2021, Mr. Alvarez, Mr. Fyrwald, Ms. Johnson, Mr. Luciano, Ms. Seifert, and Ms. Walker served on the Compensation Committee, with Ms. Seifert’s service on the Compensation Committee concluding in May 2021, upon her retirement from the board and Ms. Walker’s service on the Compensation Committee beginning January 1,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Compensation Committee members:</w:t>
      </w:r>
    </w:p>
    <w:p>
      <w:pPr>
        <w:spacing w:after="0" w:line="113"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ever been an officer or employee of the company</w:t>
      </w:r>
    </w:p>
    <w:p>
      <w:pPr>
        <w:spacing w:after="0" w:line="113" w:lineRule="exact"/>
        <w:rPr>
          <w:rFonts w:ascii="Arial" w:cs="Arial" w:eastAsia="Arial" w:hAnsi="Arial"/>
          <w:sz w:val="16"/>
          <w:szCs w:val="16"/>
          <w:color w:val="auto"/>
        </w:rPr>
      </w:pPr>
    </w:p>
    <w:p>
      <w:pPr>
        <w:ind w:left="660" w:right="420" w:hanging="328"/>
        <w:spacing w:after="0" w:line="253" w:lineRule="auto"/>
        <w:tabs>
          <w:tab w:leader="none" w:pos="62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 or has been a participant in a related person transaction with the company (see "Governance—Highlights of the Company's Corporate Governance—Conflicts of Interest and Transactions with Related Persons—Review and Approval of Transactions with Related Persons" for a description of our policy on related person transactions)</w:t>
      </w:r>
    </w:p>
    <w:p>
      <w:pPr>
        <w:spacing w:after="0" w:line="93" w:lineRule="exact"/>
        <w:rPr>
          <w:rFonts w:ascii="Arial" w:cs="Arial" w:eastAsia="Arial" w:hAnsi="Arial"/>
          <w:sz w:val="16"/>
          <w:szCs w:val="16"/>
          <w:color w:val="auto"/>
        </w:rPr>
      </w:pPr>
    </w:p>
    <w:p>
      <w:pPr>
        <w:ind w:left="620" w:hanging="288"/>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any other interlocking relationships requiring disclosure under applicable SEC rules.</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Directors and Corporate Governance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Directors and Corporate Governance Committee:</w:t>
      </w:r>
    </w:p>
    <w:p>
      <w:pPr>
        <w:spacing w:after="0" w:line="113" w:lineRule="exact"/>
        <w:rPr>
          <w:sz w:val="20"/>
          <w:szCs w:val="20"/>
          <w:color w:val="auto"/>
        </w:rPr>
      </w:pPr>
    </w:p>
    <w:p>
      <w:pPr>
        <w:ind w:left="620" w:hanging="288"/>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reviews and recommends to the board the size and composition of the board and its committees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leads the process for director recruitment, together with the lead independent director</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reviews recommendations for nominees for the board of directors</w:t>
      </w:r>
    </w:p>
    <w:p>
      <w:pPr>
        <w:spacing w:after="0" w:line="113" w:lineRule="exact"/>
        <w:rPr>
          <w:rFonts w:ascii="Arial" w:cs="Arial" w:eastAsia="Arial" w:hAnsi="Arial"/>
          <w:sz w:val="16"/>
          <w:szCs w:val="16"/>
          <w:color w:val="auto"/>
        </w:rPr>
      </w:pPr>
    </w:p>
    <w:p>
      <w:pPr>
        <w:ind w:left="660" w:right="480" w:hanging="328"/>
        <w:spacing w:after="0" w:line="260" w:lineRule="auto"/>
        <w:tabs>
          <w:tab w:leader="none" w:pos="6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oversees matters of corporate governance, including board performance, non-employee director independence and compensation, corporate governance guidelines, and shareholder engagement on governance matters</w:t>
      </w:r>
    </w:p>
    <w:p>
      <w:pPr>
        <w:spacing w:after="0" w:line="73" w:lineRule="exact"/>
        <w:rPr>
          <w:rFonts w:ascii="Arial" w:cs="Arial" w:eastAsia="Arial" w:hAnsi="Arial"/>
          <w:sz w:val="16"/>
          <w:szCs w:val="16"/>
          <w:color w:val="auto"/>
        </w:rPr>
      </w:pPr>
    </w:p>
    <w:p>
      <w:pPr>
        <w:ind w:left="660" w:right="200" w:hanging="328"/>
        <w:spacing w:after="0" w:line="242" w:lineRule="auto"/>
        <w:tabs>
          <w:tab w:leader="none" w:pos="6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101" w:lineRule="exact"/>
        <w:rPr>
          <w:rFonts w:ascii="Arial" w:cs="Arial" w:eastAsia="Arial" w:hAnsi="Arial"/>
          <w:sz w:val="16"/>
          <w:szCs w:val="16"/>
          <w:color w:val="auto"/>
        </w:rPr>
      </w:pPr>
    </w:p>
    <w:p>
      <w:pPr>
        <w:ind w:left="620" w:hanging="288"/>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annually assesses the performance of the board, board committees and board processes, and reviews such findings with the board.</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Ethics and Compliance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Ethics and Compliance Committee:</w:t>
      </w:r>
    </w:p>
    <w:p>
      <w:pPr>
        <w:spacing w:after="0" w:line="113" w:lineRule="exact"/>
        <w:rPr>
          <w:sz w:val="20"/>
          <w:szCs w:val="20"/>
          <w:color w:val="auto"/>
        </w:rPr>
      </w:pPr>
    </w:p>
    <w:p>
      <w:pPr>
        <w:ind w:left="660" w:right="260" w:hanging="328"/>
        <w:spacing w:after="0" w:line="260" w:lineRule="auto"/>
        <w:tabs>
          <w:tab w:leader="none" w:pos="62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87" w:lineRule="exact"/>
        <w:rPr>
          <w:rFonts w:ascii="Arial" w:cs="Arial" w:eastAsia="Arial" w:hAnsi="Arial"/>
          <w:sz w:val="16"/>
          <w:szCs w:val="16"/>
          <w:color w:val="auto"/>
        </w:rPr>
      </w:pPr>
    </w:p>
    <w:p>
      <w:pPr>
        <w:ind w:left="660" w:right="180" w:hanging="328"/>
        <w:spacing w:after="0" w:line="260" w:lineRule="auto"/>
        <w:tabs>
          <w:tab w:leader="none" w:pos="62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reviews, monitors, and makes recommendations to the board on corporate policies and practices related to compliance, including those related to employee health and safety.</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Science and Technology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Science and Technology Committee:</w:t>
      </w:r>
    </w:p>
    <w:p>
      <w:pPr>
        <w:spacing w:after="0" w:line="113" w:lineRule="exact"/>
        <w:rPr>
          <w:sz w:val="20"/>
          <w:szCs w:val="20"/>
          <w:color w:val="auto"/>
        </w:rPr>
      </w:pPr>
    </w:p>
    <w:p>
      <w:pPr>
        <w:ind w:left="660" w:right="340" w:hanging="328"/>
        <w:spacing w:after="0" w:line="260" w:lineRule="auto"/>
        <w:tabs>
          <w:tab w:leader="none" w:pos="6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and advises the board regarding the company’s long-term strategic goals and objectives and the quality and direction of the company’s research and development programs</w:t>
      </w:r>
    </w:p>
    <w:p>
      <w:pPr>
        <w:spacing w:after="0" w:line="87" w:lineRule="exact"/>
        <w:rPr>
          <w:rFonts w:ascii="Arial" w:cs="Arial" w:eastAsia="Arial" w:hAnsi="Arial"/>
          <w:sz w:val="16"/>
          <w:szCs w:val="16"/>
          <w:color w:val="auto"/>
        </w:rPr>
      </w:pPr>
    </w:p>
    <w:p>
      <w:pPr>
        <w:ind w:left="660" w:right="280" w:hanging="328"/>
        <w:spacing w:after="0" w:line="260" w:lineRule="auto"/>
        <w:tabs>
          <w:tab w:leader="none" w:pos="6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and advises the board and management on the company’s major technology positions and strategies relative to emerging technologies, emerging concepts of therapy and health care, and changing market requirements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monitors and evaluates developments, technologies, and trends in pharmaceutical research and development</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regularly reviews the company's product pipeline</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20" w:top="843" w:right="379" w:bottom="1440" w:gutter="0" w:footer="0" w:header="0"/>
        </w:sectPr>
      </w:pPr>
    </w:p>
    <w:bookmarkStart w:id="29" w:name="page30"/>
    <w:bookmarkEnd w:id="29"/>
    <w:p>
      <w:pPr>
        <w:spacing w:after="0"/>
        <w:rPr>
          <w:sz w:val="20"/>
          <w:szCs w:val="20"/>
          <w:color w:val="auto"/>
        </w:rPr>
      </w:pPr>
      <w:r>
        <w:rPr>
          <w:rFonts w:ascii="Arial" w:cs="Arial" w:eastAsia="Arial" w:hAnsi="Arial"/>
          <w:sz w:val="27"/>
          <w:szCs w:val="27"/>
          <w:b w:val="1"/>
          <w:bCs w:val="1"/>
          <w:color w:val="EF3729"/>
        </w:rPr>
        <w:t>Board Oversight of Strategy, Compliance, and Risk Management</w:t>
      </w:r>
    </w:p>
    <w:p>
      <w:pPr>
        <w:spacing w:after="0" w:line="9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takes an active approach to its role in overseeing the development and execution of the company’s business strategies. On an annual basis, the board and executive management conduct an extended review and discussion of the company’s strategy, evaluating goals, the external environment, key questions, and key risks. Board meetings include discussions of company performance relative to the strategy. The board also reviews strategic focus areas for the company, such as innovation, information security, cybersecurity, and human capital management. See also "Governance—Highlights of the Company’s Corporate Governance—Human Capital Management."</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semi-annual private sessions to discuss compliance with the company’s chief ethics and compliance officer, the general auditor, and the senior vice president, global quality. On an annual basis, the full board reviews the company's overall state of compliance and the Ethics and Compliance Committee receives an update on compliance at each meeting.</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chief ethics and compliance officer and the senior vice president, global quality report directly to the CEO.</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also has an enterprise risk management program directed by its chief ethics and compliance officer. Enterprise risks are identified and prioritized by management through both top-down and bottom-up processes. Key enterprise-level risks are overseen by the full board and our enterprise risk management process is overseen by the Audit Committee. Company management is charged with managing risk through robust internal processes and controls. The enterprise-level risks are reviewed annually at a full board meeting, and relevant enterprise risks are also addressed in periodic business function reviews and at the annual board and senior management strategy session.</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Code of Ethics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board approves the company's code of ethics, which is set out in:</w:t>
      </w:r>
    </w:p>
    <w:p>
      <w:pPr>
        <w:spacing w:after="0" w:line="80" w:lineRule="exact"/>
        <w:rPr>
          <w:sz w:val="20"/>
          <w:szCs w:val="20"/>
          <w:color w:val="auto"/>
        </w:rPr>
      </w:pPr>
    </w:p>
    <w:p>
      <w:pPr>
        <w:jc w:val="both"/>
        <w:ind w:right="380"/>
        <w:spacing w:after="0" w:line="248" w:lineRule="auto"/>
        <w:rPr>
          <w:sz w:val="20"/>
          <w:szCs w:val="20"/>
          <w:color w:val="auto"/>
        </w:rPr>
      </w:pPr>
      <w:r>
        <w:rPr>
          <w:rFonts w:ascii="Arial" w:cs="Arial" w:eastAsia="Arial" w:hAnsi="Arial"/>
          <w:sz w:val="16"/>
          <w:szCs w:val="16"/>
          <w:b w:val="1"/>
          <w:bCs w:val="1"/>
          <w:color w:val="EE2724"/>
        </w:rPr>
        <w:t xml:space="preserve">The Red Book: </w:t>
      </w:r>
      <w:r>
        <w:rPr>
          <w:rFonts w:ascii="Arial" w:cs="Arial" w:eastAsia="Arial" w:hAnsi="Arial"/>
          <w:sz w:val="16"/>
          <w:szCs w:val="16"/>
          <w:color w:val="000000"/>
        </w:rPr>
        <w:t>A comprehensive code of ethical and legal business conduct applicable to all employees worldwide and to our board. The Red Book is</w:t>
      </w:r>
      <w:r>
        <w:rPr>
          <w:rFonts w:ascii="Arial" w:cs="Arial" w:eastAsia="Arial" w:hAnsi="Arial"/>
          <w:sz w:val="16"/>
          <w:szCs w:val="16"/>
          <w:b w:val="1"/>
          <w:bCs w:val="1"/>
          <w:color w:val="EE2724"/>
        </w:rPr>
        <w:t xml:space="preserve"> </w:t>
      </w:r>
      <w:r>
        <w:rPr>
          <w:rFonts w:ascii="Arial" w:cs="Arial" w:eastAsia="Arial" w:hAnsi="Arial"/>
          <w:sz w:val="16"/>
          <w:szCs w:val="16"/>
          <w:color w:val="000000"/>
        </w:rPr>
        <w:t>reviewed and approved annually by the board. In 2022, we revised The Red Book training to update our Global Conduct in the Workplace procedure to continue to help ensure that we maintain a respectful, safe, inclusive, and professional workplace.</w:t>
      </w:r>
    </w:p>
    <w:p>
      <w:pPr>
        <w:spacing w:after="0" w:line="2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EE2724"/>
        </w:rPr>
        <w:t xml:space="preserve">Code of Ethical Conduct for Lilly Financial Management: </w:t>
      </w:r>
      <w:r>
        <w:rPr>
          <w:rFonts w:ascii="Arial" w:cs="Arial" w:eastAsia="Arial" w:hAnsi="Arial"/>
          <w:sz w:val="16"/>
          <w:szCs w:val="16"/>
          <w:color w:val="000000"/>
        </w:rPr>
        <w:t>A supplemental code for our CEO and all members of financial management, in recognition of</w:t>
      </w:r>
      <w:r>
        <w:rPr>
          <w:rFonts w:ascii="Arial" w:cs="Arial" w:eastAsia="Arial" w:hAnsi="Arial"/>
          <w:sz w:val="16"/>
          <w:szCs w:val="16"/>
          <w:b w:val="1"/>
          <w:bCs w:val="1"/>
          <w:color w:val="EE2724"/>
        </w:rPr>
        <w:t xml:space="preserve"> </w:t>
      </w:r>
      <w:r>
        <w:rPr>
          <w:rFonts w:ascii="Arial" w:cs="Arial" w:eastAsia="Arial" w:hAnsi="Arial"/>
          <w:sz w:val="16"/>
          <w:szCs w:val="16"/>
          <w:color w:val="000000"/>
        </w:rPr>
        <w:t>their unique responsibilities to ensure proper accounting, financial reporting, internal controls, and financial stewardship.</w:t>
      </w:r>
    </w:p>
    <w:p>
      <w:pPr>
        <w:spacing w:after="0" w:line="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These documents are available online at </w:t>
      </w:r>
      <w:r>
        <w:rPr>
          <w:rFonts w:ascii="Arial" w:cs="Arial" w:eastAsia="Arial" w:hAnsi="Arial"/>
          <w:sz w:val="16"/>
          <w:szCs w:val="16"/>
          <w:color w:val="EE2724"/>
        </w:rPr>
        <w:t>lilly.com/operating-responsibly/ethics-compliance</w:t>
      </w:r>
      <w:r>
        <w:rPr>
          <w:rFonts w:ascii="Arial" w:cs="Arial" w:eastAsia="Arial" w:hAnsi="Arial"/>
          <w:sz w:val="16"/>
          <w:szCs w:val="16"/>
          <w:color w:val="auto"/>
        </w:rPr>
        <w:t xml:space="preserve"> and </w:t>
      </w:r>
      <w:r>
        <w:rPr>
          <w:rFonts w:ascii="Arial" w:cs="Arial" w:eastAsia="Arial" w:hAnsi="Arial"/>
          <w:sz w:val="16"/>
          <w:szCs w:val="16"/>
          <w:color w:val="EE2724"/>
        </w:rPr>
        <w:t xml:space="preserve">lilly.com/operating-responsibly/ethics-compliance/financial-management-ethical-conduct </w:t>
      </w:r>
      <w:r>
        <w:rPr>
          <w:rFonts w:ascii="Arial" w:cs="Arial" w:eastAsia="Arial" w:hAnsi="Arial"/>
          <w:sz w:val="16"/>
          <w:szCs w:val="16"/>
          <w:color w:val="000000"/>
        </w:rPr>
        <w:t>. In the event of any amendments to, or waivers from, a provision of the code affecting the CEO, chief financial officer, chief</w:t>
      </w:r>
      <w:r>
        <w:rPr>
          <w:rFonts w:ascii="Arial" w:cs="Arial" w:eastAsia="Arial" w:hAnsi="Arial"/>
          <w:sz w:val="16"/>
          <w:szCs w:val="16"/>
          <w:color w:val="EE2724"/>
        </w:rPr>
        <w:t xml:space="preserve"> </w:t>
      </w:r>
      <w:r>
        <w:rPr>
          <w:rFonts w:ascii="Arial" w:cs="Arial" w:eastAsia="Arial" w:hAnsi="Arial"/>
          <w:sz w:val="16"/>
          <w:szCs w:val="16"/>
          <w:color w:val="000000"/>
        </w:rPr>
        <w:t>accounting officer, controller, or persons performing similar functions, we intend to post on the above website, within four business days after the event, a description of the amendment or waiver as required under applicable SEC rules, and we will maintain that information on our website for at least 12 months.</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Highlights of the Company’s Corporate Governance</w:t>
      </w:r>
    </w:p>
    <w:p>
      <w:pPr>
        <w:spacing w:after="0" w:line="9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We are committed to good corporate governance, which promotes the long-term interests of shareholders and other company stakeholders, builds confidence in our leadership, and strengthens accountability by the board and management. The board has adopted corporate governance guidelines that set forth the company's basic principles of corporate governance. The section that follows outlines key elements of the guidelines and other important governance matters. Investors can learn more by reviewing the corporate governance guidelines, which are available online at </w:t>
      </w:r>
      <w:r>
        <w:rPr>
          <w:rFonts w:ascii="Arial" w:cs="Arial" w:eastAsia="Arial" w:hAnsi="Arial"/>
          <w:sz w:val="16"/>
          <w:szCs w:val="16"/>
          <w:color w:val="EE2724"/>
        </w:rPr>
        <w:t>lilly.com/leadership/governance</w:t>
      </w:r>
      <w:r>
        <w:rPr>
          <w:rFonts w:ascii="Arial" w:cs="Arial" w:eastAsia="Arial" w:hAnsi="Arial"/>
          <w:sz w:val="16"/>
          <w:szCs w:val="16"/>
          <w:color w:val="000000"/>
        </w:rPr>
        <w:t>.</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Role of the Board</w:t>
      </w:r>
    </w:p>
    <w:p>
      <w:pPr>
        <w:spacing w:after="0" w:line="8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Directors are elected by the shareholders to oversee the actions and results of the company’s management. The board exercises oversight over a broad range of areas, but the board's key responsibilities include the following (certain of which are carried out through the board's committees):</w:t>
      </w:r>
    </w:p>
    <w:p>
      <w:pPr>
        <w:spacing w:after="0" w:line="87"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general oversight of the business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approving corporate strategy</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approving major management initiatives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overseeing capital allocation</w:t>
      </w:r>
    </w:p>
    <w:p>
      <w:pPr>
        <w:spacing w:after="0" w:line="59" w:lineRule="exact"/>
        <w:rPr>
          <w:rFonts w:ascii="Arial" w:cs="Arial" w:eastAsia="Arial" w:hAnsi="Arial"/>
          <w:sz w:val="16"/>
          <w:szCs w:val="16"/>
          <w:color w:val="auto"/>
        </w:rPr>
      </w:pPr>
    </w:p>
    <w:p>
      <w:pPr>
        <w:ind w:left="620" w:hanging="288"/>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selecting, compensating, evaluating, and, when necessary, replacing the CEO, and compensating other senior executives</w:t>
      </w:r>
    </w:p>
    <w:p>
      <w:pPr>
        <w:spacing w:after="0" w:line="113" w:lineRule="exact"/>
        <w:rPr>
          <w:rFonts w:ascii="Arial" w:cs="Arial" w:eastAsia="Arial" w:hAnsi="Arial"/>
          <w:sz w:val="16"/>
          <w:szCs w:val="16"/>
          <w:color w:val="auto"/>
        </w:rPr>
      </w:pPr>
    </w:p>
    <w:p>
      <w:pPr>
        <w:ind w:left="660" w:right="100" w:hanging="328"/>
        <w:spacing w:after="0" w:line="260" w:lineRule="auto"/>
        <w:tabs>
          <w:tab w:leader="none" w:pos="6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ensuring that an effective succession plan is in place for all key senior leadership positions and reviewing our broader talent management process, including human capital management strategies, overall corporate culture, and DEI programs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00"/>
          </w:cols>
          <w:pgMar w:left="320" w:top="982" w:right="379" w:bottom="1440" w:gutter="0" w:footer="0" w:header="0"/>
        </w:sectPr>
      </w:pPr>
    </w:p>
    <w:bookmarkStart w:id="30" w:name="page31"/>
    <w:bookmarkEnd w:id="30"/>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overseeing the company’s ethics and compliance program and management of significant business risks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selecting, compensating, and evaluating directors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evaluating board processes and performance</w:t>
      </w:r>
    </w:p>
    <w:p>
      <w:pPr>
        <w:spacing w:after="0" w:line="59" w:lineRule="exact"/>
        <w:rPr>
          <w:rFonts w:ascii="Arial" w:cs="Arial" w:eastAsia="Arial" w:hAnsi="Arial"/>
          <w:sz w:val="16"/>
          <w:szCs w:val="16"/>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overseeing the company's enterprise risk management program, including receiving regular briefings on cyber,</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technology and information risks</w:t>
      </w:r>
    </w:p>
    <w:p>
      <w:pPr>
        <w:spacing w:after="0" w:line="100" w:lineRule="exact"/>
        <w:rPr>
          <w:sz w:val="20"/>
          <w:szCs w:val="20"/>
          <w:color w:val="auto"/>
        </w:rPr>
      </w:pPr>
    </w:p>
    <w:p>
      <w:pPr>
        <w:ind w:left="660" w:right="260" w:hanging="328"/>
        <w:spacing w:after="0" w:line="242" w:lineRule="auto"/>
        <w:tabs>
          <w:tab w:leader="none" w:pos="6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overseeing the company’s approach to current and emerging environmental, social, political, and governance trends and public policy issues that may affect the business operations, performance or reputation of the company</w:t>
      </w:r>
    </w:p>
    <w:p>
      <w:pPr>
        <w:spacing w:after="0" w:line="101" w:lineRule="exact"/>
        <w:rPr>
          <w:rFonts w:ascii="Arial" w:cs="Arial" w:eastAsia="Arial" w:hAnsi="Arial"/>
          <w:sz w:val="16"/>
          <w:szCs w:val="16"/>
          <w:color w:val="auto"/>
        </w:rPr>
      </w:pPr>
    </w:p>
    <w:p>
      <w:pPr>
        <w:ind w:left="620" w:hanging="288"/>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overseeing the company’s political expenditures and lobbying activities.</w:t>
      </w:r>
    </w:p>
    <w:p>
      <w:pPr>
        <w:spacing w:after="0" w:line="113"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 board takes an active role in its oversight of our corporate strategy. Each year, the board and executive management closely examine the company's strategy, including key risks and decisions facing the company. Decisions reached in this session are updated throughout the year, including as the board discusses the company's financial performance, the performance of our business units, and progress in our product pipeline.</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Composition and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Mix of Independent Directors and Officer-Directors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believe there should always be a substantial majority (75 percent or more) of independent directors. The CEO should be a member of the board.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for Directors</w:t>
      </w:r>
    </w:p>
    <w:p>
      <w:pPr>
        <w:spacing w:after="0" w:line="8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an uncontested election, directors are elected by a majority of votes cast. An 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Tenure and Retirement Policy</w:t>
      </w:r>
    </w:p>
    <w:p>
      <w:pPr>
        <w:spacing w:after="0" w:line="8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Non-employee directors must retire from the board no later than the 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Board Service</w:t>
      </w:r>
    </w:p>
    <w:p>
      <w:pPr>
        <w:spacing w:after="0" w:line="70"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To ensure proper engagement from our directors and effective functioning of our board, we have instituted certain limitations on service on the boards of other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Confidentiality Policy</w:t>
      </w:r>
    </w:p>
    <w:p>
      <w:pPr>
        <w:spacing w:after="0" w:line="8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 xml:space="preserve">The board has adopted a Confidentiality Policy, applicable to all current and future members of 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Leadership Structure; Oversight of Chair, CEO, and Senior Management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Structure</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board believes that there is no "one-size-fits-all" approach to board leadership and recognizes that one of its key responsibilities is to evaluate its optimal leadership structure to ensure both independent oversight of management and an engaged board with complementary qualities, perspectives, and experiences. The board regularly reviews its leadership structure and developments in the area of corporate governance to ensure that our chosen leadership structure continues to strike the appropriate balance for the company and our stakeholders and enables us to promote the long-term interests of our shareholders. Throughout 2021, the board continued its proactive assessment of board succession and refreshment. After thoughtful consideration of our business, long-term strategy, and related risks, and the strong role of our lead independent director, the independent directors believe that combining the chair and CEO roles, coupled with a strong lead independent director position, continues to be in the best interest of the company and our shareholders. The board believes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843" w:right="339" w:bottom="1440" w:gutter="0" w:footer="0" w:header="0"/>
        </w:sectPr>
      </w:pPr>
    </w:p>
    <w:bookmarkStart w:id="31" w:name="page32"/>
    <w:bookmarkEnd w:id="31"/>
    <w:p>
      <w:pPr>
        <w:ind w:right="140"/>
        <w:spacing w:after="0" w:line="260" w:lineRule="auto"/>
        <w:rPr>
          <w:sz w:val="20"/>
          <w:szCs w:val="20"/>
          <w:color w:val="auto"/>
        </w:rPr>
      </w:pPr>
      <w:r>
        <w:rPr>
          <w:rFonts w:ascii="Arial" w:cs="Arial" w:eastAsia="Arial" w:hAnsi="Arial"/>
          <w:sz w:val="16"/>
          <w:szCs w:val="16"/>
          <w:color w:val="auto"/>
        </w:rPr>
        <w:t>that Mr. Ricks’ extensive knowledge of, and experience in, the pharmaceutical industry enables him to effectively set the long-term strategic direction of the company and provide diligent, long-term leadership and direction for management and our board.</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Luciano serves as the current lead independent director. Mr. Luciano is a strong lead independent director who fulfilled each of the duties below during the past year. As the CEO and president of Archer-Daniels-Midland Company, he brings valuable and diverse experience and outside perspective to his lead independent director role, which permits him to serve as a trusted adviser to Mr. Ricks and ensure effective board management.</w:t>
      </w:r>
    </w:p>
    <w:p>
      <w:pPr>
        <w:spacing w:after="0" w:line="93"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In 2021,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the independent directors. Mr. Luciano advises Mr. Ricks on the independent directors’ discussions, including performance feedback.</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Independence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has put in place a number of governance practices to ensure effective independent oversight, including:</w:t>
      </w:r>
    </w:p>
    <w:p>
      <w:pPr>
        <w:spacing w:after="0" w:line="9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Executive sessions of the independent directors: </w:t>
      </w:r>
      <w:r>
        <w:rPr>
          <w:rFonts w:ascii="Arial" w:cs="Arial" w:eastAsia="Arial" w:hAnsi="Arial"/>
          <w:sz w:val="16"/>
          <w:szCs w:val="16"/>
          <w:color w:val="000000"/>
        </w:rPr>
        <w:t>Held after every regular board meeting and presided over by the lead independent director.</w:t>
      </w:r>
    </w:p>
    <w:p>
      <w:pPr>
        <w:spacing w:after="0" w:line="113" w:lineRule="exact"/>
        <w:rPr>
          <w:rFonts w:ascii="Arial" w:cs="Arial" w:eastAsia="Arial" w:hAnsi="Arial"/>
          <w:sz w:val="16"/>
          <w:szCs w:val="16"/>
          <w:b w:val="1"/>
          <w:bCs w:val="1"/>
          <w:color w:val="00A1DE"/>
        </w:rPr>
      </w:pPr>
    </w:p>
    <w:p>
      <w:pPr>
        <w:ind w:left="660" w:right="100" w:hanging="328"/>
        <w:spacing w:after="0" w:line="286" w:lineRule="auto"/>
        <w:tabs>
          <w:tab w:leader="none" w:pos="636"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Annual performance evaluation of the chair and CEO: </w:t>
      </w:r>
      <w:r>
        <w:rPr>
          <w:rFonts w:ascii="Arial" w:cs="Arial" w:eastAsia="Arial" w:hAnsi="Arial"/>
          <w:sz w:val="16"/>
          <w:szCs w:val="16"/>
          <w:color w:val="000000"/>
        </w:rPr>
        <w:t>Conducted by the independent directors, the results of which are reviewed with the CEO</w:t>
      </w:r>
      <w:r>
        <w:rPr>
          <w:rFonts w:ascii="Arial" w:cs="Arial" w:eastAsia="Arial" w:hAnsi="Arial"/>
          <w:sz w:val="16"/>
          <w:szCs w:val="16"/>
          <w:b w:val="1"/>
          <w:bCs w:val="1"/>
          <w:color w:val="00A1DE"/>
        </w:rPr>
        <w:t xml:space="preserve"> </w:t>
      </w:r>
      <w:r>
        <w:rPr>
          <w:rFonts w:ascii="Arial" w:cs="Arial" w:eastAsia="Arial" w:hAnsi="Arial"/>
          <w:sz w:val="16"/>
          <w:szCs w:val="16"/>
          <w:color w:val="000000"/>
        </w:rPr>
        <w:t>and considered by the Compensation Committee and independent directors in establishing the CEO’s compensation for the next year.</w:t>
      </w:r>
    </w:p>
    <w:p>
      <w:pPr>
        <w:spacing w:after="0" w:line="47" w:lineRule="exact"/>
        <w:rPr>
          <w:rFonts w:ascii="Arial" w:cs="Arial" w:eastAsia="Arial" w:hAnsi="Arial"/>
          <w:sz w:val="16"/>
          <w:szCs w:val="16"/>
          <w:b w:val="1"/>
          <w:bCs w:val="1"/>
          <w:color w:val="00A1DE"/>
        </w:rPr>
      </w:pPr>
    </w:p>
    <w:p>
      <w:pPr>
        <w:ind w:left="640" w:hanging="308"/>
        <w:spacing w:after="0"/>
        <w:tabs>
          <w:tab w:leader="none" w:pos="640"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 strong, independent, clearly defined lead independent director role: </w:t>
      </w:r>
      <w:r>
        <w:rPr>
          <w:rFonts w:ascii="Arial" w:cs="Arial" w:eastAsia="Arial" w:hAnsi="Arial"/>
          <w:sz w:val="16"/>
          <w:szCs w:val="16"/>
          <w:color w:val="000000"/>
        </w:rPr>
        <w:t>The lead independent director's responsibilities include:</w:t>
      </w:r>
    </w:p>
    <w:p>
      <w:pPr>
        <w:spacing w:after="0" w:line="79" w:lineRule="exact"/>
        <w:rPr>
          <w:rFonts w:ascii="Arial" w:cs="Arial" w:eastAsia="Arial" w:hAnsi="Arial"/>
          <w:sz w:val="16"/>
          <w:szCs w:val="16"/>
          <w:b w:val="1"/>
          <w:bCs w:val="1"/>
          <w:color w:val="00A1DE"/>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leading the board’s processes for selecting the CEO</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overseeing the independent directors’ annual performance evaluation of the chair and CEO</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serving as a liaison between the chair and the independent directors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presiding at all meetings of the board at which the chair is not present</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presiding at executive sessions of the independent directors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calling meetings of the independent directors, as appropriate</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approving meeting agendas and schedules and reviewing information to be provided to the board</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being available for consultation and direct communication with shareholders, as appropriate</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together with the chair and the chair of the Directors and Corporate Governance Committee, conducting the annual board assessment process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together with the Directors and Corporate Governance Committee, leading the director succession planning process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retaining advisors for the independent directors, as appropriate.</w:t>
      </w:r>
    </w:p>
    <w:p>
      <w:pPr>
        <w:spacing w:after="0" w:line="79" w:lineRule="exact"/>
        <w:rPr>
          <w:rFonts w:ascii="Arial" w:cs="Arial" w:eastAsia="Arial" w:hAnsi="Arial"/>
          <w:sz w:val="16"/>
          <w:szCs w:val="16"/>
          <w:color w:val="auto"/>
        </w:rPr>
      </w:pPr>
    </w:p>
    <w:p>
      <w:pPr>
        <w:ind w:left="660" w:right="340" w:hanging="328"/>
        <w:spacing w:after="0" w:line="248" w:lineRule="auto"/>
        <w:tabs>
          <w:tab w:leader="none" w:pos="636"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Lead independent director assessment: </w:t>
      </w:r>
      <w:r>
        <w:rPr>
          <w:rFonts w:ascii="Arial" w:cs="Arial" w:eastAsia="Arial" w:hAnsi="Arial"/>
          <w:sz w:val="16"/>
          <w:szCs w:val="16"/>
          <w:color w:val="000000"/>
        </w:rPr>
        <w:t>The lead independent director is elected by and from among the independent directors of the board,</w:t>
      </w:r>
      <w:r>
        <w:rPr>
          <w:rFonts w:ascii="Arial" w:cs="Arial" w:eastAsia="Arial" w:hAnsi="Arial"/>
          <w:sz w:val="16"/>
          <w:szCs w:val="16"/>
          <w:b w:val="1"/>
          <w:bCs w:val="1"/>
          <w:color w:val="00A1DE"/>
        </w:rPr>
        <w:t xml:space="preserve"> </w:t>
      </w:r>
      <w:r>
        <w:rPr>
          <w:rFonts w:ascii="Arial" w:cs="Arial" w:eastAsia="Arial" w:hAnsi="Arial"/>
          <w:sz w:val="16"/>
          <w:szCs w:val="16"/>
          <w:color w:val="000000"/>
        </w:rPr>
        <w:t>which conducts an assessment of his or her performance as part of the annual board assessment process. Currently, Mr. Luciano is the lead independent director.</w:t>
      </w:r>
    </w:p>
    <w:p>
      <w:pPr>
        <w:spacing w:after="0" w:line="64" w:lineRule="exact"/>
        <w:rPr>
          <w:rFonts w:ascii="Arial" w:cs="Arial" w:eastAsia="Arial" w:hAnsi="Arial"/>
          <w:sz w:val="16"/>
          <w:szCs w:val="16"/>
          <w:b w:val="1"/>
          <w:bCs w:val="1"/>
          <w:color w:val="00A1DE"/>
        </w:rPr>
      </w:pPr>
    </w:p>
    <w:p>
      <w:pPr>
        <w:ind w:left="660" w:hanging="328"/>
        <w:spacing w:after="0" w:line="268" w:lineRule="auto"/>
        <w:tabs>
          <w:tab w:leader="none" w:pos="636"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Director access to independent advisors: </w:t>
      </w:r>
      <w:r>
        <w:rPr>
          <w:rFonts w:ascii="Arial" w:cs="Arial" w:eastAsia="Arial" w:hAnsi="Arial"/>
          <w:sz w:val="16"/>
          <w:szCs w:val="16"/>
          <w:color w:val="000000"/>
        </w:rPr>
        <w:t>The independent directors and all committees have the ability to retain their own independent advisors,</w:t>
      </w:r>
      <w:r>
        <w:rPr>
          <w:rFonts w:ascii="Arial" w:cs="Arial" w:eastAsia="Arial" w:hAnsi="Arial"/>
          <w:sz w:val="16"/>
          <w:szCs w:val="16"/>
          <w:b w:val="1"/>
          <w:bCs w:val="1"/>
          <w:color w:val="00A1DE"/>
        </w:rPr>
        <w:t xml:space="preserve"> </w:t>
      </w:r>
      <w:r>
        <w:rPr>
          <w:rFonts w:ascii="Arial" w:cs="Arial" w:eastAsia="Arial" w:hAnsi="Arial"/>
          <w:sz w:val="16"/>
          <w:szCs w:val="16"/>
          <w:color w:val="000000"/>
        </w:rPr>
        <w:t>at the company’s expense, whenever they deem it desirable to do so.</w:t>
      </w:r>
    </w:p>
    <w:p>
      <w:pPr>
        <w:spacing w:after="0" w:line="61" w:lineRule="exact"/>
        <w:rPr>
          <w:rFonts w:ascii="Arial" w:cs="Arial" w:eastAsia="Arial" w:hAnsi="Arial"/>
          <w:sz w:val="16"/>
          <w:szCs w:val="16"/>
          <w:b w:val="1"/>
          <w:bCs w:val="1"/>
          <w:color w:val="00A1DE"/>
        </w:rPr>
      </w:pPr>
    </w:p>
    <w:p>
      <w:pPr>
        <w:ind w:left="660" w:right="200" w:hanging="328"/>
        <w:spacing w:after="0" w:line="286" w:lineRule="auto"/>
        <w:tabs>
          <w:tab w:leader="none" w:pos="636" w:val="left"/>
        </w:tabs>
        <w:numPr>
          <w:ilvl w:val="0"/>
          <w:numId w:val="42"/>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Director access to management: </w:t>
      </w:r>
      <w:r>
        <w:rPr>
          <w:rFonts w:ascii="Arial" w:cs="Arial" w:eastAsia="Arial" w:hAnsi="Arial"/>
          <w:sz w:val="16"/>
          <w:szCs w:val="16"/>
          <w:color w:val="000000"/>
        </w:rPr>
        <w:t>Independent directors have direct access to members of management whenever they deem it necessary, and</w:t>
      </w:r>
      <w:r>
        <w:rPr>
          <w:rFonts w:ascii="Arial" w:cs="Arial" w:eastAsia="Arial" w:hAnsi="Arial"/>
          <w:sz w:val="16"/>
          <w:szCs w:val="16"/>
          <w:b w:val="1"/>
          <w:bCs w:val="1"/>
          <w:color w:val="00A1DE"/>
        </w:rPr>
        <w:t xml:space="preserve"> </w:t>
      </w:r>
      <w:r>
        <w:rPr>
          <w:rFonts w:ascii="Arial" w:cs="Arial" w:eastAsia="Arial" w:hAnsi="Arial"/>
          <w:sz w:val="16"/>
          <w:szCs w:val="16"/>
          <w:color w:val="000000"/>
        </w:rPr>
        <w:t>the company's executive officers attend part of each regularly scheduled board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Succession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board, and CEO annually review the company's succession plans for the CEO and other key senior leadership positions.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directors also meet without the CEO to discuss CEO succession planning.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During these reviews, the CEO and directors discuss:</w:t>
      </w:r>
    </w:p>
    <w:p>
      <w:pPr>
        <w:spacing w:after="0" w:line="113" w:lineRule="exact"/>
        <w:rPr>
          <w:sz w:val="20"/>
          <w:szCs w:val="20"/>
          <w:color w:val="auto"/>
        </w:rPr>
      </w:pPr>
    </w:p>
    <w:p>
      <w:pPr>
        <w:ind w:left="620" w:hanging="288"/>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future candidates for the CEO and other senior leadership positions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succession timing</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 plans for potential candidates.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320" w:top="843" w:right="359" w:bottom="1440" w:gutter="0" w:footer="0" w:header="0"/>
        </w:sectPr>
      </w:pPr>
    </w:p>
    <w:bookmarkStart w:id="32" w:name="page33"/>
    <w:bookmarkEnd w:id="32"/>
    <w:p>
      <w:pPr>
        <w:ind w:right="480"/>
        <w:spacing w:after="0" w:line="260" w:lineRule="auto"/>
        <w:rPr>
          <w:sz w:val="20"/>
          <w:szCs w:val="20"/>
          <w:color w:val="auto"/>
        </w:rPr>
      </w:pPr>
      <w:r>
        <w:rPr>
          <w:rFonts w:ascii="Arial" w:cs="Arial" w:eastAsia="Arial" w:hAnsi="Arial"/>
          <w:sz w:val="16"/>
          <w:szCs w:val="16"/>
          <w:color w:val="auto"/>
        </w:rPr>
        <w:t>The independent directors and the CEO maintain a confidential plan for the timely and efficient transfer of the CEO's responsibilities in the event of an emergency or his sudden departure, incapacitation, or death.</w:t>
      </w:r>
    </w:p>
    <w:p>
      <w:pPr>
        <w:spacing w:after="0" w:line="8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Environmental, Social and Governance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and Oversight</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purpose is to unite caring with discovery to create medicines that make life better for people around the world. This purpose guides our ESG strategy, which includes five key pillars: Increase Access to Medicines, Improve Lives and Communities, Empower a Diverse Workforce, Minimize Our Environmental Impact, and Operate Ethically and Responsibly.</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undertaken a detailed review of our sustainability efforts, how we communicate our progress toward our ESG goals, and our broader ESG strategy. In 2021, we adopted additional prevalent reporting frameworks, established new 2030 sustainability goals, and held an ESG stakeholder day to share our strategy and progress. In 2021, we also issued Lilly’s first sustainability bond, which will help fund projects that will contribute to our ESG objectives.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made progress toward our ESG goals in 2021 by, among other things:</w:t>
      </w:r>
    </w:p>
    <w:p>
      <w:pPr>
        <w:spacing w:after="0" w:line="113" w:lineRule="exact"/>
        <w:rPr>
          <w:sz w:val="20"/>
          <w:szCs w:val="20"/>
          <w:color w:val="auto"/>
        </w:rPr>
      </w:pPr>
    </w:p>
    <w:p>
      <w:pPr>
        <w:ind w:left="660" w:right="20" w:hanging="328"/>
        <w:spacing w:after="0" w:line="253"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Continuing our 30x30 global health effort, including an expansion of our partnership with Life for a Child to provide diabetes support to children in more than 60 countries over the next 10 years and the establishment of royalty-free licensing agreements with Indian pharmaceutical companies to accelerate manufacturing and distribution of our COVID-19 therapy baricitinib.</w:t>
      </w:r>
    </w:p>
    <w:p>
      <w:pPr>
        <w:spacing w:after="0" w:line="93" w:lineRule="exact"/>
        <w:rPr>
          <w:rFonts w:ascii="Arial" w:cs="Arial" w:eastAsia="Arial" w:hAnsi="Arial"/>
          <w:sz w:val="16"/>
          <w:szCs w:val="16"/>
          <w:color w:val="auto"/>
        </w:rPr>
      </w:pPr>
    </w:p>
    <w:p>
      <w:pPr>
        <w:ind w:left="660" w:right="160" w:hanging="328"/>
        <w:spacing w:after="0" w:line="260"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Making investments in our communities, including our investment in Sixty8 Capital, and a $5 million commitment to Direct Relief’s Fund for Health Equity.</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Lilly employees completing 10,015 hours of 25,000 volunteer hours pledged over five years by Lilly as part of our Racial Justice Commitment.</w:t>
      </w:r>
    </w:p>
    <w:p>
      <w:pPr>
        <w:spacing w:after="0" w:line="113" w:lineRule="exact"/>
        <w:rPr>
          <w:rFonts w:ascii="Arial" w:cs="Arial" w:eastAsia="Arial" w:hAnsi="Arial"/>
          <w:sz w:val="16"/>
          <w:szCs w:val="16"/>
          <w:color w:val="auto"/>
        </w:rPr>
      </w:pPr>
    </w:p>
    <w:p>
      <w:pPr>
        <w:ind w:left="660" w:right="400" w:hanging="328"/>
        <w:spacing w:after="0" w:line="260" w:lineRule="auto"/>
        <w:tabs>
          <w:tab w:leader="none" w:pos="6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Sharing our EEO-1 data for 2020 in an effort to enhance transparency about our workforce diversity and respond to stakeholder interest in this information.</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Bringing on-line the largest solar field in Ireland at our facility in Kinsale, Ireland and completing solar installations at our facilities in Spain.</w:t>
      </w:r>
    </w:p>
    <w:p>
      <w:pPr>
        <w:spacing w:after="0" w:line="113"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Our approach to ESG governance includes board oversight, management accountability, corporate policies and management systems, and stated public policies and positions on key ESG topics. Our full board is engaged in strategic ESG oversight, receiving regular updates on ESG matters, reviewing and approving our long-term environmental goals, and weighing in on significant strategic investments, including those related to ESG.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 In addition, the Compensation Committee is responsible for oversight of human capital management matters, including DEI.</w:t>
      </w:r>
    </w:p>
    <w:p>
      <w:pPr>
        <w:spacing w:after="0" w:line="9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addition, we have formed an ESG Governance Committee that includes senior leaders across many of our business functions. The committee reports to our senior leadership Executive Committee. Throughout Lilly, leaders are responsible for embedding ESG goals in their operations and are accountable for progress and achievement of those goals.</w:t>
      </w:r>
    </w:p>
    <w:p>
      <w:pPr>
        <w:spacing w:after="0" w:line="9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adopted the Sustainability Accounting Standards Board for Biotechnology and Pharmaceuticals and the Task Force on Climate-Related Financial Disclosures frameworks to communicate our progress toward our ESG objectives and continue to report our progress on the United Nations Sustainable Development Goals.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our ESG efforts is available at the ESG page of our website.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Increase Access to Medicines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work with global health systems and organizations to improve equitable access to our medicines and address complex global health challenges, such as the COVID-19 pandemic and the growing prevalence of diabetes. We have established a comprehensive goal—Lilly 30x30—to improve access to quality health care for 30 million people living in communities with limited resources, annually, by 2030.</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Improve Lives and Communities</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Beyond our medicines, we invest our time, expertise, and resources to drive social impact with a focus on health. We focus on action and advocacy that build stronger communities where people and companies can prosper and thrive. We collaborate with organizations that have proven track records of social impact. We also encourage our employees to volunteer and give in meaningful ways.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00"/>
          </w:cols>
          <w:pgMar w:left="320" w:top="843" w:right="37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Empower a Diverse Workforce</w:t>
      </w:r>
    </w:p>
    <w:p>
      <w:pPr>
        <w:spacing w:after="0" w:line="8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DEI is at the core of how we do business. Our long-standing values of integrity, excellence, and respect for people foster an environment where team members are encouraged to speak up, share ideas, and be fully engaged in our work, while bringing their full authentic selves to work every day. By doing so, we help innovate, accelerate, and deliver life-changing medicines that make a difference for people around the world. See below under “—Human Capital Management” for additional information regarding our DEI efforts and progress.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Minimize our Environmental Impact</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believe that making life better means protecting and preserving the world in which we live. While making medicines requires the use of valuable resources, including energy, water, and raw materials, we remain committed to improving our environmental impact across our product life cycles and supply chain. We have set new 2030 sustainability goals to reduce our emissions and waste and to continue using water responsibly and efficiently.</w:t>
      </w:r>
    </w:p>
    <w:p>
      <w:pPr>
        <w:spacing w:after="0" w:line="9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Recognizing our responsibility to reduce our carbon footprint to help fight climate change, we have set new targets and have an established global energy-management program. Our 2030 climate goals include:</w:t>
      </w:r>
    </w:p>
    <w:p>
      <w:pPr>
        <w:spacing w:after="0" w:line="87" w:lineRule="exact"/>
        <w:rPr>
          <w:sz w:val="20"/>
          <w:szCs w:val="20"/>
          <w:color w:val="auto"/>
        </w:rPr>
      </w:pPr>
    </w:p>
    <w:p>
      <w:pPr>
        <w:ind w:left="620" w:hanging="28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Sourcing 100% of our purchased electricity from renewable sources.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Becoming carbon neutral in our own operations.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Enhancing the tracking and reporting of emissions from our full value chain.</w:t>
      </w:r>
    </w:p>
    <w:p>
      <w:pPr>
        <w:spacing w:after="0" w:line="11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are committed to minimizing waste and conserving energy, resources, and landfill space. We have enhanced our commitment to reduce landfill waste and have introduced new goals focused on addressing plastic waste from our operations and integrating sustainability into the designs of our products. Our 2030 waste goals include:</w:t>
      </w:r>
    </w:p>
    <w:p>
      <w:pPr>
        <w:spacing w:after="0" w:line="93" w:lineRule="exact"/>
        <w:rPr>
          <w:sz w:val="20"/>
          <w:szCs w:val="20"/>
          <w:color w:val="auto"/>
        </w:rPr>
      </w:pP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Zero waste to landfill from routine operations.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Repurposing 100% of plastic waste for beneficial use, with at least 90% recycled or reused.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Integrating sustainability-focused design principles into product and packaging design processes.</w:t>
      </w:r>
    </w:p>
    <w:p>
      <w:pPr>
        <w:spacing w:after="0" w:line="11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Water is essential to both our operations and the facilities where we discover and manufacture our medicines, and we are committed to using this critical resource more efficiently. We have set new water-related goals for 2030 that include establishing and implementing water management plans for all Lilly sites in water-stressed areas, as well as working to ensure our internal and external manufacturing operations do not adversely impact our waterways as a result of discharges of pharmaceuticals. These goals include:</w:t>
      </w:r>
    </w:p>
    <w:p>
      <w:pPr>
        <w:spacing w:after="0" w:line="94"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Establishing and implementing water management plans for Lilly sites in water-stressed areas.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Ensuring 100% of Lilly sites meet predicted no-effect concentrations (PNEC) for Pharmaceuticals in the Environment.</w:t>
      </w:r>
    </w:p>
    <w:p>
      <w:pPr>
        <w:spacing w:after="0" w:line="113" w:lineRule="exact"/>
        <w:rPr>
          <w:rFonts w:ascii="Arial" w:cs="Arial" w:eastAsia="Arial" w:hAnsi="Arial"/>
          <w:sz w:val="16"/>
          <w:szCs w:val="16"/>
          <w:color w:val="auto"/>
        </w:rPr>
      </w:pPr>
    </w:p>
    <w:p>
      <w:pPr>
        <w:ind w:left="660" w:right="120" w:hanging="328"/>
        <w:spacing w:after="0" w:line="260" w:lineRule="auto"/>
        <w:tabs>
          <w:tab w:leader="none" w:pos="62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Ensuring appropriate controls are in place by Lilly contract manufacturers to prevent discharge of pharmaceuticals in wastewater above applicable PNEC values.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Operate Ethically and Responsibly</w:t>
      </w:r>
    </w:p>
    <w:p>
      <w:pPr>
        <w:spacing w:after="0" w:line="83"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We strive to earn and maintain the trust of people we serve by acting ethically and responsibly. We set high standards for our products, operations and performance, and we show caring and respect for those touched by our work. Our actions are grounded in our company’s core values of integrity, excellence, and respect for people. See “Board Oversight of Strategy, Compliance, and Risk Management—Code of Ethics”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Human Capital Management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and Oversight</w:t>
      </w:r>
    </w:p>
    <w:p>
      <w:pPr>
        <w:spacing w:after="0" w:line="83"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At Lilly,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80"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The board exercises active oversight over our overall talent management process, including human capital management strategies, corporate culture, and DEI programs. The board also oversees the work of its committees in developing corporate policies and frameworks designed to attract, retain, engage, and develop a workforce that aligns with our values and mission. The Compensation Committee advises the board and management on and is responsible for oversight of human capital management, DEI efforts, and employee compensation and benefits matters, and annually reviews our leadership development and succession planning practices. The Directors and Corporate Governance Committee is responsible for identifying and bringing to the attention of the board, as appropriate, current and emerging environmental, social, political, and governance trends and public policy issues that may affect our business operations, performance, or reputation.</w:t>
      </w:r>
    </w:p>
    <w:p>
      <w:pPr>
        <w:spacing w:after="0" w:line="92" w:lineRule="exact"/>
        <w:rPr>
          <w:sz w:val="20"/>
          <w:szCs w:val="20"/>
          <w:color w:val="auto"/>
        </w:rPr>
      </w:pPr>
    </w:p>
    <w:p>
      <w:pPr>
        <w:jc w:val="both"/>
        <w:ind w:right="500"/>
        <w:spacing w:after="0" w:line="237" w:lineRule="auto"/>
        <w:rPr>
          <w:sz w:val="20"/>
          <w:szCs w:val="20"/>
          <w:color w:val="auto"/>
        </w:rPr>
      </w:pPr>
      <w:r>
        <w:rPr>
          <w:rFonts w:ascii="Arial" w:cs="Arial" w:eastAsia="Arial" w:hAnsi="Arial"/>
          <w:sz w:val="16"/>
          <w:szCs w:val="16"/>
          <w:color w:val="auto"/>
        </w:rPr>
        <w:t>The board also oversees human capital management by regularly engaging with management and facilitating a system of reporting that highlights the importance of DEI to Lilly. For example, as part of our commitment to DEI, our board considers the contributions related to DEI of our CEO and other executive committee members when determining their compensation.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00"/>
          </w:cols>
          <w:pgMar w:left="320" w:top="976" w:right="379" w:bottom="1440" w:gutter="0" w:footer="0" w:header="0"/>
        </w:sectPr>
      </w:pPr>
    </w:p>
    <w:bookmarkStart w:id="34" w:name="page35"/>
    <w:bookmarkEnd w:id="34"/>
    <w:p>
      <w:pPr>
        <w:ind w:right="20"/>
        <w:spacing w:after="0" w:line="233" w:lineRule="auto"/>
        <w:rPr>
          <w:sz w:val="20"/>
          <w:szCs w:val="20"/>
          <w:color w:val="auto"/>
        </w:rPr>
      </w:pPr>
      <w:r>
        <w:rPr>
          <w:rFonts w:ascii="Arial" w:cs="Arial" w:eastAsia="Arial" w:hAnsi="Arial"/>
          <w:sz w:val="16"/>
          <w:szCs w:val="16"/>
          <w:color w:val="auto"/>
        </w:rPr>
        <w:t>Our board also oversees the activities of our CEO and executive committee in setting expectations for inclusive leadership and holding leaders accountable for building diverse and inclusive teams. Our CEO receives regular reports from Lilly’s senior vice president for human resources and diversity. In addition, our chief DEI officer is a vice president who also has responsibility for all aspects of talent management in the company, which enables full integration of DEI into our talent systems. The vice president of DEI and talent management reports to the senior vice president for human resources and diversity, who is a member of our executive committee. We believe this system of oversight and reporting by the board and our key executives is critical to our success in fostering an inclusive, supportive, and rewarding workplace.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Measuring Progress on Diversity, Equity, and Inclusion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our differences make a difference—to patients and to our business.</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believe that fostering DEI begins with understanding, and we have approached DEI with the same rigor as our other business-critical priorities. Our Employee Journeys research has yielded important insights about the experiences of women, Black/African American, Latinx, Asian, and LGBTQ+ employees at Lilly. In response to insights from our Employee Journeys research, we developed, among others, an education and awareness program to help build cultural literacy and foster an understanding of employee expectations for feeling psychologically safe at work. More than 3,500 leaders and more than 13,000 employees have participated in required training to gain greater awareness of how unconscious bias and microaggressions can harm team cohesiveness and hurt employee engagement. Our Employee Journeys research has also resulted in growing energy around DEI, with a company-wide network of DEI champions, initiatives, and teams across business areas—and an expanding appreciation of the value of different perspectives. The results of this research are reviewed by our senior leadership, and we deploy actions and activities in response to these insights to improve our workplace and corporate culture.</w:t>
      </w:r>
    </w:p>
    <w:p>
      <w:pPr>
        <w:spacing w:after="0" w:line="9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2020, Lilly and the Lilly Foundation launched the Racial Justice Commitment, with Lilly pledging 25,000 volunteer hours over five years and the Lilly Foundation committing $25 million over five years to help decrease the burden of racial injustice and its effects on communities of color. The Racial Justice Commitment aims to drive change across five areas: internal people development, health equity, social impact, diversity partners, and family sustaining jobs, through the use of financial and people resources. In 2021, we made progress in these efforts, including through the development of two apprenticeship programs at Lilly for individuals without college degrees.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674995" cy="3188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499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Since 2017, we have committed to increasing the number of women, Black/African American, Latinx, and Asian populations in leadership roles, and we actively monitor our progress. From the end of 2017 through the end of 2021, we increased the percentage of women in management globally from 41 percent to 48 percent. For MGM in the U.S. over the same period, we increased management representation from 16 percent to 24 percent. Across all levels of our workforce, from the end of 2017 through the end of 2021, we have seen increased representation for MGMs in the U.S. and women globally.</w:t>
      </w:r>
    </w:p>
    <w:p>
      <w:pPr>
        <w:spacing w:after="0" w:line="94"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Our focus on DEI is also a critical component of our broader corporate governance. Five of fifteen current members (approximately 33 percent) of our executive committee (which includes our CEO) are women and two are MGM. In addition,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830"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as of the date of this proxy statement, the company's 13 directors range in age from 49 to 72 and include four women and six members who are MGMs.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w:t>
      </w:r>
    </w:p>
    <w:p>
      <w:pPr>
        <w:spacing w:after="0" w:line="70"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auto"/>
        </w:rPr>
        <w:t>At Lilly we strive to be leaders in DEI and workplace benefits, and we are honored when we receive recognition for our efforts to improve the lives of our employees. Below are some of our accolades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674995" cy="1594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499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Development</w:t>
      </w:r>
    </w:p>
    <w:p>
      <w:pPr>
        <w:spacing w:after="0" w:line="83"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believe talent begins with the hiring process. We therefore require hiring managers to 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80"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introduced online programming to facilitate access to our learning and development offerings. Many training courses are designed to improve accessibility for people with disabilities and other unique needs. Across Lilly, we are working to design learning experiences to be more inclusive and effective. In addition, we have implemented tools and resources and improved our talent programs and processes to provide broad access to information and transparency regarding career development and advancement at Lilly.</w:t>
      </w:r>
    </w:p>
    <w:p>
      <w:pPr>
        <w:spacing w:after="0" w:line="8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 xml:space="preserve">In early 2022, we launched </w:t>
      </w:r>
      <w:r>
        <w:rPr>
          <w:rFonts w:ascii="Arial" w:cs="Arial" w:eastAsia="Arial" w:hAnsi="Arial"/>
          <w:sz w:val="16"/>
          <w:szCs w:val="16"/>
          <w:b w:val="1"/>
          <w:bCs w:val="1"/>
          <w:i w:val="1"/>
          <w:iCs w:val="1"/>
          <w:color w:val="auto"/>
        </w:rPr>
        <w:t>Discover</w:t>
      </w:r>
      <w:r>
        <w:rPr>
          <w:rFonts w:ascii="Arial" w:cs="Arial" w:eastAsia="Arial" w:hAnsi="Arial"/>
          <w:sz w:val="16"/>
          <w:szCs w:val="16"/>
          <w:color w:val="auto"/>
        </w:rPr>
        <w:t>, a 12-month new employee onboarding program with multiple touchpoints designed to foster integration into the Lilly culture, to accelerate learning in their new roles and to create connections to further a sense of belonging at Lilly. Discover was shaped in part by external benchmarking, feedback from employees and learnings from onboarding remotely during the COVID-19 pandemic.</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Employee resource groups (ERGs) are another important component of developing talent at Lilly. We currently have 11 ERGs representing groups including women, MGMs,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93"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We have continued our efforts to create an inclusive workplace with the goal of ensuring that all employees feel safe to speak up and share their ideas at work. Our Make it Safe to Thrive education and awareness program is designed to help employees and leaders understand how individual psychological safety can be created and enhanced and includes live and online training and a monthly video series.</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Lilly is committed to fostering a culture of diversity and respect in the workplace—an environment free of discrimination, harassment, or retaliation of any kind. In 2022, as part of our annual review of The Red Book and related policies and procedures, we revised the Global Conduct in the Workplace procedure to continue to help ensure that we maintain a respectful, safe, inclusive, and professional workplace.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Benefits, and Pay Equity</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our rewards programs vary around the world, we take a holistic approach to employee benefits. These may include flexible work arrangements, on-site conveniences, such as cafes, fitness centers, child development centers, competitive time-off programs, retirement benefits, and health and disability programs that are available to eligible employees when they need support. We are committed to rewarding, supporting, and developing our employees who make it possible to fulfill our mission to unite caring with discovery to create medicines that make life better for people around the world.</w:t>
      </w:r>
    </w:p>
    <w:p>
      <w:pPr>
        <w:spacing w:after="0" w:line="9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are also committed to ensuring pay is administered equitably across our workforce. For more than 20 years, we have regularly conducted pay equity studies of our workforce in the U.S. and have more recently started conducting studies of our workforce outside of the U.S. While infrequent, we have made pay adjustments as warranted based on these analyses. We believe that pay equity is critical to our success in supporting a global, diverse, and inclusive workforce.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843"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Employee Health and Safety</w:t>
      </w:r>
    </w:p>
    <w:p>
      <w:pPr>
        <w:spacing w:after="0" w:line="56"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As the COVID-19 pandemic has evolved, we have taken various measures to protect and support the health and safety of our employees globally, including instituting travel restrictions and work-from-home arrangements, offering onsite testing and vaccination options where possible, and instituting safety precautions such as masking, social distancing, and enhanced cleaning practices. To support employee well-being in the U.S., we also enhanced local benefits related to health care, childcare, and time off. We believe this holistic approach and dedication to safety helps us be our best as we deliver on our company purpose to improve lives around the world.</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Political and Policy Participation</w:t>
      </w:r>
    </w:p>
    <w:p>
      <w:pPr>
        <w:spacing w:after="0" w:line="8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As a biopharmaceutical company that develops treatment for serious diseases, we believe it is important for our company to be a responsible participant in global political and public policy debates. Our engagement in the political arena helps ensure that patients have access to needed medications. Through public policy engagement, we provide a way for all our locations globally to offer Lilly’s perspective on the political environment in a manner that supports access to innovative medicines and a way to engage on issues specific to local business environments.</w:t>
      </w:r>
    </w:p>
    <w:p>
      <w:pPr>
        <w:spacing w:after="0" w:line="9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our senior vice president, corporate affairs, and communications,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87"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color w:val="auto"/>
        </w:rPr>
        <w:t>In particular, our board is deeply engaged in oversight over Lilly’s approach to drug pricing and access. Guided by this active oversight, Lilly has taken numerous steps to address drug pricing and access concerns. For example, Lilly introduced two additional lower-priced versions of Humalog in January 2020 and added the Lilly Insulin Value Program to Lilly’s comprehensive suite of insulin affordability solutions in September 2020, which now enables customers with commercial insurance or no insurance to purchase their monthly prescription of all Lilly insulins for $35. In addition, in September 2021, the company announced that it lowered the list price of all Lilly’s non-branded insulins, including Insulin Lispro Injection, by an additional 40% in the U.S. effective January 1, 2022, effectively reducing its list price to 2008 levels. These examples, among others, demonstrate Lilly’s commitment to providing effective oversight over drug pricing and access.</w:t>
      </w:r>
    </w:p>
    <w:p>
      <w:pPr>
        <w:spacing w:after="0" w:line="105"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We provide information on our website related to direct company contributions and LillyPAC contributions to support candidates for political office, political parties, officials, or committees in the U.S., as well as information regarding our trade association memberships and the company's oversight of these activities. In response to input from our stakeholders, we have reviewed and enhanced the information available on our corporate website and plan to continue to engage with stakeholders on this topic.</w:t>
      </w:r>
    </w:p>
    <w:p>
      <w:pPr>
        <w:spacing w:after="0" w:line="109"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Board Education and Annual Performance Assessment</w:t>
      </w:r>
    </w:p>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company provides a comprehensive orientation process for incoming directors. Directors also attend regular continuing education sessions on areas of relevance or importance to our company, and we hold periodic mandatory training sessions for the Audit Committee.</w:t>
      </w:r>
    </w:p>
    <w:p>
      <w:pPr>
        <w:spacing w:after="0" w:line="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Every year, the Directors and Corporate Governance Committee, together with the chair and the lead independent director, conducts a robust assessment of the performance of the board and board committees, and of all board processes, based on input from all directors. We also conduct an annual assessment of each director's performance, and every three years we conduct a detailed review of individual director performance when considering whether to nominate the director to a new three-year term.</w:t>
      </w:r>
    </w:p>
    <w:p>
      <w:pPr>
        <w:spacing w:after="0" w:line="123"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Conflicts of Interest and Transactions with Related Persons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Conflicts of Interest</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9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the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976"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company is relevant. In addition, directors must follow the internal conflict of interest policies and procedures of each such organization.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 and Approval of Transactions with Related Persons</w:t>
      </w:r>
    </w:p>
    <w:p>
      <w:pPr>
        <w:spacing w:after="0" w:line="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 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w:t>
      </w:r>
    </w:p>
    <w:p>
      <w:pPr>
        <w:spacing w:after="0" w:line="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spacing w:after="0" w:line="94"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business rationale for entering into the transaction;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purpose of, and potential benefits to the company of, the transaction;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alternatives to entering into a related person transaction;</w:t>
      </w:r>
    </w:p>
    <w:p>
      <w:pPr>
        <w:spacing w:after="0" w:line="113" w:lineRule="exact"/>
        <w:rPr>
          <w:rFonts w:ascii="Arial" w:cs="Arial" w:eastAsia="Arial" w:hAnsi="Arial"/>
          <w:sz w:val="16"/>
          <w:szCs w:val="16"/>
          <w:color w:val="auto"/>
        </w:rPr>
      </w:pPr>
    </w:p>
    <w:p>
      <w:pPr>
        <w:ind w:left="660" w:right="600" w:hanging="328"/>
        <w:spacing w:after="0" w:line="260" w:lineRule="auto"/>
        <w:tabs>
          <w:tab w:leader="none" w:pos="6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whether the transaction is on terms comparable to those available to third parties, or in the case of employment relationships, to employees generally;</w:t>
      </w:r>
    </w:p>
    <w:p>
      <w:pPr>
        <w:spacing w:after="0" w:line="87" w:lineRule="exact"/>
        <w:rPr>
          <w:rFonts w:ascii="Arial" w:cs="Arial" w:eastAsia="Arial" w:hAnsi="Arial"/>
          <w:sz w:val="16"/>
          <w:szCs w:val="16"/>
          <w:color w:val="auto"/>
        </w:rPr>
      </w:pPr>
    </w:p>
    <w:p>
      <w:pPr>
        <w:ind w:left="660" w:right="120" w:hanging="328"/>
        <w:spacing w:after="0" w:line="260" w:lineRule="auto"/>
        <w:tabs>
          <w:tab w:leader="none" w:pos="6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potential for the transaction to lead to an actual or apparent conflict of interest and any safeguards imposed to prevent such actual or apparent conflicts;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overall fairness of the transaction to the company;</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approximate dollar value of the amount involved in the transaction, particularly as it relates to the related person;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related person’s interest in the transaction; and</w:t>
      </w:r>
    </w:p>
    <w:p>
      <w:pPr>
        <w:spacing w:after="0" w:line="113" w:lineRule="exact"/>
        <w:rPr>
          <w:rFonts w:ascii="Arial" w:cs="Arial" w:eastAsia="Arial" w:hAnsi="Arial"/>
          <w:sz w:val="16"/>
          <w:szCs w:val="16"/>
          <w:color w:val="auto"/>
        </w:rPr>
      </w:pPr>
    </w:p>
    <w:p>
      <w:pPr>
        <w:ind w:left="660" w:right="820" w:hanging="328"/>
        <w:spacing w:after="0" w:line="260" w:lineRule="auto"/>
        <w:tabs>
          <w:tab w:leader="none" w:pos="6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information regarding the transaction or the related person that would be material to the company’s shareholders in light of the circumstances of the particular transaction.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w:t>
      </w:r>
    </w:p>
    <w:p>
      <w:pPr>
        <w:spacing w:after="0" w:line="89" w:lineRule="exact"/>
        <w:rPr>
          <w:sz w:val="20"/>
          <w:szCs w:val="20"/>
          <w:color w:val="auto"/>
        </w:rPr>
      </w:pPr>
    </w:p>
    <w:p>
      <w:pPr>
        <w:ind w:left="660" w:right="100" w:hanging="328"/>
        <w:spacing w:after="0" w:line="253" w:lineRule="auto"/>
        <w:tabs>
          <w:tab w:leader="none" w:pos="6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Senior Vice President, General Counsel and Secretary.</w:t>
      </w:r>
    </w:p>
    <w:p>
      <w:pPr>
        <w:spacing w:after="0" w:line="93" w:lineRule="exact"/>
        <w:rPr>
          <w:rFonts w:ascii="Arial" w:cs="Arial" w:eastAsia="Arial" w:hAnsi="Arial"/>
          <w:sz w:val="16"/>
          <w:szCs w:val="16"/>
          <w:color w:val="auto"/>
        </w:rPr>
      </w:pPr>
    </w:p>
    <w:p>
      <w:pPr>
        <w:ind w:left="660" w:right="160" w:hanging="328"/>
        <w:spacing w:after="0" w:line="253" w:lineRule="auto"/>
        <w:tabs>
          <w:tab w:leader="none" w:pos="6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spacing w:after="0" w:line="93" w:lineRule="exact"/>
        <w:rPr>
          <w:rFonts w:ascii="Arial" w:cs="Arial" w:eastAsia="Arial" w:hAnsi="Arial"/>
          <w:sz w:val="16"/>
          <w:szCs w:val="16"/>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 director is involved in the transaction, he or she will be recused from all discussions and decisions relating to the transaction.</w:t>
      </w:r>
    </w:p>
    <w:p>
      <w:pPr>
        <w:spacing w:after="0" w:line="113" w:lineRule="exact"/>
        <w:rPr>
          <w:rFonts w:ascii="Arial" w:cs="Arial" w:eastAsia="Arial" w:hAnsi="Arial"/>
          <w:sz w:val="16"/>
          <w:szCs w:val="16"/>
          <w:color w:val="auto"/>
        </w:rPr>
      </w:pPr>
    </w:p>
    <w:p>
      <w:pPr>
        <w:ind w:left="660" w:right="80" w:hanging="328"/>
        <w:spacing w:after="0" w:line="253" w:lineRule="auto"/>
        <w:tabs>
          <w:tab w:leader="none" w:pos="6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w:t>
      </w:r>
    </w:p>
    <w:p>
      <w:pPr>
        <w:spacing w:after="0" w:line="93" w:lineRule="exact"/>
        <w:rPr>
          <w:rFonts w:ascii="Arial" w:cs="Arial" w:eastAsia="Arial" w:hAnsi="Arial"/>
          <w:sz w:val="16"/>
          <w:szCs w:val="16"/>
          <w:color w:val="auto"/>
        </w:rPr>
      </w:pPr>
    </w:p>
    <w:p>
      <w:pPr>
        <w:ind w:left="660" w:right="120" w:hanging="328"/>
        <w:spacing w:after="0" w:line="260" w:lineRule="auto"/>
        <w:tabs>
          <w:tab w:leader="none" w:pos="6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Directors and Corporate Governance Committee or such other independent body may impose such conditions as it deems appropriate on the company or the related person in connection with the approval of the related person transaction.</w:t>
      </w:r>
    </w:p>
    <w:p>
      <w:pPr>
        <w:spacing w:after="0" w:line="87" w:lineRule="exact"/>
        <w:rPr>
          <w:rFonts w:ascii="Arial" w:cs="Arial" w:eastAsia="Arial" w:hAnsi="Arial"/>
          <w:sz w:val="16"/>
          <w:szCs w:val="16"/>
          <w:color w:val="auto"/>
        </w:rPr>
      </w:pPr>
    </w:p>
    <w:p>
      <w:pPr>
        <w:ind w:left="660" w:right="100" w:hanging="328"/>
        <w:spacing w:after="0" w:line="260" w:lineRule="auto"/>
        <w:tabs>
          <w:tab w:leader="none" w:pos="6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spacing w:after="0" w:line="87"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The Directors and Corporate Governance Committee or another independent body of the board retains the right to review and ratify related person transactions. In addition, the Directors and Corporate Governance Committee or such other</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80"/>
          </w:cols>
          <w:pgMar w:left="320" w:top="843" w:right="399" w:bottom="1440" w:gutter="0" w:footer="0" w:header="0"/>
        </w:sectPr>
      </w:pPr>
    </w:p>
    <w:bookmarkStart w:id="38" w:name="page39"/>
    <w:bookmarkEnd w:id="38"/>
    <w:p>
      <w:pPr>
        <w:ind w:right="20"/>
        <w:spacing w:after="0" w:line="260" w:lineRule="auto"/>
        <w:rPr>
          <w:sz w:val="20"/>
          <w:szCs w:val="20"/>
          <w:color w:val="auto"/>
        </w:rPr>
      </w:pPr>
      <w:r>
        <w:rPr>
          <w:rFonts w:ascii="Arial" w:cs="Arial" w:eastAsia="Arial" w:hAnsi="Arial"/>
          <w:sz w:val="16"/>
          <w:szCs w:val="16"/>
          <w:color w:val="auto"/>
        </w:rPr>
        <w:t>independent body may take or cause to be taken additional actions including, but not limited to, immediate discontinuation or rescission of the transaction, or modification of the transaction.</w:t>
      </w:r>
    </w:p>
    <w:p>
      <w:pPr>
        <w:spacing w:after="0" w:line="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August 23, 2021, the company entered into a multi-year research collaboration and licensing agreement with Lycia Therapeutics, Inc. (Lycia). Dr. Bertozzi, a former member of our board, is the academic founder of Lycia and held an approximate 10.1 percent ownership interest therein as of August 23, 2021. The transaction was approved in accordance with Lilly’s related persons transactions policy and Dr. Bertozzi did not participate in any discussions or votes relating to the transaction. Immediately upon the company’s entry into the collaboration and licensing agreement, Dr. Bertozzi resigned from our board. Lycia received an upfront payment of $35 million during the year ended December 31, 2021, and is eligible to receive over $1.6 billion in potential milestone payments based on the achievement of prespecified preclinical, development and commercial milestones, as well as tiered royalties from mid-single to low double-digits on sales resulting from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Communication with the 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You may send written communications to members of the board, including independent directors, addressed to: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Eli Lilly and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Lilly Corporate Center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 46285</w:t>
      </w:r>
    </w:p>
    <w:p>
      <w:pPr>
        <w:spacing w:after="0" w:line="345"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Shareholder Engagement on Governance Issues</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To ensure that a variety of perspectives are thoughtfully considered on several issues, each year the company engages large shareholders and other key constituents to discuss areas of interest or concern related to corporate governance, as well as any specific issues for the coming proxy season. Since our 2021 annual meeting of shareholders, we have spoken with a number of investors on an array of subjects, including board leadership; environmental, social and governance topics; drug pricing transparency and global access to our products; product quality and safety; key enterprise risks; executive compensation; DEI; and human capital management.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Compensation Committee, and our Directors and Corporate Governance Committee, and it was a key input into board discussions on corporate governance topics. As a result of these discussions and its own deliberations, the board decided to recommend in favor of the three management proposals described below. We are committed to continuing to engage with our investors to ensure that their diverse perspectives on corporate governance and other issues are thoughtfully considered.</w:t>
      </w:r>
    </w:p>
    <w:p>
      <w:pPr>
        <w:spacing w:after="0" w:line="183"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Management Proposals to Eliminate Classified Board, Supermajority Voting Requirements and to Give Shareholders the Ability to Amend the Company's Bylaws</w:t>
      </w:r>
    </w:p>
    <w:p>
      <w:pPr>
        <w:spacing w:after="0" w:line="2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Each year between 2007 and 2012, and again from 2019 through 2021, our management put forward proposals to eliminate the company's classified board structure. The proposals did not pass because they failed to receive a "supermajority vote" of 80 percent of the outstanding shares of our common stock, as required in the company's articles of incorporation. In addition, each year from 2010 through 2012, and again from 2018 through 2021, we submitted management proposals to eliminate the supermajority voting requirements. Those proposals also did not receive the required 80 percent vote.</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Prior to 2012, these proposals received support ranging from 72 to 77 percent of our outstanding shares. In 2012, the vote in support of these proposals was approximately 63 percent of our outstanding shares, driven in part by a 2012 NYSE rule revision prohibiting brokers from voting their clients' shares on corporate governance matters absent specific instructions from such clients. In 2018, 2019, 2020, and 2021, the vote in support was approximately 62, 66, 69, and 70 percent of our outstanding shares, respectively.</w:t>
      </w:r>
    </w:p>
    <w:p>
      <w:pPr>
        <w:spacing w:after="0" w:line="9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After considering the interests of the company and our shareholders, we have resubmitted for consideration at the Annual Meeting management proposals to eliminate the classified board structure and supermajority voting requirements (see Items 4 and 5).</w:t>
      </w:r>
    </w:p>
    <w:p>
      <w:pPr>
        <w:spacing w:after="0" w:line="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articles of incorporation and bylaws currently do not allow shareholders to amend the bylaws. This position reflects the default under Indiana law, which reserves the exclusive authority to amend the bylaws to the board of directors. After considering feedback from our shareholders, we are submitting a management proposal to amend our articles of incorporation to give shareholders the ability to amend our bylaws (see Item 6).</w:t>
      </w:r>
    </w:p>
    <w:p>
      <w:pPr>
        <w:spacing w:after="0" w:line="93"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We will continue to engage with our shareholders on these and other topics to ensure that we continue to demonstrate strong corporate governance and accountability to shareholders.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843" w:right="3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Shareholder Proposals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Proposals under Rule 14a-8</w:t>
      </w:r>
    </w:p>
    <w:p>
      <w:pPr>
        <w:spacing w:after="0" w:line="66"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 xml:space="preserve">Shareholders interested in submitting a proposal considered for inclusion in the proxy statement for the 2023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 </w:t>
      </w:r>
      <w:r>
        <w:rPr>
          <w:rFonts w:ascii="Arial" w:cs="Arial" w:eastAsia="Arial" w:hAnsi="Arial"/>
          <w:sz w:val="16"/>
          <w:szCs w:val="16"/>
          <w:color w:val="EE2724"/>
        </w:rPr>
        <w:t>shareholderproposals@lilly.com</w:t>
      </w:r>
      <w:r>
        <w:rPr>
          <w:rFonts w:ascii="Arial" w:cs="Arial" w:eastAsia="Arial" w:hAnsi="Arial"/>
          <w:sz w:val="16"/>
          <w:szCs w:val="16"/>
          <w:color w:val="auto"/>
        </w:rPr>
        <w:t>. In general, to be eligible for inclusion in the proxy statement for the 2023 annual meeting, shareholder proposals must be received no later than November 18, 2022.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Shareholder Proposals</w:t>
      </w:r>
    </w:p>
    <w:p>
      <w:pPr>
        <w:spacing w:after="0" w:line="66"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 xml:space="preserve">In addition, under section 1.8 of the company’s bylaws, any shareholder of record wishing to propose any other business (i.e., not pursuant to Rule 14a-8) at the 2023 annual meeting of shareholders must give the company written notice no later than the close of business on November 18, 2022, and no earlier than the close of business on September 19, 2022. However, if the date of the 2023 annual meeting is changed by more than 30 days from May 1, 2023 (the date contemplated for the 2023 annual meeting as set forth in this proxy statement), a shareholder must give the company written notice no later than the close of business on the later of 120 days in advance of the 2023 annual meeting or 10 days following the date we first publicly announce the date of 2023 annual meeting. Any such notice must also comply with the timing, disclosure, procedural and other requirements as set forth in the bylaws. A copy of the bylaws is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Recommendations and Nominations for Director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Recommendations of Director Candidates</w:t>
      </w:r>
    </w:p>
    <w:p>
      <w:pPr>
        <w:spacing w:after="0" w:line="79"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 shareholder who wishes to recommend a director candidate for evaluation should forward the candidate's name and information about the candidate's qualifications to: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Chair of the Directors and Corporate Governance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Lilly Corporate Center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 46285</w:t>
      </w:r>
    </w:p>
    <w:p>
      <w:pPr>
        <w:spacing w:after="0" w:line="113"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The candidate must meet the selection criteria described above under "Governance—Director Qualifications and Nomination Process—Director Qualifications" and must be willing and expressly interested in serving on the board.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Nominations for Director Candidates for Inclusion in the Proxy Statement (“Proxy Access”)</w:t>
      </w:r>
    </w:p>
    <w:p>
      <w:pPr>
        <w:spacing w:after="0" w:line="7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If a shareholder or group of shareholders wishes to nominate one or more director candidates to be included in the proxy statement for the 2023 annual meeting pursuant to the “proxy access” provisions of the company’s bylaws (section 1.10), such shareholder or group of shareholders must give the company written notice no later than the close of business on November 18, 2022, and no earlier than the close of business on October 19, 2022. However, if the date of the 2023 annual meeting is changed by more than 30 days from May 1, 2023 (the date contemplated for the 2023 annual meeting as set forth in this proxy statement), a shareholder must give the company written notice no earlier than 150 days in advance of the date of the 2023 meeting and no later than the close of business on the later of 120 days in advance of the 2023 annual meeting or 10 days following the date we first publicly announce the date of 2023 annual meeting. Any such notice must also comply with the timing, disclosure, procedural, and other requirements as set forth in the bylaws.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Shareholder Nominations for Director Candidates</w:t>
      </w:r>
    </w:p>
    <w:p>
      <w:pPr>
        <w:spacing w:after="0" w:line="7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In addition, under Section 1.9 of the company’s bylaws, any shareholder of record wishing to directly nominate a director candidate at the 2023 annual meeting of shareholders (i.e., to propose a candidate for election who is not otherwise nominated by the board through the recommendation process described above and not pursuant to the “proxy access” provisions described above) must give the company written notice no later than the close of business on November 18, 2022, and no earlier than the close of business on September 19, 2022. However, if the date of the 2023 annual meeting is changed by more than 30 days from May 1, 2023 (the date contemplated for the 2023 annual meeting as set forth in this proxy statement), a shareholder must give the company written notice no later than the close of business on the later of 120 days in advance of the 2023 annual meeting or 10 days following the date we first publicly announce the date of 2023 annual meeting. Any such notice must also comply with the timing, disclosure, procedural and other requirements as set forth in the bylaws. A copy of the bylaws is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know of no other matters to be submitted to shareholders at the Annual Meeting other than the proposals referred to in this proxy statement.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976" w:right="339" w:bottom="1440" w:gutter="0" w:footer="0" w:header="0"/>
        </w:sectPr>
      </w:pPr>
    </w:p>
    <w:bookmarkStart w:id="40" w:name="page41"/>
    <w:bookmarkEnd w:id="40"/>
    <w:p>
      <w:pPr>
        <w:spacing w:after="0"/>
        <w:rPr>
          <w:sz w:val="20"/>
          <w:szCs w:val="20"/>
          <w:color w:val="auto"/>
        </w:rPr>
      </w:pPr>
      <w:r>
        <w:rPr>
          <w:rFonts w:ascii="Arial" w:cs="Arial" w:eastAsia="Arial" w:hAnsi="Arial"/>
          <w:sz w:val="32"/>
          <w:szCs w:val="32"/>
          <w:b w:val="1"/>
          <w:bCs w:val="1"/>
          <w:color w:val="EF3729"/>
        </w:rPr>
        <w:t>Ownership of Company Stock</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Common Stock Ownership by Directors and Executive Officers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 sets forth the number of shares of company common stock beneficially owned by the directors, the named executive officers, and all directors and executive officers as a group, as of February 22, 2022. On February 22, 2022, there were 952,347,126 shares of the company’s common stock outstanding. None of the stock or stock units owned by any of the listed individuals has been pledged as collateral for a loan or other obligation.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3220" w:type="dxa"/>
            <w:vAlign w:val="bottom"/>
            <w:shd w:val="clear" w:color="auto" w:fill="DBDBDB"/>
          </w:tcPr>
          <w:p>
            <w:pPr>
              <w:spacing w:after="0"/>
              <w:rPr>
                <w:sz w:val="24"/>
                <w:szCs w:val="24"/>
                <w:color w:val="auto"/>
              </w:rPr>
            </w:pPr>
          </w:p>
        </w:tc>
        <w:tc>
          <w:tcPr>
            <w:tcW w:w="3100" w:type="dxa"/>
            <w:vAlign w:val="bottom"/>
            <w:gridSpan w:val="2"/>
            <w:shd w:val="clear" w:color="auto" w:fill="DBDBDB"/>
          </w:tcPr>
          <w:p>
            <w:pPr>
              <w:jc w:val="right"/>
              <w:ind w:right="992"/>
              <w:spacing w:after="0"/>
              <w:rPr>
                <w:sz w:val="20"/>
                <w:szCs w:val="20"/>
                <w:color w:val="auto"/>
              </w:rPr>
            </w:pPr>
            <w:r>
              <w:rPr>
                <w:rFonts w:ascii="Arial" w:cs="Arial" w:eastAsia="Arial" w:hAnsi="Arial"/>
                <w:sz w:val="14"/>
                <w:szCs w:val="14"/>
                <w:b w:val="1"/>
                <w:bCs w:val="1"/>
                <w:color w:val="1CA8E1"/>
              </w:rPr>
              <w:t>Common Stock</w:t>
            </w:r>
            <w:r>
              <w:rPr>
                <w:rFonts w:ascii="Arial" w:cs="Arial" w:eastAsia="Arial" w:hAnsi="Arial"/>
                <w:sz w:val="21"/>
                <w:szCs w:val="21"/>
                <w:b w:val="1"/>
                <w:bCs w:val="1"/>
                <w:color w:val="00A1DE"/>
                <w:vertAlign w:val="superscript"/>
              </w:rPr>
              <w:t>1</w:t>
            </w:r>
          </w:p>
        </w:tc>
        <w:tc>
          <w:tcPr>
            <w:tcW w:w="840" w:type="dxa"/>
            <w:vAlign w:val="bottom"/>
            <w:shd w:val="clear" w:color="auto" w:fill="DBDBDB"/>
          </w:tcPr>
          <w:p>
            <w:pPr>
              <w:spacing w:after="0"/>
              <w:rPr>
                <w:sz w:val="24"/>
                <w:szCs w:val="24"/>
                <w:color w:val="auto"/>
              </w:rPr>
            </w:pPr>
          </w:p>
        </w:tc>
        <w:tc>
          <w:tcPr>
            <w:tcW w:w="178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220" w:type="dxa"/>
            <w:vAlign w:val="bottom"/>
            <w:shd w:val="clear" w:color="auto" w:fill="DBDBDB"/>
          </w:tcPr>
          <w:p>
            <w:pPr>
              <w:spacing w:after="0"/>
              <w:rPr>
                <w:sz w:val="23"/>
                <w:szCs w:val="23"/>
                <w:color w:val="auto"/>
              </w:rPr>
            </w:pPr>
          </w:p>
        </w:tc>
        <w:tc>
          <w:tcPr>
            <w:tcW w:w="1360" w:type="dxa"/>
            <w:vAlign w:val="bottom"/>
            <w:shd w:val="clear" w:color="auto" w:fill="DBDBDB"/>
          </w:tcPr>
          <w:p>
            <w:pPr>
              <w:spacing w:after="0"/>
              <w:rPr>
                <w:sz w:val="23"/>
                <w:szCs w:val="23"/>
                <w:color w:val="auto"/>
              </w:rPr>
            </w:pPr>
          </w:p>
        </w:tc>
        <w:tc>
          <w:tcPr>
            <w:tcW w:w="1740" w:type="dxa"/>
            <w:vAlign w:val="bottom"/>
            <w:shd w:val="clear" w:color="auto" w:fill="DBDBDB"/>
          </w:tcPr>
          <w:p>
            <w:pPr>
              <w:jc w:val="center"/>
              <w:ind w:left="52"/>
              <w:spacing w:after="0"/>
              <w:rPr>
                <w:sz w:val="20"/>
                <w:szCs w:val="20"/>
                <w:color w:val="auto"/>
              </w:rPr>
            </w:pPr>
            <w:r>
              <w:rPr>
                <w:rFonts w:ascii="Arial" w:cs="Arial" w:eastAsia="Arial" w:hAnsi="Arial"/>
                <w:sz w:val="14"/>
                <w:szCs w:val="14"/>
                <w:b w:val="1"/>
                <w:bCs w:val="1"/>
                <w:color w:val="1CA8E1"/>
              </w:rPr>
              <w:t>Stock Units</w:t>
            </w:r>
          </w:p>
        </w:tc>
        <w:tc>
          <w:tcPr>
            <w:tcW w:w="840" w:type="dxa"/>
            <w:vAlign w:val="bottom"/>
            <w:shd w:val="clear" w:color="auto" w:fill="DBDBDB"/>
          </w:tcPr>
          <w:p>
            <w:pPr>
              <w:spacing w:after="0"/>
              <w:rPr>
                <w:sz w:val="23"/>
                <w:szCs w:val="23"/>
                <w:color w:val="auto"/>
              </w:rPr>
            </w:pPr>
          </w:p>
        </w:tc>
        <w:tc>
          <w:tcPr>
            <w:tcW w:w="17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Stock Units Not</w:t>
            </w:r>
          </w:p>
        </w:tc>
        <w:tc>
          <w:tcPr>
            <w:tcW w:w="0" w:type="dxa"/>
            <w:vAlign w:val="bottom"/>
          </w:tcPr>
          <w:p>
            <w:pPr>
              <w:spacing w:after="0"/>
              <w:rPr>
                <w:sz w:val="1"/>
                <w:szCs w:val="1"/>
                <w:color w:val="auto"/>
              </w:rPr>
            </w:pPr>
          </w:p>
        </w:tc>
      </w:tr>
      <w:tr>
        <w:trPr>
          <w:trHeight w:val="202"/>
        </w:trPr>
        <w:tc>
          <w:tcPr>
            <w:tcW w:w="3220" w:type="dxa"/>
            <w:vAlign w:val="bottom"/>
            <w:shd w:val="clear" w:color="auto" w:fill="DBDBDB"/>
          </w:tcPr>
          <w:p>
            <w:pPr>
              <w:spacing w:after="0"/>
              <w:rPr>
                <w:sz w:val="17"/>
                <w:szCs w:val="17"/>
                <w:color w:val="auto"/>
              </w:rPr>
            </w:pPr>
          </w:p>
        </w:tc>
        <w:tc>
          <w:tcPr>
            <w:tcW w:w="1360" w:type="dxa"/>
            <w:vAlign w:val="bottom"/>
            <w:vMerge w:val="restart"/>
            <w:shd w:val="clear" w:color="auto" w:fill="DBDBDB"/>
          </w:tcPr>
          <w:p>
            <w:pPr>
              <w:jc w:val="right"/>
              <w:ind w:right="73"/>
              <w:spacing w:after="0"/>
              <w:rPr>
                <w:sz w:val="20"/>
                <w:szCs w:val="20"/>
                <w:color w:val="auto"/>
              </w:rPr>
            </w:pPr>
            <w:r>
              <w:rPr>
                <w:rFonts w:ascii="Arial" w:cs="Arial" w:eastAsia="Arial" w:hAnsi="Arial"/>
                <w:sz w:val="14"/>
                <w:szCs w:val="14"/>
                <w:b w:val="1"/>
                <w:bCs w:val="1"/>
                <w:color w:val="1CA8E1"/>
              </w:rPr>
              <w:t>Shares Owned</w:t>
            </w:r>
            <w:r>
              <w:rPr>
                <w:rFonts w:ascii="Arial" w:cs="Arial" w:eastAsia="Arial" w:hAnsi="Arial"/>
                <w:sz w:val="21"/>
                <w:szCs w:val="21"/>
                <w:b w:val="1"/>
                <w:bCs w:val="1"/>
                <w:color w:val="00A1DE"/>
                <w:vertAlign w:val="superscript"/>
              </w:rPr>
              <w:t>2</w:t>
            </w:r>
          </w:p>
        </w:tc>
        <w:tc>
          <w:tcPr>
            <w:tcW w:w="1740" w:type="dxa"/>
            <w:vAlign w:val="bottom"/>
            <w:shd w:val="clear" w:color="auto" w:fill="DBDBDB"/>
          </w:tcPr>
          <w:p>
            <w:pPr>
              <w:jc w:val="center"/>
              <w:ind w:left="52"/>
              <w:spacing w:after="0"/>
              <w:rPr>
                <w:sz w:val="20"/>
                <w:szCs w:val="20"/>
                <w:color w:val="auto"/>
              </w:rPr>
            </w:pPr>
            <w:r>
              <w:rPr>
                <w:rFonts w:ascii="Arial" w:cs="Arial" w:eastAsia="Arial" w:hAnsi="Arial"/>
                <w:sz w:val="14"/>
                <w:szCs w:val="14"/>
                <w:b w:val="1"/>
                <w:bCs w:val="1"/>
                <w:color w:val="1CA8E1"/>
              </w:rPr>
              <w:t>Distributable Within 60</w:t>
            </w: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Percent of</w:t>
            </w:r>
          </w:p>
        </w:tc>
        <w:tc>
          <w:tcPr>
            <w:tcW w:w="17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Distributable Within 60</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1CA8E1"/>
              </w:rPr>
              <w:t>Beneficial Owners</w:t>
            </w:r>
          </w:p>
        </w:tc>
        <w:tc>
          <w:tcPr>
            <w:tcW w:w="1360" w:type="dxa"/>
            <w:vAlign w:val="bottom"/>
            <w:tcBorders>
              <w:bottom w:val="single" w:sz="8" w:color="DBDBDB"/>
            </w:tcBorders>
            <w:vMerge w:val="continue"/>
            <w:shd w:val="clear" w:color="auto" w:fill="DBDBDB"/>
          </w:tcPr>
          <w:p>
            <w:pPr>
              <w:spacing w:after="0"/>
              <w:rPr>
                <w:sz w:val="17"/>
                <w:szCs w:val="17"/>
                <w:color w:val="auto"/>
              </w:rPr>
            </w:pPr>
          </w:p>
        </w:tc>
        <w:tc>
          <w:tcPr>
            <w:tcW w:w="1740" w:type="dxa"/>
            <w:vAlign w:val="bottom"/>
            <w:tcBorders>
              <w:bottom w:val="single" w:sz="8" w:color="DBDBDB"/>
            </w:tcBorders>
            <w:shd w:val="clear" w:color="auto" w:fill="DBDBDB"/>
          </w:tcPr>
          <w:p>
            <w:pPr>
              <w:jc w:val="center"/>
              <w:ind w:left="52"/>
              <w:spacing w:after="0" w:line="162" w:lineRule="exact"/>
              <w:rPr>
                <w:sz w:val="20"/>
                <w:szCs w:val="20"/>
                <w:color w:val="auto"/>
              </w:rPr>
            </w:pPr>
            <w:r>
              <w:rPr>
                <w:rFonts w:ascii="Arial" w:cs="Arial" w:eastAsia="Arial" w:hAnsi="Arial"/>
                <w:sz w:val="13"/>
                <w:szCs w:val="13"/>
                <w:b w:val="1"/>
                <w:bCs w:val="1"/>
                <w:color w:val="1CA8E1"/>
              </w:rPr>
              <w:t>Days</w:t>
            </w:r>
            <w:r>
              <w:rPr>
                <w:rFonts w:ascii="Arial" w:cs="Arial" w:eastAsia="Arial" w:hAnsi="Arial"/>
                <w:sz w:val="18"/>
                <w:szCs w:val="18"/>
                <w:b w:val="1"/>
                <w:bCs w:val="1"/>
                <w:color w:val="00A1DE"/>
                <w:vertAlign w:val="superscript"/>
              </w:rPr>
              <w:t>3</w:t>
            </w:r>
          </w:p>
        </w:tc>
        <w:tc>
          <w:tcPr>
            <w:tcW w:w="8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1CA8E1"/>
              </w:rPr>
              <w:t>Class</w:t>
            </w:r>
          </w:p>
        </w:tc>
        <w:tc>
          <w:tcPr>
            <w:tcW w:w="1780" w:type="dxa"/>
            <w:vAlign w:val="bottom"/>
            <w:tcBorders>
              <w:bottom w:val="single" w:sz="8" w:color="DBDBDB"/>
            </w:tcBorders>
            <w:shd w:val="clear" w:color="auto" w:fill="DBDBDB"/>
          </w:tcPr>
          <w:p>
            <w:pPr>
              <w:jc w:val="center"/>
              <w:spacing w:after="0" w:line="162" w:lineRule="exact"/>
              <w:rPr>
                <w:sz w:val="20"/>
                <w:szCs w:val="20"/>
                <w:color w:val="auto"/>
              </w:rPr>
            </w:pPr>
            <w:r>
              <w:rPr>
                <w:rFonts w:ascii="Arial" w:cs="Arial" w:eastAsia="Arial" w:hAnsi="Arial"/>
                <w:sz w:val="13"/>
                <w:szCs w:val="13"/>
                <w:b w:val="1"/>
                <w:bCs w:val="1"/>
                <w:color w:val="1CA8E1"/>
              </w:rPr>
              <w:t>Days</w:t>
            </w:r>
            <w:r>
              <w:rPr>
                <w:rFonts w:ascii="Arial" w:cs="Arial" w:eastAsia="Arial" w:hAnsi="Arial"/>
                <w:sz w:val="18"/>
                <w:szCs w:val="18"/>
                <w:b w:val="1"/>
                <w:bCs w:val="1"/>
                <w:color w:val="00A1DE"/>
                <w:vertAlign w:val="superscript"/>
              </w:rPr>
              <w:t>4</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3"/>
                <w:szCs w:val="13"/>
                <w:color w:val="auto"/>
              </w:rPr>
              <w:t>Ralph Alvarez</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51,142</w:t>
            </w:r>
          </w:p>
        </w:tc>
        <w:tc>
          <w:tcPr>
            <w:tcW w:w="0" w:type="dxa"/>
            <w:vAlign w:val="bottom"/>
          </w:tcPr>
          <w:p>
            <w:pPr>
              <w:spacing w:after="0"/>
              <w:rPr>
                <w:sz w:val="1"/>
                <w:szCs w:val="1"/>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3"/>
                <w:szCs w:val="13"/>
                <w:color w:val="auto"/>
              </w:rPr>
              <w:t>Anat Ashkenazi</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31,603</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11,499</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Katherine Baicker, Ph.D.</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21,381</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Michael L. Eskew</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45,237</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J. Erik Fyrwald</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100</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68,742</w:t>
            </w:r>
          </w:p>
        </w:tc>
        <w:tc>
          <w:tcPr>
            <w:tcW w:w="0" w:type="dxa"/>
            <w:vAlign w:val="bottom"/>
          </w:tcPr>
          <w:p>
            <w:pPr>
              <w:spacing w:after="0"/>
              <w:rPr>
                <w:sz w:val="1"/>
                <w:szCs w:val="1"/>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3"/>
                <w:szCs w:val="13"/>
                <w:color w:val="auto"/>
              </w:rPr>
              <w:t>Jamere Jackson</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7,793</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Kimberly H. Johnson</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William G. Kaelin, Jr., M.D.</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19,772</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Juan R. Luciano</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13,537</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Diogo Rau</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20,160</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Arial" w:cs="Arial" w:eastAsia="Arial" w:hAnsi="Arial"/>
                <w:sz w:val="11"/>
                <w:szCs w:val="11"/>
                <w:color w:val="auto"/>
              </w:rPr>
              <w:t>5</w:t>
            </w: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rPr>
                <w:sz w:val="20"/>
                <w:szCs w:val="20"/>
                <w:color w:val="auto"/>
              </w:rPr>
            </w:pPr>
            <w:r>
              <w:rPr>
                <w:rFonts w:ascii="Arial" w:cs="Arial" w:eastAsia="Arial" w:hAnsi="Arial"/>
                <w:sz w:val="13"/>
                <w:szCs w:val="13"/>
                <w:color w:val="auto"/>
              </w:rPr>
              <w:t>David A. Ricks</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561,433</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47,786</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Marschall S. Runge, M.D., Ph.D.</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15,234</w:t>
            </w:r>
          </w:p>
        </w:tc>
        <w:tc>
          <w:tcPr>
            <w:tcW w:w="0" w:type="dxa"/>
            <w:vAlign w:val="bottom"/>
          </w:tcPr>
          <w:p>
            <w:pPr>
              <w:spacing w:after="0"/>
              <w:rPr>
                <w:sz w:val="1"/>
                <w:szCs w:val="1"/>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3"/>
                <w:szCs w:val="13"/>
                <w:color w:val="auto"/>
              </w:rPr>
              <w:t>Daniel Skovronsky, M.D., Ph.D.</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148,559</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Arial" w:cs="Arial" w:eastAsia="Arial" w:hAnsi="Arial"/>
                <w:sz w:val="11"/>
                <w:szCs w:val="11"/>
                <w:color w:val="auto"/>
              </w:rPr>
              <w:t>6</w:t>
            </w: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rPr>
                <w:sz w:val="20"/>
                <w:szCs w:val="20"/>
                <w:color w:val="auto"/>
              </w:rPr>
            </w:pPr>
            <w:r>
              <w:rPr>
                <w:rFonts w:ascii="Arial" w:cs="Arial" w:eastAsia="Arial" w:hAnsi="Arial"/>
                <w:sz w:val="13"/>
                <w:szCs w:val="13"/>
                <w:color w:val="auto"/>
              </w:rPr>
              <w:t>Joshua L. Smiley</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75,865</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Gabrielle Sulzberger</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3"/>
                <w:szCs w:val="13"/>
                <w:color w:val="auto"/>
              </w:rPr>
              <w:t>Jackson P. Tai</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46,936</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15,159</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3"/>
                <w:szCs w:val="13"/>
                <w:color w:val="auto"/>
              </w:rPr>
              <w:t>Jacob Van Naarden</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12,309</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6,403</w:t>
            </w:r>
          </w:p>
        </w:tc>
        <w:tc>
          <w:tcPr>
            <w:tcW w:w="0" w:type="dxa"/>
            <w:vAlign w:val="bottom"/>
          </w:tcPr>
          <w:p>
            <w:pPr>
              <w:spacing w:after="0"/>
              <w:rPr>
                <w:sz w:val="1"/>
                <w:szCs w:val="1"/>
                <w:color w:val="auto"/>
              </w:rPr>
            </w:pPr>
          </w:p>
        </w:tc>
      </w:tr>
      <w:tr>
        <w:trPr>
          <w:trHeight w:val="256"/>
        </w:trPr>
        <w:tc>
          <w:tcPr>
            <w:tcW w:w="3220" w:type="dxa"/>
            <w:vAlign w:val="bottom"/>
          </w:tcPr>
          <w:p>
            <w:pPr>
              <w:ind w:left="20"/>
              <w:spacing w:after="0"/>
              <w:rPr>
                <w:sz w:val="20"/>
                <w:szCs w:val="20"/>
                <w:color w:val="auto"/>
              </w:rPr>
            </w:pPr>
            <w:r>
              <w:rPr>
                <w:rFonts w:ascii="Arial" w:cs="Arial" w:eastAsia="Arial" w:hAnsi="Arial"/>
                <w:sz w:val="13"/>
                <w:szCs w:val="13"/>
                <w:color w:val="auto"/>
              </w:rPr>
              <w:t>Karen Walker</w:t>
            </w:r>
          </w:p>
        </w:tc>
        <w:tc>
          <w:tcPr>
            <w:tcW w:w="13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740" w:type="dxa"/>
            <w:vAlign w:val="bottom"/>
          </w:tcPr>
          <w:p>
            <w:pPr>
              <w:jc w:val="center"/>
              <w:ind w:left="52"/>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472"/>
              <w:spacing w:after="0"/>
              <w:rPr>
                <w:sz w:val="20"/>
                <w:szCs w:val="20"/>
                <w:color w:val="auto"/>
              </w:rPr>
            </w:pPr>
            <w:r>
              <w:rPr>
                <w:rFonts w:ascii="Arial" w:cs="Arial" w:eastAsia="Arial" w:hAnsi="Arial"/>
                <w:sz w:val="13"/>
                <w:szCs w:val="13"/>
                <w:color w:val="auto"/>
              </w:rPr>
              <w:t>4,967</w:t>
            </w:r>
          </w:p>
        </w:tc>
        <w:tc>
          <w:tcPr>
            <w:tcW w:w="0" w:type="dxa"/>
            <w:vAlign w:val="bottom"/>
          </w:tcPr>
          <w:p>
            <w:pPr>
              <w:spacing w:after="0"/>
              <w:rPr>
                <w:sz w:val="1"/>
                <w:szCs w:val="1"/>
                <w:color w:val="auto"/>
              </w:rPr>
            </w:pPr>
          </w:p>
        </w:tc>
      </w:tr>
      <w:tr>
        <w:trPr>
          <w:trHeight w:val="28"/>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E6E6E6"/>
          </w:tcPr>
          <w:p>
            <w:pPr>
              <w:jc w:val="right"/>
              <w:ind w:right="72"/>
              <w:spacing w:after="0"/>
              <w:rPr>
                <w:sz w:val="20"/>
                <w:szCs w:val="20"/>
                <w:color w:val="auto"/>
              </w:rPr>
            </w:pPr>
            <w:r>
              <w:rPr>
                <w:rFonts w:ascii="Arial" w:cs="Arial" w:eastAsia="Arial" w:hAnsi="Arial"/>
                <w:sz w:val="14"/>
                <w:szCs w:val="14"/>
                <w:b w:val="1"/>
                <w:bCs w:val="1"/>
                <w:color w:val="1CA8E1"/>
              </w:rPr>
              <w:t>All directors and current executive officers</w:t>
            </w:r>
          </w:p>
        </w:tc>
        <w:tc>
          <w:tcPr>
            <w:tcW w:w="1360" w:type="dxa"/>
            <w:vAlign w:val="bottom"/>
            <w:shd w:val="clear" w:color="auto" w:fill="E6E6E6"/>
          </w:tcPr>
          <w:p>
            <w:pPr>
              <w:spacing w:after="0"/>
              <w:rPr>
                <w:sz w:val="23"/>
                <w:szCs w:val="23"/>
                <w:color w:val="auto"/>
              </w:rPr>
            </w:pPr>
          </w:p>
        </w:tc>
        <w:tc>
          <w:tcPr>
            <w:tcW w:w="174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17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E6E6E6"/>
          </w:tcPr>
          <w:p>
            <w:pPr>
              <w:jc w:val="right"/>
              <w:ind w:right="72"/>
              <w:spacing w:after="0"/>
              <w:rPr>
                <w:sz w:val="20"/>
                <w:szCs w:val="20"/>
                <w:color w:val="auto"/>
              </w:rPr>
            </w:pPr>
            <w:r>
              <w:rPr>
                <w:rFonts w:ascii="Arial" w:cs="Arial" w:eastAsia="Arial" w:hAnsi="Arial"/>
                <w:sz w:val="14"/>
                <w:szCs w:val="14"/>
                <w:b w:val="1"/>
                <w:bCs w:val="1"/>
                <w:color w:val="1CA8E1"/>
              </w:rPr>
              <w:t>as a group (27 people):</w:t>
            </w:r>
          </w:p>
        </w:tc>
        <w:tc>
          <w:tcPr>
            <w:tcW w:w="1360" w:type="dxa"/>
            <w:vAlign w:val="bottom"/>
            <w:shd w:val="clear" w:color="auto" w:fill="E6E6E6"/>
          </w:tcPr>
          <w:p>
            <w:pPr>
              <w:jc w:val="right"/>
              <w:ind w:right="433"/>
              <w:spacing w:after="0"/>
              <w:rPr>
                <w:sz w:val="20"/>
                <w:szCs w:val="20"/>
                <w:color w:val="auto"/>
              </w:rPr>
            </w:pPr>
            <w:r>
              <w:rPr>
                <w:rFonts w:ascii="Arial" w:cs="Arial" w:eastAsia="Arial" w:hAnsi="Arial"/>
                <w:sz w:val="14"/>
                <w:szCs w:val="14"/>
                <w:b w:val="1"/>
                <w:bCs w:val="1"/>
                <w:color w:val="1CA8E1"/>
              </w:rPr>
              <w:t>1,171,778</w:t>
            </w:r>
          </w:p>
        </w:tc>
        <w:tc>
          <w:tcPr>
            <w:tcW w:w="1740" w:type="dxa"/>
            <w:vAlign w:val="bottom"/>
            <w:shd w:val="clear" w:color="auto" w:fill="E6E6E6"/>
          </w:tcPr>
          <w:p>
            <w:pPr>
              <w:jc w:val="right"/>
              <w:spacing w:after="0"/>
              <w:rPr>
                <w:sz w:val="20"/>
                <w:szCs w:val="20"/>
                <w:color w:val="auto"/>
              </w:rPr>
            </w:pPr>
            <w:r>
              <w:rPr>
                <w:rFonts w:ascii="Arial" w:cs="Arial" w:eastAsia="Arial" w:hAnsi="Arial"/>
                <w:sz w:val="14"/>
                <w:szCs w:val="14"/>
                <w:b w:val="1"/>
                <w:bCs w:val="1"/>
                <w:color w:val="1CA8E1"/>
              </w:rPr>
              <w:t>7,929</w:t>
            </w:r>
          </w:p>
        </w:tc>
        <w:tc>
          <w:tcPr>
            <w:tcW w:w="840" w:type="dxa"/>
            <w:vAlign w:val="bottom"/>
            <w:shd w:val="clear" w:color="auto" w:fill="E6E6E6"/>
          </w:tcPr>
          <w:p>
            <w:pPr>
              <w:jc w:val="center"/>
              <w:spacing w:after="0"/>
              <w:rPr>
                <w:sz w:val="20"/>
                <w:szCs w:val="20"/>
                <w:color w:val="auto"/>
              </w:rPr>
            </w:pPr>
            <w:r>
              <w:rPr>
                <w:rFonts w:ascii="Arial" w:cs="Arial" w:eastAsia="Arial" w:hAnsi="Arial"/>
                <w:sz w:val="14"/>
                <w:szCs w:val="14"/>
                <w:b w:val="1"/>
                <w:bCs w:val="1"/>
                <w:color w:val="1CA8E1"/>
              </w:rPr>
              <w:t>*</w:t>
            </w:r>
          </w:p>
        </w:tc>
        <w:tc>
          <w:tcPr>
            <w:tcW w:w="1780" w:type="dxa"/>
            <w:vAlign w:val="bottom"/>
            <w:shd w:val="clear" w:color="auto" w:fill="E6E6E6"/>
          </w:tcPr>
          <w:p>
            <w:pPr>
              <w:jc w:val="right"/>
              <w:ind w:right="472"/>
              <w:spacing w:after="0"/>
              <w:rPr>
                <w:sz w:val="20"/>
                <w:szCs w:val="20"/>
                <w:color w:val="auto"/>
              </w:rPr>
            </w:pPr>
            <w:r>
              <w:rPr>
                <w:rFonts w:ascii="Arial" w:cs="Arial" w:eastAsia="Arial" w:hAnsi="Arial"/>
                <w:sz w:val="14"/>
                <w:szCs w:val="14"/>
                <w:b w:val="1"/>
                <w:bCs w:val="1"/>
                <w:color w:val="1CA8E1"/>
              </w:rPr>
              <w:t>424,724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 Less than 1.0 percent of the outstanding common stock of the company.</w:t>
      </w:r>
    </w:p>
    <w:p>
      <w:pPr>
        <w:spacing w:after="0" w:line="13" w:lineRule="exact"/>
        <w:rPr>
          <w:sz w:val="20"/>
          <w:szCs w:val="20"/>
          <w:color w:val="auto"/>
        </w:rPr>
      </w:pPr>
    </w:p>
    <w:p>
      <w:pPr>
        <w:ind w:right="220" w:firstLine="8"/>
        <w:spacing w:after="0" w:line="218" w:lineRule="auto"/>
        <w:tabs>
          <w:tab w:leader="none" w:pos="86" w:val="left"/>
        </w:tabs>
        <w:numPr>
          <w:ilvl w:val="0"/>
          <w:numId w:val="50"/>
        </w:numPr>
        <w:rPr>
          <w:rFonts w:ascii="Arial" w:cs="Arial" w:eastAsia="Arial" w:hAnsi="Arial"/>
          <w:sz w:val="18"/>
          <w:szCs w:val="18"/>
          <w:color w:val="auto"/>
          <w:vertAlign w:val="superscript"/>
        </w:rPr>
      </w:pPr>
      <w:r>
        <w:rPr>
          <w:rFonts w:ascii="Arial" w:cs="Arial" w:eastAsia="Arial" w:hAnsi="Arial"/>
          <w:sz w:val="13"/>
          <w:szCs w:val="13"/>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ind w:right="30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This column includes the number of shares of common stock held directly or indirectly, including the number of 401(k) Plan shares held by the beneficial owners indirectly through the 401(k) Plan.</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This column sets forth restricted stock units that vest within 60 days of February 22, 2022.</w:t>
      </w:r>
    </w:p>
    <w:p>
      <w:pPr>
        <w:ind w:right="4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For the executive officers, this column reflects restricted stock units that will not vest within 60 days of February 22, 2022. For the non-employee directors, this column reflects the number of units representing the right to receive shares of company stock credited to the directors' accounts in the Lilly Directors' Deferral Plan.</w:t>
      </w:r>
    </w:p>
    <w:p>
      <w:pPr>
        <w:ind w:right="16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The shares shown for Mr. Ricks include 23,030 shares that are owned by a family foundation for which he is a director. Mr. Ricks has shared voting power and shared investment power with respect to the shares held by the foundation.</w:t>
      </w:r>
    </w:p>
    <w:p>
      <w:pPr>
        <w:ind w:right="16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6</w:t>
      </w:r>
      <w:r>
        <w:rPr>
          <w:rFonts w:ascii="Arial" w:cs="Arial" w:eastAsia="Arial" w:hAnsi="Arial"/>
          <w:sz w:val="13"/>
          <w:szCs w:val="13"/>
          <w:color w:val="auto"/>
        </w:rPr>
        <w:t xml:space="preserve"> Mr. Smiley resigned from his officer position on February 9, 2021. His share information is as of December 31, 2021, and his shares are excluded in the total for all directors and current executive officers as a group.</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129" w:right="35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1A3A6C"/>
        </w:rPr>
        <w:t>Common Stock Ownership of Certain Beneficial Holders</w:t>
      </w:r>
    </w:p>
    <w:p>
      <w:pPr>
        <w:spacing w:after="0" w:line="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sets forth the number of shares of company common stock beneficially owned as of December 31, 2021, unless otherwise indicated, by each person known to the company to beneficially own more than 5 percent of the outstanding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71120</wp:posOffset>
            </wp:positionV>
            <wp:extent cx="443166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31665" cy="300355"/>
                    </a:xfrm>
                    <a:prstGeom prst="rect">
                      <a:avLst/>
                    </a:prstGeom>
                    <a:noFill/>
                  </pic:spPr>
                </pic:pic>
              </a:graphicData>
            </a:graphic>
          </wp:anchor>
        </w:drawing>
      </w:r>
    </w:p>
    <w:p>
      <w:pPr>
        <w:spacing w:after="0" w:line="92"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60" w:type="dxa"/>
            <w:vAlign w:val="bottom"/>
          </w:tcPr>
          <w:p>
            <w:pPr>
              <w:jc w:val="center"/>
              <w:ind w:right="44"/>
              <w:spacing w:after="0"/>
              <w:rPr>
                <w:sz w:val="20"/>
                <w:szCs w:val="20"/>
                <w:color w:val="auto"/>
              </w:rPr>
            </w:pPr>
            <w:r>
              <w:rPr>
                <w:rFonts w:ascii="Arial" w:cs="Arial" w:eastAsia="Arial" w:hAnsi="Arial"/>
                <w:sz w:val="16"/>
                <w:szCs w:val="16"/>
                <w:b w:val="1"/>
                <w:bCs w:val="1"/>
                <w:color w:val="1CA8E1"/>
              </w:rPr>
              <w:t>Number of Shares</w:t>
            </w:r>
          </w:p>
        </w:tc>
        <w:tc>
          <w:tcPr>
            <w:tcW w:w="1860" w:type="dxa"/>
            <w:vAlign w:val="bottom"/>
            <w:vMerge w:val="restart"/>
          </w:tcPr>
          <w:p>
            <w:pPr>
              <w:jc w:val="center"/>
              <w:ind w:left="166"/>
              <w:spacing w:after="0"/>
              <w:rPr>
                <w:sz w:val="20"/>
                <w:szCs w:val="20"/>
                <w:color w:val="auto"/>
              </w:rPr>
            </w:pPr>
            <w:r>
              <w:rPr>
                <w:rFonts w:ascii="Arial" w:cs="Arial" w:eastAsia="Arial" w:hAnsi="Arial"/>
                <w:sz w:val="16"/>
                <w:szCs w:val="16"/>
                <w:b w:val="1"/>
                <w:bCs w:val="1"/>
                <w:color w:val="1CA8E1"/>
                <w:w w:val="99"/>
              </w:rPr>
              <w:t>Percent of Class</w:t>
            </w:r>
            <w:r>
              <w:rPr>
                <w:rFonts w:ascii="Arial" w:cs="Arial" w:eastAsia="Arial" w:hAnsi="Arial"/>
                <w:sz w:val="21"/>
                <w:szCs w:val="21"/>
                <w:b w:val="1"/>
                <w:bCs w:val="1"/>
                <w:color w:val="1CA8E1"/>
                <w:w w:val="99"/>
                <w:vertAlign w:val="superscript"/>
              </w:rPr>
              <w:t>*</w:t>
            </w:r>
          </w:p>
        </w:tc>
        <w:tc>
          <w:tcPr>
            <w:tcW w:w="0" w:type="dxa"/>
            <w:vAlign w:val="bottom"/>
          </w:tcPr>
          <w:p>
            <w:pPr>
              <w:spacing w:after="0"/>
              <w:rPr>
                <w:sz w:val="1"/>
                <w:szCs w:val="1"/>
                <w:color w:val="auto"/>
              </w:rPr>
            </w:pPr>
          </w:p>
        </w:tc>
      </w:tr>
      <w:tr>
        <w:trPr>
          <w:trHeight w:val="167"/>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1CA8E1"/>
              </w:rPr>
              <w:t>Name and Address</w:t>
            </w:r>
          </w:p>
        </w:tc>
        <w:tc>
          <w:tcPr>
            <w:tcW w:w="500" w:type="dxa"/>
            <w:vAlign w:val="bottom"/>
          </w:tcPr>
          <w:p>
            <w:pPr>
              <w:spacing w:after="0"/>
              <w:rPr>
                <w:sz w:val="14"/>
                <w:szCs w:val="14"/>
                <w:color w:val="auto"/>
              </w:rPr>
            </w:pPr>
          </w:p>
        </w:tc>
        <w:tc>
          <w:tcPr>
            <w:tcW w:w="2160" w:type="dxa"/>
            <w:vAlign w:val="bottom"/>
            <w:vMerge w:val="restart"/>
          </w:tcPr>
          <w:p>
            <w:pPr>
              <w:jc w:val="center"/>
              <w:ind w:right="4"/>
              <w:spacing w:after="0"/>
              <w:rPr>
                <w:sz w:val="20"/>
                <w:szCs w:val="20"/>
                <w:color w:val="auto"/>
              </w:rPr>
            </w:pPr>
            <w:r>
              <w:rPr>
                <w:rFonts w:ascii="Arial" w:cs="Arial" w:eastAsia="Arial" w:hAnsi="Arial"/>
                <w:sz w:val="16"/>
                <w:szCs w:val="16"/>
                <w:b w:val="1"/>
                <w:bCs w:val="1"/>
                <w:color w:val="1CA8E1"/>
              </w:rPr>
              <w:t>Beneficially Owned</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60" w:type="dxa"/>
            <w:vAlign w:val="bottom"/>
            <w:vMerge w:val="continue"/>
          </w:tcPr>
          <w:p>
            <w:pPr>
              <w:spacing w:after="0"/>
              <w:rPr>
                <w:sz w:val="4"/>
                <w:szCs w:val="4"/>
                <w:color w:val="auto"/>
              </w:rPr>
            </w:pPr>
          </w:p>
        </w:tc>
        <w:tc>
          <w:tcPr>
            <w:tcW w:w="500" w:type="dxa"/>
            <w:vAlign w:val="bottom"/>
            <w:vMerge w:val="restart"/>
          </w:tcPr>
          <w:p>
            <w:pPr>
              <w:jc w:val="right"/>
              <w:ind w:right="253"/>
              <w:spacing w:after="0"/>
              <w:rPr>
                <w:sz w:val="20"/>
                <w:szCs w:val="20"/>
                <w:color w:val="auto"/>
              </w:rPr>
            </w:pPr>
            <w:r>
              <w:rPr>
                <w:rFonts w:ascii="Arial" w:cs="Arial" w:eastAsia="Arial" w:hAnsi="Arial"/>
                <w:sz w:val="9"/>
                <w:szCs w:val="9"/>
                <w:color w:val="auto"/>
              </w:rPr>
              <w:t>1</w:t>
            </w:r>
          </w:p>
        </w:tc>
        <w:tc>
          <w:tcPr>
            <w:tcW w:w="216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Lilly Endowment Inc. (the Endowment)</w:t>
            </w:r>
          </w:p>
        </w:tc>
        <w:tc>
          <w:tcPr>
            <w:tcW w:w="500" w:type="dxa"/>
            <w:vAlign w:val="bottom"/>
            <w:vMerge w:val="continue"/>
          </w:tcPr>
          <w:p>
            <w:pPr>
              <w:spacing w:after="0"/>
              <w:rPr>
                <w:sz w:val="7"/>
                <w:szCs w:val="7"/>
                <w:color w:val="auto"/>
              </w:rPr>
            </w:pPr>
          </w:p>
        </w:tc>
        <w:tc>
          <w:tcPr>
            <w:tcW w:w="2160" w:type="dxa"/>
            <w:vAlign w:val="bottom"/>
            <w:vMerge w:val="restart"/>
          </w:tcPr>
          <w:p>
            <w:pPr>
              <w:jc w:val="center"/>
              <w:ind w:right="4"/>
              <w:spacing w:after="0"/>
              <w:rPr>
                <w:sz w:val="20"/>
                <w:szCs w:val="20"/>
                <w:color w:val="auto"/>
              </w:rPr>
            </w:pPr>
            <w:r>
              <w:rPr>
                <w:rFonts w:ascii="Arial" w:cs="Arial" w:eastAsia="Arial" w:hAnsi="Arial"/>
                <w:sz w:val="13"/>
                <w:szCs w:val="13"/>
                <w:color w:val="auto"/>
              </w:rPr>
              <w:t>107,463,810</w:t>
            </w:r>
          </w:p>
        </w:tc>
        <w:tc>
          <w:tcPr>
            <w:tcW w:w="1860" w:type="dxa"/>
            <w:vAlign w:val="bottom"/>
            <w:vMerge w:val="restart"/>
          </w:tcPr>
          <w:p>
            <w:pPr>
              <w:jc w:val="right"/>
              <w:ind w:right="546"/>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20"/>
        <w:spacing w:after="0"/>
        <w:rPr>
          <w:sz w:val="20"/>
          <w:szCs w:val="20"/>
          <w:color w:val="auto"/>
        </w:rPr>
      </w:pPr>
      <w:r>
        <w:rPr>
          <w:rFonts w:ascii="Arial" w:cs="Arial" w:eastAsia="Arial" w:hAnsi="Arial"/>
          <w:sz w:val="13"/>
          <w:szCs w:val="13"/>
          <w:color w:val="auto"/>
        </w:rPr>
        <w:t>2801 North Meridian Street</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Indianapolis, IN 46208</w:t>
      </w:r>
    </w:p>
    <w:p>
      <w:pPr>
        <w:sectPr>
          <w:pgSz w:w="11900" w:h="16838" w:orient="portrait"/>
          <w:cols w:equalWidth="0" w:num="1">
            <w:col w:w="11220"/>
          </w:cols>
          <w:pgMar w:left="320" w:top="919" w:right="359" w:bottom="1440" w:gutter="0" w:footer="0" w:header="0"/>
        </w:sectPr>
      </w:pPr>
    </w:p>
    <w:p>
      <w:pPr>
        <w:spacing w:after="0" w:line="10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Vanguard Group</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100 Vanguard Blvd.</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Malvern, PA 19355</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BlackRock, Inc.</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55 East 52nd Street</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New York, NY 10055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3"/>
        </w:trPr>
        <w:tc>
          <w:tcPr>
            <w:tcW w:w="560" w:type="dxa"/>
            <w:vAlign w:val="bottom"/>
          </w:tcPr>
          <w:p>
            <w:pPr>
              <w:jc w:val="right"/>
              <w:ind w:right="453"/>
              <w:spacing w:after="0"/>
              <w:rPr>
                <w:sz w:val="20"/>
                <w:szCs w:val="20"/>
                <w:color w:val="auto"/>
              </w:rPr>
            </w:pPr>
            <w:r>
              <w:rPr>
                <w:rFonts w:ascii="Arial" w:cs="Arial" w:eastAsia="Arial" w:hAnsi="Arial"/>
                <w:sz w:val="9"/>
                <w:szCs w:val="9"/>
                <w:color w:val="auto"/>
                <w:w w:val="78"/>
              </w:rPr>
              <w:t>2</w:t>
            </w:r>
          </w:p>
        </w:tc>
        <w:tc>
          <w:tcPr>
            <w:tcW w:w="2020" w:type="dxa"/>
            <w:vAlign w:val="bottom"/>
            <w:vMerge w:val="restart"/>
          </w:tcPr>
          <w:p>
            <w:pPr>
              <w:jc w:val="right"/>
              <w:ind w:right="773"/>
              <w:spacing w:after="0"/>
              <w:rPr>
                <w:sz w:val="20"/>
                <w:szCs w:val="20"/>
                <w:color w:val="auto"/>
              </w:rPr>
            </w:pPr>
            <w:r>
              <w:rPr>
                <w:rFonts w:ascii="Arial" w:cs="Arial" w:eastAsia="Arial" w:hAnsi="Arial"/>
                <w:sz w:val="13"/>
                <w:szCs w:val="13"/>
                <w:color w:val="auto"/>
              </w:rPr>
              <w:t>69,261,754</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1"/>
        </w:trPr>
        <w:tc>
          <w:tcPr>
            <w:tcW w:w="560" w:type="dxa"/>
            <w:vAlign w:val="bottom"/>
          </w:tcPr>
          <w:p>
            <w:pPr>
              <w:jc w:val="right"/>
              <w:ind w:right="453"/>
              <w:spacing w:after="0"/>
              <w:rPr>
                <w:sz w:val="20"/>
                <w:szCs w:val="20"/>
                <w:color w:val="auto"/>
              </w:rPr>
            </w:pPr>
            <w:r>
              <w:rPr>
                <w:rFonts w:ascii="Arial" w:cs="Arial" w:eastAsia="Arial" w:hAnsi="Arial"/>
                <w:sz w:val="9"/>
                <w:szCs w:val="9"/>
                <w:color w:val="auto"/>
                <w:w w:val="78"/>
              </w:rPr>
              <w:t>3</w:t>
            </w:r>
          </w:p>
        </w:tc>
        <w:tc>
          <w:tcPr>
            <w:tcW w:w="2020" w:type="dxa"/>
            <w:vAlign w:val="bottom"/>
            <w:vMerge w:val="restart"/>
          </w:tcPr>
          <w:p>
            <w:pPr>
              <w:jc w:val="right"/>
              <w:ind w:right="773"/>
              <w:spacing w:after="0"/>
              <w:rPr>
                <w:sz w:val="20"/>
                <w:szCs w:val="20"/>
                <w:color w:val="auto"/>
              </w:rPr>
            </w:pPr>
            <w:r>
              <w:rPr>
                <w:rFonts w:ascii="Arial" w:cs="Arial" w:eastAsia="Arial" w:hAnsi="Arial"/>
                <w:sz w:val="13"/>
                <w:szCs w:val="13"/>
                <w:color w:val="auto"/>
              </w:rPr>
              <w:t>63,877,023</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ectPr>
          <w:pgSz w:w="11900" w:h="16838" w:orient="portrait"/>
          <w:cols w:equalWidth="0" w:num="2">
            <w:col w:w="2780" w:space="720"/>
            <w:col w:w="7720"/>
          </w:cols>
          <w:pgMar w:left="320" w:top="919" w:right="359" w:bottom="1440" w:gutter="0" w:footer="0" w:header="0"/>
          <w:type w:val="continuous"/>
        </w:sectPr>
      </w:pPr>
    </w:p>
    <w:tbl>
      <w:tblPr>
        <w:tblLayout w:type="fixed"/>
        <w:tblInd w:w="920" w:type="dxa"/>
        <w:tblCellMar>
          <w:top w:w="0" w:type="dxa"/>
          <w:left w:w="0" w:type="dxa"/>
          <w:bottom w:w="0" w:type="dxa"/>
          <w:right w:w="0" w:type="dxa"/>
        </w:tblCellMar>
      </w:tblPr>
      <w:tr>
        <w:trPr>
          <w:trHeight w:val="113"/>
        </w:trPr>
        <w:tc>
          <w:tcPr>
            <w:tcW w:w="2480" w:type="dxa"/>
            <w:vAlign w:val="bottom"/>
            <w:vMerge w:val="restart"/>
          </w:tcPr>
          <w:p>
            <w:pPr>
              <w:spacing w:after="0"/>
              <w:rPr>
                <w:sz w:val="20"/>
                <w:szCs w:val="20"/>
                <w:color w:val="auto"/>
              </w:rPr>
            </w:pPr>
            <w:r>
              <w:rPr>
                <w:rFonts w:ascii="Arial" w:cs="Arial" w:eastAsia="Arial" w:hAnsi="Arial"/>
                <w:sz w:val="13"/>
                <w:szCs w:val="13"/>
                <w:color w:val="auto"/>
              </w:rPr>
              <w:t>The PNC Financial Services Group, Inc.</w:t>
            </w:r>
          </w:p>
        </w:tc>
        <w:tc>
          <w:tcPr>
            <w:tcW w:w="660" w:type="dxa"/>
            <w:vAlign w:val="bottom"/>
          </w:tcPr>
          <w:p>
            <w:pPr>
              <w:jc w:val="right"/>
              <w:ind w:right="453"/>
              <w:spacing w:after="0"/>
              <w:rPr>
                <w:sz w:val="20"/>
                <w:szCs w:val="20"/>
                <w:color w:val="auto"/>
              </w:rPr>
            </w:pPr>
            <w:r>
              <w:rPr>
                <w:rFonts w:ascii="Arial" w:cs="Arial" w:eastAsia="Arial" w:hAnsi="Arial"/>
                <w:sz w:val="9"/>
                <w:szCs w:val="9"/>
                <w:color w:val="auto"/>
              </w:rPr>
              <w:t>4</w:t>
            </w:r>
          </w:p>
        </w:tc>
        <w:tc>
          <w:tcPr>
            <w:tcW w:w="2020" w:type="dxa"/>
            <w:vAlign w:val="bottom"/>
            <w:vMerge w:val="restart"/>
          </w:tcPr>
          <w:p>
            <w:pPr>
              <w:jc w:val="right"/>
              <w:ind w:right="773"/>
              <w:spacing w:after="0"/>
              <w:rPr>
                <w:sz w:val="20"/>
                <w:szCs w:val="20"/>
                <w:color w:val="auto"/>
              </w:rPr>
            </w:pPr>
            <w:r>
              <w:rPr>
                <w:rFonts w:ascii="Arial" w:cs="Arial" w:eastAsia="Arial" w:hAnsi="Arial"/>
                <w:sz w:val="13"/>
                <w:szCs w:val="13"/>
                <w:color w:val="auto"/>
              </w:rPr>
              <w:t>51,888,455</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0"/>
        </w:trPr>
        <w:tc>
          <w:tcPr>
            <w:tcW w:w="24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20"/>
        <w:spacing w:after="0"/>
        <w:rPr>
          <w:sz w:val="20"/>
          <w:szCs w:val="20"/>
          <w:color w:val="auto"/>
        </w:rPr>
      </w:pPr>
      <w:r>
        <w:rPr>
          <w:rFonts w:ascii="Arial" w:cs="Arial" w:eastAsia="Arial" w:hAnsi="Arial"/>
          <w:sz w:val="13"/>
          <w:szCs w:val="13"/>
          <w:color w:val="auto"/>
        </w:rPr>
        <w:t>300 Fifth Avenue</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3"/>
          <w:szCs w:val="13"/>
          <w:color w:val="auto"/>
        </w:rPr>
        <w:t>Pittsburgh, PA 15222</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*Percent of class is calculated based on the shares of our common stock outstanding as of February 22, 2022.</w:t>
      </w:r>
    </w:p>
    <w:p>
      <w:pPr>
        <w:spacing w:after="0" w:line="13" w:lineRule="exact"/>
        <w:rPr>
          <w:sz w:val="20"/>
          <w:szCs w:val="20"/>
          <w:color w:val="auto"/>
        </w:rPr>
      </w:pPr>
    </w:p>
    <w:p>
      <w:pPr>
        <w:ind w:left="900" w:right="100" w:hanging="1"/>
        <w:spacing w:after="0" w:line="237" w:lineRule="auto"/>
        <w:tabs>
          <w:tab w:leader="none" w:pos="986" w:val="left"/>
        </w:tabs>
        <w:numPr>
          <w:ilvl w:val="0"/>
          <w:numId w:val="51"/>
        </w:numPr>
        <w:rPr>
          <w:rFonts w:ascii="Arial" w:cs="Arial" w:eastAsia="Arial" w:hAnsi="Arial"/>
          <w:sz w:val="18"/>
          <w:szCs w:val="18"/>
          <w:color w:val="auto"/>
          <w:vertAlign w:val="superscript"/>
        </w:rPr>
      </w:pPr>
      <w:r>
        <w:rPr>
          <w:rFonts w:ascii="Arial" w:cs="Arial" w:eastAsia="Arial" w:hAnsi="Arial"/>
          <w:sz w:val="13"/>
          <w:szCs w:val="13"/>
          <w:color w:val="auto"/>
        </w:rPr>
        <w:t>Based on information provided to Lilly by the Endowment as of January 11, 2022, and a Schedule 13G/A filed by the Endowment with the SEC on January 27, 2022, the Endowment has sole voting and sole dispositive power with respect to all of its shares. The board of directors of the Endowment is composed of N. Clay Robbins, chairman &amp; chief executive officer; Mary K. Lisher; William G. Enright; Daniel P. Carmichael; Charles E. Golden; Eli Lilly II; David N. Shane; Craig Dykstra; Jennett M. Hill, president; John C. Lechleiter; and Clarence Crain.</w:t>
      </w:r>
    </w:p>
    <w:p>
      <w:pPr>
        <w:ind w:left="900" w:right="14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Based solely on the Schedule 13G/A filed with the SEC on February 9, 2022, by The Vanguard Group, it beneficially owns 69,261,754 shares altogether. It does not have sole voting power with respect to any of its shares and it has shared voting power with respect to 1,357,292 of its shares. It has sole dispositive power with respect to 65,918,837 of its shares and shared dispositive power with respect to 3,342,917 of its shares.</w:t>
      </w:r>
    </w:p>
    <w:p>
      <w:pPr>
        <w:spacing w:after="0" w:line="1" w:lineRule="exact"/>
        <w:rPr>
          <w:rFonts w:ascii="Arial" w:cs="Arial" w:eastAsia="Arial" w:hAnsi="Arial"/>
          <w:sz w:val="18"/>
          <w:szCs w:val="18"/>
          <w:color w:val="auto"/>
          <w:vertAlign w:val="superscript"/>
        </w:rPr>
      </w:pPr>
    </w:p>
    <w:p>
      <w:pPr>
        <w:ind w:left="900" w:right="8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Based solely on the Schedule 13G/A filed with the SEC on February 8, 2022, by BlackRock, Inc., it has sole voting power with respect to 55,682,054 of its shares and sole dispositive power with respect to 63,877,023 of its shares.</w:t>
      </w:r>
    </w:p>
    <w:p>
      <w:pPr>
        <w:ind w:left="900"/>
        <w:spacing w:after="0" w:line="24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Based solely on the Schedule 13G/A filed with the SEC on February 11, 2022, by The PNC Financial Services Group, Inc.; PNC Bancorp, Inc.; PNC Bank, National Association (PNC Bank); PNC Delaware Trust Company; and PNC Investments LLC (collectively, PNC), PNC beneficially owns 51,888,455 shares altogether. PNC has sole voting power with respect to 1,848,764 of its shares and shared voting power with respect to 50,005,199 of its shares. PNC has sole dispositive power with respect to 1,515,580 of its shares and shared dispositive power with respect to 50,333,641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2. Advisory Vote on Compensation Paid to Named Executive Officers</w:t>
      </w:r>
    </w:p>
    <w:p>
      <w:pPr>
        <w:spacing w:after="0" w:line="9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Section 14A of the Securities Exchange Act of 1934 provides the company's shareholders with the opportunity to approve, on an advisory basis, the compensation of the company's named executive officers as disclosed in the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9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request shareholder approval, on an advisory basis, of the compensation of the company’s named executive officers as disclosed in this proxy statement. As an advisory vote, this proposal is not binding on the company. However, the Compensation Committee values input from shareholders and will consider the outcome of the vote when making future executive compensation decisions. At our 2017 annual meeting of shareholders, our shareholders expressed a preference that advisory votes on executive compensation occur every year, as recommended by our board. Consistent with this preference, the board determined that the company would hold advisory votes on executive compensation on an annual basis until the next advisory vote on the frequency of advisory votes on executive compensation, which will occur no later than our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919"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7"/>
          <w:szCs w:val="27"/>
          <w:b w:val="1"/>
          <w:bCs w:val="1"/>
          <w:color w:val="EF3729"/>
        </w:rPr>
        <w:t>Board Recommendation on Item 2</w:t>
      </w:r>
    </w:p>
    <w:p>
      <w:pPr>
        <w:spacing w:after="0" w:line="63"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 Committee Matters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Role of the Independent Consultant in Assessing Executive Compensation</w:t>
      </w:r>
    </w:p>
    <w:p>
      <w:pPr>
        <w:spacing w:after="0" w:line="7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Compensation Committee has retained Frederic W. Cook &amp; Co., Inc. (FW Cook) as its independent compensation consultant. FW Cook reports directly to the Compensation Committee, and it is not permitted to have any business or personal relationship with management or members of the Compensation Committee. FW Cook’s responsibilities are to:</w:t>
      </w:r>
    </w:p>
    <w:p>
      <w:pPr>
        <w:spacing w:after="0" w:line="93" w:lineRule="exact"/>
        <w:rPr>
          <w:sz w:val="20"/>
          <w:szCs w:val="20"/>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 the company’s total compensation philosophy, peer group, and target competitive positioning for reasonableness and appropriateness;</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 the company’s executive compensation program and advise the Compensation Committee of evolving best practices;</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provide independent analyses and recommendations to the Compensation Committee on the CEO’s pay;</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 the draft CD&amp;A and related tables for the proxy statement;</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proactively advise the Compensation Committee on best practices for board governance of executive compensation; and</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undertake special projects at the request of the Compensation Committee chair.</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FW Cook interacts directly with members of company management only on matters under the Compensation Committee’s oversight and with the knowledge and permission of the Compensation Committee chair.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Role of Executive Officers and Management in Assessing Executive Compensation</w:t>
      </w:r>
    </w:p>
    <w:p>
      <w:pPr>
        <w:spacing w:after="0" w:line="7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With the oversight of the CEO and the senior vice president of human resources and diversity, the company’s global compensation group formulates recommendations on compensation philosophy, plan design, and compensation for executive officers (other than the CEO, as noted below). The CEO provides the Compensation Committee with a performance assessment and compensation recommendation for each of the other executive officers. The Compensation Committee considers those recommendations with the assistance of its compensation consultant. The CEO and the senior vice president of human resources and diversity attend Compensation Committee meetings; however, they are not present for executive sessions or any discussion of their own compensation. Only non-employee directors and the Compensation Committee’s consultant attend executive sessions.</w:t>
      </w:r>
    </w:p>
    <w:p>
      <w:pPr>
        <w:spacing w:after="0" w:line="9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CEO does not participate in the formulation or discussion of his pay recommendations. He has no prior knowledge of the recommendations that FW Cook makes to the Compensation Committee.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0A1DE"/>
        </w:rPr>
        <w:t>Risk Assessment Process</w:t>
      </w:r>
    </w:p>
    <w:p>
      <w:pPr>
        <w:spacing w:after="0" w:line="7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As part of the company's overall enterprise risk management program, in 2021 (consistent with prior years), the Compensation Committee reviewed the company’s compensation policies and practices and concluded that the programs and practices are not reasonably likely to have a material adverse effect on the company. The Compensation Committee noted numerous policy and design features of the company’s compensation programs and governance structure that reduce the likelihood of inappropriate risk-taking, including, but not limited to:</w:t>
      </w:r>
    </w:p>
    <w:p>
      <w:pPr>
        <w:spacing w:after="0" w:line="94" w:lineRule="exact"/>
        <w:rPr>
          <w:sz w:val="20"/>
          <w:szCs w:val="20"/>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Only independent directors serve on the Compensation Committee</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Compensation Committee engages its own independent compensation consultant</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Compensation Committee has downward discretion to lower compensation plan payouts</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Compensation Committee approves all adjustments to financial results that affect compensation calculations</w:t>
      </w:r>
    </w:p>
    <w:p>
      <w:pPr>
        <w:spacing w:after="0" w:line="113" w:lineRule="exact"/>
        <w:rPr>
          <w:rFonts w:ascii="Arial" w:cs="Arial" w:eastAsia="Arial" w:hAnsi="Arial"/>
          <w:sz w:val="16"/>
          <w:szCs w:val="16"/>
          <w:color w:val="auto"/>
        </w:rPr>
      </w:pPr>
    </w:p>
    <w:p>
      <w:pPr>
        <w:ind w:left="500" w:hanging="330"/>
        <w:spacing w:after="0" w:line="260" w:lineRule="auto"/>
        <w:tabs>
          <w:tab w:leader="none" w:pos="4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Different measures and metrics are used across multiple incentive plans that appropriately balance cash/stock, fixed/variable pay, and short-term/long-term incentives</w:t>
      </w:r>
    </w:p>
    <w:p>
      <w:pPr>
        <w:spacing w:after="0" w:line="87" w:lineRule="exact"/>
        <w:rPr>
          <w:rFonts w:ascii="Arial" w:cs="Arial" w:eastAsia="Arial" w:hAnsi="Arial"/>
          <w:sz w:val="16"/>
          <w:szCs w:val="16"/>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Incentive plans have predetermined maximum payouts</w:t>
      </w:r>
    </w:p>
    <w:p>
      <w:pPr>
        <w:spacing w:after="0" w:line="113" w:lineRule="exact"/>
        <w:rPr>
          <w:rFonts w:ascii="Arial" w:cs="Arial" w:eastAsia="Arial" w:hAnsi="Arial"/>
          <w:sz w:val="16"/>
          <w:szCs w:val="16"/>
          <w:color w:val="auto"/>
        </w:rPr>
      </w:pPr>
    </w:p>
    <w:p>
      <w:pPr>
        <w:ind w:left="460" w:hanging="290"/>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Performance objectives are challenging but achievable</w:t>
      </w:r>
    </w:p>
    <w:p>
      <w:pPr>
        <w:spacing w:after="0" w:line="113" w:lineRule="exact"/>
        <w:rPr>
          <w:rFonts w:ascii="Arial" w:cs="Arial" w:eastAsia="Arial" w:hAnsi="Arial"/>
          <w:sz w:val="16"/>
          <w:szCs w:val="16"/>
          <w:color w:val="auto"/>
        </w:rPr>
      </w:pPr>
    </w:p>
    <w:p>
      <w:pPr>
        <w:ind w:left="500" w:right="120" w:hanging="330"/>
        <w:spacing w:after="0" w:line="260" w:lineRule="auto"/>
        <w:tabs>
          <w:tab w:leader="none" w:pos="4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Programs with operational metrics have a continuum of payout multiples based upon achievement of performance milestones, rather than "cliffs" that might encourage suboptimal or improper behavior</w:t>
      </w:r>
    </w:p>
    <w:p>
      <w:pPr>
        <w:spacing w:after="0" w:line="87" w:lineRule="exact"/>
        <w:rPr>
          <w:rFonts w:ascii="Arial" w:cs="Arial" w:eastAsia="Arial" w:hAnsi="Arial"/>
          <w:sz w:val="16"/>
          <w:szCs w:val="16"/>
          <w:color w:val="auto"/>
        </w:rPr>
      </w:pPr>
    </w:p>
    <w:p>
      <w:pPr>
        <w:ind w:left="500" w:right="660" w:hanging="330"/>
        <w:spacing w:after="0" w:line="260" w:lineRule="auto"/>
        <w:tabs>
          <w:tab w:leader="none" w:pos="4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compensation recovery policy is in place for all members of senior management; negative compensation consequences can result in cases involving serious compliance violations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982" w:right="359" w:bottom="1440" w:gutter="0" w:footer="0" w:header="0"/>
        </w:sectPr>
      </w:pPr>
    </w:p>
    <w:bookmarkStart w:id="43" w:name="page44"/>
    <w:bookmarkEnd w:id="43"/>
    <w:p>
      <w:pPr>
        <w:ind w:left="460" w:hanging="290"/>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Meaningful share ownership and retention requirements are in place for all members of senior management and the board.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Compensation Committee has reviewed and discussed the CD&amp;A with management. Based on this discussion, the Compensation Committee recommended to the board that the CD&amp;A be included in this proxy statement and the company's Annual Report on Form 10-K for the fiscal year ended December 31, 2021, for filing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Ralph Alvarez,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 Erik Fyrwald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Kimberly H. Johnson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Juan R. Luciano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Compensation Discussion and Analysis</w:t>
      </w:r>
    </w:p>
    <w:p>
      <w:pPr>
        <w:spacing w:after="0" w:line="9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CD&amp;A describes our executive compensation philosophy, the Compensation Committee’s process for setting executive compensation, the elements of our compensation program, the factors the Compensation Committee considered when setting executive compensation for 2021, and how the company’s results affected incentive payouts. This CD&amp;A provides compensation information for our chief executive officer, David Ricks, our chief financial officer, Anat Ashkenazi, and our next three most highly compensated executive officers who were serving as executive officers on December 31, 2021, Daniel Skovronsky, Jacob Van Naarden, and Diogo Rau. The CD&amp;A also includes our former chief financial officer, Joshua Smiley, who resigned from his officer position on February 9, 2021.</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Name and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23430" cy="882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8826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David A. Ricks</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208915</wp:posOffset>
            </wp:positionV>
            <wp:extent cx="6978015" cy="788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780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shd w:val="clear" w:color="auto" w:fill="E6E6E6"/>
        </w:rPr>
        <w:t>Anat Ashkenazi</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217170</wp:posOffset>
            </wp:positionV>
            <wp:extent cx="702945" cy="702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000000"/>
                        </a:clrFrom>
                        <a:clrTo>
                          <a:srgbClr val="000000">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217170</wp:posOffset>
            </wp:positionV>
            <wp:extent cx="702945" cy="702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Daniel Skovronsky, M.D., Ph.D.</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Senior Vice President, Chief Scientific and Medical Officer and President, Lilly Research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208915</wp:posOffset>
            </wp:positionV>
            <wp:extent cx="6969125" cy="746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912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shd w:val="clear" w:color="auto" w:fill="E6E6E6"/>
        </w:rPr>
        <w:t>Jacob Van Naarden</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Senior Vice President, CEO Loxo Oncology at Lilly and President, Lilly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200025</wp:posOffset>
            </wp:positionV>
            <wp:extent cx="685800" cy="685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000000"/>
                        </a:clrFrom>
                        <a:clrTo>
                          <a:srgbClr val="000000">
                            <a:alpha val="0"/>
                          </a:srgbClr>
                        </a:clrTo>
                      </a:clrChange>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200025</wp:posOffset>
            </wp:positionV>
            <wp:extent cx="685800" cy="685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Diogo Rau</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Senior Vice President and Chief Information and Digital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843" w:right="439" w:bottom="1440" w:gutter="0" w:footer="0" w:header="0"/>
        </w:sectPr>
      </w:pPr>
    </w:p>
    <w:bookmarkStart w:id="44" w:name="page45"/>
    <w:bookmarkEnd w:id="44"/>
    <w:p>
      <w:pPr>
        <w:ind w:right="160"/>
        <w:spacing w:after="0" w:line="237" w:lineRule="auto"/>
        <w:rPr>
          <w:sz w:val="20"/>
          <w:szCs w:val="20"/>
          <w:color w:val="auto"/>
        </w:rPr>
      </w:pPr>
      <w:r>
        <w:rPr>
          <w:rFonts w:ascii="Arial" w:cs="Arial" w:eastAsia="Arial" w:hAnsi="Arial"/>
          <w:sz w:val="16"/>
          <w:szCs w:val="16"/>
          <w:color w:val="auto"/>
        </w:rPr>
        <w:t>Four of our named executive officers, Ms. Ashkenazi, Mr. Van Naarden, Mr. Rau, and Mr. Smiley, served in their respective roles for a portion of 2021. Ms. Ashkenazi succeeded Mr. Smiley as senior vice president and CFO on February 9, 2021. Prior to becoming CFO, Ms. Ashkenazi served as senior vice president, controller, and chief financial officer, Lilly Research Laboratories.</w:t>
      </w:r>
    </w:p>
    <w:p>
      <w:pPr>
        <w:spacing w:after="0" w:line="8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Mr. Van Naarden became senior vice president, CEO of Loxo Oncology at Lilly and President of Lilly Oncology on September 5, 2021. He previously served as CEO of Loxo Oncology at Lilly. Mr. Rau joined Lilly as senior vice president and chief information and digital officer on May 17, 2021. Prior to joining Lilly, Mr. Rau served as senior director, information systems and technology for retail and online stores at Apple, Inc.</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Our Philosophy on Compensation</w:t>
      </w:r>
    </w:p>
    <w:p>
      <w:pPr>
        <w:spacing w:after="0" w:line="8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Objectives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and benefits programs are based on the following objectives:</w:t>
      </w:r>
    </w:p>
    <w:p>
      <w:pPr>
        <w:spacing w:after="0" w:line="93" w:lineRule="exact"/>
        <w:rPr>
          <w:sz w:val="20"/>
          <w:szCs w:val="20"/>
          <w:color w:val="auto"/>
        </w:rPr>
      </w:pPr>
    </w:p>
    <w:p>
      <w:pPr>
        <w:ind w:left="660" w:hanging="328"/>
        <w:spacing w:after="0" w:line="259" w:lineRule="auto"/>
        <w:tabs>
          <w:tab w:leader="none" w:pos="636" w:val="left"/>
        </w:tabs>
        <w:numPr>
          <w:ilvl w:val="0"/>
          <w:numId w:val="5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Reflect individual and company performance: </w:t>
      </w:r>
      <w:r>
        <w:rPr>
          <w:rFonts w:ascii="Arial" w:cs="Arial" w:eastAsia="Arial" w:hAnsi="Arial"/>
          <w:sz w:val="16"/>
          <w:szCs w:val="16"/>
          <w:color w:val="000000"/>
        </w:rPr>
        <w:t>We reinforce a high-performance culture by linking pay with individual and company performance.</w:t>
      </w:r>
      <w:r>
        <w:rPr>
          <w:rFonts w:ascii="Arial" w:cs="Arial" w:eastAsia="Arial" w:hAnsi="Arial"/>
          <w:sz w:val="16"/>
          <w:szCs w:val="16"/>
          <w:b w:val="1"/>
          <w:bCs w:val="1"/>
          <w:color w:val="00A1DE"/>
        </w:rPr>
        <w:t xml:space="preserve"> </w:t>
      </w:r>
      <w:r>
        <w:rPr>
          <w:rFonts w:ascii="Arial" w:cs="Arial" w:eastAsia="Arial" w:hAnsi="Arial"/>
          <w:sz w:val="16"/>
          <w:szCs w:val="16"/>
          <w:color w:val="000000"/>
        </w:rPr>
        <w:t>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w:t>
      </w:r>
    </w:p>
    <w:p>
      <w:pPr>
        <w:spacing w:after="0" w:line="69" w:lineRule="exact"/>
        <w:rPr>
          <w:rFonts w:ascii="Arial" w:cs="Arial" w:eastAsia="Arial" w:hAnsi="Arial"/>
          <w:sz w:val="16"/>
          <w:szCs w:val="16"/>
          <w:b w:val="1"/>
          <w:bCs w:val="1"/>
          <w:color w:val="00A1DE"/>
        </w:rPr>
      </w:pPr>
    </w:p>
    <w:p>
      <w:pPr>
        <w:ind w:left="660" w:right="140" w:hanging="328"/>
        <w:spacing w:after="0" w:line="286" w:lineRule="auto"/>
        <w:tabs>
          <w:tab w:leader="none" w:pos="636" w:val="left"/>
        </w:tabs>
        <w:numPr>
          <w:ilvl w:val="0"/>
          <w:numId w:val="5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Attract and retain talented employees: </w:t>
      </w:r>
      <w:r>
        <w:rPr>
          <w:rFonts w:ascii="Arial" w:cs="Arial" w:eastAsia="Arial" w:hAnsi="Arial"/>
          <w:sz w:val="16"/>
          <w:szCs w:val="16"/>
          <w:color w:val="000000"/>
        </w:rPr>
        <w:t>Compensation opportunity is market competitive and reflects the level of job impact and responsibilities.</w:t>
      </w:r>
      <w:r>
        <w:rPr>
          <w:rFonts w:ascii="Arial" w:cs="Arial" w:eastAsia="Arial" w:hAnsi="Arial"/>
          <w:sz w:val="16"/>
          <w:szCs w:val="16"/>
          <w:b w:val="1"/>
          <w:bCs w:val="1"/>
          <w:color w:val="00A1DE"/>
        </w:rPr>
        <w:t xml:space="preserve"> </w:t>
      </w:r>
      <w:r>
        <w:rPr>
          <w:rFonts w:ascii="Arial" w:cs="Arial" w:eastAsia="Arial" w:hAnsi="Arial"/>
          <w:sz w:val="16"/>
          <w:szCs w:val="16"/>
          <w:color w:val="000000"/>
        </w:rPr>
        <w:t>Retention of talent is an important factor in the design of our compensation and benefit programs.</w:t>
      </w:r>
    </w:p>
    <w:p>
      <w:pPr>
        <w:spacing w:after="0" w:line="47" w:lineRule="exact"/>
        <w:rPr>
          <w:rFonts w:ascii="Arial" w:cs="Arial" w:eastAsia="Arial" w:hAnsi="Arial"/>
          <w:sz w:val="16"/>
          <w:szCs w:val="16"/>
          <w:b w:val="1"/>
          <w:bCs w:val="1"/>
          <w:color w:val="00A1DE"/>
        </w:rPr>
      </w:pPr>
    </w:p>
    <w:p>
      <w:pPr>
        <w:ind w:left="660" w:right="160" w:hanging="328"/>
        <w:spacing w:after="0" w:line="286" w:lineRule="auto"/>
        <w:tabs>
          <w:tab w:leader="none" w:pos="636" w:val="left"/>
        </w:tabs>
        <w:numPr>
          <w:ilvl w:val="0"/>
          <w:numId w:val="5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Implement broad-based programs: </w:t>
      </w:r>
      <w:r>
        <w:rPr>
          <w:rFonts w:ascii="Arial" w:cs="Arial" w:eastAsia="Arial" w:hAnsi="Arial"/>
          <w:sz w:val="16"/>
          <w:szCs w:val="16"/>
          <w:color w:val="000000"/>
        </w:rPr>
        <w:t>While the amount of compensation paid to employees varies, the overall structure of our compensation and</w:t>
      </w:r>
      <w:r>
        <w:rPr>
          <w:rFonts w:ascii="Arial" w:cs="Arial" w:eastAsia="Arial" w:hAnsi="Arial"/>
          <w:sz w:val="16"/>
          <w:szCs w:val="16"/>
          <w:b w:val="1"/>
          <w:bCs w:val="1"/>
          <w:color w:val="00A1DE"/>
        </w:rPr>
        <w:t xml:space="preserve"> </w:t>
      </w:r>
      <w:r>
        <w:rPr>
          <w:rFonts w:ascii="Arial" w:cs="Arial" w:eastAsia="Arial" w:hAnsi="Arial"/>
          <w:sz w:val="16"/>
          <w:szCs w:val="16"/>
          <w:color w:val="000000"/>
        </w:rPr>
        <w:t>benefit programs is broadly similar across the organization to encourage and reward all employees who contribute to our success.</w:t>
      </w:r>
    </w:p>
    <w:p>
      <w:pPr>
        <w:spacing w:after="0" w:line="47" w:lineRule="exact"/>
        <w:rPr>
          <w:rFonts w:ascii="Arial" w:cs="Arial" w:eastAsia="Arial" w:hAnsi="Arial"/>
          <w:sz w:val="16"/>
          <w:szCs w:val="16"/>
          <w:b w:val="1"/>
          <w:bCs w:val="1"/>
          <w:color w:val="00A1DE"/>
        </w:rPr>
      </w:pPr>
    </w:p>
    <w:p>
      <w:pPr>
        <w:ind w:left="660" w:right="520" w:hanging="328"/>
        <w:spacing w:after="0" w:line="286" w:lineRule="auto"/>
        <w:tabs>
          <w:tab w:leader="none" w:pos="636" w:val="left"/>
        </w:tabs>
        <w:numPr>
          <w:ilvl w:val="0"/>
          <w:numId w:val="5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Consider shareholder input: </w:t>
      </w:r>
      <w:r>
        <w:rPr>
          <w:rFonts w:ascii="Arial" w:cs="Arial" w:eastAsia="Arial" w:hAnsi="Arial"/>
          <w:sz w:val="16"/>
          <w:szCs w:val="16"/>
          <w:color w:val="000000"/>
        </w:rPr>
        <w:t>Management and the Compensation Committee consider the results of our annual say-on-pay vote and other</w:t>
      </w:r>
      <w:r>
        <w:rPr>
          <w:rFonts w:ascii="Arial" w:cs="Arial" w:eastAsia="Arial" w:hAnsi="Arial"/>
          <w:sz w:val="16"/>
          <w:szCs w:val="16"/>
          <w:b w:val="1"/>
          <w:bCs w:val="1"/>
          <w:color w:val="00A1DE"/>
        </w:rPr>
        <w:t xml:space="preserve"> </w:t>
      </w:r>
      <w:r>
        <w:rPr>
          <w:rFonts w:ascii="Arial" w:cs="Arial" w:eastAsia="Arial" w:hAnsi="Arial"/>
          <w:sz w:val="16"/>
          <w:szCs w:val="16"/>
          <w:color w:val="000000"/>
        </w:rPr>
        <w:t>sources of shareholder feedback when designing executive compensation and benefit programs.</w:t>
      </w:r>
    </w:p>
    <w:p>
      <w:pPr>
        <w:spacing w:after="0" w:line="8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Say-on-Pay Results</w:t>
      </w:r>
    </w:p>
    <w:p>
      <w:pPr>
        <w:spacing w:after="0" w:line="8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At our 2021 annual meeting of shareholders, greater than 95 percent of the shares cast voted in favor of the company's say-on-pay proposal on executive compensation. Management and the Compensation Committee view this vote as supportive of the company's overall approach toward executive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Compensation Committee's Processes and Analyses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Setting Compensation</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Compensation Committee considers individual performance assessments, compensation recommendations from the CEO (with respect to each of the other executive officers), company performance, peer group data, input from its compensation consultant, and its own judgment when determining compensation for the company's executive officers.</w:t>
      </w:r>
    </w:p>
    <w:p>
      <w:pPr>
        <w:spacing w:after="0" w:line="73" w:lineRule="exact"/>
        <w:rPr>
          <w:sz w:val="20"/>
          <w:szCs w:val="20"/>
          <w:color w:val="auto"/>
        </w:rPr>
      </w:pPr>
    </w:p>
    <w:p>
      <w:pPr>
        <w:ind w:left="660" w:right="60" w:hanging="328"/>
        <w:spacing w:after="0" w:line="259" w:lineRule="auto"/>
        <w:tabs>
          <w:tab w:leader="none" w:pos="636" w:val="left"/>
        </w:tabs>
        <w:numPr>
          <w:ilvl w:val="0"/>
          <w:numId w:val="56"/>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Individual performance: </w:t>
      </w:r>
      <w:r>
        <w:rPr>
          <w:rFonts w:ascii="Arial" w:cs="Arial" w:eastAsia="Arial" w:hAnsi="Arial"/>
          <w:sz w:val="16"/>
          <w:szCs w:val="16"/>
          <w:color w:val="000000"/>
        </w:rPr>
        <w:t>Generally, the independent directors, under the direction of the lead independent director, meet with the CEO at the</w:t>
      </w:r>
      <w:r>
        <w:rPr>
          <w:rFonts w:ascii="Arial" w:cs="Arial" w:eastAsia="Arial" w:hAnsi="Arial"/>
          <w:sz w:val="16"/>
          <w:szCs w:val="16"/>
          <w:b w:val="1"/>
          <w:bCs w:val="1"/>
          <w:color w:val="00A1DE"/>
        </w:rPr>
        <w:t xml:space="preserve"> </w:t>
      </w:r>
      <w:r>
        <w:rPr>
          <w:rFonts w:ascii="Arial" w:cs="Arial" w:eastAsia="Arial" w:hAnsi="Arial"/>
          <w:sz w:val="16"/>
          <w:szCs w:val="16"/>
          <w:color w:val="000000"/>
        </w:rPr>
        <w:t>beginning of each year to establish the CEO's performance objectives. At the end of the year, the independent directors meet to assess the CEO's achievement of those objectives along with other factors, including contribution to the company’s performance, diversity, ethics, and integrity. This evaluation is used in setting the CEO's compensation opportunity for the next year.</w:t>
      </w:r>
    </w:p>
    <w:p>
      <w:pPr>
        <w:spacing w:after="0" w:line="3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Compensation Committee receives individual performance assessments and target compensation recommendations from the CEO for each of the remaining executive officers. Each executive officer’s performance assessment is based on the achievement of objectives established at the start of the year, as well as other factors, including contribution to the company's performance, diversity, ethics, and integrity. The Compensation Committee considers these inputs, its knowledge of and interactions with each executive officer, and its judgment to develop a final individual performance assessment. For new executive officers, target compensation is set by the Compensation Committee at the time of promotion or offer.</w:t>
      </w:r>
    </w:p>
    <w:p>
      <w:pPr>
        <w:spacing w:after="0" w:line="75"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Company performance: </w:t>
      </w:r>
      <w:r>
        <w:rPr>
          <w:rFonts w:ascii="Arial" w:cs="Arial" w:eastAsia="Arial" w:hAnsi="Arial"/>
          <w:sz w:val="16"/>
          <w:szCs w:val="16"/>
          <w:color w:val="000000"/>
        </w:rPr>
        <w:t>Lilly performance is considered in multiple ways:</w:t>
      </w:r>
    </w:p>
    <w:p>
      <w:pPr>
        <w:spacing w:after="0" w:line="79" w:lineRule="exact"/>
        <w:rPr>
          <w:rFonts w:ascii="Arial" w:cs="Arial" w:eastAsia="Arial" w:hAnsi="Arial"/>
          <w:sz w:val="16"/>
          <w:szCs w:val="16"/>
          <w:b w:val="1"/>
          <w:bCs w:val="1"/>
          <w:color w:val="00A1DE"/>
        </w:rPr>
      </w:pPr>
    </w:p>
    <w:p>
      <w:pPr>
        <w:ind w:left="940" w:hanging="284"/>
        <w:spacing w:after="0"/>
        <w:tabs>
          <w:tab w:leader="none" w:pos="9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Overall prior year performance is a factor in setting target compensation for the coming year.</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80"/>
          </w:cols>
          <w:pgMar w:left="320" w:top="830" w:right="399" w:bottom="1440" w:gutter="0" w:footer="0" w:header="0"/>
        </w:sectPr>
      </w:pPr>
    </w:p>
    <w:bookmarkStart w:id="45" w:name="page46"/>
    <w:bookmarkEnd w:id="45"/>
    <w:p>
      <w:pPr>
        <w:ind w:left="980" w:right="940" w:hanging="324"/>
        <w:spacing w:after="0" w:line="260" w:lineRule="auto"/>
        <w:tabs>
          <w:tab w:leader="none" w:pos="942" w:val="left"/>
        </w:tabs>
        <w:numPr>
          <w:ilvl w:val="1"/>
          <w:numId w:val="58"/>
        </w:numPr>
        <w:rPr>
          <w:rFonts w:ascii="Arial" w:cs="Arial" w:eastAsia="Arial" w:hAnsi="Arial"/>
          <w:sz w:val="16"/>
          <w:szCs w:val="16"/>
          <w:color w:val="auto"/>
        </w:rPr>
      </w:pPr>
      <w:r>
        <w:rPr>
          <w:rFonts w:ascii="Arial" w:cs="Arial" w:eastAsia="Arial" w:hAnsi="Arial"/>
          <w:sz w:val="16"/>
          <w:szCs w:val="16"/>
          <w:color w:val="auto"/>
        </w:rPr>
        <w:t>At the beginning of each calendar year, annual performance goals are established and approved by the Compensation Committee. Performance against these annual goals is used to determine the short-term cash incentive payout.</w:t>
      </w:r>
    </w:p>
    <w:p>
      <w:pPr>
        <w:spacing w:after="0" w:line="87" w:lineRule="exact"/>
        <w:rPr>
          <w:rFonts w:ascii="Arial" w:cs="Arial" w:eastAsia="Arial" w:hAnsi="Arial"/>
          <w:sz w:val="16"/>
          <w:szCs w:val="16"/>
          <w:color w:val="auto"/>
        </w:rPr>
      </w:pPr>
    </w:p>
    <w:p>
      <w:pPr>
        <w:ind w:left="980" w:right="300" w:hanging="324"/>
        <w:spacing w:after="0" w:line="260" w:lineRule="auto"/>
        <w:tabs>
          <w:tab w:leader="none" w:pos="942" w:val="left"/>
        </w:tabs>
        <w:numPr>
          <w:ilvl w:val="1"/>
          <w:numId w:val="58"/>
        </w:numPr>
        <w:rPr>
          <w:rFonts w:ascii="Arial" w:cs="Arial" w:eastAsia="Arial" w:hAnsi="Arial"/>
          <w:sz w:val="16"/>
          <w:szCs w:val="16"/>
          <w:color w:val="auto"/>
        </w:rPr>
      </w:pPr>
      <w:r>
        <w:rPr>
          <w:rFonts w:ascii="Arial" w:cs="Arial" w:eastAsia="Arial" w:hAnsi="Arial"/>
          <w:sz w:val="16"/>
          <w:szCs w:val="16"/>
          <w:color w:val="auto"/>
        </w:rPr>
        <w:t>Prior to the annual equity grant, multi-year performance goals are established and approved by the Compensation Committee. Performance against these multi-year objectives is used to determine the long-term incentive equity payout.</w:t>
      </w:r>
    </w:p>
    <w:p>
      <w:pPr>
        <w:spacing w:after="0" w:line="67" w:lineRule="exact"/>
        <w:rPr>
          <w:rFonts w:ascii="Arial" w:cs="Arial" w:eastAsia="Arial" w:hAnsi="Arial"/>
          <w:sz w:val="16"/>
          <w:szCs w:val="16"/>
          <w:color w:val="auto"/>
        </w:rPr>
      </w:pPr>
    </w:p>
    <w:p>
      <w:pPr>
        <w:ind w:left="660" w:hanging="328"/>
        <w:spacing w:after="0" w:line="275" w:lineRule="auto"/>
        <w:tabs>
          <w:tab w:leader="none" w:pos="636" w:val="left"/>
        </w:tabs>
        <w:numPr>
          <w:ilvl w:val="0"/>
          <w:numId w:val="58"/>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Peer group analysis: </w:t>
      </w:r>
      <w:r>
        <w:rPr>
          <w:rFonts w:ascii="Arial" w:cs="Arial" w:eastAsia="Arial" w:hAnsi="Arial"/>
          <w:sz w:val="16"/>
          <w:szCs w:val="16"/>
          <w:color w:val="000000"/>
        </w:rPr>
        <w:t>The Compensation Committee uses data from the peer group described below as a market check for compensation</w:t>
      </w:r>
      <w:r>
        <w:rPr>
          <w:rFonts w:ascii="Arial" w:cs="Arial" w:eastAsia="Arial" w:hAnsi="Arial"/>
          <w:sz w:val="16"/>
          <w:szCs w:val="16"/>
          <w:b w:val="1"/>
          <w:bCs w:val="1"/>
          <w:color w:val="00A1DE"/>
        </w:rPr>
        <w:t xml:space="preserve"> </w:t>
      </w:r>
      <w:r>
        <w:rPr>
          <w:rFonts w:ascii="Arial" w:cs="Arial" w:eastAsia="Arial" w:hAnsi="Arial"/>
          <w:sz w:val="16"/>
          <w:szCs w:val="16"/>
          <w:color w:val="000000"/>
        </w:rPr>
        <w:t>decisions but does not use this data as the sole basis for its compensation targets and does not target a specific position within that range of market data.</w:t>
      </w:r>
    </w:p>
    <w:p>
      <w:pPr>
        <w:spacing w:after="0" w:line="253" w:lineRule="exact"/>
        <w:rPr>
          <w:rFonts w:ascii="Arial" w:cs="Arial" w:eastAsia="Arial" w:hAnsi="Arial"/>
          <w:sz w:val="16"/>
          <w:szCs w:val="16"/>
          <w:b w:val="1"/>
          <w:bCs w:val="1"/>
          <w:color w:val="00A1DE"/>
        </w:rPr>
      </w:pPr>
    </w:p>
    <w:p>
      <w:pPr>
        <w:ind w:left="660" w:right="600" w:hanging="328"/>
        <w:spacing w:after="0" w:line="286" w:lineRule="auto"/>
        <w:tabs>
          <w:tab w:leader="none" w:pos="636" w:val="left"/>
        </w:tabs>
        <w:numPr>
          <w:ilvl w:val="0"/>
          <w:numId w:val="58"/>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Input from independent compensation consultant: </w:t>
      </w:r>
      <w:r>
        <w:rPr>
          <w:rFonts w:ascii="Arial" w:cs="Arial" w:eastAsia="Arial" w:hAnsi="Arial"/>
          <w:sz w:val="16"/>
          <w:szCs w:val="16"/>
          <w:color w:val="000000"/>
        </w:rPr>
        <w:t>The Compensation Committee considers the advice of its independent compensation</w:t>
      </w:r>
      <w:r>
        <w:rPr>
          <w:rFonts w:ascii="Arial" w:cs="Arial" w:eastAsia="Arial" w:hAnsi="Arial"/>
          <w:sz w:val="16"/>
          <w:szCs w:val="16"/>
          <w:b w:val="1"/>
          <w:bCs w:val="1"/>
          <w:color w:val="00A1DE"/>
        </w:rPr>
        <w:t xml:space="preserve"> </w:t>
      </w:r>
      <w:r>
        <w:rPr>
          <w:rFonts w:ascii="Arial" w:cs="Arial" w:eastAsia="Arial" w:hAnsi="Arial"/>
          <w:sz w:val="16"/>
          <w:szCs w:val="16"/>
          <w:color w:val="000000"/>
        </w:rPr>
        <w:t>consultant, FW Cook, when setting executive officer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Pay Assessment</w:t>
      </w:r>
    </w:p>
    <w:p>
      <w:pPr>
        <w:spacing w:after="0" w:line="8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Lilly’s peer group is composed of companies that directly compete with Lilly, use a similar business model, and employ people with the unique skills required to operate an established biopharmaceutical company. The Compensation Committee selects a peer group whose median market cap and revenue are broadly like Lilly's. The Compensation Committee reviews the peer group at least every three years. The Compensation Committee established the following peer group in May 2018 for purposes of assessing competitive pay:</w:t>
      </w:r>
    </w:p>
    <w:p>
      <w:pPr>
        <w:spacing w:after="0" w:line="148" w:lineRule="exact"/>
        <w:rPr>
          <w:sz w:val="20"/>
          <w:szCs w:val="20"/>
          <w:color w:val="auto"/>
        </w:rPr>
      </w:pPr>
    </w:p>
    <w:tbl>
      <w:tblPr>
        <w:tblLayout w:type="fixed"/>
        <w:tblInd w:w="132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2280" w:type="dxa"/>
            <w:vAlign w:val="bottom"/>
          </w:tcPr>
          <w:p>
            <w:pPr>
              <w:ind w:left="860"/>
              <w:spacing w:after="0"/>
              <w:rPr>
                <w:sz w:val="20"/>
                <w:szCs w:val="20"/>
                <w:color w:val="auto"/>
              </w:rPr>
            </w:pPr>
            <w:r>
              <w:rPr>
                <w:rFonts w:ascii="Arial" w:cs="Arial" w:eastAsia="Arial" w:hAnsi="Arial"/>
                <w:sz w:val="16"/>
                <w:szCs w:val="16"/>
                <w:color w:val="auto"/>
              </w:rPr>
              <w:t>Bristol-Myers</w:t>
            </w:r>
          </w:p>
        </w:tc>
        <w:tc>
          <w:tcPr>
            <w:tcW w:w="20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1120" w:type="dxa"/>
            <w:vAlign w:val="bottom"/>
          </w:tcPr>
          <w:p>
            <w:pPr>
              <w:spacing w:after="0"/>
              <w:rPr>
                <w:sz w:val="20"/>
                <w:szCs w:val="20"/>
                <w:color w:val="auto"/>
              </w:rPr>
            </w:pPr>
            <w:r>
              <w:rPr>
                <w:rFonts w:ascii="Arial" w:cs="Arial" w:eastAsia="Arial" w:hAnsi="Arial"/>
                <w:sz w:val="16"/>
                <w:szCs w:val="16"/>
                <w:color w:val="auto"/>
              </w:rPr>
              <w:t>AbbVie</w:t>
            </w:r>
          </w:p>
        </w:tc>
        <w:tc>
          <w:tcPr>
            <w:tcW w:w="2280" w:type="dxa"/>
            <w:vAlign w:val="bottom"/>
          </w:tcPr>
          <w:p>
            <w:pPr>
              <w:ind w:left="220"/>
              <w:spacing w:after="0"/>
              <w:rPr>
                <w:sz w:val="20"/>
                <w:szCs w:val="20"/>
                <w:color w:val="auto"/>
              </w:rPr>
            </w:pPr>
            <w:r>
              <w:rPr>
                <w:rFonts w:ascii="Arial" w:cs="Arial" w:eastAsia="Arial" w:hAnsi="Arial"/>
                <w:sz w:val="16"/>
                <w:szCs w:val="16"/>
                <w:color w:val="auto"/>
              </w:rPr>
              <w:t>Squibb</w:t>
            </w:r>
          </w:p>
        </w:tc>
        <w:tc>
          <w:tcPr>
            <w:tcW w:w="2020" w:type="dxa"/>
            <w:vAlign w:val="bottom"/>
          </w:tcPr>
          <w:p>
            <w:pPr>
              <w:ind w:left="860"/>
              <w:spacing w:after="0"/>
              <w:rPr>
                <w:sz w:val="20"/>
                <w:szCs w:val="20"/>
                <w:color w:val="auto"/>
              </w:rPr>
            </w:pPr>
            <w:r>
              <w:rPr>
                <w:rFonts w:ascii="Arial" w:cs="Arial" w:eastAsia="Arial" w:hAnsi="Arial"/>
                <w:sz w:val="16"/>
                <w:szCs w:val="16"/>
                <w:color w:val="auto"/>
              </w:rPr>
              <w:t>Merck</w:t>
            </w:r>
          </w:p>
        </w:tc>
        <w:tc>
          <w:tcPr>
            <w:tcW w:w="1080" w:type="dxa"/>
            <w:vAlign w:val="bottom"/>
          </w:tcPr>
          <w:p>
            <w:pPr>
              <w:ind w:left="560"/>
              <w:spacing w:after="0"/>
              <w:rPr>
                <w:sz w:val="20"/>
                <w:szCs w:val="20"/>
                <w:color w:val="auto"/>
              </w:rPr>
            </w:pPr>
            <w:r>
              <w:rPr>
                <w:rFonts w:ascii="Arial" w:cs="Arial" w:eastAsia="Arial" w:hAnsi="Arial"/>
                <w:sz w:val="16"/>
                <w:szCs w:val="16"/>
                <w:color w:val="auto"/>
              </w:rPr>
              <w:t>Sanofi</w:t>
            </w:r>
          </w:p>
        </w:tc>
      </w:tr>
      <w:tr>
        <w:trPr>
          <w:trHeight w:val="256"/>
        </w:trPr>
        <w:tc>
          <w:tcPr>
            <w:tcW w:w="1120" w:type="dxa"/>
            <w:vAlign w:val="bottom"/>
          </w:tcPr>
          <w:p>
            <w:pPr>
              <w:spacing w:after="0"/>
              <w:rPr>
                <w:sz w:val="20"/>
                <w:szCs w:val="20"/>
                <w:color w:val="auto"/>
              </w:rPr>
            </w:pPr>
            <w:r>
              <w:rPr>
                <w:rFonts w:ascii="Arial" w:cs="Arial" w:eastAsia="Arial" w:hAnsi="Arial"/>
                <w:sz w:val="16"/>
                <w:szCs w:val="16"/>
                <w:color w:val="auto"/>
              </w:rPr>
              <w:t>Allergan*</w:t>
            </w:r>
          </w:p>
        </w:tc>
        <w:tc>
          <w:tcPr>
            <w:tcW w:w="2280" w:type="dxa"/>
            <w:vAlign w:val="bottom"/>
          </w:tcPr>
          <w:p>
            <w:pPr>
              <w:ind w:left="860"/>
              <w:spacing w:after="0"/>
              <w:rPr>
                <w:sz w:val="20"/>
                <w:szCs w:val="20"/>
                <w:color w:val="auto"/>
              </w:rPr>
            </w:pPr>
            <w:r>
              <w:rPr>
                <w:rFonts w:ascii="Arial" w:cs="Arial" w:eastAsia="Arial" w:hAnsi="Arial"/>
                <w:sz w:val="16"/>
                <w:szCs w:val="16"/>
                <w:color w:val="auto"/>
              </w:rPr>
              <w:t>Celgene*</w:t>
            </w:r>
          </w:p>
        </w:tc>
        <w:tc>
          <w:tcPr>
            <w:tcW w:w="2020" w:type="dxa"/>
            <w:vAlign w:val="bottom"/>
          </w:tcPr>
          <w:p>
            <w:pPr>
              <w:ind w:left="860"/>
              <w:spacing w:after="0"/>
              <w:rPr>
                <w:sz w:val="20"/>
                <w:szCs w:val="20"/>
                <w:color w:val="auto"/>
              </w:rPr>
            </w:pPr>
            <w:r>
              <w:rPr>
                <w:rFonts w:ascii="Arial" w:cs="Arial" w:eastAsia="Arial" w:hAnsi="Arial"/>
                <w:sz w:val="16"/>
                <w:szCs w:val="16"/>
                <w:color w:val="auto"/>
              </w:rPr>
              <w:t>Novartis</w:t>
            </w:r>
          </w:p>
        </w:tc>
        <w:tc>
          <w:tcPr>
            <w:tcW w:w="1080" w:type="dxa"/>
            <w:vAlign w:val="bottom"/>
          </w:tcPr>
          <w:p>
            <w:pPr>
              <w:ind w:left="560"/>
              <w:spacing w:after="0"/>
              <w:rPr>
                <w:sz w:val="20"/>
                <w:szCs w:val="20"/>
                <w:color w:val="auto"/>
              </w:rPr>
            </w:pPr>
            <w:r>
              <w:rPr>
                <w:rFonts w:ascii="Arial" w:cs="Arial" w:eastAsia="Arial" w:hAnsi="Arial"/>
                <w:sz w:val="16"/>
                <w:szCs w:val="16"/>
                <w:color w:val="auto"/>
              </w:rPr>
              <w:t>Shire*</w:t>
            </w:r>
          </w:p>
        </w:tc>
      </w:tr>
      <w:tr>
        <w:trPr>
          <w:trHeight w:val="237"/>
        </w:trPr>
        <w:tc>
          <w:tcPr>
            <w:tcW w:w="1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20" w:type="dxa"/>
            <w:vAlign w:val="bottom"/>
          </w:tcPr>
          <w:p>
            <w:pPr>
              <w:ind w:left="860"/>
              <w:spacing w:after="0"/>
              <w:rPr>
                <w:sz w:val="20"/>
                <w:szCs w:val="20"/>
                <w:color w:val="auto"/>
              </w:rPr>
            </w:pPr>
            <w:r>
              <w:rPr>
                <w:rFonts w:ascii="Arial" w:cs="Arial" w:eastAsia="Arial" w:hAnsi="Arial"/>
                <w:sz w:val="16"/>
                <w:szCs w:val="16"/>
                <w:color w:val="auto"/>
              </w:rPr>
              <w:t>Novo</w:t>
            </w:r>
          </w:p>
        </w:tc>
        <w:tc>
          <w:tcPr>
            <w:tcW w:w="1080" w:type="dxa"/>
            <w:vAlign w:val="bottom"/>
          </w:tcPr>
          <w:p>
            <w:pPr>
              <w:spacing w:after="0"/>
              <w:rPr>
                <w:sz w:val="20"/>
                <w:szCs w:val="20"/>
                <w:color w:val="auto"/>
              </w:rPr>
            </w:pPr>
          </w:p>
        </w:tc>
      </w:tr>
      <w:tr>
        <w:trPr>
          <w:trHeight w:val="195"/>
        </w:trPr>
        <w:tc>
          <w:tcPr>
            <w:tcW w:w="1120" w:type="dxa"/>
            <w:vAlign w:val="bottom"/>
          </w:tcPr>
          <w:p>
            <w:pPr>
              <w:spacing w:after="0"/>
              <w:rPr>
                <w:sz w:val="20"/>
                <w:szCs w:val="20"/>
                <w:color w:val="auto"/>
              </w:rPr>
            </w:pPr>
            <w:r>
              <w:rPr>
                <w:rFonts w:ascii="Arial" w:cs="Arial" w:eastAsia="Arial" w:hAnsi="Arial"/>
                <w:sz w:val="16"/>
                <w:szCs w:val="16"/>
                <w:color w:val="auto"/>
              </w:rPr>
              <w:t>Amgen</w:t>
            </w:r>
          </w:p>
        </w:tc>
        <w:tc>
          <w:tcPr>
            <w:tcW w:w="2280" w:type="dxa"/>
            <w:vAlign w:val="bottom"/>
          </w:tcPr>
          <w:p>
            <w:pPr>
              <w:ind w:left="860"/>
              <w:spacing w:after="0"/>
              <w:rPr>
                <w:sz w:val="20"/>
                <w:szCs w:val="20"/>
                <w:color w:val="auto"/>
              </w:rPr>
            </w:pPr>
            <w:r>
              <w:rPr>
                <w:rFonts w:ascii="Arial" w:cs="Arial" w:eastAsia="Arial" w:hAnsi="Arial"/>
                <w:sz w:val="16"/>
                <w:szCs w:val="16"/>
                <w:color w:val="auto"/>
              </w:rPr>
              <w:t>Gilead</w:t>
            </w:r>
          </w:p>
        </w:tc>
        <w:tc>
          <w:tcPr>
            <w:tcW w:w="2020" w:type="dxa"/>
            <w:vAlign w:val="bottom"/>
          </w:tcPr>
          <w:p>
            <w:pPr>
              <w:ind w:left="220"/>
              <w:spacing w:after="0"/>
              <w:rPr>
                <w:sz w:val="20"/>
                <w:szCs w:val="20"/>
                <w:color w:val="auto"/>
              </w:rPr>
            </w:pPr>
            <w:r>
              <w:rPr>
                <w:rFonts w:ascii="Arial" w:cs="Arial" w:eastAsia="Arial" w:hAnsi="Arial"/>
                <w:sz w:val="16"/>
                <w:szCs w:val="16"/>
                <w:color w:val="auto"/>
              </w:rPr>
              <w:t>Nordisk</w:t>
            </w:r>
          </w:p>
        </w:tc>
        <w:tc>
          <w:tcPr>
            <w:tcW w:w="1080" w:type="dxa"/>
            <w:vAlign w:val="bottom"/>
          </w:tcPr>
          <w:p>
            <w:pPr>
              <w:ind w:left="560"/>
              <w:spacing w:after="0"/>
              <w:rPr>
                <w:sz w:val="20"/>
                <w:szCs w:val="20"/>
                <w:color w:val="auto"/>
              </w:rPr>
            </w:pPr>
            <w:r>
              <w:rPr>
                <w:rFonts w:ascii="Arial" w:cs="Arial" w:eastAsia="Arial" w:hAnsi="Arial"/>
                <w:sz w:val="16"/>
                <w:szCs w:val="16"/>
                <w:color w:val="auto"/>
                <w:w w:val="93"/>
              </w:rPr>
              <w:t>Takeda</w:t>
            </w:r>
          </w:p>
        </w:tc>
      </w:tr>
      <w:tr>
        <w:trPr>
          <w:trHeight w:val="256"/>
        </w:trPr>
        <w:tc>
          <w:tcPr>
            <w:tcW w:w="1120" w:type="dxa"/>
            <w:vAlign w:val="bottom"/>
          </w:tcPr>
          <w:p>
            <w:pPr>
              <w:spacing w:after="0"/>
              <w:rPr>
                <w:sz w:val="20"/>
                <w:szCs w:val="20"/>
                <w:color w:val="auto"/>
              </w:rPr>
            </w:pPr>
            <w:r>
              <w:rPr>
                <w:rFonts w:ascii="Arial" w:cs="Arial" w:eastAsia="Arial" w:hAnsi="Arial"/>
                <w:sz w:val="16"/>
                <w:szCs w:val="16"/>
                <w:color w:val="auto"/>
              </w:rPr>
              <w:t>AstraZeneca</w:t>
            </w:r>
          </w:p>
        </w:tc>
        <w:tc>
          <w:tcPr>
            <w:tcW w:w="2280" w:type="dxa"/>
            <w:vAlign w:val="bottom"/>
          </w:tcPr>
          <w:p>
            <w:pPr>
              <w:ind w:left="860"/>
              <w:spacing w:after="0"/>
              <w:rPr>
                <w:sz w:val="20"/>
                <w:szCs w:val="20"/>
                <w:color w:val="auto"/>
              </w:rPr>
            </w:pPr>
            <w:r>
              <w:rPr>
                <w:rFonts w:ascii="Arial" w:cs="Arial" w:eastAsia="Arial" w:hAnsi="Arial"/>
                <w:sz w:val="16"/>
                <w:szCs w:val="16"/>
                <w:color w:val="auto"/>
              </w:rPr>
              <w:t>GlaxoSmithKline</w:t>
            </w:r>
          </w:p>
        </w:tc>
        <w:tc>
          <w:tcPr>
            <w:tcW w:w="2020" w:type="dxa"/>
            <w:vAlign w:val="bottom"/>
          </w:tcPr>
          <w:p>
            <w:pPr>
              <w:ind w:left="860"/>
              <w:spacing w:after="0"/>
              <w:rPr>
                <w:sz w:val="20"/>
                <w:szCs w:val="20"/>
                <w:color w:val="auto"/>
              </w:rPr>
            </w:pPr>
            <w:r>
              <w:rPr>
                <w:rFonts w:ascii="Arial" w:cs="Arial" w:eastAsia="Arial" w:hAnsi="Arial"/>
                <w:sz w:val="16"/>
                <w:szCs w:val="16"/>
                <w:color w:val="auto"/>
              </w:rPr>
              <w:t>Pfizer</w:t>
            </w:r>
          </w:p>
        </w:tc>
        <w:tc>
          <w:tcPr>
            <w:tcW w:w="1080" w:type="dxa"/>
            <w:vAlign w:val="bottom"/>
          </w:tcPr>
          <w:p>
            <w:pPr>
              <w:spacing w:after="0"/>
              <w:rPr>
                <w:sz w:val="22"/>
                <w:szCs w:val="22"/>
                <w:color w:val="auto"/>
              </w:rPr>
            </w:pPr>
          </w:p>
        </w:tc>
      </w:tr>
      <w:tr>
        <w:trPr>
          <w:trHeight w:val="237"/>
        </w:trPr>
        <w:tc>
          <w:tcPr>
            <w:tcW w:w="1120" w:type="dxa"/>
            <w:vAlign w:val="bottom"/>
          </w:tcPr>
          <w:p>
            <w:pPr>
              <w:spacing w:after="0"/>
              <w:rPr>
                <w:sz w:val="20"/>
                <w:szCs w:val="20"/>
                <w:color w:val="auto"/>
              </w:rPr>
            </w:pPr>
          </w:p>
        </w:tc>
        <w:tc>
          <w:tcPr>
            <w:tcW w:w="2280" w:type="dxa"/>
            <w:vAlign w:val="bottom"/>
          </w:tcPr>
          <w:p>
            <w:pPr>
              <w:ind w:left="860"/>
              <w:spacing w:after="0"/>
              <w:rPr>
                <w:sz w:val="20"/>
                <w:szCs w:val="20"/>
                <w:color w:val="auto"/>
              </w:rPr>
            </w:pPr>
            <w:r>
              <w:rPr>
                <w:rFonts w:ascii="Arial" w:cs="Arial" w:eastAsia="Arial" w:hAnsi="Arial"/>
                <w:sz w:val="16"/>
                <w:szCs w:val="16"/>
                <w:color w:val="auto"/>
              </w:rPr>
              <w:t>Johnson &amp;</w:t>
            </w:r>
          </w:p>
        </w:tc>
        <w:tc>
          <w:tcPr>
            <w:tcW w:w="20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1120" w:type="dxa"/>
            <w:vAlign w:val="bottom"/>
          </w:tcPr>
          <w:p>
            <w:pPr>
              <w:spacing w:after="0"/>
              <w:rPr>
                <w:sz w:val="20"/>
                <w:szCs w:val="20"/>
                <w:color w:val="auto"/>
              </w:rPr>
            </w:pPr>
            <w:r>
              <w:rPr>
                <w:rFonts w:ascii="Arial" w:cs="Arial" w:eastAsia="Arial" w:hAnsi="Arial"/>
                <w:sz w:val="16"/>
                <w:szCs w:val="16"/>
                <w:color w:val="auto"/>
              </w:rPr>
              <w:t>Biogen</w:t>
            </w:r>
          </w:p>
        </w:tc>
        <w:tc>
          <w:tcPr>
            <w:tcW w:w="2280" w:type="dxa"/>
            <w:vAlign w:val="bottom"/>
          </w:tcPr>
          <w:p>
            <w:pPr>
              <w:ind w:left="220"/>
              <w:spacing w:after="0"/>
              <w:rPr>
                <w:sz w:val="20"/>
                <w:szCs w:val="20"/>
                <w:color w:val="auto"/>
              </w:rPr>
            </w:pPr>
            <w:r>
              <w:rPr>
                <w:rFonts w:ascii="Arial" w:cs="Arial" w:eastAsia="Arial" w:hAnsi="Arial"/>
                <w:sz w:val="16"/>
                <w:szCs w:val="16"/>
                <w:color w:val="auto"/>
              </w:rPr>
              <w:t>Johnson</w:t>
            </w:r>
          </w:p>
        </w:tc>
        <w:tc>
          <w:tcPr>
            <w:tcW w:w="2020" w:type="dxa"/>
            <w:vAlign w:val="bottom"/>
          </w:tcPr>
          <w:p>
            <w:pPr>
              <w:ind w:left="860"/>
              <w:spacing w:after="0"/>
              <w:rPr>
                <w:sz w:val="20"/>
                <w:szCs w:val="20"/>
                <w:color w:val="auto"/>
              </w:rPr>
            </w:pPr>
            <w:r>
              <w:rPr>
                <w:rFonts w:ascii="Arial" w:cs="Arial" w:eastAsia="Arial" w:hAnsi="Arial"/>
                <w:sz w:val="16"/>
                <w:szCs w:val="16"/>
                <w:color w:val="auto"/>
              </w:rPr>
              <w:t>Roche</w:t>
            </w:r>
          </w:p>
        </w:tc>
        <w:tc>
          <w:tcPr>
            <w:tcW w:w="1080" w:type="dxa"/>
            <w:vAlign w:val="bottom"/>
          </w:tcPr>
          <w:p>
            <w:pPr>
              <w:spacing w:after="0"/>
              <w:rPr>
                <w:sz w:val="16"/>
                <w:szCs w:val="16"/>
                <w:color w:val="auto"/>
              </w:rPr>
            </w:pPr>
          </w:p>
        </w:tc>
      </w:tr>
    </w:tbl>
    <w:p>
      <w:pPr>
        <w:spacing w:after="0" w:line="6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*Market data unavailable for assessing competitive 2021 pay due to business mergers.</w:t>
      </w: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At the time of the review in May 2018, all peer companies were no greater than two times our revenue or market cap except Johnson &amp; Johnson, Novartis, Pfizer, and Roche. The Compensation Committee included these four companies despite their size because they compete directly with Lilly, have similar business models, and seek to hire from the same pool of management and scientific talent.</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When determining pay levels for target compensation, the Compensation Committee considers an analysis of market competitive pay for each executive officer position (except CEO), along with internal factors such as the performance and experience of each executive officer. The independent compensation consultant for the Compensation Committee provides a similar analysis when recommending pay levels for the CEO. The CEO analysis includes a comparison of our CEO actual total direct compensation in the prior year to company performance on an absolute and relative basis. The analysis also includes a comparison of current target total direct compensation for our CEO to the most recently available data on CEO target total direct compensation for our peer group with an emphasis on peers that are headquartered in the U.S. On average, the named executive officers' target total direct compensation for 2021 was comparable to the median of the peer group.</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Components of Our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Our 2021 executive compensation was primarily composed of three components:</w:t>
      </w:r>
    </w:p>
    <w:p>
      <w:pPr>
        <w:spacing w:after="0" w:line="113" w:lineRule="exact"/>
        <w:rPr>
          <w:sz w:val="20"/>
          <w:szCs w:val="20"/>
          <w:color w:val="auto"/>
        </w:rPr>
      </w:pPr>
    </w:p>
    <w:p>
      <w:pPr>
        <w:ind w:left="620" w:hanging="288"/>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annual cash bonus, which is generally based on company performance relative to internal targets for revenue, EPS, and the progress of our pipeline</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three different forms of equity incentives:</w:t>
      </w:r>
    </w:p>
    <w:p>
      <w:pPr>
        <w:spacing w:after="0" w:line="113" w:lineRule="exact"/>
        <w:rPr>
          <w:rFonts w:ascii="Arial" w:cs="Arial" w:eastAsia="Arial" w:hAnsi="Arial"/>
          <w:sz w:val="16"/>
          <w:szCs w:val="16"/>
          <w:color w:val="auto"/>
        </w:rPr>
      </w:pPr>
    </w:p>
    <w:p>
      <w:pPr>
        <w:ind w:left="980" w:right="220" w:hanging="324"/>
        <w:spacing w:after="0" w:line="253" w:lineRule="auto"/>
        <w:tabs>
          <w:tab w:leader="none" w:pos="9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performance award, which is a performance-based equity award that vests over three years. Payout is based on the company's two-year growth in EPS relative to the median external analyst anticipated peer group EPS growth. The earned shares are then subject to a 13-month service-vesting period</w:t>
      </w:r>
    </w:p>
    <w:p>
      <w:pPr>
        <w:spacing w:after="0" w:line="93" w:lineRule="exact"/>
        <w:rPr>
          <w:rFonts w:ascii="Arial" w:cs="Arial" w:eastAsia="Arial" w:hAnsi="Arial"/>
          <w:sz w:val="16"/>
          <w:szCs w:val="16"/>
          <w:color w:val="auto"/>
        </w:rPr>
      </w:pPr>
    </w:p>
    <w:p>
      <w:pPr>
        <w:ind w:left="980" w:right="120" w:hanging="324"/>
        <w:spacing w:after="0" w:line="260" w:lineRule="auto"/>
        <w:tabs>
          <w:tab w:leader="none" w:pos="9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shareholder value award, which is a performance-based equity award that pays out based on absolute company stock price growth measured over a three-year period, followed by a one-year holding period</w:t>
      </w:r>
    </w:p>
    <w:p>
      <w:pPr>
        <w:spacing w:after="0" w:line="87" w:lineRule="exact"/>
        <w:rPr>
          <w:rFonts w:ascii="Arial" w:cs="Arial" w:eastAsia="Arial" w:hAnsi="Arial"/>
          <w:sz w:val="16"/>
          <w:szCs w:val="16"/>
          <w:color w:val="auto"/>
        </w:rPr>
      </w:pPr>
    </w:p>
    <w:p>
      <w:pPr>
        <w:ind w:left="980" w:right="20" w:hanging="324"/>
        <w:spacing w:after="0" w:line="260" w:lineRule="auto"/>
        <w:tabs>
          <w:tab w:leader="none" w:pos="9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relative value award, which is a performance-based equity award that pays out based on company TSR results relative to peers measured over a three-year period, followed by a one-year holding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Executives also receive a company benefits package, described below under "Other Compensation Practices and Information—Employee Benefits."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843"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Adjustments to Reported Financial Results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Committee has authority to adjust the company's reported revenue and EPS upon which incentive compensation payouts are determined to eliminate the distorting effect of unusual income or expense items. The adjustments are intended to:</w:t>
      </w:r>
    </w:p>
    <w:p>
      <w:pPr>
        <w:spacing w:after="0" w:line="87" w:lineRule="exact"/>
        <w:rPr>
          <w:sz w:val="20"/>
          <w:szCs w:val="20"/>
          <w:color w:val="auto"/>
        </w:rPr>
      </w:pPr>
    </w:p>
    <w:p>
      <w:pPr>
        <w:ind w:left="620" w:hanging="288"/>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align award payments with the underlying performance of the core business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avoid volatile, artificial inflation or deflation of awards due to unusual items in any year in the performance period</w:t>
      </w:r>
    </w:p>
    <w:p>
      <w:pPr>
        <w:spacing w:after="0" w:line="113" w:lineRule="exact"/>
        <w:rPr>
          <w:rFonts w:ascii="Arial" w:cs="Arial" w:eastAsia="Arial" w:hAnsi="Arial"/>
          <w:sz w:val="16"/>
          <w:szCs w:val="16"/>
          <w:color w:val="auto"/>
        </w:rPr>
      </w:pPr>
    </w:p>
    <w:p>
      <w:pPr>
        <w:ind w:left="660" w:right="140" w:hanging="328"/>
        <w:spacing w:after="0" w:line="260" w:lineRule="auto"/>
        <w:tabs>
          <w:tab w:leader="none" w:pos="6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facilitate comparisons with peer companies.</w:t>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Compensation Committee considers the adjustments approved by the Audit Committee for reporting non-GAAP EPS and other adjustments, based on guidelines approved by the Compensation Committee prior to the performance period. The Compensation Committee reviews and approves adjustments on a quarterly basis and may adjust payouts for items, including but not limited to, the impact of significant acquisitions or divestitures, the impact of share repurchases that differ significantly from business plan, and large swings in foreign exchange rates. Further details on the adjustments for 2021 and the rationale for making these adjustments are set forth in Appendix A, "Summary of Adjustments Related to the Annual Cash Bonus and Performance Award." For ease of reference, throughout the CD&amp;A and the other compensation disclosures, we refer simply to "revenue" and "EPS," but we encourage you to review the information in Appendix A to understand the adjustments from reported revenue and EPS that were approved.</w:t>
      </w:r>
    </w:p>
    <w:p>
      <w:pPr>
        <w:spacing w:after="0" w:line="8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The Compensation Committee also has general authority to apply downward discretion to bonus, performance award, shareholder value award, and relative value award payouts for individual or all executive officers.</w:t>
      </w:r>
    </w:p>
    <w:p>
      <w:pPr>
        <w:spacing w:after="0" w:line="86"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b w:val="1"/>
          <w:bCs w:val="1"/>
          <w:color w:val="1CA8E1"/>
        </w:rPr>
      </w:pPr>
      <w:r>
        <w:rPr>
          <w:rFonts w:ascii="Arial" w:cs="Arial" w:eastAsia="Arial" w:hAnsi="Arial"/>
          <w:sz w:val="14"/>
          <w:szCs w:val="14"/>
          <w:b w:val="1"/>
          <w:bCs w:val="1"/>
          <w:color w:val="1CA8E1"/>
        </w:rPr>
        <w:t>Base Salary</w:t>
      </w:r>
    </w:p>
    <w:p>
      <w:pPr>
        <w:spacing w:after="0" w:line="7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based on each person's level of contribution, responsibility, expertise, and competitiveness and are compared annually with peer group data.</w:t>
      </w:r>
    </w:p>
    <w:p>
      <w:pPr>
        <w:spacing w:after="0" w:line="94"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Base salary increases for 2021 were based on competitiveness. Generally, executive base salaries are positioned against market salaries, considering experience and performance over time. If an executive's salary is deemed competitive given their experience and performance, no salary increase is provided.</w:t>
      </w:r>
    </w:p>
    <w:p>
      <w:pPr>
        <w:spacing w:after="0" w:line="78"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b w:val="1"/>
          <w:bCs w:val="1"/>
          <w:color w:val="1CA8E1"/>
        </w:rPr>
      </w:pPr>
      <w:r>
        <w:rPr>
          <w:rFonts w:ascii="Arial" w:cs="Arial" w:eastAsia="Arial" w:hAnsi="Arial"/>
          <w:sz w:val="14"/>
          <w:szCs w:val="14"/>
          <w:b w:val="1"/>
          <w:bCs w:val="1"/>
          <w:color w:val="1CA8E1"/>
        </w:rPr>
        <w:t>Annual Cash Bonus</w:t>
      </w:r>
    </w:p>
    <w:p>
      <w:pPr>
        <w:spacing w:after="0" w:line="7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Bonus Plan is designed to reward the achievement of the company’s annual financial and innovation objectives. All the named executive officers participated in the Bonus Plan during 2021. Mr. Van Naarden's participation in the Bonus Plan commenced at the time of his promotion on September 5, 2021. For the portion of the 2021 performance year prior to his promotion, Mr. Van Naarden participated in The Loxo Oncology, Inc. Bonus Plan (Loxo Bonus Plan), and in lieu of the payments he would have been eligible to receive thereunder, the Company paid Mr. Van Naarden a one-time payment, as further described below in the Summary Compensation Table.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Bonus Plan</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Compensation Committee sets performance goals and individual bonus targets for the Bonus Plan at the beginning of each year. The bonus is based on three areas of company performance measured relative to internal targets: revenue, EPS, and pipeline progress. The annual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674995" cy="386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49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Actual payouts can range from 0 to 200 percent of an individual's bonus target. The Compensation Committee references the annual operating plan and pipeline objectives to establish performance targets and to assess the relative weighting for each objective. In 2021, the weightings remain unchanged from the prior year:</w:t>
      </w:r>
    </w:p>
    <w:p>
      <w:pPr>
        <w:spacing w:after="0" w:line="118" w:lineRule="exact"/>
        <w:rPr>
          <w:sz w:val="20"/>
          <w:szCs w:val="20"/>
          <w:color w:val="auto"/>
        </w:rPr>
      </w:pPr>
    </w:p>
    <w:tbl>
      <w:tblPr>
        <w:tblLayout w:type="fixed"/>
        <w:tblInd w:w="2520" w:type="dxa"/>
        <w:tblCellMar>
          <w:top w:w="0" w:type="dxa"/>
          <w:left w:w="0" w:type="dxa"/>
          <w:bottom w:w="0" w:type="dxa"/>
          <w:right w:w="0" w:type="dxa"/>
        </w:tblCellMar>
      </w:tblPr>
      <w:tr>
        <w:trPr>
          <w:trHeight w:val="198"/>
        </w:trPr>
        <w:tc>
          <w:tcPr>
            <w:tcW w:w="1380" w:type="dxa"/>
            <w:vAlign w:val="bottom"/>
            <w:shd w:val="clear" w:color="auto" w:fill="DBDBDB"/>
          </w:tcPr>
          <w:p>
            <w:pPr>
              <w:spacing w:after="0"/>
              <w:rPr>
                <w:sz w:val="17"/>
                <w:szCs w:val="17"/>
                <w:color w:val="auto"/>
              </w:rPr>
            </w:pPr>
          </w:p>
        </w:tc>
        <w:tc>
          <w:tcPr>
            <w:tcW w:w="3040" w:type="dxa"/>
            <w:vAlign w:val="bottom"/>
            <w:shd w:val="clear" w:color="auto" w:fill="DBDBDB"/>
          </w:tcPr>
          <w:p>
            <w:pPr>
              <w:ind w:left="260"/>
              <w:spacing w:after="0"/>
              <w:rPr>
                <w:sz w:val="20"/>
                <w:szCs w:val="20"/>
                <w:color w:val="auto"/>
              </w:rPr>
            </w:pPr>
            <w:r>
              <w:rPr>
                <w:rFonts w:ascii="Arial" w:cs="Arial" w:eastAsia="Arial" w:hAnsi="Arial"/>
                <w:sz w:val="16"/>
                <w:szCs w:val="16"/>
                <w:b w:val="1"/>
                <w:bCs w:val="1"/>
                <w:color w:val="00A1DE"/>
              </w:rPr>
              <w:t>Lilly</w:t>
            </w:r>
          </w:p>
        </w:tc>
      </w:tr>
      <w:tr>
        <w:trPr>
          <w:trHeight w:val="234"/>
        </w:trPr>
        <w:tc>
          <w:tcPr>
            <w:tcW w:w="1380" w:type="dxa"/>
            <w:vAlign w:val="bottom"/>
            <w:shd w:val="clear" w:color="auto" w:fill="DBDBDB"/>
          </w:tcPr>
          <w:p>
            <w:pPr>
              <w:ind w:left="840"/>
              <w:spacing w:after="0"/>
              <w:rPr>
                <w:sz w:val="20"/>
                <w:szCs w:val="20"/>
                <w:color w:val="auto"/>
              </w:rPr>
            </w:pPr>
            <w:r>
              <w:rPr>
                <w:rFonts w:ascii="Arial" w:cs="Arial" w:eastAsia="Arial" w:hAnsi="Arial"/>
                <w:sz w:val="16"/>
                <w:szCs w:val="16"/>
                <w:b w:val="1"/>
                <w:bCs w:val="1"/>
                <w:color w:val="00A1DE"/>
              </w:rPr>
              <w:t>Goals</w:t>
            </w:r>
          </w:p>
        </w:tc>
        <w:tc>
          <w:tcPr>
            <w:tcW w:w="3040" w:type="dxa"/>
            <w:vAlign w:val="bottom"/>
            <w:shd w:val="clear" w:color="auto" w:fill="DBDBDB"/>
          </w:tcPr>
          <w:p>
            <w:pPr>
              <w:jc w:val="center"/>
              <w:ind w:left="2139"/>
              <w:spacing w:after="0"/>
              <w:rPr>
                <w:sz w:val="20"/>
                <w:szCs w:val="20"/>
                <w:color w:val="auto"/>
              </w:rPr>
            </w:pPr>
            <w:r>
              <w:rPr>
                <w:rFonts w:ascii="Arial" w:cs="Arial" w:eastAsia="Arial" w:hAnsi="Arial"/>
                <w:sz w:val="16"/>
                <w:szCs w:val="16"/>
                <w:b w:val="1"/>
                <w:bCs w:val="1"/>
                <w:color w:val="00A1DE"/>
              </w:rPr>
              <w:t>Weighting</w:t>
            </w:r>
          </w:p>
        </w:tc>
      </w:tr>
      <w:tr>
        <w:trPr>
          <w:trHeight w:val="218"/>
        </w:trPr>
        <w:tc>
          <w:tcPr>
            <w:tcW w:w="138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Revenue</w:t>
            </w: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performance</w:t>
            </w:r>
          </w:p>
        </w:tc>
        <w:tc>
          <w:tcPr>
            <w:tcW w:w="3040" w:type="dxa"/>
            <w:vAlign w:val="bottom"/>
          </w:tcPr>
          <w:p>
            <w:pPr>
              <w:jc w:val="center"/>
              <w:ind w:left="2159"/>
              <w:spacing w:after="0"/>
              <w:rPr>
                <w:sz w:val="20"/>
                <w:szCs w:val="20"/>
                <w:color w:val="auto"/>
              </w:rPr>
            </w:pPr>
            <w:r>
              <w:rPr>
                <w:rFonts w:ascii="Arial" w:cs="Arial" w:eastAsia="Arial" w:hAnsi="Arial"/>
                <w:sz w:val="16"/>
                <w:szCs w:val="16"/>
                <w:color w:val="auto"/>
                <w:w w:val="99"/>
              </w:rPr>
              <w:t>25%</w:t>
            </w:r>
          </w:p>
        </w:tc>
      </w:tr>
      <w:tr>
        <w:trPr>
          <w:trHeight w:val="237"/>
        </w:trPr>
        <w:tc>
          <w:tcPr>
            <w:tcW w:w="138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EPS</w:t>
            </w: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performance</w:t>
            </w:r>
          </w:p>
        </w:tc>
        <w:tc>
          <w:tcPr>
            <w:tcW w:w="3040" w:type="dxa"/>
            <w:vAlign w:val="bottom"/>
          </w:tcPr>
          <w:p>
            <w:pPr>
              <w:jc w:val="center"/>
              <w:ind w:left="2159"/>
              <w:spacing w:after="0"/>
              <w:rPr>
                <w:sz w:val="20"/>
                <w:szCs w:val="20"/>
                <w:color w:val="auto"/>
              </w:rPr>
            </w:pPr>
            <w:r>
              <w:rPr>
                <w:rFonts w:ascii="Arial" w:cs="Arial" w:eastAsia="Arial" w:hAnsi="Arial"/>
                <w:sz w:val="16"/>
                <w:szCs w:val="16"/>
                <w:color w:val="auto"/>
                <w:w w:val="99"/>
              </w:rPr>
              <w:t>50%</w:t>
            </w:r>
          </w:p>
        </w:tc>
      </w:tr>
      <w:tr>
        <w:trPr>
          <w:trHeight w:val="237"/>
        </w:trPr>
        <w:tc>
          <w:tcPr>
            <w:tcW w:w="1380" w:type="dxa"/>
            <w:vAlign w:val="bottom"/>
          </w:tcPr>
          <w:p>
            <w:pPr>
              <w:spacing w:after="0"/>
              <w:rPr>
                <w:sz w:val="20"/>
                <w:szCs w:val="20"/>
                <w:color w:val="auto"/>
              </w:rPr>
            </w:pPr>
          </w:p>
        </w:tc>
        <w:tc>
          <w:tcPr>
            <w:tcW w:w="3040" w:type="dxa"/>
            <w:vAlign w:val="bottom"/>
          </w:tcPr>
          <w:p>
            <w:pPr>
              <w:ind w:left="100"/>
              <w:spacing w:after="0"/>
              <w:rPr>
                <w:sz w:val="20"/>
                <w:szCs w:val="20"/>
                <w:color w:val="auto"/>
              </w:rPr>
            </w:pPr>
            <w:r>
              <w:rPr>
                <w:rFonts w:ascii="Arial" w:cs="Arial" w:eastAsia="Arial" w:hAnsi="Arial"/>
                <w:sz w:val="16"/>
                <w:szCs w:val="16"/>
                <w:color w:val="auto"/>
              </w:rPr>
              <w:t>Pipeline</w:t>
            </w:r>
          </w:p>
        </w:tc>
      </w:tr>
      <w:tr>
        <w:trPr>
          <w:trHeight w:val="195"/>
        </w:trPr>
        <w:tc>
          <w:tcPr>
            <w:tcW w:w="1380" w:type="dxa"/>
            <w:vAlign w:val="bottom"/>
          </w:tcPr>
          <w:p>
            <w:pPr>
              <w:ind w:left="20"/>
              <w:spacing w:after="0"/>
              <w:rPr>
                <w:sz w:val="20"/>
                <w:szCs w:val="20"/>
                <w:color w:val="auto"/>
              </w:rPr>
            </w:pPr>
            <w:r>
              <w:rPr>
                <w:rFonts w:ascii="Arial" w:cs="Arial" w:eastAsia="Arial" w:hAnsi="Arial"/>
                <w:sz w:val="16"/>
                <w:szCs w:val="16"/>
                <w:color w:val="auto"/>
              </w:rPr>
              <w:t>progress</w:t>
            </w:r>
          </w:p>
        </w:tc>
        <w:tc>
          <w:tcPr>
            <w:tcW w:w="3040" w:type="dxa"/>
            <w:vAlign w:val="bottom"/>
          </w:tcPr>
          <w:p>
            <w:pPr>
              <w:jc w:val="center"/>
              <w:ind w:left="2159"/>
              <w:spacing w:after="0"/>
              <w:rPr>
                <w:sz w:val="20"/>
                <w:szCs w:val="20"/>
                <w:color w:val="auto"/>
              </w:rPr>
            </w:pPr>
            <w:r>
              <w:rPr>
                <w:rFonts w:ascii="Arial" w:cs="Arial" w:eastAsia="Arial" w:hAnsi="Arial"/>
                <w:sz w:val="16"/>
                <w:szCs w:val="16"/>
                <w:color w:val="auto"/>
                <w:w w:val="99"/>
              </w:rPr>
              <w:t>25%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Based on this weighting, the company bonus multiple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674995" cy="351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4995" cy="3511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97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Loxo Bonus Plan</w:t>
      </w:r>
    </w:p>
    <w:p>
      <w:pPr>
        <w:spacing w:after="0" w:line="7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Performance goals for the Loxo Bonus Plan are determined by a committee consisting of senior company leadership (the Loxo Oncology Steering Committee) and mirror the goals under the Bonus Plan; provided, however, that eligible employees have an additional bonus opportunity that may be awarded for the attainment of other goals specific to oncology research and development (Additional Cash Award). These other goals can vary annually, but typically include preclinical, clinical, regulatory actions, external innovation and scientific publication milestones. These additional goals associated with molecule advancement and proof of concept milestones typically carry more weight in the Additional Cash Award results.</w:t>
      </w:r>
    </w:p>
    <w:p>
      <w:pPr>
        <w:spacing w:after="0" w:line="9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annual Loxo Bonus Plan payout is calculated by multiplying a participant's base earnings, the individual bonus target and the sum of the Bonus Plan and Additional Cash Award payout multiples.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Base Earnings x Individual Bonus Target x (Bonus Plan Multiple + Additional Cash Award Multiple)</w:t>
      </w:r>
    </w:p>
    <w:p>
      <w:pPr>
        <w:spacing w:after="0" w:line="11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Actual payouts for the Loxo Bonus Plan can range from 0 to 400 percent of an individual's bonus target (0 to 200 percent for the Bonus Plan performance and 0 to 200 percent for the Additional Cash Award). Goal attainment is determined by the Loxo Oncology Steering Committee.</w:t>
      </w:r>
    </w:p>
    <w:p>
      <w:pPr>
        <w:spacing w:after="0" w:line="7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b w:val="1"/>
          <w:bCs w:val="1"/>
          <w:color w:val="1CA8E1"/>
        </w:rPr>
      </w:pPr>
      <w:r>
        <w:rPr>
          <w:rFonts w:ascii="Arial" w:cs="Arial" w:eastAsia="Arial" w:hAnsi="Arial"/>
          <w:sz w:val="14"/>
          <w:szCs w:val="14"/>
          <w:b w:val="1"/>
          <w:bCs w:val="1"/>
          <w:color w:val="1CA8E1"/>
        </w:rPr>
        <w:t>Equity Incentives</w:t>
      </w:r>
    </w:p>
    <w:p>
      <w:pPr>
        <w:spacing w:after="0" w:line="70" w:lineRule="exact"/>
        <w:rPr>
          <w:sz w:val="20"/>
          <w:szCs w:val="20"/>
          <w:color w:val="auto"/>
        </w:rPr>
      </w:pPr>
    </w:p>
    <w:p>
      <w:pPr>
        <w:ind w:right="20"/>
        <w:spacing w:after="0" w:line="190" w:lineRule="exact"/>
        <w:rPr>
          <w:sz w:val="20"/>
          <w:szCs w:val="20"/>
          <w:color w:val="auto"/>
        </w:rPr>
      </w:pPr>
      <w:r>
        <w:rPr>
          <w:rFonts w:ascii="Arial" w:cs="Arial" w:eastAsia="Arial" w:hAnsi="Arial"/>
          <w:sz w:val="16"/>
          <w:szCs w:val="16"/>
          <w:color w:val="auto"/>
        </w:rPr>
        <w:t>The company grants three types of equity incentives to executives and certain other employees: performance awards that are designed to focus leaders on multi</w:t>
      </w:r>
      <w:r>
        <w:rPr>
          <w:rFonts w:ascii="MS PGothic" w:cs="MS PGothic" w:eastAsia="MS PGothic" w:hAnsi="MS PGothic"/>
          <w:sz w:val="16"/>
          <w:szCs w:val="16"/>
          <w:color w:val="auto"/>
        </w:rPr>
        <w:t>‑</w:t>
      </w:r>
      <w:r>
        <w:rPr>
          <w:rFonts w:ascii="Arial" w:cs="Arial" w:eastAsia="Arial" w:hAnsi="Arial"/>
          <w:sz w:val="16"/>
          <w:szCs w:val="16"/>
          <w:color w:val="auto"/>
        </w:rPr>
        <w:t>year operational performance relative to peer companies, shareholder value awards that are intended to align earned compensation with long-term growth in shareholder value, and relative value awards which encourage TSR outperformance compared to our peer group. These awards, when considered together, align with shareholder interests by incenting long-term operational excellence, shareholder return and peer company outperformance without encouraging excessive risk-taking behaviors. The Compensation Committee has the discretion to adjust payout from an equity award granted to an executive officer downward from the amount yielded by the applicable formula.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Awards</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Performance awards vest over three years. Payouts are based on achieving EPS growth targets over a two-year performance period, followed by an additional 13-month service-vesting period for executive officers. During the service-vesting period, the award is held in the form of restricted stock units. The growth-rate targets are set relative to the median external analyst anticipated EPS growth for our peer group over the same performance period. These awards do not accumulate dividends during the two-year performance period, but they do accumulate dividend equivalent units during the service-vesting period.</w:t>
      </w:r>
    </w:p>
    <w:p>
      <w:pPr>
        <w:spacing w:after="0" w:line="286" w:lineRule="exact"/>
        <w:rPr>
          <w:sz w:val="20"/>
          <w:szCs w:val="20"/>
          <w:color w:val="auto"/>
        </w:rPr>
      </w:pPr>
    </w:p>
    <w:p>
      <w:pPr>
        <w:ind w:right="120"/>
        <w:spacing w:after="0" w:line="191" w:lineRule="exact"/>
        <w:rPr>
          <w:sz w:val="20"/>
          <w:szCs w:val="20"/>
          <w:color w:val="auto"/>
        </w:rPr>
      </w:pPr>
      <w:r>
        <w:rPr>
          <w:rFonts w:ascii="Arial" w:cs="Arial" w:eastAsia="Arial" w:hAnsi="Arial"/>
          <w:sz w:val="16"/>
          <w:szCs w:val="16"/>
          <w:color w:val="auto"/>
        </w:rPr>
        <w:t>The Compensation Committee believes EPS growth is an effective measure of operational performance because it is closely linked to shareholder value, is broadly communicated to the public, is understood by Lilly employees, and allows for objective comparisons to the performance of Lilly's peer group. Consistent with the objectives established by the Compensation Committee, Lilly company performance exceeding the expected peer group median results in above</w:t>
      </w:r>
      <w:r>
        <w:rPr>
          <w:rFonts w:ascii="MS PGothic" w:cs="MS PGothic" w:eastAsia="MS PGothic" w:hAnsi="MS PGothic"/>
          <w:sz w:val="16"/>
          <w:szCs w:val="16"/>
          <w:color w:val="auto"/>
        </w:rPr>
        <w:t>‑</w:t>
      </w:r>
      <w:r>
        <w:rPr>
          <w:rFonts w:ascii="Arial" w:cs="Arial" w:eastAsia="Arial" w:hAnsi="Arial"/>
          <w:sz w:val="16"/>
          <w:szCs w:val="16"/>
          <w:color w:val="auto"/>
        </w:rPr>
        <w:t>target payouts, while Lilly company performance lagging the expected peer group median results in below</w:t>
      </w:r>
      <w:r>
        <w:rPr>
          <w:rFonts w:ascii="MS PGothic" w:cs="MS PGothic" w:eastAsia="MS PGothic" w:hAnsi="MS PGothic"/>
          <w:sz w:val="16"/>
          <w:szCs w:val="16"/>
          <w:color w:val="auto"/>
        </w:rPr>
        <w:t>‑</w:t>
      </w:r>
      <w:r>
        <w:rPr>
          <w:rFonts w:ascii="Arial" w:cs="Arial" w:eastAsia="Arial" w:hAnsi="Arial"/>
          <w:sz w:val="16"/>
          <w:szCs w:val="16"/>
          <w:color w:val="auto"/>
        </w:rPr>
        <w:t>target payouts. Possible payouts range from 0 percent to 175 percent of the target number of shares, depending on Lilly EPS growth over the performance period.</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measure of EPS used in the performance award program differs from the measure used in the Bonus Plan in two ways. First, the EPS goal in the Bonus Plan is set with reference to internal goals that align to our annual operating plan, while the EPS goal in the performance award program is set based on the external analyst anticipated EPS growth rates of our peer group. Second, the Bonus Plan measures EPS over a one-year period, while the performance award program measures EPS over a two-year period. In any given year, the Bonus Plan may pay above target while the performance award pays below target (or vice versa).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Value Awards</w:t>
      </w:r>
    </w:p>
    <w:p>
      <w:pPr>
        <w:spacing w:after="0" w:line="8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Possible payouts are based on share price growth and range from 0 to 175 percent of the target number of shares. Executive officers receive no payout if Lilly's TSR for the three-year period is zero or negative.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Relative Value Awards</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Relative value awards are earned based on Lilly's TSR performance relative to our peer group.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30 or more percentage points below the median TSR performance for the peer group over the same time period. Possible payouts range from 0 to 175 percent of the target number of shares.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Arial" w:cs="Arial" w:eastAsia="Arial" w:hAnsi="Arial"/>
          <w:sz w:val="23"/>
          <w:szCs w:val="23"/>
          <w:b w:val="1"/>
          <w:bCs w:val="1"/>
          <w:color w:val="1CA8E1"/>
        </w:rPr>
        <w:t>Pay for Performance</w:t>
      </w:r>
    </w:p>
    <w:p>
      <w:pPr>
        <w:spacing w:after="0" w:line="8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The charts below depict the annualized mix of target compensation for Lilly’s CEO and the average for the other named executive officers annualized for Ms. Ashkenazi, Mr. Van Naarden, and Mr. Rau. The Other Named Executive Officers chart below excludes Mr.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5674995" cy="4560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499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Target Total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Review Process</w:t>
      </w:r>
    </w:p>
    <w:p>
      <w:pPr>
        <w:spacing w:after="0" w:line="8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setting 2021 target compensation for the named executive officers, the Compensation Committee considered individual contributions, Lilly's performance during 2020, internal relativity, peer group data, and input from the CEO for named executive officers other than himself.</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Individual Named Executive Officer Performance</w:t>
      </w:r>
    </w:p>
    <w:p>
      <w:pPr>
        <w:spacing w:after="0" w:line="8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 summary of the Compensation Committee's review of individual named executive officer performance in 2020 that influenced decisions on 2021 target compensation for these executives is provided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David Ricks, Chair, President, and CEO:</w:t>
      </w:r>
    </w:p>
    <w:p>
      <w:pPr>
        <w:spacing w:after="0" w:line="12" w:lineRule="exact"/>
        <w:rPr>
          <w:sz w:val="20"/>
          <w:szCs w:val="20"/>
          <w:color w:val="auto"/>
        </w:rPr>
      </w:pPr>
    </w:p>
    <w:p>
      <w:pPr>
        <w:jc w:val="both"/>
        <w:ind w:right="180"/>
        <w:spacing w:after="0" w:line="237" w:lineRule="auto"/>
        <w:rPr>
          <w:sz w:val="20"/>
          <w:szCs w:val="20"/>
          <w:color w:val="auto"/>
        </w:rPr>
      </w:pPr>
      <w:r>
        <w:rPr>
          <w:rFonts w:ascii="Arial" w:cs="Arial" w:eastAsia="Arial" w:hAnsi="Arial"/>
          <w:sz w:val="16"/>
          <w:szCs w:val="16"/>
          <w:color w:val="auto"/>
        </w:rPr>
        <w:t>In accordance with the company’s corporate governance guidelines, the independent directors conducted an assessment of Mr. Ricks’ performance led by the lead independent director. The independent directors believe the company largely met or exceeded its combined financial and strategic goals for 2020 under Mr. Ricks’ leadership. In 2020, Mr. Ricks and his team:</w:t>
      </w:r>
    </w:p>
    <w:p>
      <w:pPr>
        <w:spacing w:after="0" w:line="103" w:lineRule="exact"/>
        <w:rPr>
          <w:sz w:val="20"/>
          <w:szCs w:val="20"/>
          <w:color w:val="auto"/>
        </w:rPr>
      </w:pPr>
    </w:p>
    <w:p>
      <w:pPr>
        <w:ind w:left="660" w:right="480" w:hanging="328"/>
        <w:spacing w:after="0" w:line="260" w:lineRule="auto"/>
        <w:tabs>
          <w:tab w:leader="none" w:pos="622" w:val="left"/>
        </w:tabs>
        <w:numPr>
          <w:ilvl w:val="0"/>
          <w:numId w:val="64"/>
        </w:numPr>
        <w:rPr>
          <w:rFonts w:ascii="Arial" w:cs="Arial" w:eastAsia="Arial" w:hAnsi="Arial"/>
          <w:sz w:val="16"/>
          <w:szCs w:val="16"/>
          <w:color w:val="auto"/>
        </w:rPr>
      </w:pPr>
      <w:r>
        <w:rPr>
          <w:rFonts w:ascii="Arial" w:cs="Arial" w:eastAsia="Arial" w:hAnsi="Arial"/>
          <w:sz w:val="16"/>
          <w:szCs w:val="16"/>
          <w:color w:val="auto"/>
        </w:rPr>
        <w:t>Launched several innovative medicines to patients globally. Additionally, 25 new indications for already marketed medicines were launched to patients around the world</w:t>
      </w:r>
    </w:p>
    <w:p>
      <w:pPr>
        <w:sectPr>
          <w:pgSz w:w="11900" w:h="16838" w:orient="portrait"/>
          <w:cols w:equalWidth="0" w:num="1">
            <w:col w:w="11220"/>
          </w:cols>
          <w:pgMar w:left="320" w:top="926"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320" w:top="926" w:right="359" w:bottom="1440" w:gutter="0" w:footer="0" w:header="0"/>
          <w:type w:val="continuous"/>
        </w:sectPr>
      </w:pPr>
    </w:p>
    <w:bookmarkStart w:id="49" w:name="page50"/>
    <w:bookmarkEnd w:id="49"/>
    <w:p>
      <w:pPr>
        <w:ind w:left="620" w:hanging="288"/>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Progressed 17 potential new medicines into Phase I clinical development from both internal research and external sources</w:t>
      </w:r>
    </w:p>
    <w:p>
      <w:pPr>
        <w:spacing w:after="0" w:line="113" w:lineRule="exact"/>
        <w:rPr>
          <w:rFonts w:ascii="Arial" w:cs="Arial" w:eastAsia="Arial" w:hAnsi="Arial"/>
          <w:sz w:val="16"/>
          <w:szCs w:val="16"/>
          <w:color w:val="auto"/>
        </w:rPr>
      </w:pPr>
    </w:p>
    <w:p>
      <w:pPr>
        <w:ind w:left="660" w:right="20" w:hanging="328"/>
        <w:spacing w:after="0" w:line="253" w:lineRule="auto"/>
        <w:tabs>
          <w:tab w:leader="none" w:pos="6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Initiated actions against the global COVID-19 pandemic, including (1) implementing diagnostic testing in our community, (2) discovering and developing SARS-CoV-2 neutralizing antibodies leading to the Emergency Use Authorization for bamlanivimab, and (3) striving to protect the health and safety of Lilly employees while continuing to provide life saving medicines</w:t>
      </w:r>
    </w:p>
    <w:p>
      <w:pPr>
        <w:spacing w:after="0" w:line="93" w:lineRule="exact"/>
        <w:rPr>
          <w:rFonts w:ascii="Arial" w:cs="Arial" w:eastAsia="Arial" w:hAnsi="Arial"/>
          <w:sz w:val="16"/>
          <w:szCs w:val="16"/>
          <w:color w:val="auto"/>
        </w:rPr>
      </w:pPr>
    </w:p>
    <w:p>
      <w:pPr>
        <w:ind w:left="660" w:right="40" w:hanging="328"/>
        <w:spacing w:after="0" w:line="260" w:lineRule="auto"/>
        <w:tabs>
          <w:tab w:leader="none" w:pos="6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Completed the acquisition of Dermira, expanded Lilly's strategic collaboration with Innovent for Tyvyt globally and completed seven preclinical asset transactions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Continued to drive a cross-company productivity agenda resulting in savings that funded increased investment in research and development</w:t>
      </w:r>
    </w:p>
    <w:p>
      <w:pPr>
        <w:spacing w:after="0" w:line="113" w:lineRule="exact"/>
        <w:rPr>
          <w:rFonts w:ascii="Arial" w:cs="Arial" w:eastAsia="Arial" w:hAnsi="Arial"/>
          <w:sz w:val="16"/>
          <w:szCs w:val="16"/>
          <w:color w:val="auto"/>
        </w:rPr>
      </w:pPr>
    </w:p>
    <w:p>
      <w:pPr>
        <w:jc w:val="both"/>
        <w:ind w:left="660" w:right="140" w:hanging="328"/>
        <w:spacing w:after="0" w:line="253" w:lineRule="auto"/>
        <w:tabs>
          <w:tab w:leader="none" w:pos="6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Implemented a strategy that improved diversity, equity and inclusion across the company, increased the representation of women and minorities in management and conducted pay equity studies to promote equality in pay. The company was ranked #3 on the DiversityInc top 50 companies list and received Women Business Collaborative CEO recognition for excellence in gender diversity</w:t>
      </w:r>
    </w:p>
    <w:p>
      <w:pPr>
        <w:spacing w:after="0" w:line="93" w:lineRule="exact"/>
        <w:rPr>
          <w:rFonts w:ascii="Arial" w:cs="Arial" w:eastAsia="Arial" w:hAnsi="Arial"/>
          <w:sz w:val="16"/>
          <w:szCs w:val="16"/>
          <w:color w:val="auto"/>
        </w:rPr>
      </w:pPr>
    </w:p>
    <w:p>
      <w:pPr>
        <w:ind w:left="660" w:right="620" w:hanging="328"/>
        <w:spacing w:after="0" w:line="260" w:lineRule="auto"/>
        <w:tabs>
          <w:tab w:leader="none" w:pos="6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Led the development of Lilly's comprehensive Racial Justice Commitment to help improve equity within Lilly and the communities in which it operates</w:t>
      </w:r>
    </w:p>
    <w:p>
      <w:pPr>
        <w:spacing w:after="0" w:line="87" w:lineRule="exact"/>
        <w:rPr>
          <w:rFonts w:ascii="Arial" w:cs="Arial" w:eastAsia="Arial" w:hAnsi="Arial"/>
          <w:sz w:val="16"/>
          <w:szCs w:val="16"/>
          <w:color w:val="auto"/>
        </w:rPr>
      </w:pPr>
    </w:p>
    <w:p>
      <w:pPr>
        <w:ind w:left="660" w:right="380" w:hanging="328"/>
        <w:spacing w:after="0" w:line="260" w:lineRule="auto"/>
        <w:tabs>
          <w:tab w:leader="none" w:pos="62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Achieved certain 2020 environmental performance goals first established in 2013, such as greenhouse gas emissions, energy efficiency, waste efficiency and wastewater</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Established new long-term goals for environmental, safety and governance goals for 2030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company was named one of the world’s most ethical companies by the Ethisphere Institute.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Anat Ashkenazi, Senior Vice President and Chief Financial Officer:</w:t>
      </w:r>
    </w:p>
    <w:p>
      <w:pPr>
        <w:spacing w:after="0" w:line="25"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Ms. Ashkenazi became Senior Vice President and Chief Financial Officer (CFO) on February 9, 2021. Prior to becoming CFO, Ms. Ashkenazi served as senior vice president and controller, and led corporate strategy at Lilly Research Laboratories. As controller, Ms. Ashkenazi:</w:t>
      </w:r>
    </w:p>
    <w:p>
      <w:pPr>
        <w:spacing w:after="0" w:line="87" w:lineRule="exact"/>
        <w:rPr>
          <w:sz w:val="20"/>
          <w:szCs w:val="20"/>
          <w:color w:val="auto"/>
        </w:rPr>
      </w:pPr>
    </w:p>
    <w:p>
      <w:pPr>
        <w:ind w:left="660" w:right="340" w:hanging="328"/>
        <w:spacing w:after="0" w:line="260" w:lineRule="auto"/>
        <w:tabs>
          <w:tab w:leader="none" w:pos="622" w:val="left"/>
        </w:tabs>
        <w:numPr>
          <w:ilvl w:val="0"/>
          <w:numId w:val="66"/>
        </w:numPr>
        <w:rPr>
          <w:rFonts w:ascii="Arial" w:cs="Arial" w:eastAsia="Arial" w:hAnsi="Arial"/>
          <w:sz w:val="16"/>
          <w:szCs w:val="16"/>
          <w:color w:val="auto"/>
        </w:rPr>
      </w:pPr>
      <w:r>
        <w:rPr>
          <w:rFonts w:ascii="Arial" w:cs="Arial" w:eastAsia="Arial" w:hAnsi="Arial"/>
          <w:sz w:val="16"/>
          <w:szCs w:val="16"/>
          <w:color w:val="auto"/>
        </w:rPr>
        <w:t>Played a key role in the company achieving its financial targets in 2020 and in the company’s efforts to reallocate financial resources in the fight against COVID-19</w:t>
      </w:r>
    </w:p>
    <w:p>
      <w:pPr>
        <w:spacing w:after="0" w:line="87" w:lineRule="exact"/>
        <w:rPr>
          <w:rFonts w:ascii="Arial" w:cs="Arial" w:eastAsia="Arial" w:hAnsi="Arial"/>
          <w:sz w:val="16"/>
          <w:szCs w:val="16"/>
          <w:color w:val="auto"/>
        </w:rPr>
      </w:pPr>
    </w:p>
    <w:p>
      <w:pPr>
        <w:ind w:left="660" w:right="100" w:hanging="328"/>
        <w:spacing w:after="0" w:line="260" w:lineRule="auto"/>
        <w:tabs>
          <w:tab w:leader="none" w:pos="622"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Led the company’s broad productivity agenda for several years, having been a key partner to the operating units across the value cycle and played a key role in all business development activities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Led the company’s 2021 strategic plan and 2021 operating plan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Sponsors Lilly’s Veteran Network, an employee resource group focused on recruiting and advancing people who served in the country’s military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Daniel Skovronsky, M.D., Ph.D., Senior Vice President, Chief Scientific and Medical Officer and President, Lilly Research Laboratories: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Dr. Skovronsky advanced innovation for patients as the company's chief scientific and medical officer. His contributions in 2020 include:</w:t>
      </w:r>
    </w:p>
    <w:p>
      <w:pPr>
        <w:spacing w:after="0" w:line="113" w:lineRule="exact"/>
        <w:rPr>
          <w:sz w:val="20"/>
          <w:szCs w:val="20"/>
          <w:color w:val="auto"/>
        </w:rPr>
      </w:pPr>
    </w:p>
    <w:p>
      <w:pPr>
        <w:ind w:left="660" w:right="220" w:hanging="328"/>
        <w:spacing w:after="0" w:line="253"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Advanced innovative medicines through the product pipeline leading to numerous first approvals, including bamlanivimab (under Emergency Use Authorization from the FDA) in partnership with AbCellera. Additionally, 25 new indications for already-marketed medicines were launched to patients globally</w:t>
      </w:r>
    </w:p>
    <w:p>
      <w:pPr>
        <w:spacing w:after="0" w:line="93" w:lineRule="exact"/>
        <w:rPr>
          <w:rFonts w:ascii="Arial" w:cs="Arial" w:eastAsia="Arial" w:hAnsi="Arial"/>
          <w:sz w:val="16"/>
          <w:szCs w:val="16"/>
          <w:color w:val="auto"/>
        </w:rPr>
      </w:pPr>
    </w:p>
    <w:p>
      <w:pPr>
        <w:ind w:left="660" w:right="60" w:hanging="328"/>
        <w:spacing w:after="0" w:line="253"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Achieved several significant positive data readouts for Verzenio (Phase III in the adjuvant setting), LOXO-305 (advanced b-cell malignancies), Jardiance (cardiovascular outcomes in heart failure with reduced ejection fraction), mirikizumab (psoriasis head-to-head versus secukinumab), and tirzepatide (type 2 diabetes)</w:t>
      </w:r>
    </w:p>
    <w:p>
      <w:pPr>
        <w:spacing w:after="0" w:line="93" w:lineRule="exact"/>
        <w:rPr>
          <w:rFonts w:ascii="Arial" w:cs="Arial" w:eastAsia="Arial" w:hAnsi="Arial"/>
          <w:sz w:val="16"/>
          <w:szCs w:val="16"/>
          <w:color w:val="auto"/>
        </w:rPr>
      </w:pPr>
    </w:p>
    <w:p>
      <w:pPr>
        <w:ind w:left="660" w:right="320" w:hanging="328"/>
        <w:spacing w:after="0" w:line="260"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Co-led the acquisition of Dermira, expanded Lilly's strategic collaboration with Innovent for Tyvyt globally, and completed seven preclinical asset transactions</w:t>
      </w:r>
    </w:p>
    <w:p>
      <w:pPr>
        <w:spacing w:after="0" w:line="87" w:lineRule="exact"/>
        <w:rPr>
          <w:rFonts w:ascii="Arial" w:cs="Arial" w:eastAsia="Arial" w:hAnsi="Arial"/>
          <w:sz w:val="16"/>
          <w:szCs w:val="16"/>
          <w:color w:val="auto"/>
        </w:rPr>
      </w:pPr>
    </w:p>
    <w:p>
      <w:pPr>
        <w:ind w:left="660" w:hanging="328"/>
        <w:spacing w:after="0" w:line="260"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Sped research resulting in 17 potential new medicines advancing to Phase I clinical development including both internally discovered molecules and molecules sourced externally via business development</w:t>
      </w:r>
    </w:p>
    <w:p>
      <w:pPr>
        <w:spacing w:after="0" w:line="87" w:lineRule="exact"/>
        <w:rPr>
          <w:rFonts w:ascii="Arial" w:cs="Arial" w:eastAsia="Arial" w:hAnsi="Arial"/>
          <w:sz w:val="16"/>
          <w:szCs w:val="16"/>
          <w:color w:val="auto"/>
        </w:rPr>
      </w:pPr>
    </w:p>
    <w:p>
      <w:pPr>
        <w:ind w:left="660" w:hanging="328"/>
        <w:spacing w:after="0" w:line="260" w:lineRule="auto"/>
        <w:tabs>
          <w:tab w:leader="none" w:pos="622"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Led the company’s efforts in the fight against SARS-CoV-2 including (1) implementing diagnostic testing at our headquarters in Indianapolis, Indiana and (2) discovering and developing SARS-CoV-2 neutralizing antibodies leading to the Emergency Use Authorization for bamlanivimab</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Enhanced strategies to further reduce drug discovery and development timelines, leading to earlier product launch</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Led DEI strategies in research and development to improve innovation and productivity.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Jacob Van Naarden, Senior Vice President, CEO Loxo Oncology at Lilly and President, Lilly Oncology:</w:t>
      </w:r>
    </w:p>
    <w:p>
      <w:pPr>
        <w:spacing w:after="0" w:line="2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Mr. Van Naarden served as chief operating officer of Loxo Oncology at Lilly when the company acquired Loxo Oncology, Inc. in 2019, and was later named CEO of Loxo Oncology at Lilly in January 2021. Mr. Van Naarden played an integral role with numerous oncology assets including the approval of Retevmo. As CEO of Loxo Oncology at Lilly, Mr. Van Naarden has built a</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843" w:right="359" w:bottom="1440" w:gutter="0" w:footer="0" w:header="0"/>
        </w:sectPr>
      </w:pPr>
    </w:p>
    <w:bookmarkStart w:id="50" w:name="page51"/>
    <w:bookmarkEnd w:id="50"/>
    <w:p>
      <w:pPr>
        <w:ind w:right="400"/>
        <w:spacing w:after="0" w:line="260" w:lineRule="auto"/>
        <w:rPr>
          <w:sz w:val="20"/>
          <w:szCs w:val="20"/>
          <w:color w:val="auto"/>
        </w:rPr>
      </w:pPr>
      <w:r>
        <w:rPr>
          <w:rFonts w:ascii="Arial" w:cs="Arial" w:eastAsia="Arial" w:hAnsi="Arial"/>
          <w:sz w:val="16"/>
          <w:szCs w:val="16"/>
          <w:color w:val="auto"/>
        </w:rPr>
        <w:t>science-first drug discovery and development organization. He has led numerous business development transactions and contributed to the company’s scientific efforts in other therapeutic areas.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Diogo Rau, Senior Vice President and Chief Information and Digital Officer:</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Rau joined Lilly as senior vice president and chief information and digital officer in May 2021. Prior to joining Lilly, Mr. Rau served as senior director of information systems and technology for retail and online stores and most recently served as the top executive of information technology for retail and online stores at Apple, Inc. (Apple). During his 10 years at Apple, he led the development and implementation of the technology supporting the Apple Online Store and Apple retail stores, including e-commerce platform, mobile point of sale, the Apple Store App, and systems used by store team members. Prior to joining Apple, Mr. Rau was a partner with McKinsey &amp; Company.</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connection with Mr. Smiley’s resignation as an officer on February 9, 2021, the Compensation Committee took action to reduce his 2020 Bonus Plan payout to zero, reduce his 2018-2020 shareholder value award and cancel all his other outstanding equity incentive awards granted in 2019 and 2020. The foregoing terms were agreed to by Mr. Smiley pursuant to his release agreement effective as of February 9, 2021. The material terms of the agreement were previously disclosed in the company’s 2021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Compensation</w:t>
      </w:r>
    </w:p>
    <w:p>
      <w:pPr>
        <w:spacing w:after="0" w:line="7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information below reflects total compensation at target for named executive officers for 2021. The actual compensation received is summarized below in "Compensation Results."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Rationale for Changes to Named Executive Officer Target Compensation</w:t>
      </w:r>
    </w:p>
    <w:p>
      <w:pPr>
        <w:spacing w:after="0" w:line="83"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The Compensation Committee established the 2021 target total compensation for each named executive officer, except Ms. Ashkenazi, Mr. Van Naarden, and Mr. Rau, based on the named executive officer's 2020 performance, internal relativity, and peer group data. The Compensation Committee approved target total compensation for Ms. Ashkenazi, Mr. Van Naarden, and Mr. Rau upon their promotion or hire, as applicable, based on job scope, market data, experience, and internal relativity.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Base Salary</w:t>
      </w:r>
    </w:p>
    <w:p>
      <w:pPr>
        <w:spacing w:after="0" w:line="7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following table shows the approved annualized salary for each named executive officer. Mr. Ricks and Dr. Skovronsky did not receive an adjustment to base pay in 2021 and the remaining executive officers' 2021 annualized salaries were effective on the day they assumed their new responsibilities. Each named executive officer's actual base salary earned during 2021 is reflected in the Summary Compensation Table in the "Executive Compensation" section of this proxy statement.</w:t>
      </w:r>
    </w:p>
    <w:p>
      <w:pPr>
        <w:spacing w:after="0" w:line="119"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1380" w:type="dxa"/>
            <w:vAlign w:val="bottom"/>
            <w:shd w:val="clear" w:color="auto" w:fill="DBDBDB"/>
          </w:tcPr>
          <w:p>
            <w:pPr>
              <w:spacing w:after="0"/>
              <w:rPr>
                <w:sz w:val="15"/>
                <w:szCs w:val="15"/>
                <w:color w:val="auto"/>
              </w:rPr>
            </w:pPr>
          </w:p>
        </w:tc>
        <w:tc>
          <w:tcPr>
            <w:tcW w:w="2180" w:type="dxa"/>
            <w:vAlign w:val="bottom"/>
            <w:shd w:val="clear" w:color="auto" w:fill="DBDBDB"/>
          </w:tcPr>
          <w:p>
            <w:pPr>
              <w:spacing w:after="0"/>
              <w:rPr>
                <w:sz w:val="15"/>
                <w:szCs w:val="15"/>
                <w:color w:val="auto"/>
              </w:rPr>
            </w:pPr>
          </w:p>
        </w:tc>
        <w:tc>
          <w:tcPr>
            <w:tcW w:w="1900" w:type="dxa"/>
            <w:vAlign w:val="bottom"/>
            <w:shd w:val="clear" w:color="auto" w:fill="DBDBDB"/>
          </w:tcPr>
          <w:p>
            <w:pPr>
              <w:jc w:val="center"/>
              <w:ind w:right="91"/>
              <w:spacing w:after="0"/>
              <w:rPr>
                <w:sz w:val="20"/>
                <w:szCs w:val="20"/>
                <w:color w:val="auto"/>
              </w:rPr>
            </w:pPr>
            <w:r>
              <w:rPr>
                <w:rFonts w:ascii="Arial" w:cs="Arial" w:eastAsia="Arial" w:hAnsi="Arial"/>
                <w:sz w:val="14"/>
                <w:szCs w:val="14"/>
                <w:b w:val="1"/>
                <w:bCs w:val="1"/>
                <w:color w:val="1CA8E1"/>
              </w:rPr>
              <w:t>2021 Annual Base</w:t>
            </w: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r>
              <w:rPr>
                <w:rFonts w:ascii="Arial" w:cs="Arial" w:eastAsia="Arial" w:hAnsi="Arial"/>
                <w:sz w:val="21"/>
                <w:szCs w:val="21"/>
                <w:b w:val="1"/>
                <w:bCs w:val="1"/>
                <w:color w:val="00A1DE"/>
                <w:vertAlign w:val="superscript"/>
              </w:rPr>
              <w:t>2</w:t>
            </w:r>
          </w:p>
        </w:tc>
        <w:tc>
          <w:tcPr>
            <w:tcW w:w="2180" w:type="dxa"/>
            <w:vAlign w:val="bottom"/>
            <w:shd w:val="clear" w:color="auto" w:fill="DBDBDB"/>
          </w:tcPr>
          <w:p>
            <w:pPr>
              <w:jc w:val="right"/>
              <w:ind w:right="56"/>
              <w:spacing w:after="0"/>
              <w:rPr>
                <w:sz w:val="20"/>
                <w:szCs w:val="20"/>
                <w:color w:val="auto"/>
              </w:rPr>
            </w:pPr>
            <w:r>
              <w:rPr>
                <w:rFonts w:ascii="Arial" w:cs="Arial" w:eastAsia="Arial" w:hAnsi="Arial"/>
                <w:sz w:val="14"/>
                <w:szCs w:val="14"/>
                <w:b w:val="1"/>
                <w:bCs w:val="1"/>
                <w:color w:val="1CA8E1"/>
              </w:rPr>
              <w:t>2020 Annual Base Salary</w:t>
            </w:r>
          </w:p>
        </w:tc>
        <w:tc>
          <w:tcPr>
            <w:tcW w:w="1900" w:type="dxa"/>
            <w:vAlign w:val="bottom"/>
            <w:shd w:val="clear" w:color="auto" w:fill="DBDBDB"/>
          </w:tcPr>
          <w:p>
            <w:pPr>
              <w:jc w:val="center"/>
              <w:ind w:right="91"/>
              <w:spacing w:after="0"/>
              <w:rPr>
                <w:sz w:val="20"/>
                <w:szCs w:val="20"/>
                <w:color w:val="auto"/>
              </w:rPr>
            </w:pPr>
            <w:r>
              <w:rPr>
                <w:rFonts w:ascii="Arial" w:cs="Arial" w:eastAsia="Arial" w:hAnsi="Arial"/>
                <w:sz w:val="14"/>
                <w:szCs w:val="14"/>
                <w:b w:val="1"/>
                <w:bCs w:val="1"/>
                <w:color w:val="1CA8E1"/>
              </w:rPr>
              <w:t>Salary Effective March</w:t>
            </w:r>
          </w:p>
        </w:tc>
        <w:tc>
          <w:tcPr>
            <w:tcW w:w="12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80" w:type="dxa"/>
            <w:vAlign w:val="bottom"/>
            <w:tcBorders>
              <w:bottom w:val="single" w:sz="8" w:color="DBDBDB"/>
            </w:tcBorders>
            <w:vMerge w:val="continue"/>
            <w:shd w:val="clear" w:color="auto" w:fill="DBDBDB"/>
          </w:tcPr>
          <w:p>
            <w:pPr>
              <w:spacing w:after="0"/>
              <w:rPr>
                <w:sz w:val="15"/>
                <w:szCs w:val="15"/>
                <w:color w:val="auto"/>
              </w:rPr>
            </w:pPr>
          </w:p>
        </w:tc>
        <w:tc>
          <w:tcPr>
            <w:tcW w:w="2180" w:type="dxa"/>
            <w:vAlign w:val="bottom"/>
            <w:tcBorders>
              <w:bottom w:val="single" w:sz="8" w:color="DBDBDB"/>
            </w:tcBorders>
            <w:shd w:val="clear" w:color="auto" w:fill="DBDBDB"/>
          </w:tcPr>
          <w:p>
            <w:pPr>
              <w:jc w:val="right"/>
              <w:ind w:right="116"/>
              <w:spacing w:after="0"/>
              <w:rPr>
                <w:sz w:val="20"/>
                <w:szCs w:val="20"/>
                <w:color w:val="auto"/>
              </w:rPr>
            </w:pPr>
            <w:r>
              <w:rPr>
                <w:rFonts w:ascii="Arial" w:cs="Arial" w:eastAsia="Arial" w:hAnsi="Arial"/>
                <w:sz w:val="14"/>
                <w:szCs w:val="14"/>
                <w:b w:val="1"/>
                <w:bCs w:val="1"/>
                <w:color w:val="1CA8E1"/>
              </w:rPr>
              <w:t>Effective March 1, 2020</w:t>
            </w:r>
          </w:p>
        </w:tc>
        <w:tc>
          <w:tcPr>
            <w:tcW w:w="1900" w:type="dxa"/>
            <w:vAlign w:val="bottom"/>
            <w:tcBorders>
              <w:bottom w:val="single" w:sz="8" w:color="DBDBDB"/>
            </w:tcBorders>
            <w:shd w:val="clear" w:color="auto" w:fill="DBDBDB"/>
          </w:tcPr>
          <w:p>
            <w:pPr>
              <w:jc w:val="center"/>
              <w:ind w:right="71"/>
              <w:spacing w:after="0"/>
              <w:rPr>
                <w:sz w:val="20"/>
                <w:szCs w:val="20"/>
                <w:color w:val="auto"/>
              </w:rPr>
            </w:pPr>
            <w:r>
              <w:rPr>
                <w:rFonts w:ascii="Arial" w:cs="Arial" w:eastAsia="Arial" w:hAnsi="Arial"/>
                <w:sz w:val="14"/>
                <w:szCs w:val="14"/>
                <w:b w:val="1"/>
                <w:bCs w:val="1"/>
                <w:color w:val="1CA8E1"/>
              </w:rPr>
              <w:t>7, 2021</w:t>
            </w:r>
          </w:p>
        </w:tc>
        <w:tc>
          <w:tcPr>
            <w:tcW w:w="1260" w:type="dxa"/>
            <w:vAlign w:val="bottom"/>
            <w:tcBorders>
              <w:bottom w:val="single" w:sz="8" w:color="DBDBDB"/>
            </w:tcBorders>
            <w:shd w:val="clear" w:color="auto" w:fill="DBDBDB"/>
          </w:tcPr>
          <w:p>
            <w:pPr>
              <w:jc w:val="right"/>
              <w:ind w:right="352"/>
              <w:spacing w:after="0"/>
              <w:rPr>
                <w:sz w:val="20"/>
                <w:szCs w:val="20"/>
                <w:color w:val="auto"/>
              </w:rPr>
            </w:pPr>
            <w:r>
              <w:rPr>
                <w:rFonts w:ascii="Arial" w:cs="Arial" w:eastAsia="Arial" w:hAnsi="Arial"/>
                <w:sz w:val="14"/>
                <w:szCs w:val="14"/>
                <w:b w:val="1"/>
                <w:bCs w:val="1"/>
                <w:color w:val="1CA8E1"/>
              </w:rPr>
              <w:t>Increase</w:t>
            </w: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3"/>
                <w:szCs w:val="13"/>
                <w:color w:val="auto"/>
              </w:rPr>
              <w:t>Mr. Ricks</w:t>
            </w:r>
          </w:p>
        </w:tc>
        <w:tc>
          <w:tcPr>
            <w:tcW w:w="2180" w:type="dxa"/>
            <w:vAlign w:val="bottom"/>
          </w:tcPr>
          <w:p>
            <w:pPr>
              <w:jc w:val="right"/>
              <w:ind w:right="456"/>
              <w:spacing w:after="0"/>
              <w:rPr>
                <w:sz w:val="20"/>
                <w:szCs w:val="20"/>
                <w:color w:val="auto"/>
              </w:rPr>
            </w:pPr>
            <w:r>
              <w:rPr>
                <w:rFonts w:ascii="Arial" w:cs="Arial" w:eastAsia="Arial" w:hAnsi="Arial"/>
                <w:sz w:val="13"/>
                <w:szCs w:val="13"/>
                <w:color w:val="auto"/>
              </w:rPr>
              <w:t>$1,500,000</w:t>
            </w:r>
          </w:p>
        </w:tc>
        <w:tc>
          <w:tcPr>
            <w:tcW w:w="1900" w:type="dxa"/>
            <w:vAlign w:val="bottom"/>
          </w:tcPr>
          <w:p>
            <w:pPr>
              <w:jc w:val="right"/>
              <w:ind w:right="511"/>
              <w:spacing w:after="0"/>
              <w:rPr>
                <w:sz w:val="20"/>
                <w:szCs w:val="20"/>
                <w:color w:val="auto"/>
              </w:rPr>
            </w:pPr>
            <w:r>
              <w:rPr>
                <w:rFonts w:ascii="Arial" w:cs="Arial" w:eastAsia="Arial" w:hAnsi="Arial"/>
                <w:sz w:val="13"/>
                <w:szCs w:val="13"/>
                <w:color w:val="auto"/>
              </w:rPr>
              <w:t>$1,500,000</w:t>
            </w:r>
          </w:p>
        </w:tc>
        <w:tc>
          <w:tcPr>
            <w:tcW w:w="1260" w:type="dxa"/>
            <w:vAlign w:val="bottom"/>
          </w:tcPr>
          <w:p>
            <w:pPr>
              <w:jc w:val="right"/>
              <w:ind w:right="412"/>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2180" w:type="dxa"/>
            <w:vAlign w:val="bottom"/>
          </w:tcPr>
          <w:p>
            <w:pPr>
              <w:jc w:val="right"/>
              <w:ind w:right="376"/>
              <w:spacing w:after="0"/>
              <w:rPr>
                <w:sz w:val="20"/>
                <w:szCs w:val="20"/>
                <w:color w:val="auto"/>
              </w:rPr>
            </w:pPr>
            <w:r>
              <w:rPr>
                <w:rFonts w:ascii="Arial" w:cs="Arial" w:eastAsia="Arial" w:hAnsi="Arial"/>
                <w:sz w:val="11"/>
                <w:szCs w:val="11"/>
                <w:color w:val="auto"/>
              </w:rPr>
              <w:t>1</w:t>
            </w:r>
          </w:p>
        </w:tc>
        <w:tc>
          <w:tcPr>
            <w:tcW w:w="1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2180" w:type="dxa"/>
            <w:vAlign w:val="bottom"/>
          </w:tcPr>
          <w:p>
            <w:pPr>
              <w:jc w:val="right"/>
              <w:ind w:right="456"/>
              <w:spacing w:after="0"/>
              <w:rPr>
                <w:sz w:val="20"/>
                <w:szCs w:val="20"/>
                <w:color w:val="auto"/>
              </w:rPr>
            </w:pPr>
            <w:r>
              <w:rPr>
                <w:rFonts w:ascii="Arial" w:cs="Arial" w:eastAsia="Arial" w:hAnsi="Arial"/>
                <w:sz w:val="13"/>
                <w:szCs w:val="13"/>
                <w:color w:val="auto"/>
              </w:rPr>
              <w:t>N/A</w:t>
            </w:r>
          </w:p>
        </w:tc>
        <w:tc>
          <w:tcPr>
            <w:tcW w:w="1900" w:type="dxa"/>
            <w:vAlign w:val="bottom"/>
          </w:tcPr>
          <w:p>
            <w:pPr>
              <w:jc w:val="right"/>
              <w:ind w:right="511"/>
              <w:spacing w:after="0"/>
              <w:rPr>
                <w:sz w:val="20"/>
                <w:szCs w:val="20"/>
                <w:color w:val="auto"/>
              </w:rPr>
            </w:pPr>
            <w:r>
              <w:rPr>
                <w:rFonts w:ascii="Arial" w:cs="Arial" w:eastAsia="Arial" w:hAnsi="Arial"/>
                <w:sz w:val="13"/>
                <w:szCs w:val="13"/>
                <w:color w:val="auto"/>
              </w:rPr>
              <w:t>$900,000</w:t>
            </w:r>
          </w:p>
        </w:tc>
        <w:tc>
          <w:tcPr>
            <w:tcW w:w="1260" w:type="dxa"/>
            <w:vAlign w:val="bottom"/>
          </w:tcPr>
          <w:p>
            <w:pPr>
              <w:jc w:val="right"/>
              <w:ind w:right="41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2180" w:type="dxa"/>
            <w:vAlign w:val="bottom"/>
          </w:tcPr>
          <w:p>
            <w:pPr>
              <w:jc w:val="right"/>
              <w:ind w:right="456"/>
              <w:spacing w:after="0"/>
              <w:rPr>
                <w:sz w:val="20"/>
                <w:szCs w:val="20"/>
                <w:color w:val="auto"/>
              </w:rPr>
            </w:pPr>
            <w:r>
              <w:rPr>
                <w:rFonts w:ascii="Arial" w:cs="Arial" w:eastAsia="Arial" w:hAnsi="Arial"/>
                <w:sz w:val="13"/>
                <w:szCs w:val="13"/>
                <w:color w:val="auto"/>
              </w:rPr>
              <w:t>$1,000,000</w:t>
            </w:r>
          </w:p>
        </w:tc>
        <w:tc>
          <w:tcPr>
            <w:tcW w:w="1900" w:type="dxa"/>
            <w:vAlign w:val="bottom"/>
          </w:tcPr>
          <w:p>
            <w:pPr>
              <w:jc w:val="right"/>
              <w:ind w:right="511"/>
              <w:spacing w:after="0"/>
              <w:rPr>
                <w:sz w:val="20"/>
                <w:szCs w:val="20"/>
                <w:color w:val="auto"/>
              </w:rPr>
            </w:pPr>
            <w:r>
              <w:rPr>
                <w:rFonts w:ascii="Arial" w:cs="Arial" w:eastAsia="Arial" w:hAnsi="Arial"/>
                <w:sz w:val="13"/>
                <w:szCs w:val="13"/>
                <w:color w:val="auto"/>
              </w:rPr>
              <w:t>$1,000,000</w:t>
            </w:r>
          </w:p>
        </w:tc>
        <w:tc>
          <w:tcPr>
            <w:tcW w:w="1260" w:type="dxa"/>
            <w:vAlign w:val="bottom"/>
          </w:tcPr>
          <w:p>
            <w:pPr>
              <w:jc w:val="right"/>
              <w:ind w:right="412"/>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2180" w:type="dxa"/>
            <w:vAlign w:val="bottom"/>
          </w:tcPr>
          <w:p>
            <w:pPr>
              <w:jc w:val="right"/>
              <w:ind w:right="376"/>
              <w:spacing w:after="0"/>
              <w:rPr>
                <w:sz w:val="20"/>
                <w:szCs w:val="20"/>
                <w:color w:val="auto"/>
              </w:rPr>
            </w:pPr>
            <w:r>
              <w:rPr>
                <w:rFonts w:ascii="Arial" w:cs="Arial" w:eastAsia="Arial" w:hAnsi="Arial"/>
                <w:sz w:val="11"/>
                <w:szCs w:val="11"/>
                <w:color w:val="auto"/>
              </w:rPr>
              <w:t>1</w:t>
            </w:r>
          </w:p>
        </w:tc>
        <w:tc>
          <w:tcPr>
            <w:tcW w:w="1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2180" w:type="dxa"/>
            <w:vAlign w:val="bottom"/>
          </w:tcPr>
          <w:p>
            <w:pPr>
              <w:jc w:val="right"/>
              <w:ind w:right="456"/>
              <w:spacing w:after="0"/>
              <w:rPr>
                <w:sz w:val="20"/>
                <w:szCs w:val="20"/>
                <w:color w:val="auto"/>
              </w:rPr>
            </w:pPr>
            <w:r>
              <w:rPr>
                <w:rFonts w:ascii="Arial" w:cs="Arial" w:eastAsia="Arial" w:hAnsi="Arial"/>
                <w:sz w:val="13"/>
                <w:szCs w:val="13"/>
                <w:color w:val="auto"/>
              </w:rPr>
              <w:t>N/A</w:t>
            </w:r>
          </w:p>
        </w:tc>
        <w:tc>
          <w:tcPr>
            <w:tcW w:w="1900" w:type="dxa"/>
            <w:vAlign w:val="bottom"/>
          </w:tcPr>
          <w:p>
            <w:pPr>
              <w:jc w:val="right"/>
              <w:ind w:right="511"/>
              <w:spacing w:after="0"/>
              <w:rPr>
                <w:sz w:val="20"/>
                <w:szCs w:val="20"/>
                <w:color w:val="auto"/>
              </w:rPr>
            </w:pPr>
            <w:r>
              <w:rPr>
                <w:rFonts w:ascii="Arial" w:cs="Arial" w:eastAsia="Arial" w:hAnsi="Arial"/>
                <w:sz w:val="13"/>
                <w:szCs w:val="13"/>
                <w:color w:val="auto"/>
              </w:rPr>
              <w:t>$675,000</w:t>
            </w:r>
          </w:p>
        </w:tc>
        <w:tc>
          <w:tcPr>
            <w:tcW w:w="1260" w:type="dxa"/>
            <w:vAlign w:val="bottom"/>
          </w:tcPr>
          <w:p>
            <w:pPr>
              <w:jc w:val="right"/>
              <w:ind w:right="41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2180" w:type="dxa"/>
            <w:vAlign w:val="bottom"/>
          </w:tcPr>
          <w:p>
            <w:pPr>
              <w:jc w:val="right"/>
              <w:ind w:right="376"/>
              <w:spacing w:after="0"/>
              <w:rPr>
                <w:sz w:val="20"/>
                <w:szCs w:val="20"/>
                <w:color w:val="auto"/>
              </w:rPr>
            </w:pPr>
            <w:r>
              <w:rPr>
                <w:rFonts w:ascii="Arial" w:cs="Arial" w:eastAsia="Arial" w:hAnsi="Arial"/>
                <w:sz w:val="11"/>
                <w:szCs w:val="11"/>
                <w:color w:val="auto"/>
              </w:rPr>
              <w:t>1</w:t>
            </w:r>
          </w:p>
        </w:tc>
        <w:tc>
          <w:tcPr>
            <w:tcW w:w="1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rPr>
                <w:sz w:val="20"/>
                <w:szCs w:val="20"/>
                <w:color w:val="auto"/>
              </w:rPr>
            </w:pPr>
            <w:r>
              <w:rPr>
                <w:rFonts w:ascii="Arial" w:cs="Arial" w:eastAsia="Arial" w:hAnsi="Arial"/>
                <w:sz w:val="13"/>
                <w:szCs w:val="13"/>
                <w:color w:val="auto"/>
              </w:rPr>
              <w:t>Mr. Rau</w:t>
            </w:r>
          </w:p>
        </w:tc>
        <w:tc>
          <w:tcPr>
            <w:tcW w:w="2180" w:type="dxa"/>
            <w:vAlign w:val="bottom"/>
          </w:tcPr>
          <w:p>
            <w:pPr>
              <w:jc w:val="right"/>
              <w:ind w:right="456"/>
              <w:spacing w:after="0"/>
              <w:rPr>
                <w:sz w:val="20"/>
                <w:szCs w:val="20"/>
                <w:color w:val="auto"/>
              </w:rPr>
            </w:pPr>
            <w:r>
              <w:rPr>
                <w:rFonts w:ascii="Arial" w:cs="Arial" w:eastAsia="Arial" w:hAnsi="Arial"/>
                <w:sz w:val="13"/>
                <w:szCs w:val="13"/>
                <w:color w:val="auto"/>
              </w:rPr>
              <w:t>N/A</w:t>
            </w:r>
          </w:p>
        </w:tc>
        <w:tc>
          <w:tcPr>
            <w:tcW w:w="1900" w:type="dxa"/>
            <w:vAlign w:val="bottom"/>
          </w:tcPr>
          <w:p>
            <w:pPr>
              <w:jc w:val="right"/>
              <w:ind w:right="511"/>
              <w:spacing w:after="0"/>
              <w:rPr>
                <w:sz w:val="20"/>
                <w:szCs w:val="20"/>
                <w:color w:val="auto"/>
              </w:rPr>
            </w:pPr>
            <w:r>
              <w:rPr>
                <w:rFonts w:ascii="Arial" w:cs="Arial" w:eastAsia="Arial" w:hAnsi="Arial"/>
                <w:sz w:val="13"/>
                <w:szCs w:val="13"/>
                <w:color w:val="auto"/>
              </w:rPr>
              <w:t>$670,000</w:t>
            </w:r>
          </w:p>
        </w:tc>
        <w:tc>
          <w:tcPr>
            <w:tcW w:w="1260" w:type="dxa"/>
            <w:vAlign w:val="bottom"/>
          </w:tcPr>
          <w:p>
            <w:pPr>
              <w:jc w:val="right"/>
              <w:ind w:right="412"/>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00" w:hanging="101"/>
        <w:spacing w:after="0"/>
        <w:tabs>
          <w:tab w:leader="none" w:pos="100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Ms. Ashkenazi, Mr. Van Naarden, and Mr. Rau were not named executive officers in 2020.</w:t>
      </w:r>
    </w:p>
    <w:p>
      <w:pPr>
        <w:spacing w:after="0" w:line="108" w:lineRule="exact"/>
        <w:rPr>
          <w:sz w:val="20"/>
          <w:szCs w:val="20"/>
          <w:color w:val="auto"/>
        </w:rPr>
      </w:pPr>
    </w:p>
    <w:p>
      <w:pPr>
        <w:ind w:left="900" w:right="520" w:hanging="1"/>
        <w:spacing w:after="0" w:line="198" w:lineRule="auto"/>
        <w:tabs>
          <w:tab w:leader="none" w:pos="996"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For the period beginning on January 1, 2021 through February 8, 2021, Mr. Smiley's annual base salary was $1,000,000, and for the transition period beginning on February 9, 2021 through July 31, 2021, Mr. Smiley earned a biweekly base salary of $9,000.</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Annual Cash Bonus Targets</w:t>
      </w:r>
    </w:p>
    <w:p>
      <w:pPr>
        <w:spacing w:after="0" w:line="7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Based on a review of internal relativity, peer group data, and individual performance, the Compensation Committee retained the same percent-of-salary bonus target as in 2020 for Mr. Ricks, increased the bonus target for Dr. Skovronsky to 100 percent, set Ms. Ashkenazi's bonus target at 100 percent, and set Mr. Van Naarden's and Mr. Rau's bonus targets at 80 percent. Bonus targets are shown in the table below as a percentage of each named executive officer’s earnings from base salary in 2021:</w:t>
      </w:r>
    </w:p>
    <w:p>
      <w:pPr>
        <w:spacing w:after="0" w:line="119" w:lineRule="exact"/>
        <w:rPr>
          <w:sz w:val="20"/>
          <w:szCs w:val="20"/>
          <w:color w:val="auto"/>
        </w:rPr>
      </w:pPr>
    </w:p>
    <w:tbl>
      <w:tblPr>
        <w:tblLayout w:type="fixed"/>
        <w:tblInd w:w="900" w:type="dxa"/>
        <w:tblCellMar>
          <w:top w:w="0" w:type="dxa"/>
          <w:left w:w="0" w:type="dxa"/>
          <w:bottom w:w="0" w:type="dxa"/>
          <w:right w:w="0" w:type="dxa"/>
        </w:tblCellMar>
      </w:tblPr>
      <w:tr>
        <w:trPr>
          <w:trHeight w:val="358"/>
        </w:trPr>
        <w:tc>
          <w:tcPr>
            <w:tcW w:w="860" w:type="dxa"/>
            <w:vAlign w:val="bottom"/>
            <w:tcBorders>
              <w:bottom w:val="single" w:sz="8" w:color="DBDBDB"/>
            </w:tcBorders>
            <w:shd w:val="clear" w:color="auto" w:fill="DBDBDB"/>
          </w:tcPr>
          <w:p>
            <w:pPr>
              <w:spacing w:after="0"/>
              <w:rPr>
                <w:sz w:val="24"/>
                <w:szCs w:val="24"/>
                <w:color w:val="auto"/>
              </w:rPr>
            </w:pPr>
          </w:p>
        </w:tc>
        <w:tc>
          <w:tcPr>
            <w:tcW w:w="96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4"/>
                <w:szCs w:val="14"/>
                <w:b w:val="1"/>
                <w:bCs w:val="1"/>
                <w:color w:val="1CA8E1"/>
              </w:rPr>
              <w:t>Name</w:t>
            </w:r>
            <w:r>
              <w:rPr>
                <w:rFonts w:ascii="Arial" w:cs="Arial" w:eastAsia="Arial" w:hAnsi="Arial"/>
                <w:sz w:val="18"/>
                <w:szCs w:val="18"/>
                <w:b w:val="1"/>
                <w:bCs w:val="1"/>
                <w:color w:val="1CA8E1"/>
                <w:vertAlign w:val="superscript"/>
              </w:rPr>
              <w:t>3</w:t>
            </w:r>
          </w:p>
        </w:tc>
        <w:tc>
          <w:tcPr>
            <w:tcW w:w="3200" w:type="dxa"/>
            <w:vAlign w:val="bottom"/>
            <w:tcBorders>
              <w:bottom w:val="single" w:sz="8" w:color="DBDBDB"/>
            </w:tcBorders>
            <w:gridSpan w:val="2"/>
            <w:shd w:val="clear" w:color="auto" w:fill="DBDBDB"/>
          </w:tcPr>
          <w:p>
            <w:pPr>
              <w:jc w:val="right"/>
              <w:ind w:right="1401"/>
              <w:spacing w:after="0"/>
              <w:rPr>
                <w:sz w:val="20"/>
                <w:szCs w:val="20"/>
                <w:color w:val="auto"/>
              </w:rPr>
            </w:pPr>
            <w:r>
              <w:rPr>
                <w:rFonts w:ascii="Arial" w:cs="Arial" w:eastAsia="Arial" w:hAnsi="Arial"/>
                <w:sz w:val="14"/>
                <w:szCs w:val="14"/>
                <w:b w:val="1"/>
                <w:bCs w:val="1"/>
                <w:color w:val="1CA8E1"/>
              </w:rPr>
              <w:t>2020 Bonus Target</w:t>
            </w:r>
          </w:p>
        </w:tc>
        <w:tc>
          <w:tcPr>
            <w:tcW w:w="2760" w:type="dxa"/>
            <w:vAlign w:val="bottom"/>
            <w:tcBorders>
              <w:bottom w:val="single" w:sz="8" w:color="DBDBDB"/>
            </w:tcBorders>
            <w:gridSpan w:val="2"/>
            <w:shd w:val="clear" w:color="auto" w:fill="DBDBDB"/>
          </w:tcPr>
          <w:p>
            <w:pPr>
              <w:jc w:val="right"/>
              <w:ind w:right="959"/>
              <w:spacing w:after="0"/>
              <w:rPr>
                <w:sz w:val="20"/>
                <w:szCs w:val="20"/>
                <w:color w:val="auto"/>
              </w:rPr>
            </w:pPr>
            <w:r>
              <w:rPr>
                <w:rFonts w:ascii="Arial" w:cs="Arial" w:eastAsia="Arial" w:hAnsi="Arial"/>
                <w:sz w:val="14"/>
                <w:szCs w:val="14"/>
                <w:b w:val="1"/>
                <w:bCs w:val="1"/>
                <w:color w:val="1CA8E1"/>
              </w:rPr>
              <w:t>2021 Bonus Target</w:t>
            </w:r>
          </w:p>
        </w:tc>
        <w:tc>
          <w:tcPr>
            <w:tcW w:w="0" w:type="dxa"/>
            <w:vAlign w:val="bottom"/>
          </w:tcPr>
          <w:p>
            <w:pPr>
              <w:spacing w:after="0"/>
              <w:rPr>
                <w:sz w:val="1"/>
                <w:szCs w:val="1"/>
                <w:color w:val="auto"/>
              </w:rPr>
            </w:pPr>
          </w:p>
        </w:tc>
      </w:tr>
      <w:tr>
        <w:trPr>
          <w:trHeight w:val="188"/>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Ricks</w:t>
            </w:r>
          </w:p>
        </w:tc>
        <w:tc>
          <w:tcPr>
            <w:tcW w:w="960" w:type="dxa"/>
            <w:vAlign w:val="bottom"/>
          </w:tcPr>
          <w:p>
            <w:pPr>
              <w:ind w:left="40"/>
              <w:spacing w:after="0"/>
              <w:rPr>
                <w:sz w:val="20"/>
                <w:szCs w:val="20"/>
                <w:color w:val="auto"/>
              </w:rPr>
            </w:pPr>
            <w:r>
              <w:rPr>
                <w:rFonts w:ascii="Arial" w:cs="Arial" w:eastAsia="Arial" w:hAnsi="Arial"/>
                <w:sz w:val="13"/>
                <w:szCs w:val="13"/>
                <w:color w:val="auto"/>
              </w:rPr>
              <w:t>Mr.</w:t>
            </w:r>
          </w:p>
        </w:tc>
        <w:tc>
          <w:tcPr>
            <w:tcW w:w="1120" w:type="dxa"/>
            <w:vAlign w:val="bottom"/>
            <w:vMerge w:val="restart"/>
          </w:tcPr>
          <w:p>
            <w:pPr>
              <w:jc w:val="right"/>
              <w:ind w:right="351"/>
              <w:spacing w:after="0"/>
              <w:rPr>
                <w:sz w:val="20"/>
                <w:szCs w:val="20"/>
                <w:color w:val="auto"/>
              </w:rPr>
            </w:pPr>
            <w:r>
              <w:rPr>
                <w:rFonts w:ascii="Arial" w:cs="Arial" w:eastAsia="Arial" w:hAnsi="Arial"/>
                <w:sz w:val="13"/>
                <w:szCs w:val="13"/>
                <w:color w:val="auto"/>
              </w:rPr>
              <w:t>150</w:t>
            </w:r>
          </w:p>
        </w:tc>
        <w:tc>
          <w:tcPr>
            <w:tcW w:w="2080" w:type="dxa"/>
            <w:vAlign w:val="bottom"/>
            <w:vMerge w:val="restart"/>
          </w:tcPr>
          <w:p>
            <w:pPr>
              <w:jc w:val="right"/>
              <w:ind w:right="1381"/>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92"/>
              <w:spacing w:after="0"/>
              <w:rPr>
                <w:sz w:val="20"/>
                <w:szCs w:val="20"/>
                <w:color w:val="auto"/>
              </w:rPr>
            </w:pPr>
            <w:r>
              <w:rPr>
                <w:rFonts w:ascii="Arial" w:cs="Arial" w:eastAsia="Arial" w:hAnsi="Arial"/>
                <w:sz w:val="13"/>
                <w:szCs w:val="13"/>
                <w:color w:val="auto"/>
              </w:rPr>
              <w:t>150</w:t>
            </w:r>
          </w:p>
        </w:tc>
        <w:tc>
          <w:tcPr>
            <w:tcW w:w="1600" w:type="dxa"/>
            <w:vAlign w:val="bottom"/>
            <w:vMerge w:val="restart"/>
          </w:tcPr>
          <w:p>
            <w:pPr>
              <w:jc w:val="right"/>
              <w:ind w:right="9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3"/>
                <w:szCs w:val="13"/>
                <w:color w:val="auto"/>
              </w:rPr>
              <w:t>Ms.</w:t>
            </w:r>
          </w:p>
        </w:tc>
        <w:tc>
          <w:tcPr>
            <w:tcW w:w="1120" w:type="dxa"/>
            <w:vAlign w:val="bottom"/>
          </w:tcPr>
          <w:p>
            <w:pPr>
              <w:spacing w:after="0"/>
              <w:rPr>
                <w:sz w:val="9"/>
                <w:szCs w:val="9"/>
                <w:color w:val="auto"/>
              </w:rPr>
            </w:pPr>
          </w:p>
        </w:tc>
        <w:tc>
          <w:tcPr>
            <w:tcW w:w="2080" w:type="dxa"/>
            <w:vAlign w:val="bottom"/>
          </w:tcPr>
          <w:p>
            <w:pPr>
              <w:jc w:val="right"/>
              <w:ind w:right="421"/>
              <w:spacing w:after="0"/>
              <w:rPr>
                <w:sz w:val="20"/>
                <w:szCs w:val="20"/>
                <w:color w:val="auto"/>
              </w:rPr>
            </w:pPr>
            <w:r>
              <w:rPr>
                <w:rFonts w:ascii="Arial" w:cs="Arial" w:eastAsia="Arial" w:hAnsi="Arial"/>
                <w:sz w:val="9"/>
                <w:szCs w:val="9"/>
                <w:color w:val="auto"/>
              </w:rPr>
              <w:t>1</w:t>
            </w:r>
          </w:p>
        </w:tc>
        <w:tc>
          <w:tcPr>
            <w:tcW w:w="1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Ashkenazi</w:t>
            </w: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80" w:type="dxa"/>
            <w:vAlign w:val="bottom"/>
            <w:vMerge w:val="restart"/>
          </w:tcPr>
          <w:p>
            <w:pPr>
              <w:jc w:val="right"/>
              <w:ind w:right="1381"/>
              <w:spacing w:after="0"/>
              <w:rPr>
                <w:sz w:val="20"/>
                <w:szCs w:val="20"/>
                <w:color w:val="auto"/>
              </w:rPr>
            </w:pPr>
            <w:r>
              <w:rPr>
                <w:rFonts w:ascii="Arial" w:cs="Arial" w:eastAsia="Arial" w:hAnsi="Arial"/>
                <w:sz w:val="13"/>
                <w:szCs w:val="13"/>
                <w:color w:val="auto"/>
              </w:rPr>
              <w:t>N/A</w:t>
            </w:r>
          </w:p>
        </w:tc>
        <w:tc>
          <w:tcPr>
            <w:tcW w:w="1160" w:type="dxa"/>
            <w:vAlign w:val="bottom"/>
            <w:vMerge w:val="restart"/>
          </w:tcPr>
          <w:p>
            <w:pPr>
              <w:jc w:val="right"/>
              <w:ind w:right="392"/>
              <w:spacing w:after="0"/>
              <w:rPr>
                <w:sz w:val="20"/>
                <w:szCs w:val="20"/>
                <w:color w:val="auto"/>
              </w:rPr>
            </w:pPr>
            <w:r>
              <w:rPr>
                <w:rFonts w:ascii="Arial" w:cs="Arial" w:eastAsia="Arial" w:hAnsi="Arial"/>
                <w:sz w:val="13"/>
                <w:szCs w:val="13"/>
                <w:color w:val="auto"/>
              </w:rPr>
              <w:t>100</w:t>
            </w:r>
          </w:p>
        </w:tc>
        <w:tc>
          <w:tcPr>
            <w:tcW w:w="1600" w:type="dxa"/>
            <w:vAlign w:val="bottom"/>
            <w:vMerge w:val="restart"/>
          </w:tcPr>
          <w:p>
            <w:pPr>
              <w:jc w:val="right"/>
              <w:ind w:right="9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Skovronsky</w:t>
            </w:r>
          </w:p>
        </w:tc>
        <w:tc>
          <w:tcPr>
            <w:tcW w:w="960" w:type="dxa"/>
            <w:vAlign w:val="bottom"/>
          </w:tcPr>
          <w:p>
            <w:pPr>
              <w:ind w:left="40"/>
              <w:spacing w:after="0"/>
              <w:rPr>
                <w:sz w:val="20"/>
                <w:szCs w:val="20"/>
                <w:color w:val="auto"/>
              </w:rPr>
            </w:pPr>
            <w:r>
              <w:rPr>
                <w:rFonts w:ascii="Arial" w:cs="Arial" w:eastAsia="Arial" w:hAnsi="Arial"/>
                <w:sz w:val="13"/>
                <w:szCs w:val="13"/>
                <w:color w:val="auto"/>
              </w:rPr>
              <w:t>Dr.</w:t>
            </w:r>
          </w:p>
        </w:tc>
        <w:tc>
          <w:tcPr>
            <w:tcW w:w="1120" w:type="dxa"/>
            <w:vAlign w:val="bottom"/>
            <w:vMerge w:val="restart"/>
          </w:tcPr>
          <w:p>
            <w:pPr>
              <w:jc w:val="right"/>
              <w:ind w:right="351"/>
              <w:spacing w:after="0"/>
              <w:rPr>
                <w:sz w:val="20"/>
                <w:szCs w:val="20"/>
                <w:color w:val="auto"/>
              </w:rPr>
            </w:pPr>
            <w:r>
              <w:rPr>
                <w:rFonts w:ascii="Arial" w:cs="Arial" w:eastAsia="Arial" w:hAnsi="Arial"/>
                <w:sz w:val="13"/>
                <w:szCs w:val="13"/>
                <w:color w:val="auto"/>
              </w:rPr>
              <w:t>95</w:t>
            </w:r>
          </w:p>
        </w:tc>
        <w:tc>
          <w:tcPr>
            <w:tcW w:w="2080" w:type="dxa"/>
            <w:vAlign w:val="bottom"/>
            <w:vMerge w:val="restart"/>
          </w:tcPr>
          <w:p>
            <w:pPr>
              <w:jc w:val="right"/>
              <w:ind w:right="1381"/>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92"/>
              <w:spacing w:after="0"/>
              <w:rPr>
                <w:sz w:val="20"/>
                <w:szCs w:val="20"/>
                <w:color w:val="auto"/>
              </w:rPr>
            </w:pPr>
            <w:r>
              <w:rPr>
                <w:rFonts w:ascii="Arial" w:cs="Arial" w:eastAsia="Arial" w:hAnsi="Arial"/>
                <w:sz w:val="13"/>
                <w:szCs w:val="13"/>
                <w:color w:val="auto"/>
              </w:rPr>
              <w:t>100</w:t>
            </w:r>
          </w:p>
        </w:tc>
        <w:tc>
          <w:tcPr>
            <w:tcW w:w="1600" w:type="dxa"/>
            <w:vAlign w:val="bottom"/>
            <w:vMerge w:val="restart"/>
          </w:tcPr>
          <w:p>
            <w:pPr>
              <w:jc w:val="right"/>
              <w:ind w:right="9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3"/>
                <w:szCs w:val="13"/>
                <w:color w:val="auto"/>
              </w:rPr>
              <w:t>Mr.</w:t>
            </w:r>
          </w:p>
        </w:tc>
        <w:tc>
          <w:tcPr>
            <w:tcW w:w="1120" w:type="dxa"/>
            <w:vAlign w:val="bottom"/>
          </w:tcPr>
          <w:p>
            <w:pPr>
              <w:spacing w:after="0"/>
              <w:rPr>
                <w:sz w:val="9"/>
                <w:szCs w:val="9"/>
                <w:color w:val="auto"/>
              </w:rPr>
            </w:pPr>
          </w:p>
        </w:tc>
        <w:tc>
          <w:tcPr>
            <w:tcW w:w="2080" w:type="dxa"/>
            <w:vAlign w:val="bottom"/>
          </w:tcPr>
          <w:p>
            <w:pPr>
              <w:jc w:val="right"/>
              <w:ind w:right="421"/>
              <w:spacing w:after="0"/>
              <w:rPr>
                <w:sz w:val="20"/>
                <w:szCs w:val="20"/>
                <w:color w:val="auto"/>
              </w:rPr>
            </w:pPr>
            <w:r>
              <w:rPr>
                <w:rFonts w:ascii="Arial" w:cs="Arial" w:eastAsia="Arial" w:hAnsi="Arial"/>
                <w:sz w:val="9"/>
                <w:szCs w:val="9"/>
                <w:color w:val="auto"/>
              </w:rPr>
              <w:t>1</w:t>
            </w:r>
          </w:p>
        </w:tc>
        <w:tc>
          <w:tcPr>
            <w:tcW w:w="1160" w:type="dxa"/>
            <w:vAlign w:val="bottom"/>
          </w:tcPr>
          <w:p>
            <w:pPr>
              <w:spacing w:after="0"/>
              <w:rPr>
                <w:sz w:val="9"/>
                <w:szCs w:val="9"/>
                <w:color w:val="auto"/>
              </w:rPr>
            </w:pPr>
          </w:p>
        </w:tc>
        <w:tc>
          <w:tcPr>
            <w:tcW w:w="160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09"/>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Van Naarden</w:t>
            </w: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80" w:type="dxa"/>
            <w:vAlign w:val="bottom"/>
            <w:vMerge w:val="restart"/>
          </w:tcPr>
          <w:p>
            <w:pPr>
              <w:jc w:val="right"/>
              <w:ind w:right="1381"/>
              <w:spacing w:after="0"/>
              <w:rPr>
                <w:sz w:val="20"/>
                <w:szCs w:val="20"/>
                <w:color w:val="auto"/>
              </w:rPr>
            </w:pPr>
            <w:r>
              <w:rPr>
                <w:rFonts w:ascii="Arial" w:cs="Arial" w:eastAsia="Arial" w:hAnsi="Arial"/>
                <w:sz w:val="13"/>
                <w:szCs w:val="13"/>
                <w:color w:val="auto"/>
              </w:rPr>
              <w:t>N/A</w:t>
            </w:r>
          </w:p>
        </w:tc>
        <w:tc>
          <w:tcPr>
            <w:tcW w:w="1160" w:type="dxa"/>
            <w:vAlign w:val="bottom"/>
            <w:vMerge w:val="restart"/>
          </w:tcPr>
          <w:p>
            <w:pPr>
              <w:jc w:val="right"/>
              <w:ind w:right="392"/>
              <w:spacing w:after="0"/>
              <w:rPr>
                <w:sz w:val="20"/>
                <w:szCs w:val="20"/>
                <w:color w:val="auto"/>
              </w:rPr>
            </w:pPr>
            <w:r>
              <w:rPr>
                <w:rFonts w:ascii="Arial" w:cs="Arial" w:eastAsia="Arial" w:hAnsi="Arial"/>
                <w:sz w:val="13"/>
                <w:szCs w:val="13"/>
                <w:color w:val="auto"/>
              </w:rPr>
              <w:t>80</w:t>
            </w:r>
          </w:p>
        </w:tc>
        <w:tc>
          <w:tcPr>
            <w:tcW w:w="1600" w:type="dxa"/>
            <w:vAlign w:val="bottom"/>
            <w:vMerge w:val="restart"/>
          </w:tcPr>
          <w:p>
            <w:pPr>
              <w:jc w:val="right"/>
              <w:ind w:right="9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3"/>
                <w:szCs w:val="13"/>
                <w:color w:val="auto"/>
              </w:rPr>
              <w:t>Mr.</w:t>
            </w:r>
          </w:p>
        </w:tc>
        <w:tc>
          <w:tcPr>
            <w:tcW w:w="1120" w:type="dxa"/>
            <w:vAlign w:val="bottom"/>
          </w:tcPr>
          <w:p>
            <w:pPr>
              <w:spacing w:after="0"/>
              <w:rPr>
                <w:sz w:val="9"/>
                <w:szCs w:val="9"/>
                <w:color w:val="auto"/>
              </w:rPr>
            </w:pPr>
          </w:p>
        </w:tc>
        <w:tc>
          <w:tcPr>
            <w:tcW w:w="2080" w:type="dxa"/>
            <w:vAlign w:val="bottom"/>
          </w:tcPr>
          <w:p>
            <w:pPr>
              <w:jc w:val="right"/>
              <w:ind w:right="421"/>
              <w:spacing w:after="0"/>
              <w:rPr>
                <w:sz w:val="20"/>
                <w:szCs w:val="20"/>
                <w:color w:val="auto"/>
              </w:rPr>
            </w:pPr>
            <w:r>
              <w:rPr>
                <w:rFonts w:ascii="Arial" w:cs="Arial" w:eastAsia="Arial" w:hAnsi="Arial"/>
                <w:sz w:val="9"/>
                <w:szCs w:val="9"/>
                <w:color w:val="auto"/>
              </w:rPr>
              <w:t>1</w:t>
            </w:r>
          </w:p>
        </w:tc>
        <w:tc>
          <w:tcPr>
            <w:tcW w:w="1160" w:type="dxa"/>
            <w:vAlign w:val="bottom"/>
          </w:tcPr>
          <w:p>
            <w:pPr>
              <w:spacing w:after="0"/>
              <w:rPr>
                <w:sz w:val="9"/>
                <w:szCs w:val="9"/>
                <w:color w:val="auto"/>
              </w:rPr>
            </w:pPr>
          </w:p>
        </w:tc>
        <w:tc>
          <w:tcPr>
            <w:tcW w:w="160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09"/>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Rau</w:t>
            </w:r>
          </w:p>
        </w:tc>
        <w:tc>
          <w:tcPr>
            <w:tcW w:w="9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80" w:type="dxa"/>
            <w:vAlign w:val="bottom"/>
            <w:vMerge w:val="restart"/>
          </w:tcPr>
          <w:p>
            <w:pPr>
              <w:jc w:val="right"/>
              <w:ind w:right="1381"/>
              <w:spacing w:after="0"/>
              <w:rPr>
                <w:sz w:val="20"/>
                <w:szCs w:val="20"/>
                <w:color w:val="auto"/>
              </w:rPr>
            </w:pPr>
            <w:r>
              <w:rPr>
                <w:rFonts w:ascii="Arial" w:cs="Arial" w:eastAsia="Arial" w:hAnsi="Arial"/>
                <w:sz w:val="13"/>
                <w:szCs w:val="13"/>
                <w:color w:val="auto"/>
              </w:rPr>
              <w:t>N/A</w:t>
            </w:r>
          </w:p>
        </w:tc>
        <w:tc>
          <w:tcPr>
            <w:tcW w:w="1160" w:type="dxa"/>
            <w:vAlign w:val="bottom"/>
            <w:vMerge w:val="restart"/>
          </w:tcPr>
          <w:p>
            <w:pPr>
              <w:jc w:val="right"/>
              <w:ind w:right="392"/>
              <w:spacing w:after="0"/>
              <w:rPr>
                <w:sz w:val="20"/>
                <w:szCs w:val="20"/>
                <w:color w:val="auto"/>
              </w:rPr>
            </w:pPr>
            <w:r>
              <w:rPr>
                <w:rFonts w:ascii="Arial" w:cs="Arial" w:eastAsia="Arial" w:hAnsi="Arial"/>
                <w:sz w:val="13"/>
                <w:szCs w:val="13"/>
                <w:color w:val="auto"/>
              </w:rPr>
              <w:t>80</w:t>
            </w:r>
          </w:p>
        </w:tc>
        <w:tc>
          <w:tcPr>
            <w:tcW w:w="1600" w:type="dxa"/>
            <w:vAlign w:val="bottom"/>
            <w:vMerge w:val="restart"/>
          </w:tcPr>
          <w:p>
            <w:pPr>
              <w:jc w:val="right"/>
              <w:ind w:right="9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80" w:hanging="81"/>
        <w:spacing w:after="0"/>
        <w:tabs>
          <w:tab w:leader="none" w:pos="980" w:val="left"/>
        </w:tabs>
        <w:numPr>
          <w:ilvl w:val="0"/>
          <w:numId w:val="70"/>
        </w:numPr>
        <w:rPr>
          <w:rFonts w:ascii="Arial" w:cs="Arial" w:eastAsia="Arial" w:hAnsi="Arial"/>
          <w:sz w:val="18"/>
          <w:szCs w:val="18"/>
          <w:color w:val="auto"/>
          <w:vertAlign w:val="superscript"/>
        </w:rPr>
      </w:pPr>
      <w:r>
        <w:rPr>
          <w:rFonts w:ascii="Arial" w:cs="Arial" w:eastAsia="Arial" w:hAnsi="Arial"/>
          <w:sz w:val="13"/>
          <w:szCs w:val="13"/>
          <w:color w:val="auto"/>
        </w:rPr>
        <w:t>Ms. Ashkenazi, Mr. Van Naarden, and Mr. Rau were not named executive officers in 2020.</w:t>
      </w:r>
    </w:p>
    <w:p>
      <w:pPr>
        <w:ind w:left="900" w:right="20" w:hanging="1"/>
        <w:spacing w:after="0" w:line="218" w:lineRule="auto"/>
        <w:tabs>
          <w:tab w:leader="none" w:pos="973" w:val="left"/>
        </w:tabs>
        <w:numPr>
          <w:ilvl w:val="0"/>
          <w:numId w:val="71"/>
        </w:numPr>
        <w:rPr>
          <w:rFonts w:ascii="Arial" w:cs="Arial" w:eastAsia="Arial" w:hAnsi="Arial"/>
          <w:sz w:val="18"/>
          <w:szCs w:val="18"/>
          <w:color w:val="auto"/>
          <w:vertAlign w:val="superscript"/>
        </w:rPr>
      </w:pPr>
      <w:r>
        <w:rPr>
          <w:rFonts w:ascii="Arial" w:cs="Arial" w:eastAsia="Arial" w:hAnsi="Arial"/>
          <w:sz w:val="13"/>
          <w:szCs w:val="13"/>
          <w:color w:val="auto"/>
        </w:rPr>
        <w:t>Mr. Van Naarden's Bonus Plan participation was initiated upon his promotion on September 5, 2021. Prior to his promotion, Mr. Van Naarden participated in the Loxo Bonus Plan, which entitled him to a target bonus equal to 60% of base salary.</w:t>
      </w:r>
    </w:p>
    <w:p>
      <w:pPr>
        <w:ind w:left="900" w:right="70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Pursuant to the terms of his separation agreement with the company, Mr. Smiley was not entitled to an annual bonus for the 2020 and 2021 calendar years. See "Agreement with Former Chief Financial Officer" for additional information.</w:t>
      </w:r>
    </w:p>
    <w:p>
      <w:pPr>
        <w:sectPr>
          <w:pgSz w:w="11900" w:h="16838" w:orient="portrait"/>
          <w:cols w:equalWidth="0" w:num="1">
            <w:col w:w="11220"/>
          </w:cols>
          <w:pgMar w:left="320" w:top="789"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789"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b w:val="1"/>
          <w:bCs w:val="1"/>
          <w:color w:val="1CA8E1"/>
        </w:rPr>
        <w:t>Equity Incentives - Target Grant Values</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 2021 equity grants, the Compensation Committee set the total target values for named executive officers based on market data, individual performance, and internal relativity. Named executive officers have 35 percent of their equity target allocated to shareholder value awards and relative value awards, respectively, and 30 percent to performance awards. Total target values for the 2020 and 2021 equity grants to the named executive officers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358"/>
        </w:trPr>
        <w:tc>
          <w:tcPr>
            <w:tcW w:w="1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r>
              <w:rPr>
                <w:rFonts w:ascii="Arial" w:cs="Arial" w:eastAsia="Arial" w:hAnsi="Arial"/>
                <w:sz w:val="18"/>
                <w:szCs w:val="18"/>
                <w:b w:val="1"/>
                <w:bCs w:val="1"/>
                <w:color w:val="1CA8E1"/>
                <w:vertAlign w:val="superscript"/>
              </w:rPr>
              <w:t>5</w:t>
            </w:r>
          </w:p>
        </w:tc>
        <w:tc>
          <w:tcPr>
            <w:tcW w:w="262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4"/>
                <w:szCs w:val="14"/>
                <w:b w:val="1"/>
                <w:bCs w:val="1"/>
                <w:color w:val="1CA8E1"/>
              </w:rPr>
              <w:t>2020 Annual Equity Grant</w:t>
            </w:r>
          </w:p>
        </w:tc>
        <w:tc>
          <w:tcPr>
            <w:tcW w:w="2440" w:type="dxa"/>
            <w:vAlign w:val="bottom"/>
            <w:tcBorders>
              <w:bottom w:val="single" w:sz="8" w:color="DBDBDB"/>
            </w:tcBorders>
            <w:shd w:val="clear" w:color="auto" w:fill="DBDBDB"/>
          </w:tcPr>
          <w:p>
            <w:pPr>
              <w:jc w:val="right"/>
              <w:ind w:right="396"/>
              <w:spacing w:after="0"/>
              <w:rPr>
                <w:sz w:val="20"/>
                <w:szCs w:val="20"/>
                <w:color w:val="auto"/>
              </w:rPr>
            </w:pPr>
            <w:r>
              <w:rPr>
                <w:rFonts w:ascii="Arial" w:cs="Arial" w:eastAsia="Arial" w:hAnsi="Arial"/>
                <w:sz w:val="14"/>
                <w:szCs w:val="14"/>
                <w:b w:val="1"/>
                <w:bCs w:val="1"/>
                <w:color w:val="1CA8E1"/>
              </w:rPr>
              <w:t>2021 Annual Equity Grant</w:t>
            </w:r>
          </w:p>
        </w:tc>
        <w:tc>
          <w:tcPr>
            <w:tcW w:w="0" w:type="dxa"/>
            <w:vAlign w:val="bottom"/>
          </w:tcPr>
          <w:p>
            <w:pPr>
              <w:spacing w:after="0"/>
              <w:rPr>
                <w:sz w:val="1"/>
                <w:szCs w:val="1"/>
                <w:color w:val="auto"/>
              </w:rPr>
            </w:pPr>
          </w:p>
        </w:tc>
      </w:tr>
      <w:tr>
        <w:trPr>
          <w:trHeight w:val="209"/>
        </w:trPr>
        <w:tc>
          <w:tcPr>
            <w:tcW w:w="1700" w:type="dxa"/>
            <w:vAlign w:val="bottom"/>
          </w:tcPr>
          <w:p>
            <w:pPr>
              <w:ind w:left="20"/>
              <w:spacing w:after="0"/>
              <w:rPr>
                <w:sz w:val="20"/>
                <w:szCs w:val="20"/>
                <w:color w:val="auto"/>
              </w:rPr>
            </w:pPr>
            <w:r>
              <w:rPr>
                <w:rFonts w:ascii="Arial" w:cs="Arial" w:eastAsia="Arial" w:hAnsi="Arial"/>
                <w:sz w:val="14"/>
                <w:szCs w:val="14"/>
                <w:color w:val="auto"/>
              </w:rPr>
              <w:t>Mr. Ricks</w:t>
            </w:r>
          </w:p>
        </w:tc>
        <w:tc>
          <w:tcPr>
            <w:tcW w:w="2620" w:type="dxa"/>
            <w:vAlign w:val="bottom"/>
          </w:tcPr>
          <w:p>
            <w:pPr>
              <w:jc w:val="right"/>
              <w:ind w:right="376"/>
              <w:spacing w:after="0"/>
              <w:rPr>
                <w:sz w:val="20"/>
                <w:szCs w:val="20"/>
                <w:color w:val="auto"/>
              </w:rPr>
            </w:pPr>
            <w:r>
              <w:rPr>
                <w:rFonts w:ascii="Arial" w:cs="Arial" w:eastAsia="Arial" w:hAnsi="Arial"/>
                <w:sz w:val="14"/>
                <w:szCs w:val="14"/>
                <w:color w:val="auto"/>
              </w:rPr>
              <w:t>$12,500,000</w:t>
            </w:r>
          </w:p>
        </w:tc>
        <w:tc>
          <w:tcPr>
            <w:tcW w:w="2440" w:type="dxa"/>
            <w:vAlign w:val="bottom"/>
          </w:tcPr>
          <w:p>
            <w:pPr>
              <w:jc w:val="right"/>
              <w:ind w:right="576"/>
              <w:spacing w:after="0"/>
              <w:rPr>
                <w:sz w:val="20"/>
                <w:szCs w:val="20"/>
                <w:color w:val="auto"/>
              </w:rPr>
            </w:pPr>
            <w:r>
              <w:rPr>
                <w:rFonts w:ascii="Arial" w:cs="Arial" w:eastAsia="Arial" w:hAnsi="Arial"/>
                <w:sz w:val="14"/>
                <w:szCs w:val="14"/>
                <w:color w:val="auto"/>
              </w:rPr>
              <w:t>$14,000,000</w:t>
            </w:r>
          </w:p>
        </w:tc>
        <w:tc>
          <w:tcPr>
            <w:tcW w:w="0" w:type="dxa"/>
            <w:vAlign w:val="bottom"/>
          </w:tcPr>
          <w:p>
            <w:pPr>
              <w:spacing w:after="0"/>
              <w:rPr>
                <w:sz w:val="1"/>
                <w:szCs w:val="1"/>
                <w:color w:val="auto"/>
              </w:rPr>
            </w:pPr>
          </w:p>
        </w:tc>
      </w:tr>
      <w:tr>
        <w:trPr>
          <w:trHeight w:val="79"/>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Ms. Ashkenazi</w:t>
            </w:r>
          </w:p>
        </w:tc>
        <w:tc>
          <w:tcPr>
            <w:tcW w:w="2620" w:type="dxa"/>
            <w:vAlign w:val="bottom"/>
          </w:tcPr>
          <w:p>
            <w:pPr>
              <w:jc w:val="right"/>
              <w:ind w:right="296"/>
              <w:spacing w:after="0" w:line="79" w:lineRule="exact"/>
              <w:rPr>
                <w:sz w:val="20"/>
                <w:szCs w:val="20"/>
                <w:color w:val="auto"/>
              </w:rPr>
            </w:pPr>
            <w:r>
              <w:rPr>
                <w:rFonts w:ascii="Arial" w:cs="Arial" w:eastAsia="Arial" w:hAnsi="Arial"/>
                <w:sz w:val="8"/>
                <w:szCs w:val="8"/>
                <w:color w:val="auto"/>
              </w:rPr>
              <w:t>1</w:t>
            </w:r>
          </w:p>
        </w:tc>
        <w:tc>
          <w:tcPr>
            <w:tcW w:w="2440" w:type="dxa"/>
            <w:vAlign w:val="bottom"/>
          </w:tcPr>
          <w:p>
            <w:pPr>
              <w:jc w:val="right"/>
              <w:ind w:right="496"/>
              <w:spacing w:after="0" w:line="7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172"/>
        </w:trPr>
        <w:tc>
          <w:tcPr>
            <w:tcW w:w="1700" w:type="dxa"/>
            <w:vAlign w:val="bottom"/>
            <w:vMerge w:val="continue"/>
          </w:tcPr>
          <w:p>
            <w:pPr>
              <w:spacing w:after="0"/>
              <w:rPr>
                <w:sz w:val="14"/>
                <w:szCs w:val="14"/>
                <w:color w:val="auto"/>
              </w:rPr>
            </w:pPr>
          </w:p>
        </w:tc>
        <w:tc>
          <w:tcPr>
            <w:tcW w:w="2620" w:type="dxa"/>
            <w:vAlign w:val="bottom"/>
          </w:tcPr>
          <w:p>
            <w:pPr>
              <w:jc w:val="right"/>
              <w:ind w:right="376"/>
              <w:spacing w:after="0"/>
              <w:rPr>
                <w:sz w:val="20"/>
                <w:szCs w:val="20"/>
                <w:color w:val="auto"/>
              </w:rPr>
            </w:pPr>
            <w:r>
              <w:rPr>
                <w:rFonts w:ascii="Arial" w:cs="Arial" w:eastAsia="Arial" w:hAnsi="Arial"/>
                <w:sz w:val="14"/>
                <w:szCs w:val="14"/>
                <w:color w:val="auto"/>
              </w:rPr>
              <w:t>N/A</w:t>
            </w:r>
          </w:p>
        </w:tc>
        <w:tc>
          <w:tcPr>
            <w:tcW w:w="2440" w:type="dxa"/>
            <w:vAlign w:val="bottom"/>
          </w:tcPr>
          <w:p>
            <w:pPr>
              <w:jc w:val="right"/>
              <w:ind w:right="576"/>
              <w:spacing w:after="0"/>
              <w:rPr>
                <w:sz w:val="20"/>
                <w:szCs w:val="20"/>
                <w:color w:val="auto"/>
              </w:rPr>
            </w:pPr>
            <w:r>
              <w:rPr>
                <w:rFonts w:ascii="Arial" w:cs="Arial" w:eastAsia="Arial" w:hAnsi="Arial"/>
                <w:sz w:val="14"/>
                <w:szCs w:val="14"/>
                <w:color w:val="auto"/>
              </w:rPr>
              <w:t>$2,200,000</w:t>
            </w:r>
          </w:p>
        </w:tc>
        <w:tc>
          <w:tcPr>
            <w:tcW w:w="0" w:type="dxa"/>
            <w:vAlign w:val="bottom"/>
          </w:tcPr>
          <w:p>
            <w:pPr>
              <w:spacing w:after="0"/>
              <w:rPr>
                <w:sz w:val="1"/>
                <w:szCs w:val="1"/>
                <w:color w:val="auto"/>
              </w:rPr>
            </w:pPr>
          </w:p>
        </w:tc>
      </w:tr>
      <w:tr>
        <w:trPr>
          <w:trHeight w:val="208"/>
        </w:trPr>
        <w:tc>
          <w:tcPr>
            <w:tcW w:w="1700" w:type="dxa"/>
            <w:vAlign w:val="bottom"/>
          </w:tcPr>
          <w:p>
            <w:pPr>
              <w:ind w:left="20"/>
              <w:spacing w:after="0"/>
              <w:rPr>
                <w:sz w:val="20"/>
                <w:szCs w:val="20"/>
                <w:color w:val="auto"/>
              </w:rPr>
            </w:pPr>
            <w:r>
              <w:rPr>
                <w:rFonts w:ascii="Arial" w:cs="Arial" w:eastAsia="Arial" w:hAnsi="Arial"/>
                <w:sz w:val="14"/>
                <w:szCs w:val="14"/>
                <w:color w:val="auto"/>
              </w:rPr>
              <w:t>Dr. Skovronsky</w:t>
            </w:r>
          </w:p>
        </w:tc>
        <w:tc>
          <w:tcPr>
            <w:tcW w:w="2620" w:type="dxa"/>
            <w:vAlign w:val="bottom"/>
          </w:tcPr>
          <w:p>
            <w:pPr>
              <w:jc w:val="right"/>
              <w:ind w:right="376"/>
              <w:spacing w:after="0"/>
              <w:rPr>
                <w:sz w:val="20"/>
                <w:szCs w:val="20"/>
                <w:color w:val="auto"/>
              </w:rPr>
            </w:pPr>
            <w:r>
              <w:rPr>
                <w:rFonts w:ascii="Arial" w:cs="Arial" w:eastAsia="Arial" w:hAnsi="Arial"/>
                <w:sz w:val="14"/>
                <w:szCs w:val="14"/>
                <w:color w:val="auto"/>
              </w:rPr>
              <w:t>$4,100,000</w:t>
            </w:r>
          </w:p>
        </w:tc>
        <w:tc>
          <w:tcPr>
            <w:tcW w:w="2440" w:type="dxa"/>
            <w:vAlign w:val="bottom"/>
          </w:tcPr>
          <w:p>
            <w:pPr>
              <w:jc w:val="right"/>
              <w:ind w:right="576"/>
              <w:spacing w:after="0"/>
              <w:rPr>
                <w:sz w:val="20"/>
                <w:szCs w:val="20"/>
                <w:color w:val="auto"/>
              </w:rPr>
            </w:pPr>
            <w:r>
              <w:rPr>
                <w:rFonts w:ascii="Arial" w:cs="Arial" w:eastAsia="Arial" w:hAnsi="Arial"/>
                <w:sz w:val="14"/>
                <w:szCs w:val="14"/>
                <w:color w:val="auto"/>
              </w:rPr>
              <w:t>$4,700,000</w:t>
            </w: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Arial" w:cs="Arial" w:eastAsia="Arial" w:hAnsi="Arial"/>
                <w:sz w:val="14"/>
                <w:szCs w:val="14"/>
                <w:color w:val="auto"/>
              </w:rPr>
              <w:t>Mr. Van Naarden</w:t>
            </w:r>
          </w:p>
        </w:tc>
        <w:tc>
          <w:tcPr>
            <w:tcW w:w="2620" w:type="dxa"/>
            <w:vAlign w:val="bottom"/>
          </w:tcPr>
          <w:p>
            <w:pPr>
              <w:jc w:val="right"/>
              <w:ind w:right="296"/>
              <w:spacing w:after="0"/>
              <w:rPr>
                <w:sz w:val="20"/>
                <w:szCs w:val="20"/>
                <w:color w:val="auto"/>
              </w:rPr>
            </w:pPr>
            <w:r>
              <w:rPr>
                <w:rFonts w:ascii="Arial" w:cs="Arial" w:eastAsia="Arial" w:hAnsi="Arial"/>
                <w:sz w:val="14"/>
                <w:szCs w:val="14"/>
                <w:color w:val="auto"/>
              </w:rPr>
              <w:t xml:space="preserve">N/A </w:t>
            </w:r>
            <w:r>
              <w:rPr>
                <w:rFonts w:ascii="Arial" w:cs="Arial" w:eastAsia="Arial" w:hAnsi="Arial"/>
                <w:sz w:val="16"/>
                <w:szCs w:val="16"/>
                <w:color w:val="auto"/>
                <w:vertAlign w:val="superscript"/>
              </w:rPr>
              <w:t>1</w:t>
            </w:r>
          </w:p>
        </w:tc>
        <w:tc>
          <w:tcPr>
            <w:tcW w:w="2440" w:type="dxa"/>
            <w:vAlign w:val="bottom"/>
          </w:tcPr>
          <w:p>
            <w:pPr>
              <w:jc w:val="right"/>
              <w:ind w:right="496"/>
              <w:spacing w:after="0"/>
              <w:rPr>
                <w:sz w:val="20"/>
                <w:szCs w:val="20"/>
                <w:color w:val="auto"/>
              </w:rPr>
            </w:pPr>
            <w:r>
              <w:rPr>
                <w:rFonts w:ascii="Arial" w:cs="Arial" w:eastAsia="Arial" w:hAnsi="Arial"/>
                <w:sz w:val="14"/>
                <w:szCs w:val="14"/>
                <w:color w:val="auto"/>
              </w:rPr>
              <w:t xml:space="preserve">$1,300,000 </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79"/>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Mr. Rau</w:t>
            </w:r>
          </w:p>
        </w:tc>
        <w:tc>
          <w:tcPr>
            <w:tcW w:w="2620" w:type="dxa"/>
            <w:vAlign w:val="bottom"/>
          </w:tcPr>
          <w:p>
            <w:pPr>
              <w:jc w:val="right"/>
              <w:ind w:right="296"/>
              <w:spacing w:after="0" w:line="79" w:lineRule="exact"/>
              <w:rPr>
                <w:sz w:val="20"/>
                <w:szCs w:val="20"/>
                <w:color w:val="auto"/>
              </w:rPr>
            </w:pPr>
            <w:r>
              <w:rPr>
                <w:rFonts w:ascii="Arial" w:cs="Arial" w:eastAsia="Arial" w:hAnsi="Arial"/>
                <w:sz w:val="8"/>
                <w:szCs w:val="8"/>
                <w:color w:val="auto"/>
              </w:rPr>
              <w:t>1</w:t>
            </w:r>
          </w:p>
        </w:tc>
        <w:tc>
          <w:tcPr>
            <w:tcW w:w="2440" w:type="dxa"/>
            <w:vAlign w:val="bottom"/>
          </w:tcPr>
          <w:p>
            <w:pPr>
              <w:jc w:val="right"/>
              <w:ind w:right="496"/>
              <w:spacing w:after="0" w:line="79" w:lineRule="exact"/>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72"/>
        </w:trPr>
        <w:tc>
          <w:tcPr>
            <w:tcW w:w="1700" w:type="dxa"/>
            <w:vAlign w:val="bottom"/>
            <w:vMerge w:val="continue"/>
          </w:tcPr>
          <w:p>
            <w:pPr>
              <w:spacing w:after="0"/>
              <w:rPr>
                <w:sz w:val="14"/>
                <w:szCs w:val="14"/>
                <w:color w:val="auto"/>
              </w:rPr>
            </w:pPr>
          </w:p>
        </w:tc>
        <w:tc>
          <w:tcPr>
            <w:tcW w:w="2620" w:type="dxa"/>
            <w:vAlign w:val="bottom"/>
          </w:tcPr>
          <w:p>
            <w:pPr>
              <w:jc w:val="right"/>
              <w:ind w:right="376"/>
              <w:spacing w:after="0"/>
              <w:rPr>
                <w:sz w:val="20"/>
                <w:szCs w:val="20"/>
                <w:color w:val="auto"/>
              </w:rPr>
            </w:pPr>
            <w:r>
              <w:rPr>
                <w:rFonts w:ascii="Arial" w:cs="Arial" w:eastAsia="Arial" w:hAnsi="Arial"/>
                <w:sz w:val="14"/>
                <w:szCs w:val="14"/>
                <w:color w:val="auto"/>
              </w:rPr>
              <w:t>N/A</w:t>
            </w:r>
          </w:p>
        </w:tc>
        <w:tc>
          <w:tcPr>
            <w:tcW w:w="2440" w:type="dxa"/>
            <w:vAlign w:val="bottom"/>
          </w:tcPr>
          <w:p>
            <w:pPr>
              <w:jc w:val="right"/>
              <w:ind w:right="576"/>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hanging="81"/>
        <w:spacing w:after="0"/>
        <w:tabs>
          <w:tab w:leader="none" w:pos="980" w:val="left"/>
        </w:tabs>
        <w:numPr>
          <w:ilvl w:val="0"/>
          <w:numId w:val="72"/>
        </w:numPr>
        <w:rPr>
          <w:rFonts w:ascii="Arial" w:cs="Arial" w:eastAsia="Arial" w:hAnsi="Arial"/>
          <w:sz w:val="18"/>
          <w:szCs w:val="18"/>
          <w:color w:val="auto"/>
          <w:vertAlign w:val="superscript"/>
        </w:rPr>
      </w:pPr>
      <w:r>
        <w:rPr>
          <w:rFonts w:ascii="Arial" w:cs="Arial" w:eastAsia="Arial" w:hAnsi="Arial"/>
          <w:sz w:val="13"/>
          <w:szCs w:val="13"/>
          <w:color w:val="auto"/>
        </w:rPr>
        <w:t>Ms. Ashkenazi, Mr. Van Naarden, and Mr. Rau were not named executive officers in 2020.</w:t>
      </w:r>
    </w:p>
    <w:p>
      <w:pPr>
        <w:spacing w:after="0" w:line="11" w:lineRule="exact"/>
        <w:rPr>
          <w:sz w:val="20"/>
          <w:szCs w:val="20"/>
          <w:color w:val="auto"/>
        </w:rPr>
      </w:pPr>
    </w:p>
    <w:p>
      <w:pPr>
        <w:ind w:left="900" w:right="480" w:hanging="1"/>
        <w:spacing w:after="0" w:line="218" w:lineRule="auto"/>
        <w:tabs>
          <w:tab w:leader="none" w:pos="986" w:val="left"/>
        </w:tabs>
        <w:numPr>
          <w:ilvl w:val="0"/>
          <w:numId w:val="73"/>
        </w:numPr>
        <w:rPr>
          <w:rFonts w:ascii="Arial" w:cs="Arial" w:eastAsia="Arial" w:hAnsi="Arial"/>
          <w:sz w:val="18"/>
          <w:szCs w:val="18"/>
          <w:color w:val="auto"/>
          <w:vertAlign w:val="superscript"/>
        </w:rPr>
      </w:pPr>
      <w:r>
        <w:rPr>
          <w:rFonts w:ascii="Arial" w:cs="Arial" w:eastAsia="Arial" w:hAnsi="Arial"/>
          <w:sz w:val="13"/>
          <w:szCs w:val="13"/>
          <w:color w:val="auto"/>
        </w:rPr>
        <w:t>Ms. Ashkenazi’s 2021 award was granted prior to her transition into the Chief Financial Officer role. As such, her 2021 annual equity grant aligns with the terms and conditions associated with her prior position.</w:t>
      </w:r>
    </w:p>
    <w:p>
      <w:pPr>
        <w:ind w:left="900" w:right="28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Mr. Van Naarden was not an executive officer at the time of the 2021 annual equity grant. As such, his 2021 annual equity grant aligns with the terms and conditions associated with his prior position. Mr. Van Naarden also received equity awards of restricted stock units valued at (i) $1,650,000 in February 2021 representing transition equity following Lilly’s acquisition of Loxo Oncology, Inc. and (ii) $1,000,000 in December 2021 associated with Mr. Van Naarden's promotion.</w:t>
      </w:r>
    </w:p>
    <w:p>
      <w:pPr>
        <w:spacing w:after="0" w:line="1" w:lineRule="exact"/>
        <w:rPr>
          <w:rFonts w:ascii="Arial" w:cs="Arial" w:eastAsia="Arial" w:hAnsi="Arial"/>
          <w:sz w:val="18"/>
          <w:szCs w:val="18"/>
          <w:color w:val="auto"/>
          <w:vertAlign w:val="superscript"/>
        </w:rPr>
      </w:pPr>
    </w:p>
    <w:p>
      <w:pPr>
        <w:ind w:left="900" w:right="28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Mr. Rau started with Lilly in May 2021, after annual grants were issued; however, he received an equity grant of restricted stock units valued at $4,000,000 upon hire to replace a portion of the outstanding equity he forfeited after leaving Apple and the missed opportunity for a 2021 annual equity award from Lilly.</w:t>
      </w:r>
    </w:p>
    <w:p>
      <w:pPr>
        <w:ind w:left="900" w:right="30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Pursuant to the terms of his separation agreement with the company, Mr. Smiley was not entitled to an annual equity grant in 2021. See "Agreement with Former Chief Financial Officer"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 for Incentive Programs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Annual Cash Bonus Goals</w:t>
      </w:r>
    </w:p>
    <w:p>
      <w:pPr>
        <w:spacing w:after="0" w:line="7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Compensation Committee established the company performance targets using the company's 2021 annual operating plan, which was approved by the board in 2020. These targets are described below under "Compensation Results."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Performance Award</w:t>
      </w:r>
    </w:p>
    <w:p>
      <w:pPr>
        <w:spacing w:after="0" w:line="7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February 2021, the Compensation Committee established a compounded two-year EPS growth target of 8.8 percent per year based on investment analysts’ EPS growth estimates for our peer group companies at that time. To translate the 8.8 percent per year growth goal into a two-year cumulative EPS target, the Compensation Committee applied the target growth to the 2020 adjusted non-GAAP EPS of $6.78 to obtain target 2021 results of $7.38 and then applied the goal growth again to the target 2021 results to obtain target 2022 results of $8.02. The target 2021 and 2022 results were added together to yield a two-year cumulative EPS target of $15.40. Payouts for the 2021-2023 performance award can range from 0 to 175 percent of the target number of shares,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86120" cy="1414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612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320" w:top="882"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1CA8E1"/>
        </w:rPr>
        <w:t>Shareholder Value Award</w:t>
      </w:r>
    </w:p>
    <w:p>
      <w:pPr>
        <w:spacing w:after="0" w:line="70"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For purposes of establishing the stock price target for the shareholder value awards, the starting price was $152.16 per share, the average closing stock price for all trading days in November and December 2020. The target share price was established using the expected annual rate of return for large-cap companies (8 percent), less an assumed Lilly dividend yield (2.23 percent). To determine payout, the ending price will be the average closing price of company stock for all trading days in November and December 2023. The award is designed to deliver no payout to executive officers if the shareholder return (including projected dividends) is zero or negative. Possible payouts based on share price ranges are illustrated in the grid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786120" cy="1208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8612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Relative Value Award</w:t>
      </w:r>
    </w:p>
    <w:p>
      <w:pPr>
        <w:spacing w:after="0" w:line="7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relative value award is based on the three-year Lilly TSR performance compared to our peer group. To determine payout, the TSR performance is calculated for Lilly and its peers. This calculation compares the average closing price of each company’s stock for all trading days in November and December 2020 to the average closing price of each company’s stock for all trading days in November and December 2023, assuming reinvestment of dividends, to obtain the TSR for each company. The median TSR for the peer companies is then subtracted from Lilly’s TSR to determine what payout has been earned. For example, if Lilly’s TSR was 55 percent over the three-year performance period and the median peer company performance was 41 percent, Lilly would have outperformed by 14 percentage points (55 percent - 41 percent). This outperformance would have resulted in a 130 percent payout based on the payout ranges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786120" cy="2897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61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Results</w:t>
      </w:r>
    </w:p>
    <w:p>
      <w:pPr>
        <w:spacing w:after="0" w:line="8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information in this section reflects the amounts paid to named executive officers under the Bonus Plan and for equity awards granted in prior years for which the relevant performance period ended in 2021.</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Lilly Performance</w:t>
      </w:r>
    </w:p>
    <w:p>
      <w:pPr>
        <w:spacing w:after="0" w:line="7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In 2021, we exceeded our revenue target and nearly achieved our EPS target. We also made significant pipeline advances. Key pipeline highlights include U.S. approval of a new indication for Verzenio® for certain people with high-risk, early breast cancer; the Emergency Use Authorization for the administration of bamlanivimab and etesevimab together for the treatment of COVID-19 in patients at high risk for hospitalization; the regulatory submission for tirzepatide for type 2 diabetes in the U.S. to which Lilly applied a priority review voucher, as well as submission in Europe and Japan; positive topline results from donanemab’s TRAILBLAZER-ALZ, a Phase II study evaluating the efficacy and safety of donanemab compared to placebo in</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882" w:right="359" w:bottom="1440" w:gutter="0" w:footer="0" w:header="0"/>
          <w:type w:val="continuous"/>
        </w:sectPr>
      </w:pPr>
    </w:p>
    <w:bookmarkStart w:id="53" w:name="page54"/>
    <w:bookmarkEnd w:id="53"/>
    <w:p>
      <w:pPr>
        <w:ind w:right="100"/>
        <w:spacing w:after="0" w:line="233" w:lineRule="auto"/>
        <w:rPr>
          <w:sz w:val="20"/>
          <w:szCs w:val="20"/>
          <w:color w:val="auto"/>
        </w:rPr>
      </w:pPr>
      <w:r>
        <w:rPr>
          <w:rFonts w:ascii="Arial" w:cs="Arial" w:eastAsia="Arial" w:hAnsi="Arial"/>
          <w:sz w:val="16"/>
          <w:szCs w:val="16"/>
          <w:color w:val="auto"/>
        </w:rPr>
        <w:t>patients with early symptomatic Alzheimer’s disease; updated data for pirtobrutinib, from the LOXO-305 BRUIN Phase I/II clinical trial in mantle cell lymphoma and other non-Hodgkin lymphomas, as well as in chronic lymphocytic leukemia and small lymphocytic lymphoma, at the 2021 American Society of Hematology Annual Meeting; positive topline results from mirikizumab’s Phase III LUCENT-1 and 2 studies evaluating the efficacy and safety of mirikizumab compared to placebo for the treatment of patients with moderately-to-severely active ulcerative colitis; and positive topline results from three studies of lebrikizumab’s Phase III program evaluating the efficacy and safety of lebrikizumab in people with moderate-to-severe atopic dermatitis. See "Proxy Statement Summary—Highlights of 2021 Performance."</w:t>
      </w:r>
    </w:p>
    <w:p>
      <w:pPr>
        <w:spacing w:after="0" w:line="103"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By the end of 2021, Lilly exceeded its two-year EPS growth target for the performance award and our three-year stock price growth target for the shareholder value award. The company began granting relative value awards in 2020; therefore, no relative value awards were granted or earned for the 2019-2021 performance period. The discussion below details the measures used in each program, what the performance goal was to obtain target performance, how performance outcomes were assessed and what the Compensation Committee approved as the final payout multiple.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 Plan</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utilized revenue, EPS, and pipeline progress to incent the achievement of 2021 company objectives. Each measure contributes to the final payout multiple on a weighted basis: revenue (25 percent), EPS (50 percent), and pipeline progress (25 percent). Each performance measure is assessed a payout multiple of 0 to 200 percent.</w:t>
      </w:r>
    </w:p>
    <w:p>
      <w:pPr>
        <w:spacing w:after="0" w:line="93"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For purposes of the bonus, the Compensation Committee adjusted revenue and non-GAAP EPS to exclude estimated savings from certain discrete and unplanned performance items from the bonus plan multiple. The Science and Technology Committee's assessment of the company's product pipeline achievements is detailed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00" w:type="dxa"/>
            <w:vAlign w:val="bottom"/>
            <w:shd w:val="clear" w:color="auto" w:fill="DBDBDB"/>
          </w:tcPr>
          <w:p>
            <w:pPr>
              <w:ind w:left="1200"/>
              <w:spacing w:after="0"/>
              <w:rPr>
                <w:sz w:val="20"/>
                <w:szCs w:val="20"/>
                <w:color w:val="auto"/>
              </w:rPr>
            </w:pPr>
            <w:r>
              <w:rPr>
                <w:rFonts w:ascii="Arial" w:cs="Arial" w:eastAsia="Arial" w:hAnsi="Arial"/>
                <w:sz w:val="16"/>
                <w:szCs w:val="16"/>
                <w:b w:val="1"/>
                <w:bCs w:val="1"/>
                <w:color w:val="00A1DE"/>
              </w:rPr>
              <w:t>Activity</w:t>
            </w:r>
          </w:p>
        </w:tc>
        <w:tc>
          <w:tcPr>
            <w:tcW w:w="27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Objective</w:t>
            </w:r>
          </w:p>
        </w:tc>
        <w:tc>
          <w:tcPr>
            <w:tcW w:w="3060" w:type="dxa"/>
            <w:vAlign w:val="bottom"/>
            <w:shd w:val="clear" w:color="auto" w:fill="DBDBDB"/>
          </w:tcPr>
          <w:p>
            <w:pPr>
              <w:jc w:val="center"/>
              <w:ind w:left="11"/>
              <w:spacing w:after="0"/>
              <w:rPr>
                <w:sz w:val="20"/>
                <w:szCs w:val="20"/>
                <w:color w:val="auto"/>
              </w:rPr>
            </w:pPr>
            <w:r>
              <w:rPr>
                <w:rFonts w:ascii="Arial" w:cs="Arial" w:eastAsia="Arial" w:hAnsi="Arial"/>
                <w:sz w:val="16"/>
                <w:szCs w:val="16"/>
                <w:b w:val="1"/>
                <w:bCs w:val="1"/>
                <w:color w:val="00A1DE"/>
              </w:rPr>
              <w:t>Achievement</w:t>
            </w:r>
          </w:p>
        </w:tc>
        <w:tc>
          <w:tcPr>
            <w:tcW w:w="0" w:type="dxa"/>
            <w:vAlign w:val="bottom"/>
          </w:tcPr>
          <w:p>
            <w:pPr>
              <w:spacing w:after="0"/>
              <w:rPr>
                <w:sz w:val="1"/>
                <w:szCs w:val="1"/>
                <w:color w:val="auto"/>
              </w:rPr>
            </w:pPr>
          </w:p>
        </w:tc>
      </w:tr>
      <w:tr>
        <w:trPr>
          <w:trHeight w:val="215"/>
        </w:trPr>
        <w:tc>
          <w:tcPr>
            <w:tcW w:w="3100" w:type="dxa"/>
            <w:vAlign w:val="bottom"/>
            <w:vMerge w:val="restart"/>
          </w:tcPr>
          <w:p>
            <w:pPr>
              <w:ind w:left="20"/>
              <w:spacing w:after="0"/>
              <w:rPr>
                <w:sz w:val="20"/>
                <w:szCs w:val="20"/>
                <w:color w:val="auto"/>
              </w:rPr>
            </w:pPr>
            <w:r>
              <w:rPr>
                <w:rFonts w:ascii="Arial" w:cs="Arial" w:eastAsia="Arial" w:hAnsi="Arial"/>
                <w:sz w:val="13"/>
                <w:szCs w:val="13"/>
                <w:color w:val="auto"/>
              </w:rPr>
              <w:t>Approvals</w:t>
            </w:r>
          </w:p>
        </w:tc>
        <w:tc>
          <w:tcPr>
            <w:tcW w:w="2760" w:type="dxa"/>
            <w:vAlign w:val="bottom"/>
          </w:tcPr>
          <w:p>
            <w:pPr>
              <w:jc w:val="center"/>
              <w:spacing w:after="0"/>
              <w:rPr>
                <w:sz w:val="20"/>
                <w:szCs w:val="20"/>
                <w:color w:val="auto"/>
              </w:rPr>
            </w:pPr>
            <w:r>
              <w:rPr>
                <w:rFonts w:ascii="Arial" w:cs="Arial" w:eastAsia="Arial" w:hAnsi="Arial"/>
                <w:sz w:val="13"/>
                <w:szCs w:val="13"/>
                <w:color w:val="auto"/>
              </w:rPr>
              <w:t>2 new drug first approvals</w:t>
            </w:r>
          </w:p>
        </w:tc>
        <w:tc>
          <w:tcPr>
            <w:tcW w:w="3060" w:type="dxa"/>
            <w:vAlign w:val="bottom"/>
          </w:tcPr>
          <w:p>
            <w:pPr>
              <w:jc w:val="center"/>
              <w:ind w:left="11"/>
              <w:spacing w:after="0"/>
              <w:rPr>
                <w:sz w:val="20"/>
                <w:szCs w:val="20"/>
                <w:color w:val="auto"/>
              </w:rPr>
            </w:pPr>
            <w:r>
              <w:rPr>
                <w:rFonts w:ascii="Arial" w:cs="Arial" w:eastAsia="Arial" w:hAnsi="Arial"/>
                <w:sz w:val="13"/>
                <w:szCs w:val="13"/>
                <w:color w:val="auto"/>
              </w:rPr>
              <w:t>0 new drug first approvals</w:t>
            </w: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2760" w:type="dxa"/>
            <w:vAlign w:val="bottom"/>
            <w:vMerge w:val="restart"/>
          </w:tcPr>
          <w:p>
            <w:pPr>
              <w:jc w:val="center"/>
              <w:spacing w:after="0"/>
              <w:rPr>
                <w:sz w:val="20"/>
                <w:szCs w:val="20"/>
                <w:color w:val="auto"/>
              </w:rPr>
            </w:pPr>
            <w:r>
              <w:rPr>
                <w:rFonts w:ascii="Arial" w:cs="Arial" w:eastAsia="Arial" w:hAnsi="Arial"/>
                <w:sz w:val="13"/>
                <w:szCs w:val="13"/>
                <w:color w:val="auto"/>
              </w:rPr>
              <w:t>14-15 other approvals</w:t>
            </w:r>
          </w:p>
        </w:tc>
        <w:tc>
          <w:tcPr>
            <w:tcW w:w="3060" w:type="dxa"/>
            <w:vAlign w:val="bottom"/>
            <w:vMerge w:val="restart"/>
          </w:tcPr>
          <w:p>
            <w:pPr>
              <w:jc w:val="center"/>
              <w:spacing w:after="0"/>
              <w:rPr>
                <w:sz w:val="20"/>
                <w:szCs w:val="20"/>
                <w:color w:val="auto"/>
              </w:rPr>
            </w:pPr>
            <w:r>
              <w:rPr>
                <w:rFonts w:ascii="Arial" w:cs="Arial" w:eastAsia="Arial" w:hAnsi="Arial"/>
                <w:sz w:val="13"/>
                <w:szCs w:val="13"/>
                <w:color w:val="auto"/>
              </w:rPr>
              <w:t>18 other approvals</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100" w:type="dxa"/>
            <w:vAlign w:val="bottom"/>
            <w:tcBorders>
              <w:bottom w:val="single" w:sz="8" w:color="C8C9CB"/>
            </w:tcBorders>
          </w:tcPr>
          <w:p>
            <w:pPr>
              <w:spacing w:after="0"/>
              <w:rPr>
                <w:sz w:val="4"/>
                <w:szCs w:val="4"/>
                <w:color w:val="auto"/>
              </w:rPr>
            </w:pPr>
          </w:p>
        </w:tc>
        <w:tc>
          <w:tcPr>
            <w:tcW w:w="2760" w:type="dxa"/>
            <w:vAlign w:val="bottom"/>
            <w:tcBorders>
              <w:bottom w:val="single" w:sz="8" w:color="C8C9CB"/>
            </w:tcBorders>
          </w:tcPr>
          <w:p>
            <w:pPr>
              <w:spacing w:after="0"/>
              <w:rPr>
                <w:sz w:val="4"/>
                <w:szCs w:val="4"/>
                <w:color w:val="auto"/>
              </w:rPr>
            </w:pPr>
          </w:p>
        </w:tc>
        <w:tc>
          <w:tcPr>
            <w:tcW w:w="3060" w:type="dxa"/>
            <w:vAlign w:val="bottom"/>
            <w:tcBorders>
              <w:bottom w:val="single" w:sz="8" w:color="C8C9CB"/>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100" w:type="dxa"/>
            <w:vAlign w:val="bottom"/>
            <w:shd w:val="clear" w:color="auto" w:fill="E6E6E6"/>
          </w:tcPr>
          <w:p>
            <w:pPr>
              <w:ind w:left="20"/>
              <w:spacing w:after="0"/>
              <w:rPr>
                <w:sz w:val="20"/>
                <w:szCs w:val="20"/>
                <w:color w:val="auto"/>
              </w:rPr>
            </w:pPr>
            <w:r>
              <w:rPr>
                <w:rFonts w:ascii="Arial" w:cs="Arial" w:eastAsia="Arial" w:hAnsi="Arial"/>
                <w:sz w:val="13"/>
                <w:szCs w:val="13"/>
                <w:color w:val="auto"/>
              </w:rPr>
              <w:t>Potential new drug Phase III starts</w:t>
            </w:r>
          </w:p>
        </w:tc>
        <w:tc>
          <w:tcPr>
            <w:tcW w:w="276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82"/>
              </w:rPr>
              <w:t>3</w:t>
            </w:r>
          </w:p>
        </w:tc>
        <w:tc>
          <w:tcPr>
            <w:tcW w:w="306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C8C9CB"/>
            </w:tcBorders>
            <w:shd w:val="clear" w:color="auto" w:fill="E6E6E6"/>
          </w:tcPr>
          <w:p>
            <w:pPr>
              <w:spacing w:after="0"/>
              <w:rPr>
                <w:sz w:val="11"/>
                <w:szCs w:val="11"/>
                <w:color w:val="auto"/>
              </w:rPr>
            </w:pPr>
          </w:p>
        </w:tc>
        <w:tc>
          <w:tcPr>
            <w:tcW w:w="2760" w:type="dxa"/>
            <w:vAlign w:val="bottom"/>
            <w:tcBorders>
              <w:bottom w:val="single" w:sz="8" w:color="C8C9CB"/>
            </w:tcBorders>
            <w:shd w:val="clear" w:color="auto" w:fill="E6E6E6"/>
          </w:tcPr>
          <w:p>
            <w:pPr>
              <w:spacing w:after="0"/>
              <w:rPr>
                <w:sz w:val="11"/>
                <w:szCs w:val="11"/>
                <w:color w:val="auto"/>
              </w:rPr>
            </w:pPr>
          </w:p>
        </w:tc>
        <w:tc>
          <w:tcPr>
            <w:tcW w:w="3060" w:type="dxa"/>
            <w:vAlign w:val="bottom"/>
            <w:tcBorders>
              <w:bottom w:val="single" w:sz="8" w:color="C8C9CB"/>
            </w:tcBorders>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100" w:type="dxa"/>
            <w:vAlign w:val="bottom"/>
          </w:tcPr>
          <w:p>
            <w:pPr>
              <w:ind w:left="20"/>
              <w:spacing w:after="0"/>
              <w:rPr>
                <w:sz w:val="20"/>
                <w:szCs w:val="20"/>
                <w:color w:val="auto"/>
              </w:rPr>
            </w:pPr>
            <w:r>
              <w:rPr>
                <w:rFonts w:ascii="Arial" w:cs="Arial" w:eastAsia="Arial" w:hAnsi="Arial"/>
                <w:sz w:val="13"/>
                <w:szCs w:val="13"/>
                <w:color w:val="auto"/>
              </w:rPr>
              <w:t>Potential new drug Phase I starts</w:t>
            </w:r>
          </w:p>
        </w:tc>
        <w:tc>
          <w:tcPr>
            <w:tcW w:w="2760" w:type="dxa"/>
            <w:vAlign w:val="bottom"/>
          </w:tcPr>
          <w:p>
            <w:pPr>
              <w:jc w:val="center"/>
              <w:spacing w:after="0"/>
              <w:rPr>
                <w:sz w:val="20"/>
                <w:szCs w:val="20"/>
                <w:color w:val="auto"/>
              </w:rPr>
            </w:pPr>
            <w:r>
              <w:rPr>
                <w:rFonts w:ascii="Arial" w:cs="Arial" w:eastAsia="Arial" w:hAnsi="Arial"/>
                <w:sz w:val="13"/>
                <w:szCs w:val="13"/>
                <w:color w:val="auto"/>
              </w:rPr>
              <w:t>16-17</w:t>
            </w:r>
          </w:p>
        </w:tc>
        <w:tc>
          <w:tcPr>
            <w:tcW w:w="3060" w:type="dxa"/>
            <w:vAlign w:val="bottom"/>
          </w:tcPr>
          <w:p>
            <w:pPr>
              <w:jc w:val="center"/>
              <w:ind w:left="11"/>
              <w:spacing w:after="0"/>
              <w:rPr>
                <w:sz w:val="20"/>
                <w:szCs w:val="20"/>
                <w:color w:val="auto"/>
              </w:rPr>
            </w:pPr>
            <w:r>
              <w:rPr>
                <w:rFonts w:ascii="Arial" w:cs="Arial" w:eastAsia="Arial" w:hAnsi="Arial"/>
                <w:sz w:val="13"/>
                <w:szCs w:val="13"/>
                <w:color w:val="auto"/>
                <w:w w:val="96"/>
              </w:rPr>
              <w:t>12</w:t>
            </w:r>
          </w:p>
        </w:tc>
        <w:tc>
          <w:tcPr>
            <w:tcW w:w="0" w:type="dxa"/>
            <w:vAlign w:val="bottom"/>
          </w:tcPr>
          <w:p>
            <w:pPr>
              <w:spacing w:after="0"/>
              <w:rPr>
                <w:sz w:val="1"/>
                <w:szCs w:val="1"/>
                <w:color w:val="auto"/>
              </w:rPr>
            </w:pPr>
          </w:p>
        </w:tc>
      </w:tr>
      <w:tr>
        <w:trPr>
          <w:trHeight w:val="136"/>
        </w:trPr>
        <w:tc>
          <w:tcPr>
            <w:tcW w:w="3100" w:type="dxa"/>
            <w:vAlign w:val="bottom"/>
            <w:tcBorders>
              <w:bottom w:val="single" w:sz="8" w:color="C8C9CB"/>
            </w:tcBorders>
          </w:tcPr>
          <w:p>
            <w:pPr>
              <w:spacing w:after="0"/>
              <w:rPr>
                <w:sz w:val="11"/>
                <w:szCs w:val="11"/>
                <w:color w:val="auto"/>
              </w:rPr>
            </w:pPr>
          </w:p>
        </w:tc>
        <w:tc>
          <w:tcPr>
            <w:tcW w:w="2760" w:type="dxa"/>
            <w:vAlign w:val="bottom"/>
            <w:tcBorders>
              <w:bottom w:val="single" w:sz="8" w:color="C8C9CB"/>
            </w:tcBorders>
          </w:tcPr>
          <w:p>
            <w:pPr>
              <w:spacing w:after="0"/>
              <w:rPr>
                <w:sz w:val="11"/>
                <w:szCs w:val="11"/>
                <w:color w:val="auto"/>
              </w:rPr>
            </w:pPr>
          </w:p>
        </w:tc>
        <w:tc>
          <w:tcPr>
            <w:tcW w:w="3060" w:type="dxa"/>
            <w:vAlign w:val="bottom"/>
            <w:tcBorders>
              <w:bottom w:val="single" w:sz="8" w:color="C8C9CB"/>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E6E6E6"/>
          </w:tcPr>
          <w:p>
            <w:pPr>
              <w:ind w:left="20"/>
              <w:spacing w:after="0"/>
              <w:rPr>
                <w:sz w:val="20"/>
                <w:szCs w:val="20"/>
                <w:color w:val="auto"/>
              </w:rPr>
            </w:pPr>
            <w:r>
              <w:rPr>
                <w:rFonts w:ascii="Arial" w:cs="Arial" w:eastAsia="Arial" w:hAnsi="Arial"/>
                <w:sz w:val="13"/>
                <w:szCs w:val="13"/>
                <w:color w:val="auto"/>
              </w:rPr>
              <w:t>Potential new indication or line extension Phase</w:t>
            </w:r>
          </w:p>
        </w:tc>
        <w:tc>
          <w:tcPr>
            <w:tcW w:w="2760" w:type="dxa"/>
            <w:vAlign w:val="bottom"/>
            <w:vMerge w:val="restart"/>
            <w:shd w:val="clear" w:color="auto" w:fill="E6E6E6"/>
          </w:tcPr>
          <w:p>
            <w:pPr>
              <w:jc w:val="center"/>
              <w:spacing w:after="0"/>
              <w:rPr>
                <w:sz w:val="20"/>
                <w:szCs w:val="20"/>
                <w:color w:val="auto"/>
              </w:rPr>
            </w:pPr>
            <w:r>
              <w:rPr>
                <w:rFonts w:ascii="Arial" w:cs="Arial" w:eastAsia="Arial" w:hAnsi="Arial"/>
                <w:sz w:val="13"/>
                <w:szCs w:val="13"/>
                <w:color w:val="auto"/>
                <w:w w:val="82"/>
              </w:rPr>
              <w:t>5</w:t>
            </w:r>
          </w:p>
        </w:tc>
        <w:tc>
          <w:tcPr>
            <w:tcW w:w="3060" w:type="dxa"/>
            <w:vAlign w:val="bottom"/>
            <w:vMerge w:val="restart"/>
            <w:shd w:val="clear" w:color="auto" w:fill="E6E6E6"/>
          </w:tcPr>
          <w:p>
            <w:pPr>
              <w:jc w:val="center"/>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81"/>
        </w:trPr>
        <w:tc>
          <w:tcPr>
            <w:tcW w:w="310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rPr>
              <w:t>III starts</w:t>
            </w:r>
          </w:p>
        </w:tc>
        <w:tc>
          <w:tcPr>
            <w:tcW w:w="2760" w:type="dxa"/>
            <w:vAlign w:val="bottom"/>
            <w:vMerge w:val="continue"/>
            <w:shd w:val="clear" w:color="auto" w:fill="E6E6E6"/>
          </w:tcPr>
          <w:p>
            <w:pPr>
              <w:spacing w:after="0"/>
              <w:rPr>
                <w:sz w:val="7"/>
                <w:szCs w:val="7"/>
                <w:color w:val="auto"/>
              </w:rPr>
            </w:pPr>
          </w:p>
        </w:tc>
        <w:tc>
          <w:tcPr>
            <w:tcW w:w="3060" w:type="dxa"/>
            <w:vAlign w:val="bottom"/>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100" w:type="dxa"/>
            <w:vAlign w:val="bottom"/>
            <w:tcBorders>
              <w:bottom w:val="single" w:sz="8" w:color="E6E6E6"/>
            </w:tcBorders>
            <w:vMerge w:val="continue"/>
            <w:shd w:val="clear" w:color="auto" w:fill="E6E6E6"/>
          </w:tcPr>
          <w:p>
            <w:pPr>
              <w:spacing w:after="0"/>
              <w:rPr>
                <w:sz w:val="11"/>
                <w:szCs w:val="11"/>
                <w:color w:val="auto"/>
              </w:rPr>
            </w:pPr>
          </w:p>
        </w:tc>
        <w:tc>
          <w:tcPr>
            <w:tcW w:w="2760" w:type="dxa"/>
            <w:vAlign w:val="bottom"/>
            <w:tcBorders>
              <w:bottom w:val="single" w:sz="8" w:color="E6E6E6"/>
            </w:tcBorders>
            <w:shd w:val="clear" w:color="auto" w:fill="E6E6E6"/>
          </w:tcPr>
          <w:p>
            <w:pPr>
              <w:spacing w:after="0"/>
              <w:rPr>
                <w:sz w:val="11"/>
                <w:szCs w:val="11"/>
                <w:color w:val="auto"/>
              </w:rPr>
            </w:pPr>
          </w:p>
        </w:tc>
        <w:tc>
          <w:tcPr>
            <w:tcW w:w="3060" w:type="dxa"/>
            <w:vAlign w:val="bottom"/>
            <w:tcBorders>
              <w:bottom w:val="single" w:sz="8" w:color="E6E6E6"/>
            </w:tcBorders>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100" w:type="dxa"/>
            <w:vAlign w:val="bottom"/>
            <w:tcBorders>
              <w:top w:val="single" w:sz="8" w:color="C8C9CB"/>
            </w:tcBorders>
            <w:vMerge w:val="restart"/>
          </w:tcPr>
          <w:p>
            <w:pPr>
              <w:ind w:left="20"/>
              <w:spacing w:after="0"/>
              <w:rPr>
                <w:sz w:val="20"/>
                <w:szCs w:val="20"/>
                <w:color w:val="auto"/>
              </w:rPr>
            </w:pPr>
            <w:r>
              <w:rPr>
                <w:rFonts w:ascii="Arial" w:cs="Arial" w:eastAsia="Arial" w:hAnsi="Arial"/>
                <w:sz w:val="13"/>
                <w:szCs w:val="13"/>
                <w:color w:val="auto"/>
              </w:rPr>
              <w:t>Plan Boldly</w:t>
            </w:r>
          </w:p>
        </w:tc>
        <w:tc>
          <w:tcPr>
            <w:tcW w:w="276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rPr>
              <w:t>Meet industry benchmark for speed of</w:t>
            </w:r>
          </w:p>
        </w:tc>
        <w:tc>
          <w:tcPr>
            <w:tcW w:w="3060" w:type="dxa"/>
            <w:vAlign w:val="bottom"/>
            <w:tcBorders>
              <w:top w:val="single" w:sz="8" w:color="C8C9CB"/>
            </w:tcBorders>
          </w:tcPr>
          <w:p>
            <w:pPr>
              <w:jc w:val="center"/>
              <w:spacing w:after="0"/>
              <w:rPr>
                <w:sz w:val="20"/>
                <w:szCs w:val="20"/>
                <w:color w:val="auto"/>
              </w:rPr>
            </w:pPr>
            <w:r>
              <w:rPr>
                <w:rFonts w:ascii="Arial" w:cs="Arial" w:eastAsia="Arial" w:hAnsi="Arial"/>
                <w:sz w:val="13"/>
                <w:szCs w:val="13"/>
                <w:color w:val="auto"/>
              </w:rPr>
              <w:t>Exceeded industry benchmark for speed of</w:t>
            </w: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2760" w:type="dxa"/>
            <w:vAlign w:val="bottom"/>
            <w:vMerge w:val="restart"/>
          </w:tcPr>
          <w:p>
            <w:pPr>
              <w:jc w:val="center"/>
              <w:spacing w:after="0"/>
              <w:rPr>
                <w:sz w:val="20"/>
                <w:szCs w:val="20"/>
                <w:color w:val="auto"/>
              </w:rPr>
            </w:pPr>
            <w:r>
              <w:rPr>
                <w:rFonts w:ascii="Arial" w:cs="Arial" w:eastAsia="Arial" w:hAnsi="Arial"/>
                <w:sz w:val="13"/>
                <w:szCs w:val="13"/>
                <w:color w:val="auto"/>
              </w:rPr>
              <w:t>development</w:t>
            </w:r>
          </w:p>
        </w:tc>
        <w:tc>
          <w:tcPr>
            <w:tcW w:w="3060" w:type="dxa"/>
            <w:vAlign w:val="bottom"/>
            <w:vMerge w:val="restart"/>
          </w:tcPr>
          <w:p>
            <w:pPr>
              <w:jc w:val="center"/>
              <w:ind w:left="11"/>
              <w:spacing w:after="0"/>
              <w:rPr>
                <w:sz w:val="20"/>
                <w:szCs w:val="20"/>
                <w:color w:val="auto"/>
              </w:rPr>
            </w:pPr>
            <w:r>
              <w:rPr>
                <w:rFonts w:ascii="Arial" w:cs="Arial" w:eastAsia="Arial" w:hAnsi="Arial"/>
                <w:sz w:val="13"/>
                <w:szCs w:val="13"/>
                <w:color w:val="auto"/>
              </w:rPr>
              <w:t>development</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100" w:type="dxa"/>
            <w:vAlign w:val="bottom"/>
            <w:tcBorders>
              <w:bottom w:val="single" w:sz="8" w:color="C8C9CB"/>
            </w:tcBorders>
          </w:tcPr>
          <w:p>
            <w:pPr>
              <w:spacing w:after="0"/>
              <w:rPr>
                <w:sz w:val="4"/>
                <w:szCs w:val="4"/>
                <w:color w:val="auto"/>
              </w:rPr>
            </w:pPr>
          </w:p>
        </w:tc>
        <w:tc>
          <w:tcPr>
            <w:tcW w:w="2760" w:type="dxa"/>
            <w:vAlign w:val="bottom"/>
            <w:tcBorders>
              <w:bottom w:val="single" w:sz="8" w:color="C8C9CB"/>
            </w:tcBorders>
          </w:tcPr>
          <w:p>
            <w:pPr>
              <w:spacing w:after="0"/>
              <w:rPr>
                <w:sz w:val="4"/>
                <w:szCs w:val="4"/>
                <w:color w:val="auto"/>
              </w:rPr>
            </w:pPr>
          </w:p>
        </w:tc>
        <w:tc>
          <w:tcPr>
            <w:tcW w:w="3060" w:type="dxa"/>
            <w:vAlign w:val="bottom"/>
            <w:tcBorders>
              <w:bottom w:val="single" w:sz="8" w:color="C8C9CB"/>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Deliver to Launch</w:t>
            </w:r>
          </w:p>
        </w:tc>
        <w:tc>
          <w:tcPr>
            <w:tcW w:w="27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Meet planned project timelines</w:t>
            </w:r>
          </w:p>
        </w:tc>
        <w:tc>
          <w:tcPr>
            <w:tcW w:w="30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Met planned project timelines</w:t>
            </w:r>
          </w:p>
        </w:tc>
        <w:tc>
          <w:tcPr>
            <w:tcW w:w="0" w:type="dxa"/>
            <w:vAlign w:val="bottom"/>
          </w:tcPr>
          <w:p>
            <w:pPr>
              <w:spacing w:after="0"/>
              <w:rPr>
                <w:sz w:val="1"/>
                <w:szCs w:val="1"/>
                <w:color w:val="auto"/>
              </w:rPr>
            </w:pPr>
          </w:p>
        </w:tc>
      </w:tr>
      <w:tr>
        <w:trPr>
          <w:trHeight w:val="20"/>
        </w:trPr>
        <w:tc>
          <w:tcPr>
            <w:tcW w:w="3100" w:type="dxa"/>
            <w:vAlign w:val="bottom"/>
            <w:shd w:val="clear" w:color="auto" w:fill="C8C9CB"/>
          </w:tcPr>
          <w:p>
            <w:pPr>
              <w:spacing w:after="0" w:line="20" w:lineRule="exact"/>
              <w:rPr>
                <w:sz w:val="1"/>
                <w:szCs w:val="1"/>
                <w:color w:val="auto"/>
              </w:rPr>
            </w:pPr>
          </w:p>
        </w:tc>
        <w:tc>
          <w:tcPr>
            <w:tcW w:w="2760" w:type="dxa"/>
            <w:vAlign w:val="bottom"/>
            <w:shd w:val="clear" w:color="auto" w:fill="C8C9CB"/>
          </w:tcPr>
          <w:p>
            <w:pPr>
              <w:spacing w:after="0" w:line="20" w:lineRule="exact"/>
              <w:rPr>
                <w:sz w:val="1"/>
                <w:szCs w:val="1"/>
                <w:color w:val="auto"/>
              </w:rPr>
            </w:pPr>
          </w:p>
        </w:tc>
        <w:tc>
          <w:tcPr>
            <w:tcW w:w="3060" w:type="dxa"/>
            <w:vAlign w:val="bottom"/>
            <w:shd w:val="clear" w:color="auto" w:fill="C8C9C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00" w:type="dxa"/>
            <w:vAlign w:val="bottom"/>
            <w:vMerge w:val="restart"/>
          </w:tcPr>
          <w:p>
            <w:pPr>
              <w:spacing w:after="0"/>
              <w:rPr>
                <w:sz w:val="20"/>
                <w:szCs w:val="20"/>
                <w:color w:val="auto"/>
              </w:rPr>
            </w:pPr>
            <w:r>
              <w:rPr>
                <w:rFonts w:ascii="Arial" w:cs="Arial" w:eastAsia="Arial" w:hAnsi="Arial"/>
                <w:sz w:val="13"/>
                <w:szCs w:val="13"/>
                <w:color w:val="auto"/>
              </w:rPr>
              <w:t>Qualitative Assessment</w:t>
            </w:r>
          </w:p>
        </w:tc>
        <w:tc>
          <w:tcPr>
            <w:tcW w:w="6660" w:type="dxa"/>
            <w:vAlign w:val="bottom"/>
          </w:tcPr>
          <w:p>
            <w:pPr>
              <w:jc w:val="center"/>
              <w:ind w:left="713"/>
              <w:spacing w:after="0"/>
              <w:rPr>
                <w:sz w:val="20"/>
                <w:szCs w:val="20"/>
                <w:color w:val="auto"/>
              </w:rPr>
            </w:pPr>
            <w:r>
              <w:rPr>
                <w:rFonts w:ascii="Arial" w:cs="Arial" w:eastAsia="Arial" w:hAnsi="Arial"/>
                <w:sz w:val="13"/>
                <w:szCs w:val="13"/>
                <w:color w:val="auto"/>
              </w:rPr>
              <w:t>Assessment of the chief scientific and medical officer's evaluation of performance against strategic</w:t>
            </w:r>
          </w:p>
        </w:tc>
        <w:tc>
          <w:tcPr>
            <w:tcW w:w="0" w:type="dxa"/>
            <w:vAlign w:val="bottom"/>
          </w:tcPr>
          <w:p>
            <w:pPr>
              <w:spacing w:after="0"/>
              <w:rPr>
                <w:sz w:val="1"/>
                <w:szCs w:val="1"/>
                <w:color w:val="auto"/>
              </w:rPr>
            </w:pPr>
          </w:p>
        </w:tc>
      </w:tr>
      <w:tr>
        <w:trPr>
          <w:trHeight w:val="81"/>
        </w:trPr>
        <w:tc>
          <w:tcPr>
            <w:tcW w:w="2200" w:type="dxa"/>
            <w:vAlign w:val="bottom"/>
            <w:vMerge w:val="continue"/>
          </w:tcPr>
          <w:p>
            <w:pPr>
              <w:spacing w:after="0"/>
              <w:rPr>
                <w:sz w:val="7"/>
                <w:szCs w:val="7"/>
                <w:color w:val="auto"/>
              </w:rPr>
            </w:pPr>
          </w:p>
        </w:tc>
        <w:tc>
          <w:tcPr>
            <w:tcW w:w="6660" w:type="dxa"/>
            <w:vAlign w:val="bottom"/>
            <w:vMerge w:val="restart"/>
          </w:tcPr>
          <w:p>
            <w:pPr>
              <w:jc w:val="center"/>
              <w:ind w:left="713"/>
              <w:spacing w:after="0"/>
              <w:rPr>
                <w:sz w:val="20"/>
                <w:szCs w:val="20"/>
                <w:color w:val="auto"/>
              </w:rPr>
            </w:pPr>
            <w:r>
              <w:rPr>
                <w:rFonts w:ascii="Arial" w:cs="Arial" w:eastAsia="Arial" w:hAnsi="Arial"/>
                <w:sz w:val="13"/>
                <w:szCs w:val="13"/>
                <w:color w:val="auto"/>
              </w:rPr>
              <w:t>objectives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6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recommendation of the Science and Technology Committee, the Compensation Committee approved a pipeline multiple of 1.06.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compared to targets as well as the resulting bonus multiple,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786120" cy="2708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6120" cy="2708910"/>
                    </a:xfrm>
                    <a:prstGeom prst="rect">
                      <a:avLst/>
                    </a:prstGeom>
                    <a:noFill/>
                  </pic:spPr>
                </pic:pic>
              </a:graphicData>
            </a:graphic>
          </wp:anchor>
        </w:drawing>
      </w:r>
    </w:p>
    <w:p>
      <w:pPr>
        <w:sectPr>
          <w:pgSz w:w="11900" w:h="16838" w:orient="portrait"/>
          <w:cols w:equalWidth="0" w:num="1">
            <w:col w:w="11180"/>
          </w:cols>
          <w:pgMar w:left="320" w:top="8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80"/>
          </w:cols>
          <w:pgMar w:left="320" w:top="830" w:right="399" w:bottom="1440" w:gutter="0" w:footer="0" w:header="0"/>
          <w:type w:val="continuous"/>
        </w:sectPr>
      </w:pPr>
    </w:p>
    <w:bookmarkStart w:id="54" w:name="page55"/>
    <w:bookmarkEnd w:id="54"/>
    <w:p>
      <w:pPr>
        <w:ind w:right="400"/>
        <w:spacing w:after="0" w:line="401" w:lineRule="auto"/>
        <w:rPr>
          <w:sz w:val="20"/>
          <w:szCs w:val="20"/>
          <w:color w:val="auto"/>
        </w:rPr>
      </w:pPr>
      <w:r>
        <w:rPr>
          <w:rFonts w:ascii="Arial" w:cs="Arial" w:eastAsia="Arial" w:hAnsi="Arial"/>
          <w:sz w:val="16"/>
          <w:szCs w:val="16"/>
          <w:color w:val="auto"/>
        </w:rPr>
        <w:t>For additional information on financial results, see Appendix A, "Summary of Adjustments Related to the Annual Cash Bonus and Performance Award." When combined, the revenue, EPS, and pipeline multiples yielded a bonus multiple of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674995" cy="796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499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Loxo Bonus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Loxo Bonus Plan Committee assessed the level of oncology research and development goal achievement compared to the preclinical, clinical, regulatory actions, external innovation and scientific disclosure milestones established at the beginning of the year. On a payout continuum between 0 – 200 percent, the Loxo Bonus Plan Committee determined the Additional Cash Award portion of the Loxo Bonus would pay at 200 percent. To determine the final Loxo Bonus payout multiple, the Loxo Bonus Plan Committee added the Bonus Plan multiple to the Additional Cash Award multiple to yield a total payout of 310 percent.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Bonus Payments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2021 bonuses paid to the applicable named executive officers under the Bonus Plan were as follows:</w:t>
      </w:r>
    </w:p>
    <w:p>
      <w:pPr>
        <w:spacing w:after="0" w:line="138" w:lineRule="exact"/>
        <w:rPr>
          <w:sz w:val="20"/>
          <w:szCs w:val="20"/>
          <w:color w:val="auto"/>
        </w:rPr>
      </w:pPr>
    </w:p>
    <w:tbl>
      <w:tblPr>
        <w:tblLayout w:type="fixed"/>
        <w:tblInd w:w="740" w:type="dxa"/>
        <w:tblCellMar>
          <w:top w:w="0" w:type="dxa"/>
          <w:left w:w="0" w:type="dxa"/>
          <w:bottom w:w="0" w:type="dxa"/>
          <w:right w:w="0" w:type="dxa"/>
        </w:tblCellMar>
      </w:tblPr>
      <w:tr>
        <w:trPr>
          <w:trHeight w:val="358"/>
        </w:trPr>
        <w:tc>
          <w:tcPr>
            <w:tcW w:w="2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r>
              <w:rPr>
                <w:rFonts w:ascii="Arial" w:cs="Arial" w:eastAsia="Arial" w:hAnsi="Arial"/>
                <w:sz w:val="18"/>
                <w:szCs w:val="18"/>
                <w:b w:val="1"/>
                <w:bCs w:val="1"/>
                <w:color w:val="1CA8E1"/>
                <w:vertAlign w:val="superscript"/>
              </w:rPr>
              <w:t>3</w:t>
            </w:r>
          </w:p>
        </w:tc>
        <w:tc>
          <w:tcPr>
            <w:tcW w:w="3020" w:type="dxa"/>
            <w:vAlign w:val="bottom"/>
            <w:tcBorders>
              <w:bottom w:val="single" w:sz="8" w:color="DBDBDB"/>
            </w:tcBorders>
            <w:shd w:val="clear" w:color="auto" w:fill="DBDBDB"/>
          </w:tcPr>
          <w:p>
            <w:pPr>
              <w:jc w:val="right"/>
              <w:ind w:right="392"/>
              <w:spacing w:after="0"/>
              <w:rPr>
                <w:sz w:val="20"/>
                <w:szCs w:val="20"/>
                <w:color w:val="auto"/>
              </w:rPr>
            </w:pPr>
            <w:r>
              <w:rPr>
                <w:rFonts w:ascii="Arial" w:cs="Arial" w:eastAsia="Arial" w:hAnsi="Arial"/>
                <w:sz w:val="14"/>
                <w:szCs w:val="14"/>
                <w:b w:val="1"/>
                <w:bCs w:val="1"/>
                <w:color w:val="1CA8E1"/>
              </w:rPr>
              <w:t>2021 Bonus ($)</w:t>
            </w:r>
          </w:p>
        </w:tc>
      </w:tr>
      <w:tr>
        <w:trPr>
          <w:trHeight w:val="229"/>
        </w:trPr>
        <w:tc>
          <w:tcPr>
            <w:tcW w:w="2600" w:type="dxa"/>
            <w:vAlign w:val="bottom"/>
          </w:tcPr>
          <w:p>
            <w:pPr>
              <w:ind w:left="20"/>
              <w:spacing w:after="0"/>
              <w:rPr>
                <w:sz w:val="20"/>
                <w:szCs w:val="20"/>
                <w:color w:val="auto"/>
              </w:rPr>
            </w:pPr>
            <w:r>
              <w:rPr>
                <w:rFonts w:ascii="Arial" w:cs="Arial" w:eastAsia="Arial" w:hAnsi="Arial"/>
                <w:sz w:val="13"/>
                <w:szCs w:val="13"/>
                <w:color w:val="auto"/>
              </w:rPr>
              <w:t>Mr. Ricks</w:t>
            </w:r>
          </w:p>
        </w:tc>
        <w:tc>
          <w:tcPr>
            <w:tcW w:w="3020" w:type="dxa"/>
            <w:vAlign w:val="bottom"/>
          </w:tcPr>
          <w:p>
            <w:pPr>
              <w:jc w:val="right"/>
              <w:ind w:right="552"/>
              <w:spacing w:after="0"/>
              <w:rPr>
                <w:sz w:val="20"/>
                <w:szCs w:val="20"/>
                <w:color w:val="auto"/>
              </w:rPr>
            </w:pPr>
            <w:r>
              <w:rPr>
                <w:rFonts w:ascii="Arial" w:cs="Arial" w:eastAsia="Arial" w:hAnsi="Arial"/>
                <w:sz w:val="13"/>
                <w:szCs w:val="13"/>
                <w:color w:val="auto"/>
              </w:rPr>
              <w:t>$2,475,000</w:t>
            </w:r>
          </w:p>
        </w:tc>
      </w:tr>
      <w:tr>
        <w:trPr>
          <w:trHeight w:val="256"/>
        </w:trPr>
        <w:tc>
          <w:tcPr>
            <w:tcW w:w="260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3020" w:type="dxa"/>
            <w:vAlign w:val="bottom"/>
          </w:tcPr>
          <w:p>
            <w:pPr>
              <w:jc w:val="right"/>
              <w:ind w:right="552"/>
              <w:spacing w:after="0"/>
              <w:rPr>
                <w:sz w:val="20"/>
                <w:szCs w:val="20"/>
                <w:color w:val="auto"/>
              </w:rPr>
            </w:pPr>
            <w:r>
              <w:rPr>
                <w:rFonts w:ascii="Arial" w:cs="Arial" w:eastAsia="Arial" w:hAnsi="Arial"/>
                <w:sz w:val="13"/>
                <w:szCs w:val="13"/>
                <w:color w:val="auto"/>
              </w:rPr>
              <w:t>$907,816</w:t>
            </w:r>
          </w:p>
        </w:tc>
      </w:tr>
      <w:tr>
        <w:trPr>
          <w:trHeight w:val="257"/>
        </w:trPr>
        <w:tc>
          <w:tcPr>
            <w:tcW w:w="260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3020" w:type="dxa"/>
            <w:vAlign w:val="bottom"/>
          </w:tcPr>
          <w:p>
            <w:pPr>
              <w:jc w:val="right"/>
              <w:ind w:right="552"/>
              <w:spacing w:after="0"/>
              <w:rPr>
                <w:sz w:val="20"/>
                <w:szCs w:val="20"/>
                <w:color w:val="auto"/>
              </w:rPr>
            </w:pPr>
            <w:r>
              <w:rPr>
                <w:rFonts w:ascii="Arial" w:cs="Arial" w:eastAsia="Arial" w:hAnsi="Arial"/>
                <w:sz w:val="13"/>
                <w:szCs w:val="13"/>
                <w:color w:val="auto"/>
              </w:rPr>
              <w:t>$1,100,000</w:t>
            </w:r>
          </w:p>
        </w:tc>
      </w:tr>
      <w:tr>
        <w:trPr>
          <w:trHeight w:val="307"/>
        </w:trPr>
        <w:tc>
          <w:tcPr>
            <w:tcW w:w="2600" w:type="dxa"/>
            <w:vAlign w:val="bottom"/>
          </w:tcPr>
          <w:p>
            <w:pPr>
              <w:ind w:left="20"/>
              <w:spacing w:after="0"/>
              <w:rPr>
                <w:sz w:val="20"/>
                <w:szCs w:val="20"/>
                <w:color w:val="auto"/>
              </w:rPr>
            </w:pPr>
            <w:r>
              <w:rPr>
                <w:rFonts w:ascii="Arial" w:cs="Arial" w:eastAsia="Arial" w:hAnsi="Arial"/>
                <w:sz w:val="13"/>
                <w:szCs w:val="13"/>
                <w:color w:val="auto"/>
              </w:rPr>
              <w:t>Mr. Van Naarden</w:t>
            </w:r>
            <w:r>
              <w:rPr>
                <w:rFonts w:ascii="Arial" w:cs="Arial" w:eastAsia="Arial" w:hAnsi="Arial"/>
                <w:sz w:val="17"/>
                <w:szCs w:val="17"/>
                <w:color w:val="auto"/>
                <w:vertAlign w:val="superscript"/>
              </w:rPr>
              <w:t>1</w:t>
            </w:r>
          </w:p>
        </w:tc>
        <w:tc>
          <w:tcPr>
            <w:tcW w:w="3020" w:type="dxa"/>
            <w:vAlign w:val="bottom"/>
          </w:tcPr>
          <w:p>
            <w:pPr>
              <w:jc w:val="right"/>
              <w:ind w:right="552"/>
              <w:spacing w:after="0"/>
              <w:rPr>
                <w:sz w:val="20"/>
                <w:szCs w:val="20"/>
                <w:color w:val="auto"/>
              </w:rPr>
            </w:pPr>
            <w:r>
              <w:rPr>
                <w:rFonts w:ascii="Arial" w:cs="Arial" w:eastAsia="Arial" w:hAnsi="Arial"/>
                <w:sz w:val="13"/>
                <w:szCs w:val="13"/>
                <w:color w:val="auto"/>
              </w:rPr>
              <w:t>$1,029,507</w:t>
            </w:r>
          </w:p>
        </w:tc>
      </w:tr>
      <w:tr>
        <w:trPr>
          <w:trHeight w:val="270"/>
        </w:trPr>
        <w:tc>
          <w:tcPr>
            <w:tcW w:w="2600" w:type="dxa"/>
            <w:vAlign w:val="bottom"/>
          </w:tcPr>
          <w:p>
            <w:pPr>
              <w:ind w:left="20"/>
              <w:spacing w:after="0"/>
              <w:rPr>
                <w:sz w:val="20"/>
                <w:szCs w:val="20"/>
                <w:color w:val="auto"/>
              </w:rPr>
            </w:pPr>
            <w:r>
              <w:rPr>
                <w:rFonts w:ascii="Arial" w:cs="Arial" w:eastAsia="Arial" w:hAnsi="Arial"/>
                <w:sz w:val="13"/>
                <w:szCs w:val="13"/>
                <w:color w:val="auto"/>
              </w:rPr>
              <w:t>Mr. Rau</w:t>
            </w:r>
            <w:r>
              <w:rPr>
                <w:rFonts w:ascii="Arial" w:cs="Arial" w:eastAsia="Arial" w:hAnsi="Arial"/>
                <w:sz w:val="17"/>
                <w:szCs w:val="17"/>
                <w:color w:val="auto"/>
                <w:vertAlign w:val="superscript"/>
              </w:rPr>
              <w:t>2</w:t>
            </w:r>
          </w:p>
        </w:tc>
        <w:tc>
          <w:tcPr>
            <w:tcW w:w="3020" w:type="dxa"/>
            <w:vAlign w:val="bottom"/>
          </w:tcPr>
          <w:p>
            <w:pPr>
              <w:jc w:val="right"/>
              <w:ind w:right="552"/>
              <w:spacing w:after="0"/>
              <w:rPr>
                <w:sz w:val="20"/>
                <w:szCs w:val="20"/>
                <w:color w:val="auto"/>
              </w:rPr>
            </w:pPr>
            <w:r>
              <w:rPr>
                <w:rFonts w:ascii="Arial" w:cs="Arial" w:eastAsia="Arial" w:hAnsi="Arial"/>
                <w:sz w:val="13"/>
                <w:szCs w:val="13"/>
                <w:color w:val="auto"/>
              </w:rPr>
              <w:t>$362,831</w:t>
            </w:r>
          </w:p>
        </w:tc>
      </w:tr>
    </w:tbl>
    <w:p>
      <w:pPr>
        <w:spacing w:after="0" w:line="165" w:lineRule="exact"/>
        <w:rPr>
          <w:sz w:val="20"/>
          <w:szCs w:val="20"/>
          <w:color w:val="auto"/>
        </w:rPr>
      </w:pPr>
    </w:p>
    <w:p>
      <w:pPr>
        <w:ind w:left="740" w:hanging="3"/>
        <w:spacing w:after="0" w:line="241" w:lineRule="auto"/>
        <w:tabs>
          <w:tab w:leader="none" w:pos="826" w:val="left"/>
        </w:tabs>
        <w:numPr>
          <w:ilvl w:val="0"/>
          <w:numId w:val="74"/>
        </w:numPr>
        <w:rPr>
          <w:rFonts w:ascii="Arial" w:cs="Arial" w:eastAsia="Arial" w:hAnsi="Arial"/>
          <w:sz w:val="18"/>
          <w:szCs w:val="18"/>
          <w:color w:val="auto"/>
          <w:vertAlign w:val="superscript"/>
        </w:rPr>
      </w:pPr>
      <w:r>
        <w:rPr>
          <w:rFonts w:ascii="Arial" w:cs="Arial" w:eastAsia="Arial" w:hAnsi="Arial"/>
          <w:sz w:val="13"/>
          <w:szCs w:val="13"/>
          <w:color w:val="auto"/>
        </w:rPr>
        <w:t>A portion of the 2021 bonus payable to Mr. Van Naarden was attributable to achievement of the performance goals under the Loxo Bonus Plan. The 2021 Loxo Bonus Plan achievement was 310%. The amount of the 2021 bonus paid to Mr. Van Naarden in the table above reflects his achievement under both the Loxo Bonus Plan and the Bonus Plan, in each case, pro-rated to reflect the period in 2021 during which he was a participant in the respective plan. Mr. Van Naarden also received a one-time cash payment of $218,715 in lieu of compensation and benefits he was no longer eligible to receive following his transition to his new role, including compensation for the difference between the bonus he would have earned under the Loxo Bonus Plan and the Lilly Bonus Plan, and changes in his expected out-of-pocket costs for healthcare expenses.</w:t>
      </w:r>
    </w:p>
    <w:p>
      <w:pPr>
        <w:spacing w:after="0" w:line="1" w:lineRule="exact"/>
        <w:rPr>
          <w:rFonts w:ascii="Arial" w:cs="Arial" w:eastAsia="Arial" w:hAnsi="Arial"/>
          <w:sz w:val="18"/>
          <w:szCs w:val="18"/>
          <w:color w:val="auto"/>
          <w:vertAlign w:val="superscript"/>
        </w:rPr>
      </w:pPr>
    </w:p>
    <w:p>
      <w:pPr>
        <w:ind w:left="740"/>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Mr. Rau joined Lilly in May 2021, and the table reflects the pro-rated bonus paid for the portion of the year for which he was employed.</w:t>
      </w:r>
    </w:p>
    <w:p>
      <w:pPr>
        <w:ind w:left="740" w:right="26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Pursuant to the terms of his separation agreement with the company, Mr. Smiley was not entitled to an annual bonus for calendar year 2021. See "Agreement with Former Chief Financial Officer"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2020-2022 Performance Awards</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target cumulative EPS for the 2020-2022 performance award was originally set in the first quarter of 2020, reflecting expected peer group EPS growth of 5.7 percent each year and a total target EPS of $13.13 over the two-year performance period. In December 2020, the Compensation Committee updated the award to align with Lilly's decision to adjust EPS results to remove the impact of gains and losses on investments in equity securities from its non-GAAP measures and compensation program outcomes. The updated award retained the Compensation Committee's decision to establish a compounded two-year EPS growth target of 5.7 percent per year, but the growth was applied to an adjusted 2019 non-GAAP EPS of $5.73 that excluded gains and losses on investments in equity securities. Using this methodology, the adjusted EPS target became $12.46 for the two-year performance period of 2020-2021. The company's actual adjusted EPS over the performance period was $14.94 representing a growth rate of 19.0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674995" cy="1611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49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843" w:right="359" w:bottom="1440" w:gutter="0" w:footer="0" w:header="0"/>
        </w:sectPr>
      </w:pPr>
    </w:p>
    <w:bookmarkStart w:id="55" w:name="page56"/>
    <w:bookmarkEnd w:id="55"/>
    <w:p>
      <w:pPr>
        <w:spacing w:after="0" w:line="250" w:lineRule="auto"/>
        <w:rPr>
          <w:sz w:val="20"/>
          <w:szCs w:val="20"/>
          <w:color w:val="auto"/>
        </w:rPr>
      </w:pPr>
      <w:r>
        <w:rPr>
          <w:rFonts w:ascii="Arial" w:cs="Arial" w:eastAsia="Arial" w:hAnsi="Arial"/>
          <w:sz w:val="16"/>
          <w:szCs w:val="16"/>
          <w:color w:val="auto"/>
        </w:rPr>
        <w:t>For Mr. Ricks and Dr. Skovronsky, shares earned for the 2020-2021 performance period are subject to an additional 13-month service-vesting period and are shown in the table below as restricted stock units. Because she was not an executive officer when the award was granted, Ms. Ashkenazi's 2020-2021 performance award was paid in shares of Lilly common stock and not subject to the additional service-vesting period. Mr. Van Naarden was an employee of Loxo Oncology, Inc. and did not receive a performance award grant in 2020. Mr. Rau joined Lilly in May 2021, so he did not receive a performance award grant in 2020.</w:t>
      </w:r>
    </w:p>
    <w:p>
      <w:pPr>
        <w:spacing w:after="0" w:line="120" w:lineRule="exact"/>
        <w:rPr>
          <w:sz w:val="20"/>
          <w:szCs w:val="20"/>
          <w:color w:val="auto"/>
        </w:rPr>
      </w:pPr>
    </w:p>
    <w:tbl>
      <w:tblPr>
        <w:tblLayout w:type="fixed"/>
        <w:tblInd w:w="1060" w:type="dxa"/>
        <w:tblCellMar>
          <w:top w:w="0" w:type="dxa"/>
          <w:left w:w="0" w:type="dxa"/>
          <w:bottom w:w="0" w:type="dxa"/>
          <w:right w:w="0" w:type="dxa"/>
        </w:tblCellMar>
      </w:tblPr>
      <w:tr>
        <w:trPr>
          <w:trHeight w:val="338"/>
        </w:trPr>
        <w:tc>
          <w:tcPr>
            <w:tcW w:w="16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00A1DE"/>
              </w:rPr>
              <w:t>Name</w:t>
            </w:r>
            <w:r>
              <w:rPr>
                <w:rFonts w:ascii="Arial" w:cs="Arial" w:eastAsia="Arial" w:hAnsi="Arial"/>
                <w:sz w:val="21"/>
                <w:szCs w:val="21"/>
                <w:b w:val="1"/>
                <w:bCs w:val="1"/>
                <w:color w:val="00A1DE"/>
                <w:vertAlign w:val="superscript"/>
              </w:rPr>
              <w:t>3</w:t>
            </w:r>
          </w:p>
        </w:tc>
        <w:tc>
          <w:tcPr>
            <w:tcW w:w="1960" w:type="dxa"/>
            <w:vAlign w:val="bottom"/>
            <w:vMerge w:val="restart"/>
            <w:shd w:val="clear" w:color="auto" w:fill="DBDBDB"/>
          </w:tcPr>
          <w:p>
            <w:pPr>
              <w:jc w:val="center"/>
              <w:ind w:left="30"/>
              <w:spacing w:after="0"/>
              <w:rPr>
                <w:sz w:val="20"/>
                <w:szCs w:val="20"/>
                <w:color w:val="auto"/>
              </w:rPr>
            </w:pPr>
            <w:r>
              <w:rPr>
                <w:rFonts w:ascii="Arial" w:cs="Arial" w:eastAsia="Arial" w:hAnsi="Arial"/>
                <w:sz w:val="16"/>
                <w:szCs w:val="16"/>
                <w:b w:val="1"/>
                <w:bCs w:val="1"/>
                <w:color w:val="00A1DE"/>
                <w:w w:val="99"/>
              </w:rPr>
              <w:t>Target Shares</w:t>
            </w:r>
          </w:p>
        </w:tc>
        <w:tc>
          <w:tcPr>
            <w:tcW w:w="2080" w:type="dxa"/>
            <w:vAlign w:val="bottom"/>
            <w:vMerge w:val="restart"/>
            <w:shd w:val="clear" w:color="auto" w:fill="DBDBDB"/>
          </w:tcPr>
          <w:p>
            <w:pPr>
              <w:jc w:val="center"/>
              <w:ind w:right="110"/>
              <w:spacing w:after="0"/>
              <w:rPr>
                <w:sz w:val="20"/>
                <w:szCs w:val="20"/>
                <w:color w:val="auto"/>
              </w:rPr>
            </w:pPr>
            <w:r>
              <w:rPr>
                <w:rFonts w:ascii="Arial" w:cs="Arial" w:eastAsia="Arial" w:hAnsi="Arial"/>
                <w:sz w:val="16"/>
                <w:szCs w:val="16"/>
                <w:b w:val="1"/>
                <w:bCs w:val="1"/>
                <w:color w:val="00A1DE"/>
              </w:rPr>
              <w:t>Shares Earned</w:t>
            </w:r>
          </w:p>
        </w:tc>
        <w:tc>
          <w:tcPr>
            <w:tcW w:w="1700" w:type="dxa"/>
            <w:vAlign w:val="bottom"/>
            <w:vMerge w:val="restart"/>
            <w:shd w:val="clear" w:color="auto" w:fill="DBDBDB"/>
          </w:tcPr>
          <w:p>
            <w:pPr>
              <w:jc w:val="center"/>
              <w:ind w:right="110"/>
              <w:spacing w:after="0"/>
              <w:rPr>
                <w:sz w:val="20"/>
                <w:szCs w:val="20"/>
                <w:color w:val="auto"/>
              </w:rPr>
            </w:pPr>
            <w:r>
              <w:rPr>
                <w:rFonts w:ascii="Arial" w:cs="Arial" w:eastAsia="Arial" w:hAnsi="Arial"/>
                <w:sz w:val="16"/>
                <w:szCs w:val="16"/>
                <w:b w:val="1"/>
                <w:bCs w:val="1"/>
                <w:color w:val="00A1DE"/>
              </w:rPr>
              <w:t>RSUs</w:t>
            </w:r>
          </w:p>
        </w:tc>
        <w:tc>
          <w:tcPr>
            <w:tcW w:w="0" w:type="dxa"/>
            <w:vAlign w:val="bottom"/>
          </w:tcPr>
          <w:p>
            <w:pPr>
              <w:spacing w:after="0"/>
              <w:rPr>
                <w:sz w:val="1"/>
                <w:szCs w:val="1"/>
                <w:color w:val="auto"/>
              </w:rPr>
            </w:pPr>
          </w:p>
        </w:tc>
      </w:tr>
      <w:tr>
        <w:trPr>
          <w:trHeight w:val="68"/>
        </w:trPr>
        <w:tc>
          <w:tcPr>
            <w:tcW w:w="1620" w:type="dxa"/>
            <w:vAlign w:val="bottom"/>
            <w:shd w:val="clear" w:color="auto" w:fill="DBDBDB"/>
          </w:tcPr>
          <w:p>
            <w:pPr>
              <w:spacing w:after="0"/>
              <w:rPr>
                <w:sz w:val="5"/>
                <w:szCs w:val="5"/>
                <w:color w:val="auto"/>
              </w:rPr>
            </w:pPr>
          </w:p>
        </w:tc>
        <w:tc>
          <w:tcPr>
            <w:tcW w:w="1960" w:type="dxa"/>
            <w:vAlign w:val="bottom"/>
            <w:vMerge w:val="continue"/>
            <w:shd w:val="clear" w:color="auto" w:fill="DBDBDB"/>
          </w:tcPr>
          <w:p>
            <w:pPr>
              <w:spacing w:after="0"/>
              <w:rPr>
                <w:sz w:val="5"/>
                <w:szCs w:val="5"/>
                <w:color w:val="auto"/>
              </w:rPr>
            </w:pPr>
          </w:p>
        </w:tc>
        <w:tc>
          <w:tcPr>
            <w:tcW w:w="2080" w:type="dxa"/>
            <w:vAlign w:val="bottom"/>
            <w:vMerge w:val="continue"/>
            <w:shd w:val="clear" w:color="auto" w:fill="DBDBDB"/>
          </w:tcPr>
          <w:p>
            <w:pPr>
              <w:spacing w:after="0"/>
              <w:rPr>
                <w:sz w:val="5"/>
                <w:szCs w:val="5"/>
                <w:color w:val="auto"/>
              </w:rPr>
            </w:pPr>
          </w:p>
        </w:tc>
        <w:tc>
          <w:tcPr>
            <w:tcW w:w="170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60"/>
              <w:spacing w:after="0"/>
              <w:rPr>
                <w:sz w:val="20"/>
                <w:szCs w:val="20"/>
                <w:color w:val="auto"/>
              </w:rPr>
            </w:pPr>
            <w:r>
              <w:rPr>
                <w:rFonts w:ascii="Arial" w:cs="Arial" w:eastAsia="Arial" w:hAnsi="Arial"/>
                <w:sz w:val="13"/>
                <w:szCs w:val="13"/>
                <w:color w:val="auto"/>
              </w:rPr>
              <w:t>Mr. Ricks</w:t>
            </w:r>
          </w:p>
        </w:tc>
        <w:tc>
          <w:tcPr>
            <w:tcW w:w="1960" w:type="dxa"/>
            <w:vAlign w:val="bottom"/>
          </w:tcPr>
          <w:p>
            <w:pPr>
              <w:jc w:val="center"/>
              <w:ind w:left="30"/>
              <w:spacing w:after="0"/>
              <w:rPr>
                <w:sz w:val="20"/>
                <w:szCs w:val="20"/>
                <w:color w:val="auto"/>
              </w:rPr>
            </w:pPr>
            <w:r>
              <w:rPr>
                <w:rFonts w:ascii="Arial" w:cs="Arial" w:eastAsia="Arial" w:hAnsi="Arial"/>
                <w:sz w:val="13"/>
                <w:szCs w:val="13"/>
                <w:color w:val="auto"/>
              </w:rPr>
              <w:t>27,306</w:t>
            </w:r>
          </w:p>
        </w:tc>
        <w:tc>
          <w:tcPr>
            <w:tcW w:w="208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1700" w:type="dxa"/>
            <w:vAlign w:val="bottom"/>
          </w:tcPr>
          <w:p>
            <w:pPr>
              <w:jc w:val="center"/>
              <w:ind w:right="110"/>
              <w:spacing w:after="0"/>
              <w:rPr>
                <w:sz w:val="20"/>
                <w:szCs w:val="20"/>
                <w:color w:val="auto"/>
              </w:rPr>
            </w:pPr>
            <w:r>
              <w:rPr>
                <w:rFonts w:ascii="Arial" w:cs="Arial" w:eastAsia="Arial" w:hAnsi="Arial"/>
                <w:sz w:val="13"/>
                <w:szCs w:val="13"/>
                <w:color w:val="auto"/>
              </w:rPr>
              <w:t>47,786</w:t>
            </w:r>
          </w:p>
        </w:tc>
        <w:tc>
          <w:tcPr>
            <w:tcW w:w="0" w:type="dxa"/>
            <w:vAlign w:val="bottom"/>
          </w:tcPr>
          <w:p>
            <w:pPr>
              <w:spacing w:after="0"/>
              <w:rPr>
                <w:sz w:val="1"/>
                <w:szCs w:val="1"/>
                <w:color w:val="auto"/>
              </w:rPr>
            </w:pPr>
          </w:p>
        </w:tc>
      </w:tr>
      <w:tr>
        <w:trPr>
          <w:trHeight w:val="216"/>
        </w:trPr>
        <w:tc>
          <w:tcPr>
            <w:tcW w:w="1620" w:type="dxa"/>
            <w:vAlign w:val="bottom"/>
          </w:tcPr>
          <w:p>
            <w:pPr>
              <w:ind w:left="60"/>
              <w:spacing w:after="0"/>
              <w:rPr>
                <w:sz w:val="20"/>
                <w:szCs w:val="20"/>
                <w:color w:val="auto"/>
              </w:rPr>
            </w:pPr>
            <w:r>
              <w:rPr>
                <w:rFonts w:ascii="Arial" w:cs="Arial" w:eastAsia="Arial" w:hAnsi="Arial"/>
                <w:sz w:val="13"/>
                <w:szCs w:val="13"/>
                <w:color w:val="auto"/>
              </w:rPr>
              <w:t>Ms. Ashkenazi</w:t>
            </w:r>
          </w:p>
        </w:tc>
        <w:tc>
          <w:tcPr>
            <w:tcW w:w="1960" w:type="dxa"/>
            <w:vAlign w:val="bottom"/>
          </w:tcPr>
          <w:p>
            <w:pPr>
              <w:jc w:val="center"/>
              <w:ind w:left="30"/>
              <w:spacing w:after="0"/>
              <w:rPr>
                <w:sz w:val="20"/>
                <w:szCs w:val="20"/>
                <w:color w:val="auto"/>
              </w:rPr>
            </w:pPr>
            <w:r>
              <w:rPr>
                <w:rFonts w:ascii="Arial" w:cs="Arial" w:eastAsia="Arial" w:hAnsi="Arial"/>
                <w:sz w:val="13"/>
                <w:szCs w:val="13"/>
                <w:color w:val="auto"/>
              </w:rPr>
              <w:t>2,731</w:t>
            </w:r>
          </w:p>
        </w:tc>
        <w:tc>
          <w:tcPr>
            <w:tcW w:w="2080" w:type="dxa"/>
            <w:vAlign w:val="bottom"/>
          </w:tcPr>
          <w:p>
            <w:pPr>
              <w:jc w:val="center"/>
              <w:ind w:right="110"/>
              <w:spacing w:after="0"/>
              <w:rPr>
                <w:sz w:val="20"/>
                <w:szCs w:val="20"/>
                <w:color w:val="auto"/>
              </w:rPr>
            </w:pPr>
            <w:r>
              <w:rPr>
                <w:rFonts w:ascii="Arial" w:cs="Arial" w:eastAsia="Arial" w:hAnsi="Arial"/>
                <w:sz w:val="13"/>
                <w:szCs w:val="13"/>
                <w:color w:val="auto"/>
              </w:rPr>
              <w:t>4,779</w:t>
            </w:r>
          </w:p>
        </w:tc>
        <w:tc>
          <w:tcPr>
            <w:tcW w:w="170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16"/>
        </w:trPr>
        <w:tc>
          <w:tcPr>
            <w:tcW w:w="1620" w:type="dxa"/>
            <w:vAlign w:val="bottom"/>
          </w:tcPr>
          <w:p>
            <w:pPr>
              <w:ind w:left="60"/>
              <w:spacing w:after="0"/>
              <w:rPr>
                <w:sz w:val="20"/>
                <w:szCs w:val="20"/>
                <w:color w:val="auto"/>
              </w:rPr>
            </w:pPr>
            <w:r>
              <w:rPr>
                <w:rFonts w:ascii="Arial" w:cs="Arial" w:eastAsia="Arial" w:hAnsi="Arial"/>
                <w:sz w:val="13"/>
                <w:szCs w:val="13"/>
                <w:color w:val="auto"/>
              </w:rPr>
              <w:t>Dr. Skovronsky</w:t>
            </w:r>
          </w:p>
        </w:tc>
        <w:tc>
          <w:tcPr>
            <w:tcW w:w="1960" w:type="dxa"/>
            <w:vAlign w:val="bottom"/>
          </w:tcPr>
          <w:p>
            <w:pPr>
              <w:jc w:val="center"/>
              <w:ind w:left="30"/>
              <w:spacing w:after="0"/>
              <w:rPr>
                <w:sz w:val="20"/>
                <w:szCs w:val="20"/>
                <w:color w:val="auto"/>
              </w:rPr>
            </w:pPr>
            <w:r>
              <w:rPr>
                <w:rFonts w:ascii="Arial" w:cs="Arial" w:eastAsia="Arial" w:hAnsi="Arial"/>
                <w:sz w:val="13"/>
                <w:szCs w:val="13"/>
                <w:color w:val="auto"/>
              </w:rPr>
              <w:t>8,957</w:t>
            </w:r>
          </w:p>
        </w:tc>
        <w:tc>
          <w:tcPr>
            <w:tcW w:w="208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1700" w:type="dxa"/>
            <w:vAlign w:val="bottom"/>
          </w:tcPr>
          <w:p>
            <w:pPr>
              <w:jc w:val="center"/>
              <w:ind w:right="110"/>
              <w:spacing w:after="0"/>
              <w:rPr>
                <w:sz w:val="20"/>
                <w:szCs w:val="20"/>
                <w:color w:val="auto"/>
              </w:rPr>
            </w:pPr>
            <w:r>
              <w:rPr>
                <w:rFonts w:ascii="Arial" w:cs="Arial" w:eastAsia="Arial" w:hAnsi="Arial"/>
                <w:sz w:val="13"/>
                <w:szCs w:val="13"/>
                <w:color w:val="auto"/>
              </w:rPr>
              <w:t>15,675</w:t>
            </w:r>
          </w:p>
        </w:tc>
        <w:tc>
          <w:tcPr>
            <w:tcW w:w="0" w:type="dxa"/>
            <w:vAlign w:val="bottom"/>
          </w:tcPr>
          <w:p>
            <w:pPr>
              <w:spacing w:after="0"/>
              <w:rPr>
                <w:sz w:val="1"/>
                <w:szCs w:val="1"/>
                <w:color w:val="auto"/>
              </w:rPr>
            </w:pPr>
          </w:p>
        </w:tc>
      </w:tr>
      <w:tr>
        <w:trPr>
          <w:trHeight w:val="270"/>
        </w:trPr>
        <w:tc>
          <w:tcPr>
            <w:tcW w:w="1620" w:type="dxa"/>
            <w:vAlign w:val="bottom"/>
          </w:tcPr>
          <w:p>
            <w:pPr>
              <w:ind w:left="60"/>
              <w:spacing w:after="0"/>
              <w:rPr>
                <w:sz w:val="20"/>
                <w:szCs w:val="20"/>
                <w:color w:val="auto"/>
              </w:rPr>
            </w:pPr>
            <w:r>
              <w:rPr>
                <w:rFonts w:ascii="Arial" w:cs="Arial" w:eastAsia="Arial" w:hAnsi="Arial"/>
                <w:sz w:val="13"/>
                <w:szCs w:val="13"/>
                <w:color w:val="auto"/>
              </w:rPr>
              <w:t>Mr. Van Naarden</w:t>
            </w:r>
            <w:r>
              <w:rPr>
                <w:rFonts w:ascii="Arial" w:cs="Arial" w:eastAsia="Arial" w:hAnsi="Arial"/>
                <w:sz w:val="17"/>
                <w:szCs w:val="17"/>
                <w:color w:val="auto"/>
                <w:vertAlign w:val="superscript"/>
              </w:rPr>
              <w:t>1</w:t>
            </w:r>
          </w:p>
        </w:tc>
        <w:tc>
          <w:tcPr>
            <w:tcW w:w="1960" w:type="dxa"/>
            <w:vAlign w:val="bottom"/>
          </w:tcPr>
          <w:p>
            <w:pPr>
              <w:jc w:val="center"/>
              <w:ind w:left="30"/>
              <w:spacing w:after="0"/>
              <w:rPr>
                <w:sz w:val="20"/>
                <w:szCs w:val="20"/>
                <w:color w:val="auto"/>
              </w:rPr>
            </w:pPr>
            <w:r>
              <w:rPr>
                <w:rFonts w:ascii="Arial" w:cs="Arial" w:eastAsia="Arial" w:hAnsi="Arial"/>
                <w:sz w:val="13"/>
                <w:szCs w:val="13"/>
                <w:color w:val="auto"/>
              </w:rPr>
              <w:t>N/A</w:t>
            </w:r>
          </w:p>
        </w:tc>
        <w:tc>
          <w:tcPr>
            <w:tcW w:w="208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170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27"/>
        </w:trPr>
        <w:tc>
          <w:tcPr>
            <w:tcW w:w="1620" w:type="dxa"/>
            <w:vAlign w:val="bottom"/>
          </w:tcPr>
          <w:p>
            <w:pPr>
              <w:ind w:left="60"/>
              <w:spacing w:after="0"/>
              <w:rPr>
                <w:sz w:val="20"/>
                <w:szCs w:val="20"/>
                <w:color w:val="auto"/>
              </w:rPr>
            </w:pPr>
            <w:r>
              <w:rPr>
                <w:rFonts w:ascii="Arial" w:cs="Arial" w:eastAsia="Arial" w:hAnsi="Arial"/>
                <w:sz w:val="13"/>
                <w:szCs w:val="13"/>
                <w:color w:val="auto"/>
              </w:rPr>
              <w:t>Mr. Rau</w:t>
            </w:r>
            <w:r>
              <w:rPr>
                <w:rFonts w:ascii="Arial" w:cs="Arial" w:eastAsia="Arial" w:hAnsi="Arial"/>
                <w:sz w:val="17"/>
                <w:szCs w:val="17"/>
                <w:color w:val="auto"/>
                <w:vertAlign w:val="superscript"/>
              </w:rPr>
              <w:t>2</w:t>
            </w:r>
          </w:p>
        </w:tc>
        <w:tc>
          <w:tcPr>
            <w:tcW w:w="1960" w:type="dxa"/>
            <w:vAlign w:val="bottom"/>
          </w:tcPr>
          <w:p>
            <w:pPr>
              <w:jc w:val="center"/>
              <w:ind w:left="30"/>
              <w:spacing w:after="0"/>
              <w:rPr>
                <w:sz w:val="20"/>
                <w:szCs w:val="20"/>
                <w:color w:val="auto"/>
              </w:rPr>
            </w:pPr>
            <w:r>
              <w:rPr>
                <w:rFonts w:ascii="Arial" w:cs="Arial" w:eastAsia="Arial" w:hAnsi="Arial"/>
                <w:sz w:val="13"/>
                <w:szCs w:val="13"/>
                <w:color w:val="auto"/>
              </w:rPr>
              <w:t>N/A</w:t>
            </w:r>
          </w:p>
        </w:tc>
        <w:tc>
          <w:tcPr>
            <w:tcW w:w="208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1700" w:type="dxa"/>
            <w:vAlign w:val="bottom"/>
          </w:tcPr>
          <w:p>
            <w:pPr>
              <w:jc w:val="center"/>
              <w:ind w:right="7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140" w:hanging="79"/>
        <w:spacing w:after="0"/>
        <w:tabs>
          <w:tab w:leader="none" w:pos="1140" w:val="left"/>
        </w:tabs>
        <w:numPr>
          <w:ilvl w:val="0"/>
          <w:numId w:val="75"/>
        </w:numPr>
        <w:rPr>
          <w:rFonts w:ascii="Arial" w:cs="Arial" w:eastAsia="Arial" w:hAnsi="Arial"/>
          <w:sz w:val="18"/>
          <w:szCs w:val="18"/>
          <w:color w:val="auto"/>
          <w:vertAlign w:val="superscript"/>
        </w:rPr>
      </w:pPr>
      <w:r>
        <w:rPr>
          <w:rFonts w:ascii="Arial" w:cs="Arial" w:eastAsia="Arial" w:hAnsi="Arial"/>
          <w:sz w:val="13"/>
          <w:szCs w:val="13"/>
          <w:color w:val="auto"/>
        </w:rPr>
        <w:t>Mr. Van Naarden was an employee of Loxo Oncology, Inc. and did not receive a performance award grant in 2020.</w:t>
      </w:r>
    </w:p>
    <w:p>
      <w:pPr>
        <w:ind w:left="1060"/>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Mr. Rau joined Lilly in May 2021, so he did not receive a performance award grant in 2020.</w:t>
      </w:r>
    </w:p>
    <w:p>
      <w:pPr>
        <w:ind w:left="1060" w:right="14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Pursuant to the terms of his separation agreement with the company, Mr. Smiley forfeited his entire 2020-2022 performance award. See "Agreement with Former Chief Financial Officer"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2019-2021 Shareholder Value Award</w:t>
      </w:r>
    </w:p>
    <w:p>
      <w:pPr>
        <w:spacing w:after="0" w:line="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target stock price range of $132.73 to $147.37 (18.1 percent to 31.1 percent total stock price growth) for the 2019-2021 shareholder value award was set in 2019 based on a beginning stock price of $112.38, which was the average closing price for Lilly stock for all trading days in November and December 2018. The ending stock price of $260.57 represents stock price growth of 131.9 percent over the relevant three-year period resulting in a payout multiple of 1.50.</w:t>
      </w:r>
    </w:p>
    <w:p>
      <w:pPr>
        <w:spacing w:after="0" w:line="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relative TSR modifier applies to those individuals who were executive officers when the award was granted. The cumulative TSR median for the company’s peer group was 24.6 percent, and Lilly’s TSR over the same period was 145.7 percent. Given this positive relative performance, Lilly's relative TSR was 121.1 percentage points above the peer group median resulting in a maximum award payout of 180 percent of target (SVA payout multiple of 150 percent multiplied by the 1.2 modifier = 180 percent final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5674995" cy="3077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499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paid to each of our named executive officers for the 2019-2021 performance period were as follows:</w:t>
      </w:r>
    </w:p>
    <w:p>
      <w:pPr>
        <w:spacing w:after="0" w:line="138" w:lineRule="exact"/>
        <w:rPr>
          <w:sz w:val="20"/>
          <w:szCs w:val="20"/>
          <w:color w:val="auto"/>
        </w:rPr>
      </w:pPr>
    </w:p>
    <w:tbl>
      <w:tblPr>
        <w:tblLayout w:type="fixed"/>
        <w:tblInd w:w="1060" w:type="dxa"/>
        <w:tblCellMar>
          <w:top w:w="0" w:type="dxa"/>
          <w:left w:w="0" w:type="dxa"/>
          <w:bottom w:w="0" w:type="dxa"/>
          <w:right w:w="0" w:type="dxa"/>
        </w:tblCellMar>
      </w:tblPr>
      <w:tr>
        <w:trPr>
          <w:trHeight w:val="312"/>
        </w:trPr>
        <w:tc>
          <w:tcPr>
            <w:tcW w:w="19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r>
              <w:rPr>
                <w:rFonts w:ascii="Arial" w:cs="Arial" w:eastAsia="Arial" w:hAnsi="Arial"/>
                <w:sz w:val="9"/>
                <w:szCs w:val="9"/>
                <w:b w:val="1"/>
                <w:bCs w:val="1"/>
                <w:color w:val="00A1DE"/>
              </w:rPr>
              <w:t>3</w:t>
            </w:r>
          </w:p>
        </w:tc>
        <w:tc>
          <w:tcPr>
            <w:tcW w:w="2160" w:type="dxa"/>
            <w:vAlign w:val="bottom"/>
            <w:vMerge w:val="restart"/>
            <w:shd w:val="clear" w:color="auto" w:fill="DBDBDB"/>
          </w:tcPr>
          <w:p>
            <w:pPr>
              <w:jc w:val="center"/>
              <w:ind w:left="332"/>
              <w:spacing w:after="0"/>
              <w:rPr>
                <w:sz w:val="20"/>
                <w:szCs w:val="20"/>
                <w:color w:val="auto"/>
              </w:rPr>
            </w:pPr>
            <w:r>
              <w:rPr>
                <w:rFonts w:ascii="Arial" w:cs="Arial" w:eastAsia="Arial" w:hAnsi="Arial"/>
                <w:sz w:val="14"/>
                <w:szCs w:val="14"/>
                <w:b w:val="1"/>
                <w:bCs w:val="1"/>
                <w:color w:val="00A1DE"/>
              </w:rPr>
              <w:t>Target Shares</w:t>
            </w:r>
          </w:p>
        </w:tc>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Shares Paid Out</w:t>
            </w:r>
          </w:p>
        </w:tc>
        <w:tc>
          <w:tcPr>
            <w:tcW w:w="0" w:type="dxa"/>
            <w:vAlign w:val="bottom"/>
          </w:tcPr>
          <w:p>
            <w:pPr>
              <w:spacing w:after="0"/>
              <w:rPr>
                <w:sz w:val="1"/>
                <w:szCs w:val="1"/>
                <w:color w:val="auto"/>
              </w:rPr>
            </w:pPr>
          </w:p>
        </w:tc>
      </w:tr>
      <w:tr>
        <w:trPr>
          <w:trHeight w:val="66"/>
        </w:trPr>
        <w:tc>
          <w:tcPr>
            <w:tcW w:w="1920" w:type="dxa"/>
            <w:vAlign w:val="bottom"/>
            <w:shd w:val="clear" w:color="auto" w:fill="DBDBDB"/>
          </w:tcPr>
          <w:p>
            <w:pPr>
              <w:spacing w:after="0"/>
              <w:rPr>
                <w:sz w:val="5"/>
                <w:szCs w:val="5"/>
                <w:color w:val="auto"/>
              </w:rPr>
            </w:pPr>
          </w:p>
        </w:tc>
        <w:tc>
          <w:tcPr>
            <w:tcW w:w="2160" w:type="dxa"/>
            <w:vAlign w:val="bottom"/>
            <w:vMerge w:val="continue"/>
            <w:shd w:val="clear" w:color="auto" w:fill="DBDBDB"/>
          </w:tcPr>
          <w:p>
            <w:pPr>
              <w:spacing w:after="0"/>
              <w:rPr>
                <w:sz w:val="5"/>
                <w:szCs w:val="5"/>
                <w:color w:val="auto"/>
              </w:rPr>
            </w:pPr>
          </w:p>
        </w:tc>
        <w:tc>
          <w:tcPr>
            <w:tcW w:w="192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60"/>
              <w:spacing w:after="0"/>
              <w:rPr>
                <w:sz w:val="20"/>
                <w:szCs w:val="20"/>
                <w:color w:val="auto"/>
              </w:rPr>
            </w:pPr>
            <w:r>
              <w:rPr>
                <w:rFonts w:ascii="Arial" w:cs="Arial" w:eastAsia="Arial" w:hAnsi="Arial"/>
                <w:sz w:val="13"/>
                <w:szCs w:val="13"/>
                <w:color w:val="auto"/>
              </w:rPr>
              <w:t>Mr. Ricks</w:t>
            </w:r>
          </w:p>
        </w:tc>
        <w:tc>
          <w:tcPr>
            <w:tcW w:w="2160" w:type="dxa"/>
            <w:vAlign w:val="bottom"/>
          </w:tcPr>
          <w:p>
            <w:pPr>
              <w:jc w:val="center"/>
              <w:ind w:left="332"/>
              <w:spacing w:after="0"/>
              <w:rPr>
                <w:sz w:val="20"/>
                <w:szCs w:val="20"/>
                <w:color w:val="auto"/>
              </w:rPr>
            </w:pPr>
            <w:r>
              <w:rPr>
                <w:rFonts w:ascii="Arial" w:cs="Arial" w:eastAsia="Arial" w:hAnsi="Arial"/>
                <w:sz w:val="13"/>
                <w:szCs w:val="13"/>
                <w:color w:val="auto"/>
              </w:rPr>
              <w:t>68,382</w:t>
            </w:r>
          </w:p>
        </w:tc>
        <w:tc>
          <w:tcPr>
            <w:tcW w:w="1920" w:type="dxa"/>
            <w:vAlign w:val="bottom"/>
          </w:tcPr>
          <w:p>
            <w:pPr>
              <w:jc w:val="center"/>
              <w:spacing w:after="0"/>
              <w:rPr>
                <w:sz w:val="20"/>
                <w:szCs w:val="20"/>
                <w:color w:val="auto"/>
              </w:rPr>
            </w:pPr>
            <w:r>
              <w:rPr>
                <w:rFonts w:ascii="Arial" w:cs="Arial" w:eastAsia="Arial" w:hAnsi="Arial"/>
                <w:sz w:val="13"/>
                <w:szCs w:val="13"/>
                <w:color w:val="auto"/>
              </w:rPr>
              <w:t>123,088</w:t>
            </w:r>
          </w:p>
        </w:tc>
        <w:tc>
          <w:tcPr>
            <w:tcW w:w="0" w:type="dxa"/>
            <w:vAlign w:val="bottom"/>
          </w:tcPr>
          <w:p>
            <w:pPr>
              <w:spacing w:after="0"/>
              <w:rPr>
                <w:sz w:val="1"/>
                <w:szCs w:val="1"/>
                <w:color w:val="auto"/>
              </w:rPr>
            </w:pPr>
          </w:p>
        </w:tc>
      </w:tr>
      <w:tr>
        <w:trPr>
          <w:trHeight w:val="270"/>
        </w:trPr>
        <w:tc>
          <w:tcPr>
            <w:tcW w:w="1920" w:type="dxa"/>
            <w:vAlign w:val="bottom"/>
          </w:tcPr>
          <w:p>
            <w:pPr>
              <w:ind w:left="60"/>
              <w:spacing w:after="0"/>
              <w:rPr>
                <w:sz w:val="20"/>
                <w:szCs w:val="20"/>
                <w:color w:val="auto"/>
              </w:rPr>
            </w:pPr>
            <w:r>
              <w:rPr>
                <w:rFonts w:ascii="Arial" w:cs="Arial" w:eastAsia="Arial" w:hAnsi="Arial"/>
                <w:sz w:val="13"/>
                <w:szCs w:val="13"/>
                <w:color w:val="auto"/>
              </w:rPr>
              <w:t>Ms. Ashkenazi</w:t>
            </w:r>
            <w:r>
              <w:rPr>
                <w:rFonts w:ascii="Arial" w:cs="Arial" w:eastAsia="Arial" w:hAnsi="Arial"/>
                <w:sz w:val="17"/>
                <w:szCs w:val="17"/>
                <w:color w:val="auto"/>
                <w:vertAlign w:val="superscript"/>
              </w:rPr>
              <w:t>1</w:t>
            </w:r>
          </w:p>
        </w:tc>
        <w:tc>
          <w:tcPr>
            <w:tcW w:w="2160" w:type="dxa"/>
            <w:vAlign w:val="bottom"/>
          </w:tcPr>
          <w:p>
            <w:pPr>
              <w:jc w:val="center"/>
              <w:ind w:left="332"/>
              <w:spacing w:after="0"/>
              <w:rPr>
                <w:sz w:val="20"/>
                <w:szCs w:val="20"/>
                <w:color w:val="auto"/>
              </w:rPr>
            </w:pPr>
            <w:r>
              <w:rPr>
                <w:rFonts w:ascii="Arial" w:cs="Arial" w:eastAsia="Arial" w:hAnsi="Arial"/>
                <w:sz w:val="13"/>
                <w:szCs w:val="13"/>
                <w:color w:val="auto"/>
                <w:w w:val="98"/>
              </w:rPr>
              <w:t>3,633</w:t>
            </w:r>
          </w:p>
        </w:tc>
        <w:tc>
          <w:tcPr>
            <w:tcW w:w="1920" w:type="dxa"/>
            <w:vAlign w:val="bottom"/>
          </w:tcPr>
          <w:p>
            <w:pPr>
              <w:jc w:val="center"/>
              <w:spacing w:after="0"/>
              <w:rPr>
                <w:sz w:val="20"/>
                <w:szCs w:val="20"/>
                <w:color w:val="auto"/>
              </w:rPr>
            </w:pPr>
            <w:r>
              <w:rPr>
                <w:rFonts w:ascii="Arial" w:cs="Arial" w:eastAsia="Arial" w:hAnsi="Arial"/>
                <w:sz w:val="13"/>
                <w:szCs w:val="13"/>
                <w:color w:val="auto"/>
              </w:rPr>
              <w:t>5,450</w:t>
            </w:r>
          </w:p>
        </w:tc>
        <w:tc>
          <w:tcPr>
            <w:tcW w:w="0" w:type="dxa"/>
            <w:vAlign w:val="bottom"/>
          </w:tcPr>
          <w:p>
            <w:pPr>
              <w:spacing w:after="0"/>
              <w:rPr>
                <w:sz w:val="1"/>
                <w:szCs w:val="1"/>
                <w:color w:val="auto"/>
              </w:rPr>
            </w:pPr>
          </w:p>
        </w:tc>
      </w:tr>
      <w:tr>
        <w:trPr>
          <w:trHeight w:val="162"/>
        </w:trPr>
        <w:tc>
          <w:tcPr>
            <w:tcW w:w="1920" w:type="dxa"/>
            <w:vAlign w:val="bottom"/>
          </w:tcPr>
          <w:p>
            <w:pPr>
              <w:ind w:left="60"/>
              <w:spacing w:after="0"/>
              <w:rPr>
                <w:sz w:val="20"/>
                <w:szCs w:val="20"/>
                <w:color w:val="auto"/>
              </w:rPr>
            </w:pPr>
            <w:r>
              <w:rPr>
                <w:rFonts w:ascii="Arial" w:cs="Arial" w:eastAsia="Arial" w:hAnsi="Arial"/>
                <w:sz w:val="13"/>
                <w:szCs w:val="13"/>
                <w:color w:val="auto"/>
              </w:rPr>
              <w:t>Dr. Skovronsky</w:t>
            </w:r>
          </w:p>
        </w:tc>
        <w:tc>
          <w:tcPr>
            <w:tcW w:w="2160" w:type="dxa"/>
            <w:vAlign w:val="bottom"/>
          </w:tcPr>
          <w:p>
            <w:pPr>
              <w:jc w:val="center"/>
              <w:ind w:left="332"/>
              <w:spacing w:after="0"/>
              <w:rPr>
                <w:sz w:val="20"/>
                <w:szCs w:val="20"/>
                <w:color w:val="auto"/>
              </w:rPr>
            </w:pPr>
            <w:r>
              <w:rPr>
                <w:rFonts w:ascii="Arial" w:cs="Arial" w:eastAsia="Arial" w:hAnsi="Arial"/>
                <w:sz w:val="13"/>
                <w:szCs w:val="13"/>
                <w:color w:val="auto"/>
              </w:rPr>
              <w:t>22,794</w:t>
            </w:r>
          </w:p>
        </w:tc>
        <w:tc>
          <w:tcPr>
            <w:tcW w:w="1920" w:type="dxa"/>
            <w:vAlign w:val="bottom"/>
          </w:tcPr>
          <w:p>
            <w:pPr>
              <w:jc w:val="center"/>
              <w:spacing w:after="0"/>
              <w:rPr>
                <w:sz w:val="20"/>
                <w:szCs w:val="20"/>
                <w:color w:val="auto"/>
              </w:rPr>
            </w:pPr>
            <w:r>
              <w:rPr>
                <w:rFonts w:ascii="Arial" w:cs="Arial" w:eastAsia="Arial" w:hAnsi="Arial"/>
                <w:sz w:val="13"/>
                <w:szCs w:val="13"/>
                <w:color w:val="auto"/>
              </w:rPr>
              <w:t>41,029</w:t>
            </w:r>
          </w:p>
        </w:tc>
        <w:tc>
          <w:tcPr>
            <w:tcW w:w="0" w:type="dxa"/>
            <w:vAlign w:val="bottom"/>
          </w:tcPr>
          <w:p>
            <w:pPr>
              <w:spacing w:after="0"/>
              <w:rPr>
                <w:sz w:val="1"/>
                <w:szCs w:val="1"/>
                <w:color w:val="auto"/>
              </w:rPr>
            </w:pPr>
          </w:p>
        </w:tc>
      </w:tr>
      <w:tr>
        <w:trPr>
          <w:trHeight w:val="270"/>
        </w:trPr>
        <w:tc>
          <w:tcPr>
            <w:tcW w:w="1920" w:type="dxa"/>
            <w:vAlign w:val="bottom"/>
          </w:tcPr>
          <w:p>
            <w:pPr>
              <w:ind w:left="60"/>
              <w:spacing w:after="0"/>
              <w:rPr>
                <w:sz w:val="20"/>
                <w:szCs w:val="20"/>
                <w:color w:val="auto"/>
              </w:rPr>
            </w:pPr>
            <w:r>
              <w:rPr>
                <w:rFonts w:ascii="Arial" w:cs="Arial" w:eastAsia="Arial" w:hAnsi="Arial"/>
                <w:sz w:val="13"/>
                <w:szCs w:val="13"/>
                <w:color w:val="auto"/>
              </w:rPr>
              <w:t>Mr. Van Naarden</w:t>
            </w:r>
            <w:r>
              <w:rPr>
                <w:rFonts w:ascii="Arial" w:cs="Arial" w:eastAsia="Arial" w:hAnsi="Arial"/>
                <w:sz w:val="17"/>
                <w:szCs w:val="17"/>
                <w:color w:val="auto"/>
                <w:vertAlign w:val="superscript"/>
              </w:rPr>
              <w:t>2</w:t>
            </w:r>
          </w:p>
        </w:tc>
        <w:tc>
          <w:tcPr>
            <w:tcW w:w="2160" w:type="dxa"/>
            <w:vAlign w:val="bottom"/>
          </w:tcPr>
          <w:p>
            <w:pPr>
              <w:jc w:val="center"/>
              <w:ind w:left="332"/>
              <w:spacing w:after="0"/>
              <w:rPr>
                <w:sz w:val="20"/>
                <w:szCs w:val="20"/>
                <w:color w:val="auto"/>
              </w:rPr>
            </w:pPr>
            <w:r>
              <w:rPr>
                <w:rFonts w:ascii="Arial" w:cs="Arial" w:eastAsia="Arial" w:hAnsi="Arial"/>
                <w:sz w:val="13"/>
                <w:szCs w:val="13"/>
                <w:color w:val="auto"/>
              </w:rPr>
              <w:t>N/A</w:t>
            </w:r>
          </w:p>
        </w:tc>
        <w:tc>
          <w:tcPr>
            <w:tcW w:w="192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3"/>
                <w:szCs w:val="13"/>
                <w:color w:val="auto"/>
              </w:rPr>
              <w:t>Mr. Rau</w:t>
            </w:r>
            <w:r>
              <w:rPr>
                <w:rFonts w:ascii="Arial" w:cs="Arial" w:eastAsia="Arial" w:hAnsi="Arial"/>
                <w:sz w:val="17"/>
                <w:szCs w:val="17"/>
                <w:color w:val="auto"/>
                <w:vertAlign w:val="superscript"/>
              </w:rPr>
              <w:t>2</w:t>
            </w:r>
          </w:p>
        </w:tc>
        <w:tc>
          <w:tcPr>
            <w:tcW w:w="2160" w:type="dxa"/>
            <w:vAlign w:val="bottom"/>
          </w:tcPr>
          <w:p>
            <w:pPr>
              <w:jc w:val="center"/>
              <w:ind w:left="332"/>
              <w:spacing w:after="0"/>
              <w:rPr>
                <w:sz w:val="20"/>
                <w:szCs w:val="20"/>
                <w:color w:val="auto"/>
              </w:rPr>
            </w:pPr>
            <w:r>
              <w:rPr>
                <w:rFonts w:ascii="Arial" w:cs="Arial" w:eastAsia="Arial" w:hAnsi="Arial"/>
                <w:sz w:val="13"/>
                <w:szCs w:val="13"/>
                <w:color w:val="auto"/>
              </w:rPr>
              <w:t>N/A</w:t>
            </w:r>
          </w:p>
        </w:tc>
        <w:tc>
          <w:tcPr>
            <w:tcW w:w="192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060" w:hanging="80"/>
        <w:spacing w:after="0"/>
        <w:tabs>
          <w:tab w:leader="none" w:pos="1060" w:val="left"/>
        </w:tabs>
        <w:numPr>
          <w:ilvl w:val="0"/>
          <w:numId w:val="76"/>
        </w:numPr>
        <w:rPr>
          <w:rFonts w:ascii="Arial" w:cs="Arial" w:eastAsia="Arial" w:hAnsi="Arial"/>
          <w:sz w:val="18"/>
          <w:szCs w:val="18"/>
          <w:color w:val="auto"/>
          <w:vertAlign w:val="superscript"/>
        </w:rPr>
      </w:pPr>
      <w:r>
        <w:rPr>
          <w:rFonts w:ascii="Arial" w:cs="Arial" w:eastAsia="Arial" w:hAnsi="Arial"/>
          <w:sz w:val="13"/>
          <w:szCs w:val="13"/>
          <w:color w:val="auto"/>
        </w:rPr>
        <w:t>The TSR modifier did not apply to Ms. Ashkenazi’s 2019-2021 shareholder value award payouts since she was not an executive</w:t>
      </w:r>
    </w:p>
    <w:p>
      <w:pPr>
        <w:sectPr>
          <w:pgSz w:w="11900" w:h="16838" w:orient="portrait"/>
          <w:cols w:equalWidth="0" w:num="1">
            <w:col w:w="11220"/>
          </w:cols>
          <w:pgMar w:left="320" w:top="843"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843" w:right="359" w:bottom="1440" w:gutter="0" w:footer="0" w:header="0"/>
          <w:type w:val="continuous"/>
        </w:sectPr>
      </w:pPr>
    </w:p>
    <w:bookmarkStart w:id="56" w:name="page57"/>
    <w:bookmarkEnd w:id="56"/>
    <w:p>
      <w:pPr>
        <w:ind w:left="980"/>
        <w:spacing w:after="0"/>
        <w:rPr>
          <w:sz w:val="20"/>
          <w:szCs w:val="20"/>
          <w:color w:val="auto"/>
        </w:rPr>
      </w:pPr>
      <w:r>
        <w:rPr>
          <w:rFonts w:ascii="Arial" w:cs="Arial" w:eastAsia="Arial" w:hAnsi="Arial"/>
          <w:sz w:val="13"/>
          <w:szCs w:val="13"/>
          <w:color w:val="auto"/>
        </w:rPr>
        <w:t>officer at the time of grant.</w:t>
      </w:r>
    </w:p>
    <w:p>
      <w:pPr>
        <w:spacing w:after="0" w:line="13" w:lineRule="exact"/>
        <w:rPr>
          <w:sz w:val="20"/>
          <w:szCs w:val="20"/>
          <w:color w:val="auto"/>
        </w:rPr>
      </w:pPr>
    </w:p>
    <w:p>
      <w:pPr>
        <w:ind w:left="980"/>
        <w:spacing w:after="0" w:line="218" w:lineRule="auto"/>
        <w:tabs>
          <w:tab w:leader="none" w:pos="1053" w:val="left"/>
        </w:tabs>
        <w:numPr>
          <w:ilvl w:val="0"/>
          <w:numId w:val="77"/>
        </w:numPr>
        <w:rPr>
          <w:rFonts w:ascii="Arial" w:cs="Arial" w:eastAsia="Arial" w:hAnsi="Arial"/>
          <w:sz w:val="18"/>
          <w:szCs w:val="18"/>
          <w:color w:val="auto"/>
          <w:vertAlign w:val="superscript"/>
        </w:rPr>
      </w:pPr>
      <w:r>
        <w:rPr>
          <w:rFonts w:ascii="Arial" w:cs="Arial" w:eastAsia="Arial" w:hAnsi="Arial"/>
          <w:sz w:val="13"/>
          <w:szCs w:val="13"/>
          <w:color w:val="auto"/>
        </w:rPr>
        <w:t>Mr. Van Naarden was an employee of Loxo Oncology, Inc. in 2019 and so he did not receive a shareholder value award grant in 2019. Mr. Rau joined Lilly in May 2021, so he did not receive a shareholder value award grant in 2019.</w:t>
      </w:r>
    </w:p>
    <w:p>
      <w:pPr>
        <w:ind w:left="980" w:right="22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Pursuant to the terms of his separation agreement with the company, Mr. Smiley forfeited his entire 2019-2021 shareholder value award. See "Agreement with Former Chief Financial Officer"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Other Compensation Practices and Information</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Benefits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offers core employee benefits coverage to:</w:t>
      </w:r>
    </w:p>
    <w:p>
      <w:pPr>
        <w:spacing w:after="0" w:line="113" w:lineRule="exact"/>
        <w:rPr>
          <w:sz w:val="20"/>
          <w:szCs w:val="20"/>
          <w:color w:val="auto"/>
        </w:rPr>
      </w:pPr>
    </w:p>
    <w:p>
      <w:pPr>
        <w:ind w:left="540" w:hanging="289"/>
        <w:spacing w:after="0"/>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provide our workforce with a reasonable level of financial support in the event of illness or injury</w:t>
      </w:r>
    </w:p>
    <w:p>
      <w:pPr>
        <w:spacing w:after="0" w:line="113" w:lineRule="exact"/>
        <w:rPr>
          <w:rFonts w:ascii="Arial" w:cs="Arial" w:eastAsia="Arial" w:hAnsi="Arial"/>
          <w:sz w:val="16"/>
          <w:szCs w:val="16"/>
          <w:color w:val="auto"/>
        </w:rPr>
      </w:pPr>
    </w:p>
    <w:p>
      <w:pPr>
        <w:ind w:left="540" w:hanging="289"/>
        <w:spacing w:after="0"/>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provide post-retirement income</w:t>
      </w:r>
    </w:p>
    <w:p>
      <w:pPr>
        <w:spacing w:after="0" w:line="113" w:lineRule="exact"/>
        <w:rPr>
          <w:rFonts w:ascii="Arial" w:cs="Arial" w:eastAsia="Arial" w:hAnsi="Arial"/>
          <w:sz w:val="16"/>
          <w:szCs w:val="16"/>
          <w:color w:val="auto"/>
        </w:rPr>
      </w:pPr>
    </w:p>
    <w:p>
      <w:pPr>
        <w:ind w:left="540" w:hanging="289"/>
        <w:spacing w:after="0"/>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enhance productivity and job satisfaction through benefit programs that focus on overall well-being.</w:t>
      </w:r>
    </w:p>
    <w:p>
      <w:pPr>
        <w:spacing w:after="0" w:line="11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benefit programs available to executive officers are offered to all eligible U.S. employees and include benefits such as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calculated retirement benefit exceeds Internal Revenue Service (IRS) limits for amounts that can be paid through a qualified plan, the company also offers a nonqualified pension plan and a nonqualified savings plan. These plans provide only the difference between the calculated benefits and the applicable IRS limits, and the formula is the same for all participating employees. The cost of employee benefits is partially borne by the employee, including each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provides limited perquisites to executive officers. In response to the COVID-19 pandemic, the company considered various actions to promote the health and safety of its employees, including its named executive officers, recognizing that the company’s important objectives during this critical time would be significantly disadvantaged without the full services of its employees. As part of this process, the company has encouraged Mr. Ricks’ personal use of the corporate aircraft (up to a maximum incremental cost of $60,000) as a means to (i) increase his time available for company business; and (ii) protect his health and safety. The incremental cost of personal use of the corporate aircraft is included as a perquisite in the Summary Compensation Table under the heading "All Other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Lilly Deferred Compensation Plan</w:t>
      </w:r>
    </w:p>
    <w:p>
      <w:pPr>
        <w:spacing w:after="0" w:line="83"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Members of senior management may defer receipt of part or all of their cash compensation under The Lilly Deferred Compensation Plan (Deferred Compensation Plan), which allows executives to save for retirement in a tax-effective way at minimal cost to the company. Under this unfunded plan, amounts deferred by the executive are credited at an interest rate of 120 percent of the applicable federal long-term rate, as described in more detail following the "Nonqualified Deferred Compensation in 2021"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w:t>
      </w:r>
    </w:p>
    <w:p>
      <w:pPr>
        <w:spacing w:after="0" w:line="83"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Except in the case of certain terminations following a change in control of the company, the company is generally not obligated to pay severance to executive officers upon termination of their employment; any such payments are at the discretion of the Compensation Committee.</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of Our Change-in-Control Severance Plans</w:t>
      </w:r>
    </w:p>
    <w:p>
      <w:pPr>
        <w:spacing w:after="0" w:line="83" w:lineRule="exact"/>
        <w:rPr>
          <w:sz w:val="20"/>
          <w:szCs w:val="20"/>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regular employees are covered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double trigger required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tax gross-ups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 to two-year pay protection</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18-month benefit continuation</w:t>
      </w:r>
    </w:p>
    <w:p>
      <w:pPr>
        <w:spacing w:after="0" w:line="113"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Although benefit levels may differ depending on the employee’s job level and seniority, the basic elements of the plans are comparable for all eligible employees:</w:t>
      </w:r>
    </w:p>
    <w:p>
      <w:pPr>
        <w:spacing w:after="0" w:line="86" w:lineRule="exact"/>
        <w:rPr>
          <w:sz w:val="20"/>
          <w:szCs w:val="20"/>
          <w:color w:val="auto"/>
        </w:rPr>
      </w:pPr>
    </w:p>
    <w:p>
      <w:pPr>
        <w:ind w:left="340" w:right="120" w:hanging="170"/>
        <w:spacing w:after="0" w:line="262" w:lineRule="auto"/>
        <w:tabs>
          <w:tab w:leader="none" w:pos="309" w:val="left"/>
        </w:tabs>
        <w:numPr>
          <w:ilvl w:val="0"/>
          <w:numId w:val="80"/>
        </w:numPr>
        <w:rPr>
          <w:rFonts w:ascii="Arial" w:cs="Arial" w:eastAsia="Arial" w:hAnsi="Arial"/>
          <w:sz w:val="14"/>
          <w:szCs w:val="14"/>
          <w:b w:val="1"/>
          <w:bCs w:val="1"/>
          <w:color w:val="1CA8E1"/>
        </w:rPr>
      </w:pPr>
      <w:r>
        <w:rPr>
          <w:rFonts w:ascii="Arial" w:cs="Arial" w:eastAsia="Arial" w:hAnsi="Arial"/>
          <w:sz w:val="14"/>
          <w:szCs w:val="14"/>
          <w:b w:val="1"/>
          <w:bCs w:val="1"/>
          <w:color w:val="1CA8E1"/>
        </w:rPr>
        <w:t xml:space="preserve">Double trigger: </w:t>
      </w:r>
      <w:r>
        <w:rPr>
          <w:rFonts w:ascii="Arial" w:cs="Arial" w:eastAsia="Arial" w:hAnsi="Arial"/>
          <w:sz w:val="16"/>
          <w:szCs w:val="16"/>
          <w:color w:val="000000"/>
        </w:rPr>
        <w:t>Unlike "single trigger" plans that pay out immediately upon a change in control, our plans require a "double trigger"—a change in control</w:t>
      </w:r>
      <w:r>
        <w:rPr>
          <w:rFonts w:ascii="Arial" w:cs="Arial" w:eastAsia="Arial" w:hAnsi="Arial"/>
          <w:sz w:val="14"/>
          <w:szCs w:val="14"/>
          <w:b w:val="1"/>
          <w:bCs w:val="1"/>
          <w:color w:val="1CA8E1"/>
        </w:rPr>
        <w:t xml:space="preserve"> </w:t>
      </w:r>
      <w:r>
        <w:rPr>
          <w:rFonts w:ascii="Arial" w:cs="Arial" w:eastAsia="Arial" w:hAnsi="Arial"/>
          <w:sz w:val="16"/>
          <w:szCs w:val="16"/>
          <w:color w:val="000000"/>
        </w:rPr>
        <w:t>followed by an involuntary loss of employment within two years. This is consistent</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00"/>
          </w:cols>
          <w:pgMar w:left="320" w:top="841" w:right="379" w:bottom="1440" w:gutter="0" w:footer="0" w:header="0"/>
        </w:sectPr>
      </w:pPr>
    </w:p>
    <w:bookmarkStart w:id="57" w:name="page58"/>
    <w:bookmarkEnd w:id="57"/>
    <w:p>
      <w:pPr>
        <w:ind w:left="340"/>
        <w:spacing w:after="0" w:line="250" w:lineRule="auto"/>
        <w:rPr>
          <w:sz w:val="20"/>
          <w:szCs w:val="20"/>
          <w:color w:val="auto"/>
        </w:rPr>
      </w:pPr>
      <w:r>
        <w:rPr>
          <w:rFonts w:ascii="Arial" w:cs="Arial" w:eastAsia="Arial" w:hAnsi="Arial"/>
          <w:sz w:val="16"/>
          <w:szCs w:val="16"/>
          <w:color w:val="auto"/>
        </w:rPr>
        <w:t>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93" w:lineRule="exact"/>
        <w:rPr>
          <w:sz w:val="20"/>
          <w:szCs w:val="20"/>
          <w:color w:val="auto"/>
        </w:rPr>
      </w:pPr>
    </w:p>
    <w:p>
      <w:pPr>
        <w:ind w:left="340" w:right="20" w:hanging="170"/>
        <w:spacing w:after="0" w:line="254" w:lineRule="auto"/>
        <w:tabs>
          <w:tab w:leader="none" w:pos="309" w:val="left"/>
        </w:tabs>
        <w:numPr>
          <w:ilvl w:val="0"/>
          <w:numId w:val="81"/>
        </w:numPr>
        <w:rPr>
          <w:rFonts w:ascii="Arial" w:cs="Arial" w:eastAsia="Arial" w:hAnsi="Arial"/>
          <w:sz w:val="14"/>
          <w:szCs w:val="14"/>
          <w:b w:val="1"/>
          <w:bCs w:val="1"/>
          <w:color w:val="1CA8E1"/>
        </w:rPr>
      </w:pPr>
      <w:r>
        <w:rPr>
          <w:rFonts w:ascii="Arial" w:cs="Arial" w:eastAsia="Arial" w:hAnsi="Arial"/>
          <w:sz w:val="14"/>
          <w:szCs w:val="14"/>
          <w:b w:val="1"/>
          <w:bCs w:val="1"/>
          <w:color w:val="1CA8E1"/>
        </w:rPr>
        <w:t xml:space="preserve">Covered terminations: </w:t>
      </w:r>
      <w:r>
        <w:rPr>
          <w:rFonts w:ascii="Arial" w:cs="Arial" w:eastAsia="Arial" w:hAnsi="Arial"/>
          <w:sz w:val="16"/>
          <w:szCs w:val="16"/>
          <w:color w:val="000000"/>
        </w:rPr>
        <w:t>Employees are eligible for payments if, within two years of the change in control, their employment is terminated (i) without cause</w:t>
      </w:r>
      <w:r>
        <w:rPr>
          <w:rFonts w:ascii="Arial" w:cs="Arial" w:eastAsia="Arial" w:hAnsi="Arial"/>
          <w:sz w:val="14"/>
          <w:szCs w:val="14"/>
          <w:b w:val="1"/>
          <w:bCs w:val="1"/>
          <w:color w:val="1CA8E1"/>
        </w:rPr>
        <w:t xml:space="preserve"> </w:t>
      </w:r>
      <w:r>
        <w:rPr>
          <w:rFonts w:ascii="Arial" w:cs="Arial" w:eastAsia="Arial" w:hAnsi="Arial"/>
          <w:sz w:val="16"/>
          <w:szCs w:val="16"/>
          <w:color w:val="000000"/>
        </w:rPr>
        <w:t>by the company or (ii) for good reason by the employee, each as defined in the plans. See "Compensation—Executive Compensation—Payments upon Termination or Change in Control" for a more detailed discussion, including a discussion of what constitutes a change in control.</w:t>
      </w:r>
    </w:p>
    <w:p>
      <w:pPr>
        <w:spacing w:after="0" w:line="90" w:lineRule="exact"/>
        <w:rPr>
          <w:rFonts w:ascii="Arial" w:cs="Arial" w:eastAsia="Arial" w:hAnsi="Arial"/>
          <w:sz w:val="14"/>
          <w:szCs w:val="14"/>
          <w:b w:val="1"/>
          <w:bCs w:val="1"/>
          <w:color w:val="1CA8E1"/>
        </w:rPr>
      </w:pPr>
    </w:p>
    <w:p>
      <w:pPr>
        <w:ind w:left="340" w:right="360" w:hanging="170"/>
        <w:spacing w:after="0" w:line="262" w:lineRule="auto"/>
        <w:tabs>
          <w:tab w:leader="none" w:pos="309" w:val="left"/>
        </w:tabs>
        <w:numPr>
          <w:ilvl w:val="0"/>
          <w:numId w:val="81"/>
        </w:numPr>
        <w:rPr>
          <w:rFonts w:ascii="Arial" w:cs="Arial" w:eastAsia="Arial" w:hAnsi="Arial"/>
          <w:sz w:val="14"/>
          <w:szCs w:val="14"/>
          <w:b w:val="1"/>
          <w:bCs w:val="1"/>
          <w:color w:val="1CA8E1"/>
        </w:rPr>
      </w:pPr>
      <w:r>
        <w:rPr>
          <w:rFonts w:ascii="Arial" w:cs="Arial" w:eastAsia="Arial" w:hAnsi="Arial"/>
          <w:sz w:val="14"/>
          <w:szCs w:val="14"/>
          <w:b w:val="1"/>
          <w:bCs w:val="1"/>
          <w:color w:val="1CA8E1"/>
        </w:rPr>
        <w:t xml:space="preserve">Employees who suffer a covered termination receive up to two years of pay and 18 months of benefits protection: </w:t>
      </w:r>
      <w:r>
        <w:rPr>
          <w:rFonts w:ascii="Arial" w:cs="Arial" w:eastAsia="Arial" w:hAnsi="Arial"/>
          <w:sz w:val="16"/>
          <w:szCs w:val="16"/>
          <w:color w:val="000000"/>
        </w:rPr>
        <w:t>These provisions ensure employees a</w:t>
      </w:r>
      <w:r>
        <w:rPr>
          <w:rFonts w:ascii="Arial" w:cs="Arial" w:eastAsia="Arial" w:hAnsi="Arial"/>
          <w:sz w:val="14"/>
          <w:szCs w:val="14"/>
          <w:b w:val="1"/>
          <w:bCs w:val="1"/>
          <w:color w:val="1CA8E1"/>
        </w:rPr>
        <w:t xml:space="preserve"> </w:t>
      </w:r>
      <w:r>
        <w:rPr>
          <w:rFonts w:ascii="Arial" w:cs="Arial" w:eastAsia="Arial" w:hAnsi="Arial"/>
          <w:sz w:val="16"/>
          <w:szCs w:val="16"/>
          <w:color w:val="000000"/>
        </w:rPr>
        <w:t>reasonable period of protection of their income and core employee benefits.</w:t>
      </w:r>
    </w:p>
    <w:p>
      <w:pPr>
        <w:spacing w:after="0" w:line="31" w:lineRule="exact"/>
        <w:rPr>
          <w:rFonts w:ascii="Arial" w:cs="Arial" w:eastAsia="Arial" w:hAnsi="Arial"/>
          <w:sz w:val="14"/>
          <w:szCs w:val="14"/>
          <w:b w:val="1"/>
          <w:bCs w:val="1"/>
          <w:color w:val="1CA8E1"/>
        </w:rPr>
      </w:pPr>
    </w:p>
    <w:p>
      <w:pPr>
        <w:ind w:left="980" w:right="280" w:hanging="162"/>
        <w:spacing w:after="0" w:line="260" w:lineRule="auto"/>
        <w:tabs>
          <w:tab w:leader="none" w:pos="942" w:val="left"/>
        </w:tabs>
        <w:numPr>
          <w:ilvl w:val="1"/>
          <w:numId w:val="81"/>
        </w:numPr>
        <w:rPr>
          <w:rFonts w:ascii="Arial" w:cs="Arial" w:eastAsia="Arial" w:hAnsi="Arial"/>
          <w:sz w:val="16"/>
          <w:szCs w:val="16"/>
          <w:color w:val="auto"/>
        </w:rPr>
      </w:pPr>
      <w:r>
        <w:rPr>
          <w:rFonts w:ascii="Arial" w:cs="Arial" w:eastAsia="Arial" w:hAnsi="Arial"/>
          <w:sz w:val="16"/>
          <w:szCs w:val="16"/>
          <w:color w:val="auto"/>
        </w:rPr>
        <w:t>Severance payment. Eligible terminated employees would receive a severance payment ranging from six months' to two years’ base salary. Executives are all eligible for two years’ base salary plus two times the then-current year’s target bonus.</w:t>
      </w:r>
    </w:p>
    <w:p>
      <w:pPr>
        <w:spacing w:after="0" w:line="87" w:lineRule="exact"/>
        <w:rPr>
          <w:rFonts w:ascii="Arial" w:cs="Arial" w:eastAsia="Arial" w:hAnsi="Arial"/>
          <w:sz w:val="16"/>
          <w:szCs w:val="16"/>
          <w:color w:val="auto"/>
        </w:rPr>
      </w:pPr>
    </w:p>
    <w:p>
      <w:pPr>
        <w:ind w:left="980" w:right="20" w:hanging="162"/>
        <w:spacing w:after="0" w:line="253" w:lineRule="auto"/>
        <w:tabs>
          <w:tab w:leader="none" w:pos="942" w:val="left"/>
        </w:tabs>
        <w:numPr>
          <w:ilvl w:val="1"/>
          <w:numId w:val="81"/>
        </w:numPr>
        <w:rPr>
          <w:rFonts w:ascii="Arial" w:cs="Arial" w:eastAsia="Arial" w:hAnsi="Arial"/>
          <w:sz w:val="16"/>
          <w:szCs w:val="16"/>
          <w:color w:val="auto"/>
        </w:rPr>
      </w:pPr>
      <w:r>
        <w:rPr>
          <w:rFonts w:ascii="Arial" w:cs="Arial" w:eastAsia="Arial" w:hAnsi="Arial"/>
          <w:sz w:val="16"/>
          <w:szCs w:val="16"/>
          <w:color w:val="auto"/>
        </w:rPr>
        <w:t>Benefit continuation. Basic employee benefits such as health, dental, life insurance and long-term disability would continue for 18 months following termination 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91" w:lineRule="exact"/>
        <w:rPr>
          <w:rFonts w:ascii="Arial" w:cs="Arial" w:eastAsia="Arial" w:hAnsi="Arial"/>
          <w:sz w:val="16"/>
          <w:szCs w:val="16"/>
          <w:color w:val="auto"/>
        </w:rPr>
      </w:pPr>
    </w:p>
    <w:p>
      <w:pPr>
        <w:ind w:left="300" w:hanging="130"/>
        <w:spacing w:after="0"/>
        <w:tabs>
          <w:tab w:leader="none" w:pos="300" w:val="left"/>
        </w:tabs>
        <w:numPr>
          <w:ilvl w:val="0"/>
          <w:numId w:val="81"/>
        </w:numPr>
        <w:rPr>
          <w:rFonts w:ascii="Arial" w:cs="Arial" w:eastAsia="Arial" w:hAnsi="Arial"/>
          <w:sz w:val="14"/>
          <w:szCs w:val="14"/>
          <w:b w:val="1"/>
          <w:bCs w:val="1"/>
          <w:color w:val="1CA8E1"/>
        </w:rPr>
      </w:pPr>
      <w:r>
        <w:rPr>
          <w:rFonts w:ascii="Arial" w:cs="Arial" w:eastAsia="Arial" w:hAnsi="Arial"/>
          <w:sz w:val="14"/>
          <w:szCs w:val="14"/>
          <w:b w:val="1"/>
          <w:bCs w:val="1"/>
          <w:color w:val="1CA8E1"/>
        </w:rPr>
        <w:t xml:space="preserve">Accelerated vesting of equity awards: </w:t>
      </w:r>
      <w:r>
        <w:rPr>
          <w:rFonts w:ascii="Arial" w:cs="Arial" w:eastAsia="Arial" w:hAnsi="Arial"/>
          <w:sz w:val="16"/>
          <w:szCs w:val="16"/>
          <w:color w:val="000000"/>
        </w:rPr>
        <w:t>Any unvested equity awards would vest at the time of a covered termination.</w:t>
      </w:r>
    </w:p>
    <w:p>
      <w:pPr>
        <w:spacing w:after="0" w:line="113" w:lineRule="exact"/>
        <w:rPr>
          <w:rFonts w:ascii="Arial" w:cs="Arial" w:eastAsia="Arial" w:hAnsi="Arial"/>
          <w:sz w:val="14"/>
          <w:szCs w:val="14"/>
          <w:b w:val="1"/>
          <w:bCs w:val="1"/>
          <w:color w:val="1CA8E1"/>
        </w:rPr>
      </w:pPr>
    </w:p>
    <w:p>
      <w:pPr>
        <w:ind w:left="340" w:right="120" w:hanging="170"/>
        <w:spacing w:after="0" w:line="251" w:lineRule="auto"/>
        <w:tabs>
          <w:tab w:leader="none" w:pos="309" w:val="left"/>
        </w:tabs>
        <w:numPr>
          <w:ilvl w:val="0"/>
          <w:numId w:val="81"/>
        </w:numPr>
        <w:rPr>
          <w:rFonts w:ascii="Arial" w:cs="Arial" w:eastAsia="Arial" w:hAnsi="Arial"/>
          <w:sz w:val="14"/>
          <w:szCs w:val="14"/>
          <w:b w:val="1"/>
          <w:bCs w:val="1"/>
          <w:color w:val="1CA8E1"/>
        </w:rPr>
      </w:pPr>
      <w:r>
        <w:rPr>
          <w:rFonts w:ascii="Arial" w:cs="Arial" w:eastAsia="Arial" w:hAnsi="Arial"/>
          <w:sz w:val="14"/>
          <w:szCs w:val="14"/>
          <w:b w:val="1"/>
          <w:bCs w:val="1"/>
          <w:color w:val="1CA8E1"/>
        </w:rPr>
        <w:t xml:space="preserve">Excise tax: </w:t>
      </w:r>
      <w:r>
        <w:rPr>
          <w:rFonts w:ascii="Arial" w:cs="Arial" w:eastAsia="Arial" w:hAnsi="Arial"/>
          <w:sz w:val="16"/>
          <w:szCs w:val="16"/>
          <w:color w:val="000000"/>
        </w:rPr>
        <w:t>In some circumstances, the payments or other benefits received by the employee in connection with a change in control could exceed limits</w:t>
      </w:r>
      <w:r>
        <w:rPr>
          <w:rFonts w:ascii="Arial" w:cs="Arial" w:eastAsia="Arial" w:hAnsi="Arial"/>
          <w:sz w:val="14"/>
          <w:szCs w:val="14"/>
          <w:b w:val="1"/>
          <w:bCs w:val="1"/>
          <w:color w:val="1CA8E1"/>
        </w:rPr>
        <w:t xml:space="preserve"> </w:t>
      </w:r>
      <w:r>
        <w:rPr>
          <w:rFonts w:ascii="Arial" w:cs="Arial" w:eastAsia="Arial" w:hAnsi="Arial"/>
          <w:sz w:val="16"/>
          <w:szCs w:val="16"/>
          <w:color w:val="000000"/>
        </w:rPr>
        <w:t>established under Section 280G of the Internal Revenue Code. The employee would then be subject to an excise tax on top of normal federal income tax. The company does not reimburse employees for these taxes. However, the amount of any change-in-control-related benefit will be reduced to the 280G limit if the effect would be to deliver a greater after-tax benefit than the employee would receive with an unreduced benefit.</w:t>
      </w:r>
    </w:p>
    <w:p>
      <w:pPr>
        <w:spacing w:after="0" w:line="124"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Share Ownership and Retention Guidelines</w:t>
      </w:r>
    </w:p>
    <w:p>
      <w:pPr>
        <w:spacing w:after="0" w:line="8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 During 2021, the Compensation Committee approved an increase to share ownership requirements for the CEO and the other named executive officers as follows:</w:t>
      </w:r>
    </w:p>
    <w:p>
      <w:pPr>
        <w:spacing w:after="0" w:line="119" w:lineRule="exact"/>
        <w:rPr>
          <w:sz w:val="20"/>
          <w:szCs w:val="20"/>
          <w:color w:val="auto"/>
        </w:rPr>
      </w:pPr>
    </w:p>
    <w:tbl>
      <w:tblPr>
        <w:tblLayout w:type="fixed"/>
        <w:tblInd w:w="2160" w:type="dxa"/>
        <w:tblCellMar>
          <w:top w:w="0" w:type="dxa"/>
          <w:left w:w="0" w:type="dxa"/>
          <w:bottom w:w="0" w:type="dxa"/>
          <w:right w:w="0" w:type="dxa"/>
        </w:tblCellMar>
      </w:tblPr>
      <w:tr>
        <w:trPr>
          <w:trHeight w:val="279"/>
        </w:trPr>
        <w:tc>
          <w:tcPr>
            <w:tcW w:w="760" w:type="dxa"/>
            <w:vAlign w:val="bottom"/>
          </w:tcPr>
          <w:p>
            <w:pPr>
              <w:spacing w:after="0"/>
              <w:rPr>
                <w:sz w:val="24"/>
                <w:szCs w:val="24"/>
                <w:color w:val="auto"/>
              </w:rPr>
            </w:pPr>
          </w:p>
        </w:tc>
        <w:tc>
          <w:tcPr>
            <w:tcW w:w="18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Previous Share</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Current Share</w:t>
            </w:r>
          </w:p>
        </w:tc>
      </w:tr>
      <w:tr>
        <w:trPr>
          <w:trHeight w:val="189"/>
        </w:trPr>
        <w:tc>
          <w:tcPr>
            <w:tcW w:w="760" w:type="dxa"/>
            <w:vAlign w:val="bottom"/>
          </w:tcPr>
          <w:p>
            <w:pPr>
              <w:spacing w:after="0"/>
              <w:rPr>
                <w:sz w:val="16"/>
                <w:szCs w:val="16"/>
                <w:color w:val="auto"/>
              </w:rPr>
            </w:pPr>
          </w:p>
        </w:tc>
        <w:tc>
          <w:tcPr>
            <w:tcW w:w="18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Ownership</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Ownership</w:t>
            </w:r>
          </w:p>
        </w:tc>
      </w:tr>
      <w:tr>
        <w:trPr>
          <w:trHeight w:val="234"/>
        </w:trPr>
        <w:tc>
          <w:tcPr>
            <w:tcW w:w="760" w:type="dxa"/>
            <w:vAlign w:val="bottom"/>
          </w:tcPr>
          <w:p>
            <w:pPr>
              <w:spacing w:after="0"/>
              <w:rPr>
                <w:sz w:val="20"/>
                <w:szCs w:val="20"/>
                <w:color w:val="auto"/>
              </w:rPr>
            </w:pPr>
          </w:p>
        </w:tc>
        <w:tc>
          <w:tcPr>
            <w:tcW w:w="18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Requirement</w:t>
            </w:r>
          </w:p>
        </w:tc>
        <w:tc>
          <w:tcPr>
            <w:tcW w:w="172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00A1DE"/>
              </w:rPr>
              <w:t>Requirement</w:t>
            </w:r>
          </w:p>
        </w:tc>
      </w:tr>
      <w:tr>
        <w:trPr>
          <w:trHeight w:val="229"/>
        </w:trPr>
        <w:tc>
          <w:tcPr>
            <w:tcW w:w="760" w:type="dxa"/>
            <w:vAlign w:val="bottom"/>
          </w:tcPr>
          <w:p>
            <w:pPr>
              <w:jc w:val="right"/>
              <w:spacing w:after="0"/>
              <w:rPr>
                <w:sz w:val="20"/>
                <w:szCs w:val="20"/>
                <w:color w:val="auto"/>
              </w:rPr>
            </w:pPr>
            <w:r>
              <w:rPr>
                <w:rFonts w:ascii="Arial" w:cs="Arial" w:eastAsia="Arial" w:hAnsi="Arial"/>
                <w:sz w:val="13"/>
                <w:szCs w:val="13"/>
                <w:color w:val="auto"/>
              </w:rPr>
              <w:t>CEO</w:t>
            </w:r>
          </w:p>
        </w:tc>
        <w:tc>
          <w:tcPr>
            <w:tcW w:w="1820" w:type="dxa"/>
            <w:vAlign w:val="bottom"/>
          </w:tcPr>
          <w:p>
            <w:pPr>
              <w:jc w:val="center"/>
              <w:spacing w:after="0"/>
              <w:rPr>
                <w:sz w:val="20"/>
                <w:szCs w:val="20"/>
                <w:color w:val="auto"/>
              </w:rPr>
            </w:pPr>
            <w:r>
              <w:rPr>
                <w:rFonts w:ascii="Arial" w:cs="Arial" w:eastAsia="Arial" w:hAnsi="Arial"/>
                <w:sz w:val="13"/>
                <w:szCs w:val="13"/>
                <w:color w:val="auto"/>
              </w:rPr>
              <w:t>6X Base Salary</w:t>
            </w:r>
          </w:p>
        </w:tc>
        <w:tc>
          <w:tcPr>
            <w:tcW w:w="1720" w:type="dxa"/>
            <w:vAlign w:val="bottom"/>
          </w:tcPr>
          <w:p>
            <w:pPr>
              <w:jc w:val="center"/>
              <w:spacing w:after="0"/>
              <w:rPr>
                <w:sz w:val="20"/>
                <w:szCs w:val="20"/>
                <w:color w:val="auto"/>
              </w:rPr>
            </w:pPr>
            <w:r>
              <w:rPr>
                <w:rFonts w:ascii="Arial" w:cs="Arial" w:eastAsia="Arial" w:hAnsi="Arial"/>
                <w:sz w:val="13"/>
                <w:szCs w:val="13"/>
                <w:color w:val="auto"/>
              </w:rPr>
              <w:t>12X Base Salary</w:t>
            </w:r>
          </w:p>
        </w:tc>
      </w:tr>
      <w:tr>
        <w:trPr>
          <w:trHeight w:val="419"/>
        </w:trPr>
        <w:tc>
          <w:tcPr>
            <w:tcW w:w="760" w:type="dxa"/>
            <w:vAlign w:val="bottom"/>
          </w:tcPr>
          <w:p>
            <w:pPr>
              <w:jc w:val="right"/>
              <w:spacing w:after="0"/>
              <w:rPr>
                <w:sz w:val="20"/>
                <w:szCs w:val="20"/>
                <w:color w:val="auto"/>
              </w:rPr>
            </w:pPr>
            <w:r>
              <w:rPr>
                <w:rFonts w:ascii="Arial" w:cs="Arial" w:eastAsia="Arial" w:hAnsi="Arial"/>
                <w:sz w:val="13"/>
                <w:szCs w:val="13"/>
                <w:color w:val="auto"/>
              </w:rPr>
              <w:t>Other NEOs</w:t>
            </w:r>
          </w:p>
        </w:tc>
        <w:tc>
          <w:tcPr>
            <w:tcW w:w="1820" w:type="dxa"/>
            <w:vAlign w:val="bottom"/>
          </w:tcPr>
          <w:p>
            <w:pPr>
              <w:jc w:val="center"/>
              <w:spacing w:after="0"/>
              <w:rPr>
                <w:sz w:val="20"/>
                <w:szCs w:val="20"/>
                <w:color w:val="auto"/>
              </w:rPr>
            </w:pPr>
            <w:r>
              <w:rPr>
                <w:rFonts w:ascii="Arial" w:cs="Arial" w:eastAsia="Arial" w:hAnsi="Arial"/>
                <w:sz w:val="13"/>
                <w:szCs w:val="13"/>
                <w:color w:val="auto"/>
              </w:rPr>
              <w:t>4X Base Salary</w:t>
            </w:r>
          </w:p>
        </w:tc>
        <w:tc>
          <w:tcPr>
            <w:tcW w:w="1720" w:type="dxa"/>
            <w:vAlign w:val="bottom"/>
          </w:tcPr>
          <w:p>
            <w:pPr>
              <w:jc w:val="center"/>
              <w:spacing w:after="0"/>
              <w:rPr>
                <w:sz w:val="20"/>
                <w:szCs w:val="20"/>
                <w:color w:val="auto"/>
              </w:rPr>
            </w:pPr>
            <w:r>
              <w:rPr>
                <w:rFonts w:ascii="Arial" w:cs="Arial" w:eastAsia="Arial" w:hAnsi="Arial"/>
                <w:sz w:val="13"/>
                <w:szCs w:val="13"/>
                <w:color w:val="auto"/>
              </w:rPr>
              <w:t>6X Base Salary</w:t>
            </w:r>
          </w:p>
        </w:tc>
      </w:tr>
    </w:tbl>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Until ownership of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spacing w:after="0" w:line="9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All of the named executive officers are compliant with the share ownership guidelines. The following graphic shows each respective named executive officer's guideline and each named executive officer's holdings as of December 31, 2021, other than Mr. Smiley, who resigned effective as of February 9, 2021.</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00"/>
          </w:cols>
          <w:pgMar w:left="320" w:top="897" w:right="37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5674995" cy="3000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67499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Prohibition on Hedging and Pledging Shares</w:t>
      </w:r>
    </w:p>
    <w:p>
      <w:pPr>
        <w:spacing w:after="0" w:line="85"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Non-employee directors and employees, including executive officers, are not permitted to hedge their economic exposures to company stock through short sales or derivative transactions. Non-employee directors and employees, including executive officers, are prohibited from pledging any company stock (i.e., using company stock as collateral for a loan or trading shares on margin).</w:t>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Executive Compensation Recovery Policy</w:t>
      </w:r>
    </w:p>
    <w:p>
      <w:pPr>
        <w:spacing w:after="0" w:line="8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Pursuant to our executive compensation recovery policy (the Executive Compensation Recovery Policy), all incentive awards are subject to forfeiture upon termination of employment prior to the end of the performance or vesting period or for disciplinary reasons. In addition, the Compensation Committee adopted updates to the Executive Compensation Recovery Policy to be effective January 1, 2022 (the Executive Compensation Recovery Policy, as updated and effective January 1, 2022, the Updated Executive Compensation Recovery Policy) which provides the Compensation Committee broad discretion to claw back non-qualified retirement benefits accrued beginning January 1, 2022, from any member of senior management whose misconduct results in a material violation of law or company policy that causes significant harm to the company or who fails in his or her supervisory responsibility to prevent such misconduct by others.</w:t>
      </w:r>
    </w:p>
    <w:p>
      <w:pPr>
        <w:spacing w:after="0" w:line="10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Pursuant to the Executive Compensation Recovery Policy, the company could recover all or a portion of any incentive compensation and, effective as of January 1, 2022, pursuant to the Updated Executive Compensation Recovery Policy, the company could also recover non-qualified retirement benefits accrued beginning January 1, 2022, from an executive officer in the case of materially inaccurate financial statements or material errors in the performance calculation, whether such inaccuracies or errors result in a restatement and whether or not the executive officer has engaged in wrongful conduct.</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Executive Compensation Recovery Policy covers any incentive compensation awarded or paid to a member of senior management during the last three years and, effective as of January 1, 2022, pursuant to the Updated Executive Compensation Recovery Policy, covers non-qualified retirement benefits accrued beginning January 1, 2022. Subsequent changes in status, including retirement or termination of employment, do not affect the company’s rights to recover compensation under the policy.</w:t>
      </w:r>
    </w:p>
    <w:p>
      <w:pPr>
        <w:spacing w:after="0" w:line="94"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company will disclose decisions to take action pursuant to the Updated Executive Compensation Recovery Policy in its proxy materials when required by, and in compliance with, SEC rules and regulations and other applicable laws. In addition, when legally permissible to do so, the company will disclose a decision to take action under this policy when the facts and circumstances of the matter that triggered application of the policy have been publicly disclosed in the company’s filings with the SEC and where disclosure can be made without prejudicing the company and its shareholders.</w:t>
      </w:r>
    </w:p>
    <w:p>
      <w:pPr>
        <w:spacing w:after="0" w:line="9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principles of our robust Updated Executive Compensation Recovery Policy are also incorporated into the terms of our incentive plans and award agreements, which, in the event of misconduct meeting the standards described above, allow the Compensation Committee to reduce or cancel awards or payouts that would otherwise have been earned based on company performance. Action by the Compensation Committee to reduce or cancel awards or payouts can occur during or following the relevant performance period.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320" w:top="1440" w:right="359" w:bottom="1440" w:gutter="0" w:footer="0" w:header="0"/>
        </w:sectPr>
      </w:pPr>
    </w:p>
    <w:bookmarkStart w:id="59" w:name="page60"/>
    <w:bookmarkEnd w:id="59"/>
    <w:p>
      <w:pPr>
        <w:spacing w:after="0"/>
        <w:rPr>
          <w:sz w:val="20"/>
          <w:szCs w:val="20"/>
          <w:color w:val="auto"/>
        </w:rPr>
      </w:pPr>
      <w:r>
        <w:rPr>
          <w:rFonts w:ascii="Arial" w:cs="Arial" w:eastAsia="Arial" w:hAnsi="Arial"/>
          <w:sz w:val="27"/>
          <w:szCs w:val="27"/>
          <w:b w:val="1"/>
          <w:bCs w:val="1"/>
          <w:color w:val="EF3729"/>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shd w:val="clear" w:color="auto" w:fill="DBDBDB"/>
          </w:tcPr>
          <w:p>
            <w:pPr>
              <w:spacing w:after="0"/>
              <w:rPr>
                <w:sz w:val="24"/>
                <w:szCs w:val="24"/>
                <w:color w:val="auto"/>
              </w:rPr>
            </w:pPr>
          </w:p>
        </w:tc>
        <w:tc>
          <w:tcPr>
            <w:tcW w:w="420" w:type="dxa"/>
            <w:vAlign w:val="bottom"/>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920" w:type="dxa"/>
            <w:vAlign w:val="bottom"/>
            <w:shd w:val="clear" w:color="auto" w:fill="DBDBDB"/>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260" w:type="dxa"/>
            <w:vAlign w:val="bottom"/>
            <w:shd w:val="clear" w:color="auto" w:fill="DBDBDB"/>
          </w:tcPr>
          <w:p>
            <w:pPr>
              <w:jc w:val="center"/>
              <w:ind w:right="52"/>
              <w:spacing w:after="0"/>
              <w:rPr>
                <w:sz w:val="20"/>
                <w:szCs w:val="20"/>
                <w:color w:val="auto"/>
              </w:rPr>
            </w:pPr>
            <w:r>
              <w:rPr>
                <w:rFonts w:ascii="Arial" w:cs="Arial" w:eastAsia="Arial" w:hAnsi="Arial"/>
                <w:sz w:val="14"/>
                <w:szCs w:val="14"/>
                <w:b w:val="1"/>
                <w:bCs w:val="1"/>
                <w:color w:val="1CA8E1"/>
              </w:rPr>
              <w:t>Non-Equity</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Change in</w:t>
            </w:r>
          </w:p>
        </w:tc>
        <w:tc>
          <w:tcPr>
            <w:tcW w:w="1220" w:type="dxa"/>
            <w:vAlign w:val="bottom"/>
            <w:shd w:val="clear" w:color="auto" w:fill="DBDBDB"/>
          </w:tcPr>
          <w:p>
            <w:pPr>
              <w:spacing w:after="0"/>
              <w:rPr>
                <w:sz w:val="24"/>
                <w:szCs w:val="24"/>
                <w:color w:val="auto"/>
              </w:rPr>
            </w:pPr>
          </w:p>
        </w:tc>
        <w:tc>
          <w:tcPr>
            <w:tcW w:w="11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1CA8E1"/>
              </w:rPr>
              <w:t>Name and</w:t>
            </w:r>
          </w:p>
        </w:tc>
        <w:tc>
          <w:tcPr>
            <w:tcW w:w="42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Stock</w:t>
            </w:r>
          </w:p>
        </w:tc>
        <w:tc>
          <w:tcPr>
            <w:tcW w:w="200" w:type="dxa"/>
            <w:vAlign w:val="bottom"/>
            <w:shd w:val="clear" w:color="auto" w:fill="DBDBDB"/>
          </w:tcPr>
          <w:p>
            <w:pPr>
              <w:spacing w:after="0"/>
              <w:rPr>
                <w:sz w:val="14"/>
                <w:szCs w:val="14"/>
                <w:color w:val="auto"/>
              </w:rPr>
            </w:pPr>
          </w:p>
        </w:tc>
        <w:tc>
          <w:tcPr>
            <w:tcW w:w="1260" w:type="dxa"/>
            <w:vAlign w:val="bottom"/>
            <w:shd w:val="clear" w:color="auto" w:fill="DBDBDB"/>
          </w:tcPr>
          <w:p>
            <w:pPr>
              <w:jc w:val="center"/>
              <w:ind w:right="52"/>
              <w:spacing w:after="0"/>
              <w:rPr>
                <w:sz w:val="20"/>
                <w:szCs w:val="20"/>
                <w:color w:val="auto"/>
              </w:rPr>
            </w:pPr>
            <w:r>
              <w:rPr>
                <w:rFonts w:ascii="Arial" w:cs="Arial" w:eastAsia="Arial" w:hAnsi="Arial"/>
                <w:sz w:val="14"/>
                <w:szCs w:val="14"/>
                <w:b w:val="1"/>
                <w:bCs w:val="1"/>
                <w:color w:val="1CA8E1"/>
              </w:rPr>
              <w:t>Incentive Plan</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Pension</w:t>
            </w:r>
          </w:p>
        </w:tc>
        <w:tc>
          <w:tcPr>
            <w:tcW w:w="12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All Other</w:t>
            </w:r>
          </w:p>
        </w:tc>
        <w:tc>
          <w:tcPr>
            <w:tcW w:w="114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w w:val="95"/>
              </w:rPr>
              <w:t>Total</w:t>
            </w:r>
          </w:p>
        </w:tc>
        <w:tc>
          <w:tcPr>
            <w:tcW w:w="0" w:type="dxa"/>
            <w:vAlign w:val="bottom"/>
          </w:tcPr>
          <w:p>
            <w:pPr>
              <w:spacing w:after="0"/>
              <w:rPr>
                <w:sz w:val="1"/>
                <w:szCs w:val="1"/>
                <w:color w:val="auto"/>
              </w:rPr>
            </w:pPr>
          </w:p>
        </w:tc>
      </w:tr>
      <w:tr>
        <w:trPr>
          <w:trHeight w:val="54"/>
        </w:trPr>
        <w:tc>
          <w:tcPr>
            <w:tcW w:w="10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96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9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Awards</w:t>
            </w:r>
          </w:p>
        </w:tc>
        <w:tc>
          <w:tcPr>
            <w:tcW w:w="200" w:type="dxa"/>
            <w:vAlign w:val="bottom"/>
            <w:shd w:val="clear" w:color="auto" w:fill="DBDBDB"/>
          </w:tcPr>
          <w:p>
            <w:pPr>
              <w:spacing w:after="0"/>
              <w:rPr>
                <w:sz w:val="4"/>
                <w:szCs w:val="4"/>
                <w:color w:val="auto"/>
              </w:rPr>
            </w:pPr>
          </w:p>
        </w:tc>
        <w:tc>
          <w:tcPr>
            <w:tcW w:w="1260" w:type="dxa"/>
            <w:vAlign w:val="bottom"/>
            <w:vMerge w:val="restart"/>
            <w:shd w:val="clear" w:color="auto" w:fill="DBDBDB"/>
          </w:tcPr>
          <w:p>
            <w:pPr>
              <w:jc w:val="center"/>
              <w:ind w:right="72"/>
              <w:spacing w:after="0"/>
              <w:rPr>
                <w:sz w:val="20"/>
                <w:szCs w:val="20"/>
                <w:color w:val="auto"/>
              </w:rPr>
            </w:pPr>
            <w:r>
              <w:rPr>
                <w:rFonts w:ascii="Arial" w:cs="Arial" w:eastAsia="Arial" w:hAnsi="Arial"/>
                <w:sz w:val="14"/>
                <w:szCs w:val="14"/>
                <w:b w:val="1"/>
                <w:bCs w:val="1"/>
                <w:color w:val="1CA8E1"/>
              </w:rPr>
              <w:t>Compensation</w:t>
            </w:r>
          </w:p>
        </w:tc>
        <w:tc>
          <w:tcPr>
            <w:tcW w:w="9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Value</w:t>
            </w:r>
          </w:p>
        </w:tc>
        <w:tc>
          <w:tcPr>
            <w:tcW w:w="12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Compensation</w:t>
            </w:r>
          </w:p>
        </w:tc>
        <w:tc>
          <w:tcPr>
            <w:tcW w:w="11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1CA8E1"/>
              </w:rPr>
              <w:t>Principal</w:t>
            </w:r>
          </w:p>
        </w:tc>
        <w:tc>
          <w:tcPr>
            <w:tcW w:w="420" w:type="dxa"/>
            <w:vAlign w:val="bottom"/>
            <w:shd w:val="clear" w:color="auto" w:fill="DBDBDB"/>
          </w:tcPr>
          <w:p>
            <w:pPr>
              <w:spacing w:after="0"/>
              <w:rPr>
                <w:sz w:val="9"/>
                <w:szCs w:val="9"/>
                <w:color w:val="auto"/>
              </w:rPr>
            </w:pPr>
          </w:p>
        </w:tc>
        <w:tc>
          <w:tcPr>
            <w:tcW w:w="960" w:type="dxa"/>
            <w:vAlign w:val="bottom"/>
            <w:vMerge w:val="restart"/>
            <w:shd w:val="clear" w:color="auto" w:fill="DBDBDB"/>
          </w:tcPr>
          <w:p>
            <w:pPr>
              <w:jc w:val="right"/>
              <w:ind w:right="273"/>
              <w:spacing w:after="0"/>
              <w:rPr>
                <w:sz w:val="20"/>
                <w:szCs w:val="20"/>
                <w:color w:val="auto"/>
              </w:rPr>
            </w:pPr>
            <w:r>
              <w:rPr>
                <w:rFonts w:ascii="Arial" w:cs="Arial" w:eastAsia="Arial" w:hAnsi="Arial"/>
                <w:sz w:val="14"/>
                <w:szCs w:val="14"/>
                <w:b w:val="1"/>
                <w:bCs w:val="1"/>
                <w:color w:val="1CA8E1"/>
              </w:rPr>
              <w:t>Salary</w:t>
            </w:r>
          </w:p>
        </w:tc>
        <w:tc>
          <w:tcPr>
            <w:tcW w:w="840" w:type="dxa"/>
            <w:vAlign w:val="bottom"/>
            <w:vMerge w:val="restart"/>
            <w:shd w:val="clear" w:color="auto" w:fill="DBDBDB"/>
          </w:tcPr>
          <w:p>
            <w:pPr>
              <w:jc w:val="center"/>
              <w:ind w:right="53"/>
              <w:spacing w:after="0"/>
              <w:rPr>
                <w:sz w:val="20"/>
                <w:szCs w:val="20"/>
                <w:color w:val="auto"/>
              </w:rPr>
            </w:pPr>
            <w:r>
              <w:rPr>
                <w:rFonts w:ascii="Arial" w:cs="Arial" w:eastAsia="Arial" w:hAnsi="Arial"/>
                <w:sz w:val="14"/>
                <w:szCs w:val="14"/>
                <w:b w:val="1"/>
                <w:bCs w:val="1"/>
                <w:color w:val="1CA8E1"/>
              </w:rPr>
              <w:t>Bonus</w:t>
            </w:r>
          </w:p>
        </w:tc>
        <w:tc>
          <w:tcPr>
            <w:tcW w:w="920" w:type="dxa"/>
            <w:vAlign w:val="bottom"/>
            <w:vMerge w:val="continue"/>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260" w:type="dxa"/>
            <w:vAlign w:val="bottom"/>
            <w:vMerge w:val="continue"/>
            <w:shd w:val="clear" w:color="auto" w:fill="DBDBDB"/>
          </w:tcPr>
          <w:p>
            <w:pPr>
              <w:spacing w:after="0"/>
              <w:rPr>
                <w:sz w:val="9"/>
                <w:szCs w:val="9"/>
                <w:color w:val="auto"/>
              </w:rPr>
            </w:pPr>
          </w:p>
        </w:tc>
        <w:tc>
          <w:tcPr>
            <w:tcW w:w="920" w:type="dxa"/>
            <w:vAlign w:val="bottom"/>
            <w:vMerge w:val="continue"/>
            <w:shd w:val="clear" w:color="auto" w:fill="DBDBDB"/>
          </w:tcPr>
          <w:p>
            <w:pPr>
              <w:spacing w:after="0"/>
              <w:rPr>
                <w:sz w:val="9"/>
                <w:szCs w:val="9"/>
                <w:color w:val="auto"/>
              </w:rPr>
            </w:pPr>
          </w:p>
        </w:tc>
        <w:tc>
          <w:tcPr>
            <w:tcW w:w="1220" w:type="dxa"/>
            <w:vAlign w:val="bottom"/>
            <w:vMerge w:val="continue"/>
            <w:shd w:val="clear" w:color="auto" w:fill="DBDBDB"/>
          </w:tcPr>
          <w:p>
            <w:pPr>
              <w:spacing w:after="0"/>
              <w:rPr>
                <w:sz w:val="9"/>
                <w:szCs w:val="9"/>
                <w:color w:val="auto"/>
              </w:rPr>
            </w:pPr>
          </w:p>
        </w:tc>
        <w:tc>
          <w:tcPr>
            <w:tcW w:w="114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Compensation</w:t>
            </w:r>
          </w:p>
        </w:tc>
        <w:tc>
          <w:tcPr>
            <w:tcW w:w="0" w:type="dxa"/>
            <w:vAlign w:val="bottom"/>
          </w:tcPr>
          <w:p>
            <w:pPr>
              <w:spacing w:after="0"/>
              <w:rPr>
                <w:sz w:val="1"/>
                <w:szCs w:val="1"/>
                <w:color w:val="auto"/>
              </w:rPr>
            </w:pPr>
          </w:p>
        </w:tc>
      </w:tr>
      <w:tr>
        <w:trPr>
          <w:trHeight w:val="54"/>
        </w:trPr>
        <w:tc>
          <w:tcPr>
            <w:tcW w:w="1060" w:type="dxa"/>
            <w:vAlign w:val="bottom"/>
            <w:vMerge w:val="continue"/>
            <w:shd w:val="clear" w:color="auto" w:fill="DBDBDB"/>
          </w:tcPr>
          <w:p>
            <w:pPr>
              <w:spacing w:after="0"/>
              <w:rPr>
                <w:sz w:val="4"/>
                <w:szCs w:val="4"/>
                <w:color w:val="auto"/>
              </w:rPr>
            </w:pPr>
          </w:p>
        </w:tc>
        <w:tc>
          <w:tcPr>
            <w:tcW w:w="420" w:type="dxa"/>
            <w:vAlign w:val="bottom"/>
            <w:shd w:val="clear" w:color="auto" w:fill="DBDBDB"/>
          </w:tcPr>
          <w:p>
            <w:pPr>
              <w:spacing w:after="0"/>
              <w:rPr>
                <w:sz w:val="4"/>
                <w:szCs w:val="4"/>
                <w:color w:val="auto"/>
              </w:rPr>
            </w:pPr>
          </w:p>
        </w:tc>
        <w:tc>
          <w:tcPr>
            <w:tcW w:w="960" w:type="dxa"/>
            <w:vAlign w:val="bottom"/>
            <w:vMerge w:val="continue"/>
            <w:shd w:val="clear" w:color="auto" w:fill="DBDBDB"/>
          </w:tcPr>
          <w:p>
            <w:pPr>
              <w:spacing w:after="0"/>
              <w:rPr>
                <w:sz w:val="4"/>
                <w:szCs w:val="4"/>
                <w:color w:val="auto"/>
              </w:rPr>
            </w:pPr>
          </w:p>
        </w:tc>
        <w:tc>
          <w:tcPr>
            <w:tcW w:w="840" w:type="dxa"/>
            <w:vAlign w:val="bottom"/>
            <w:vMerge w:val="continue"/>
            <w:shd w:val="clear" w:color="auto" w:fill="DBDBDB"/>
          </w:tcPr>
          <w:p>
            <w:pPr>
              <w:spacing w:after="0"/>
              <w:rPr>
                <w:sz w:val="4"/>
                <w:szCs w:val="4"/>
                <w:color w:val="auto"/>
              </w:rPr>
            </w:pPr>
          </w:p>
        </w:tc>
        <w:tc>
          <w:tcPr>
            <w:tcW w:w="920" w:type="dxa"/>
            <w:vAlign w:val="bottom"/>
            <w:vMerge w:val="restart"/>
            <w:shd w:val="clear" w:color="auto" w:fill="DBDBDB"/>
          </w:tcPr>
          <w:p>
            <w:pPr>
              <w:jc w:val="center"/>
              <w:spacing w:after="0" w:line="202" w:lineRule="exact"/>
              <w:rPr>
                <w:sz w:val="20"/>
                <w:szCs w:val="20"/>
                <w:color w:val="auto"/>
              </w:rPr>
            </w:pPr>
            <w:r>
              <w:rPr>
                <w:rFonts w:ascii="Arial" w:cs="Arial" w:eastAsia="Arial" w:hAnsi="Arial"/>
                <w:sz w:val="14"/>
                <w:szCs w:val="14"/>
                <w:b w:val="1"/>
                <w:bCs w:val="1"/>
                <w:color w:val="1CA8E1"/>
              </w:rPr>
              <w:t xml:space="preserve">($) </w:t>
            </w:r>
            <w:r>
              <w:rPr>
                <w:rFonts w:ascii="Arial" w:cs="Arial" w:eastAsia="Arial" w:hAnsi="Arial"/>
                <w:sz w:val="18"/>
                <w:szCs w:val="18"/>
                <w:b w:val="1"/>
                <w:bCs w:val="1"/>
                <w:color w:val="1CA8E1"/>
                <w:vertAlign w:val="superscript"/>
              </w:rPr>
              <w:t>1</w:t>
            </w:r>
          </w:p>
        </w:tc>
        <w:tc>
          <w:tcPr>
            <w:tcW w:w="200" w:type="dxa"/>
            <w:vAlign w:val="bottom"/>
            <w:shd w:val="clear" w:color="auto" w:fill="DBDBDB"/>
          </w:tcPr>
          <w:p>
            <w:pPr>
              <w:spacing w:after="0"/>
              <w:rPr>
                <w:sz w:val="4"/>
                <w:szCs w:val="4"/>
                <w:color w:val="auto"/>
              </w:rPr>
            </w:pPr>
          </w:p>
        </w:tc>
        <w:tc>
          <w:tcPr>
            <w:tcW w:w="1260" w:type="dxa"/>
            <w:vAlign w:val="bottom"/>
            <w:vMerge w:val="restart"/>
            <w:shd w:val="clear" w:color="auto" w:fill="DBDBDB"/>
          </w:tcPr>
          <w:p>
            <w:pPr>
              <w:jc w:val="center"/>
              <w:ind w:right="52"/>
              <w:spacing w:after="0" w:line="202" w:lineRule="exact"/>
              <w:rPr>
                <w:sz w:val="20"/>
                <w:szCs w:val="20"/>
                <w:color w:val="auto"/>
              </w:rPr>
            </w:pPr>
            <w:r>
              <w:rPr>
                <w:rFonts w:ascii="Arial" w:cs="Arial" w:eastAsia="Arial" w:hAnsi="Arial"/>
                <w:sz w:val="14"/>
                <w:szCs w:val="14"/>
                <w:b w:val="1"/>
                <w:bCs w:val="1"/>
                <w:color w:val="1CA8E1"/>
                <w:w w:val="93"/>
              </w:rPr>
              <w:t xml:space="preserve">($) </w:t>
            </w:r>
            <w:r>
              <w:rPr>
                <w:rFonts w:ascii="Arial" w:cs="Arial" w:eastAsia="Arial" w:hAnsi="Arial"/>
                <w:sz w:val="18"/>
                <w:szCs w:val="18"/>
                <w:b w:val="1"/>
                <w:bCs w:val="1"/>
                <w:color w:val="1CA8E1"/>
                <w:w w:val="93"/>
                <w:vertAlign w:val="superscript"/>
              </w:rPr>
              <w:t>2</w:t>
            </w:r>
          </w:p>
        </w:tc>
        <w:tc>
          <w:tcPr>
            <w:tcW w:w="920" w:type="dxa"/>
            <w:vAlign w:val="bottom"/>
            <w:vMerge w:val="restart"/>
            <w:shd w:val="clear" w:color="auto" w:fill="DBDBDB"/>
          </w:tcPr>
          <w:p>
            <w:pPr>
              <w:jc w:val="center"/>
              <w:spacing w:after="0" w:line="202" w:lineRule="exact"/>
              <w:rPr>
                <w:sz w:val="20"/>
                <w:szCs w:val="20"/>
                <w:color w:val="auto"/>
              </w:rPr>
            </w:pPr>
            <w:r>
              <w:rPr>
                <w:rFonts w:ascii="Arial" w:cs="Arial" w:eastAsia="Arial" w:hAnsi="Arial"/>
                <w:sz w:val="14"/>
                <w:szCs w:val="14"/>
                <w:b w:val="1"/>
                <w:bCs w:val="1"/>
                <w:color w:val="1CA8E1"/>
              </w:rPr>
              <w:t xml:space="preserve">($) </w:t>
            </w:r>
            <w:r>
              <w:rPr>
                <w:rFonts w:ascii="Arial" w:cs="Arial" w:eastAsia="Arial" w:hAnsi="Arial"/>
                <w:sz w:val="18"/>
                <w:szCs w:val="18"/>
                <w:b w:val="1"/>
                <w:bCs w:val="1"/>
                <w:color w:val="1CA8E1"/>
                <w:vertAlign w:val="superscript"/>
              </w:rPr>
              <w:t>3</w:t>
            </w:r>
          </w:p>
        </w:tc>
        <w:tc>
          <w:tcPr>
            <w:tcW w:w="1220" w:type="dxa"/>
            <w:vAlign w:val="bottom"/>
            <w:vMerge w:val="restart"/>
            <w:shd w:val="clear" w:color="auto" w:fill="DBDBDB"/>
          </w:tcPr>
          <w:p>
            <w:pPr>
              <w:jc w:val="center"/>
              <w:spacing w:after="0" w:line="202" w:lineRule="exact"/>
              <w:rPr>
                <w:sz w:val="20"/>
                <w:szCs w:val="20"/>
                <w:color w:val="auto"/>
              </w:rPr>
            </w:pPr>
            <w:r>
              <w:rPr>
                <w:rFonts w:ascii="Arial" w:cs="Arial" w:eastAsia="Arial" w:hAnsi="Arial"/>
                <w:sz w:val="14"/>
                <w:szCs w:val="14"/>
                <w:b w:val="1"/>
                <w:bCs w:val="1"/>
                <w:color w:val="1CA8E1"/>
              </w:rPr>
              <w:t xml:space="preserve">($) </w:t>
            </w:r>
            <w:r>
              <w:rPr>
                <w:rFonts w:ascii="Arial" w:cs="Arial" w:eastAsia="Arial" w:hAnsi="Arial"/>
                <w:sz w:val="18"/>
                <w:szCs w:val="18"/>
                <w:b w:val="1"/>
                <w:bCs w:val="1"/>
                <w:color w:val="1CA8E1"/>
                <w:vertAlign w:val="superscript"/>
              </w:rPr>
              <w:t>4</w:t>
            </w:r>
          </w:p>
        </w:tc>
        <w:tc>
          <w:tcPr>
            <w:tcW w:w="11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1CA8E1"/>
              </w:rPr>
              <w:t>Position</w:t>
            </w:r>
          </w:p>
        </w:tc>
        <w:tc>
          <w:tcPr>
            <w:tcW w:w="4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4"/>
                <w:szCs w:val="14"/>
                <w:b w:val="1"/>
                <w:bCs w:val="1"/>
                <w:color w:val="1CA8E1"/>
              </w:rPr>
              <w:t>Year</w:t>
            </w:r>
          </w:p>
        </w:tc>
        <w:tc>
          <w:tcPr>
            <w:tcW w:w="960" w:type="dxa"/>
            <w:vAlign w:val="bottom"/>
            <w:tcBorders>
              <w:bottom w:val="single" w:sz="8" w:color="DBDBDB"/>
            </w:tcBorders>
            <w:shd w:val="clear" w:color="auto" w:fill="DBDBDB"/>
          </w:tcPr>
          <w:p>
            <w:pPr>
              <w:jc w:val="right"/>
              <w:ind w:right="393"/>
              <w:spacing w:after="0"/>
              <w:rPr>
                <w:sz w:val="20"/>
                <w:szCs w:val="20"/>
                <w:color w:val="auto"/>
              </w:rPr>
            </w:pPr>
            <w:r>
              <w:rPr>
                <w:rFonts w:ascii="Arial" w:cs="Arial" w:eastAsia="Arial" w:hAnsi="Arial"/>
                <w:sz w:val="14"/>
                <w:szCs w:val="14"/>
                <w:b w:val="1"/>
                <w:bCs w:val="1"/>
                <w:color w:val="1CA8E1"/>
              </w:rPr>
              <w:t>($)</w:t>
            </w:r>
          </w:p>
        </w:tc>
        <w:tc>
          <w:tcPr>
            <w:tcW w:w="840" w:type="dxa"/>
            <w:vAlign w:val="bottom"/>
            <w:tcBorders>
              <w:bottom w:val="single" w:sz="8" w:color="DBDBDB"/>
            </w:tcBorders>
            <w:shd w:val="clear" w:color="auto" w:fill="DBDBDB"/>
          </w:tcPr>
          <w:p>
            <w:pPr>
              <w:jc w:val="center"/>
              <w:ind w:right="33"/>
              <w:spacing w:after="0"/>
              <w:rPr>
                <w:sz w:val="20"/>
                <w:szCs w:val="20"/>
                <w:color w:val="auto"/>
              </w:rPr>
            </w:pPr>
            <w:r>
              <w:rPr>
                <w:rFonts w:ascii="Arial" w:cs="Arial" w:eastAsia="Arial" w:hAnsi="Arial"/>
                <w:sz w:val="14"/>
                <w:szCs w:val="14"/>
                <w:b w:val="1"/>
                <w:bCs w:val="1"/>
                <w:color w:val="1CA8E1"/>
              </w:rPr>
              <w:t>($)</w:t>
            </w:r>
          </w:p>
        </w:tc>
        <w:tc>
          <w:tcPr>
            <w:tcW w:w="920" w:type="dxa"/>
            <w:vAlign w:val="bottom"/>
            <w:tcBorders>
              <w:bottom w:val="single" w:sz="8" w:color="DBDBDB"/>
            </w:tcBorders>
            <w:vMerge w:val="continue"/>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vMerge w:val="continue"/>
            <w:shd w:val="clear" w:color="auto" w:fill="DBDBDB"/>
          </w:tcPr>
          <w:p>
            <w:pPr>
              <w:spacing w:after="0"/>
              <w:rPr>
                <w:sz w:val="15"/>
                <w:szCs w:val="15"/>
                <w:color w:val="auto"/>
              </w:rPr>
            </w:pPr>
          </w:p>
        </w:tc>
        <w:tc>
          <w:tcPr>
            <w:tcW w:w="920" w:type="dxa"/>
            <w:vAlign w:val="bottom"/>
            <w:tcBorders>
              <w:bottom w:val="single" w:sz="8" w:color="DBDBDB"/>
            </w:tcBorders>
            <w:vMerge w:val="continue"/>
            <w:shd w:val="clear" w:color="auto" w:fill="DBDBDB"/>
          </w:tcPr>
          <w:p>
            <w:pPr>
              <w:spacing w:after="0"/>
              <w:rPr>
                <w:sz w:val="15"/>
                <w:szCs w:val="15"/>
                <w:color w:val="auto"/>
              </w:rPr>
            </w:pPr>
          </w:p>
        </w:tc>
        <w:tc>
          <w:tcPr>
            <w:tcW w:w="1220" w:type="dxa"/>
            <w:vAlign w:val="bottom"/>
            <w:tcBorders>
              <w:bottom w:val="single" w:sz="8" w:color="DBDBDB"/>
            </w:tcBorders>
            <w:vMerge w:val="continue"/>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1CA8E1"/>
                <w:w w:val="93"/>
              </w:rPr>
              <w:t>($)</w:t>
            </w:r>
          </w:p>
        </w:tc>
        <w:tc>
          <w:tcPr>
            <w:tcW w:w="0" w:type="dxa"/>
            <w:vAlign w:val="bottom"/>
          </w:tcPr>
          <w:p>
            <w:pPr>
              <w:spacing w:after="0"/>
              <w:rPr>
                <w:sz w:val="1"/>
                <w:szCs w:val="1"/>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3"/>
                <w:szCs w:val="13"/>
                <w:color w:val="auto"/>
              </w:rPr>
              <w:t>David A. Ricks</w:t>
            </w:r>
          </w:p>
        </w:tc>
        <w:tc>
          <w:tcPr>
            <w:tcW w:w="420" w:type="dxa"/>
            <w:vAlign w:val="bottom"/>
          </w:tcPr>
          <w:p>
            <w:pPr>
              <w:ind w:left="60"/>
              <w:spacing w:after="0"/>
              <w:rPr>
                <w:sz w:val="20"/>
                <w:szCs w:val="20"/>
                <w:color w:val="auto"/>
              </w:rPr>
            </w:pPr>
            <w:r>
              <w:rPr>
                <w:rFonts w:ascii="Arial" w:cs="Arial" w:eastAsia="Arial" w:hAnsi="Arial"/>
                <w:sz w:val="13"/>
                <w:szCs w:val="13"/>
                <w:color w:val="auto"/>
              </w:rPr>
              <w:t>2021</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$1,500,000</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$ 14,966,000</w:t>
            </w:r>
          </w:p>
        </w:tc>
        <w:tc>
          <w:tcPr>
            <w:tcW w:w="2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3"/>
                <w:szCs w:val="13"/>
                <w:color w:val="auto"/>
              </w:rPr>
              <w:t>$2,475,000</w:t>
            </w:r>
          </w:p>
        </w:tc>
        <w:tc>
          <w:tcPr>
            <w:tcW w:w="920" w:type="dxa"/>
            <w:vAlign w:val="bottom"/>
          </w:tcPr>
          <w:p>
            <w:pPr>
              <w:jc w:val="right"/>
              <w:ind w:right="32"/>
              <w:spacing w:after="0"/>
              <w:rPr>
                <w:sz w:val="20"/>
                <w:szCs w:val="20"/>
                <w:color w:val="auto"/>
              </w:rPr>
            </w:pPr>
            <w:r>
              <w:rPr>
                <w:rFonts w:ascii="Arial" w:cs="Arial" w:eastAsia="Arial" w:hAnsi="Arial"/>
                <w:sz w:val="13"/>
                <w:szCs w:val="13"/>
                <w:color w:val="auto"/>
              </w:rPr>
              <w:t>$2,442,235</w:t>
            </w:r>
          </w:p>
        </w:tc>
        <w:tc>
          <w:tcPr>
            <w:tcW w:w="1220" w:type="dxa"/>
            <w:vAlign w:val="bottom"/>
          </w:tcPr>
          <w:p>
            <w:pPr>
              <w:jc w:val="right"/>
              <w:ind w:right="12"/>
              <w:spacing w:after="0"/>
              <w:rPr>
                <w:sz w:val="20"/>
                <w:szCs w:val="20"/>
                <w:color w:val="auto"/>
              </w:rPr>
            </w:pPr>
            <w:r>
              <w:rPr>
                <w:rFonts w:ascii="Arial" w:cs="Arial" w:eastAsia="Arial" w:hAnsi="Arial"/>
                <w:sz w:val="13"/>
                <w:szCs w:val="13"/>
                <w:color w:val="auto"/>
              </w:rPr>
              <w:t>$126,750</w:t>
            </w:r>
          </w:p>
        </w:tc>
        <w:tc>
          <w:tcPr>
            <w:tcW w:w="1140" w:type="dxa"/>
            <w:vAlign w:val="bottom"/>
          </w:tcPr>
          <w:p>
            <w:pPr>
              <w:jc w:val="right"/>
              <w:ind w:right="12"/>
              <w:spacing w:after="0"/>
              <w:rPr>
                <w:sz w:val="20"/>
                <w:szCs w:val="20"/>
                <w:color w:val="auto"/>
              </w:rPr>
            </w:pPr>
            <w:r>
              <w:rPr>
                <w:rFonts w:ascii="Arial" w:cs="Arial" w:eastAsia="Arial" w:hAnsi="Arial"/>
                <w:sz w:val="13"/>
                <w:szCs w:val="13"/>
                <w:color w:val="auto"/>
              </w:rPr>
              <w:t>$21,509,985</w:t>
            </w:r>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3"/>
                <w:szCs w:val="13"/>
                <w:color w:val="auto"/>
              </w:rPr>
              <w:t>Chair, President,</w:t>
            </w:r>
          </w:p>
        </w:tc>
        <w:tc>
          <w:tcPr>
            <w:tcW w:w="420" w:type="dxa"/>
            <w:vAlign w:val="bottom"/>
            <w:vMerge w:val="restart"/>
          </w:tcPr>
          <w:p>
            <w:pPr>
              <w:ind w:left="60"/>
              <w:spacing w:after="0"/>
              <w:rPr>
                <w:sz w:val="20"/>
                <w:szCs w:val="20"/>
                <w:color w:val="auto"/>
              </w:rPr>
            </w:pPr>
            <w:r>
              <w:rPr>
                <w:rFonts w:ascii="Arial" w:cs="Arial" w:eastAsia="Arial" w:hAnsi="Arial"/>
                <w:sz w:val="13"/>
                <w:szCs w:val="13"/>
                <w:color w:val="auto"/>
              </w:rPr>
              <w:t>2020</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$1,483,333</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vMerge w:val="restart"/>
          </w:tcPr>
          <w:p>
            <w:pPr>
              <w:jc w:val="right"/>
              <w:ind w:right="12"/>
              <w:spacing w:after="0"/>
              <w:rPr>
                <w:sz w:val="20"/>
                <w:szCs w:val="20"/>
                <w:color w:val="auto"/>
              </w:rPr>
            </w:pPr>
            <w:r>
              <w:rPr>
                <w:rFonts w:ascii="Arial" w:cs="Arial" w:eastAsia="Arial" w:hAnsi="Arial"/>
                <w:sz w:val="13"/>
                <w:szCs w:val="13"/>
                <w:color w:val="auto"/>
              </w:rPr>
              <w:t>$ 13,587,500</w:t>
            </w:r>
          </w:p>
        </w:tc>
        <w:tc>
          <w:tcPr>
            <w:tcW w:w="200" w:type="dxa"/>
            <w:vAlign w:val="bottom"/>
          </w:tcPr>
          <w:p>
            <w:pPr>
              <w:spacing w:after="0"/>
              <w:rPr>
                <w:sz w:val="18"/>
                <w:szCs w:val="18"/>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3"/>
                <w:szCs w:val="13"/>
                <w:color w:val="auto"/>
              </w:rPr>
              <w:t>$2,625,500</w:t>
            </w:r>
          </w:p>
        </w:tc>
        <w:tc>
          <w:tcPr>
            <w:tcW w:w="920" w:type="dxa"/>
            <w:vAlign w:val="bottom"/>
            <w:vMerge w:val="restart"/>
          </w:tcPr>
          <w:p>
            <w:pPr>
              <w:jc w:val="right"/>
              <w:ind w:right="32"/>
              <w:spacing w:after="0"/>
              <w:rPr>
                <w:sz w:val="20"/>
                <w:szCs w:val="20"/>
                <w:color w:val="auto"/>
              </w:rPr>
            </w:pPr>
            <w:r>
              <w:rPr>
                <w:rFonts w:ascii="Arial" w:cs="Arial" w:eastAsia="Arial" w:hAnsi="Arial"/>
                <w:sz w:val="13"/>
                <w:szCs w:val="13"/>
                <w:color w:val="auto"/>
              </w:rPr>
              <w:t>$5,883,924</w:t>
            </w:r>
          </w:p>
        </w:tc>
        <w:tc>
          <w:tcPr>
            <w:tcW w:w="1220" w:type="dxa"/>
            <w:vAlign w:val="bottom"/>
            <w:vMerge w:val="restart"/>
          </w:tcPr>
          <w:p>
            <w:pPr>
              <w:jc w:val="right"/>
              <w:ind w:right="12"/>
              <w:spacing w:after="0"/>
              <w:rPr>
                <w:sz w:val="20"/>
                <w:szCs w:val="20"/>
                <w:color w:val="auto"/>
              </w:rPr>
            </w:pPr>
            <w:r>
              <w:rPr>
                <w:rFonts w:ascii="Arial" w:cs="Arial" w:eastAsia="Arial" w:hAnsi="Arial"/>
                <w:sz w:val="13"/>
                <w:szCs w:val="13"/>
                <w:color w:val="auto"/>
              </w:rPr>
              <w:t>$128,372</w:t>
            </w:r>
          </w:p>
        </w:tc>
        <w:tc>
          <w:tcPr>
            <w:tcW w:w="1140" w:type="dxa"/>
            <w:vAlign w:val="bottom"/>
            <w:vMerge w:val="restart"/>
          </w:tcPr>
          <w:p>
            <w:pPr>
              <w:jc w:val="right"/>
              <w:ind w:right="12"/>
              <w:spacing w:after="0"/>
              <w:rPr>
                <w:sz w:val="20"/>
                <w:szCs w:val="20"/>
                <w:color w:val="auto"/>
              </w:rPr>
            </w:pPr>
            <w:r>
              <w:rPr>
                <w:rFonts w:ascii="Arial" w:cs="Arial" w:eastAsia="Arial" w:hAnsi="Arial"/>
                <w:sz w:val="13"/>
                <w:szCs w:val="13"/>
                <w:color w:val="auto"/>
              </w:rPr>
              <w:t>$23,708,629</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and</w:t>
            </w:r>
          </w:p>
        </w:tc>
        <w:tc>
          <w:tcPr>
            <w:tcW w:w="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Chief Executive</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Officer</w:t>
            </w:r>
          </w:p>
        </w:tc>
        <w:tc>
          <w:tcPr>
            <w:tcW w:w="420" w:type="dxa"/>
            <w:vAlign w:val="bottom"/>
          </w:tcPr>
          <w:p>
            <w:pPr>
              <w:ind w:left="6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$1,400,000</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$ 12,222,000</w:t>
            </w:r>
          </w:p>
        </w:tc>
        <w:tc>
          <w:tcPr>
            <w:tcW w:w="200" w:type="dxa"/>
            <w:vAlign w:val="bottom"/>
          </w:tcPr>
          <w:p>
            <w:pPr>
              <w:spacing w:after="0"/>
              <w:rPr>
                <w:sz w:val="14"/>
                <w:szCs w:val="14"/>
                <w:color w:val="auto"/>
              </w:rPr>
            </w:pPr>
          </w:p>
        </w:tc>
        <w:tc>
          <w:tcPr>
            <w:tcW w:w="1260" w:type="dxa"/>
            <w:vAlign w:val="bottom"/>
          </w:tcPr>
          <w:p>
            <w:pPr>
              <w:jc w:val="right"/>
              <w:ind w:right="152"/>
              <w:spacing w:after="0"/>
              <w:rPr>
                <w:sz w:val="20"/>
                <w:szCs w:val="20"/>
                <w:color w:val="auto"/>
              </w:rPr>
            </w:pPr>
            <w:r>
              <w:rPr>
                <w:rFonts w:ascii="Arial" w:cs="Arial" w:eastAsia="Arial" w:hAnsi="Arial"/>
                <w:sz w:val="13"/>
                <w:szCs w:val="13"/>
                <w:color w:val="auto"/>
              </w:rPr>
              <w:t>$2,919,000</w:t>
            </w:r>
          </w:p>
        </w:tc>
        <w:tc>
          <w:tcPr>
            <w:tcW w:w="920" w:type="dxa"/>
            <w:vAlign w:val="bottom"/>
          </w:tcPr>
          <w:p>
            <w:pPr>
              <w:jc w:val="right"/>
              <w:ind w:right="32"/>
              <w:spacing w:after="0"/>
              <w:rPr>
                <w:sz w:val="20"/>
                <w:szCs w:val="20"/>
                <w:color w:val="auto"/>
              </w:rPr>
            </w:pPr>
            <w:r>
              <w:rPr>
                <w:rFonts w:ascii="Arial" w:cs="Arial" w:eastAsia="Arial" w:hAnsi="Arial"/>
                <w:sz w:val="13"/>
                <w:szCs w:val="13"/>
                <w:color w:val="auto"/>
              </w:rPr>
              <w:t>$4,658,242</w:t>
            </w:r>
          </w:p>
        </w:tc>
        <w:tc>
          <w:tcPr>
            <w:tcW w:w="1220" w:type="dxa"/>
            <w:vAlign w:val="bottom"/>
          </w:tcPr>
          <w:p>
            <w:pPr>
              <w:jc w:val="right"/>
              <w:ind w:right="12"/>
              <w:spacing w:after="0"/>
              <w:rPr>
                <w:sz w:val="20"/>
                <w:szCs w:val="20"/>
                <w:color w:val="auto"/>
              </w:rPr>
            </w:pPr>
            <w:r>
              <w:rPr>
                <w:rFonts w:ascii="Arial" w:cs="Arial" w:eastAsia="Arial" w:hAnsi="Arial"/>
                <w:sz w:val="13"/>
                <w:szCs w:val="13"/>
                <w:color w:val="auto"/>
              </w:rPr>
              <w:t>$84,000</w:t>
            </w:r>
          </w:p>
        </w:tc>
        <w:tc>
          <w:tcPr>
            <w:tcW w:w="1140" w:type="dxa"/>
            <w:vAlign w:val="bottom"/>
          </w:tcPr>
          <w:p>
            <w:pPr>
              <w:jc w:val="right"/>
              <w:ind w:right="12"/>
              <w:spacing w:after="0"/>
              <w:rPr>
                <w:sz w:val="20"/>
                <w:szCs w:val="20"/>
                <w:color w:val="auto"/>
              </w:rPr>
            </w:pPr>
            <w:r>
              <w:rPr>
                <w:rFonts w:ascii="Arial" w:cs="Arial" w:eastAsia="Arial" w:hAnsi="Arial"/>
                <w:sz w:val="13"/>
                <w:szCs w:val="13"/>
                <w:color w:val="auto"/>
              </w:rPr>
              <w:t>$21,283,242</w:t>
            </w:r>
          </w:p>
        </w:tc>
        <w:tc>
          <w:tcPr>
            <w:tcW w:w="0" w:type="dxa"/>
            <w:vAlign w:val="bottom"/>
          </w:tcPr>
          <w:p>
            <w:pPr>
              <w:spacing w:after="0"/>
              <w:rPr>
                <w:sz w:val="1"/>
                <w:szCs w:val="1"/>
                <w:color w:val="auto"/>
              </w:rPr>
            </w:pPr>
          </w:p>
        </w:tc>
      </w:tr>
      <w:tr>
        <w:trPr>
          <w:trHeight w:val="28"/>
        </w:trPr>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Anat Ashkenazi</w:t>
            </w:r>
          </w:p>
        </w:tc>
        <w:tc>
          <w:tcPr>
            <w:tcW w:w="420" w:type="dxa"/>
            <w:vAlign w:val="bottom"/>
            <w:shd w:val="clear" w:color="auto" w:fill="E6E6E6"/>
          </w:tcPr>
          <w:p>
            <w:pPr>
              <w:ind w:left="60"/>
              <w:spacing w:after="0"/>
              <w:rPr>
                <w:sz w:val="20"/>
                <w:szCs w:val="20"/>
                <w:color w:val="auto"/>
              </w:rPr>
            </w:pPr>
            <w:r>
              <w:rPr>
                <w:rFonts w:ascii="Arial" w:cs="Arial" w:eastAsia="Arial" w:hAnsi="Arial"/>
                <w:sz w:val="13"/>
                <w:szCs w:val="13"/>
                <w:color w:val="auto"/>
              </w:rPr>
              <w:t>2021</w:t>
            </w:r>
          </w:p>
        </w:tc>
        <w:tc>
          <w:tcPr>
            <w:tcW w:w="960" w:type="dxa"/>
            <w:vAlign w:val="bottom"/>
            <w:shd w:val="clear" w:color="auto" w:fill="E6E6E6"/>
          </w:tcPr>
          <w:p>
            <w:pPr>
              <w:jc w:val="right"/>
              <w:ind w:right="153"/>
              <w:spacing w:after="0"/>
              <w:rPr>
                <w:sz w:val="20"/>
                <w:szCs w:val="20"/>
                <w:color w:val="auto"/>
              </w:rPr>
            </w:pPr>
            <w:r>
              <w:rPr>
                <w:rFonts w:ascii="Arial" w:cs="Arial" w:eastAsia="Arial" w:hAnsi="Arial"/>
                <w:sz w:val="13"/>
                <w:szCs w:val="13"/>
                <w:color w:val="auto"/>
              </w:rPr>
              <w:t>$850,432</w:t>
            </w:r>
          </w:p>
        </w:tc>
        <w:tc>
          <w:tcPr>
            <w:tcW w:w="840" w:type="dxa"/>
            <w:vAlign w:val="bottom"/>
            <w:shd w:val="clear" w:color="auto" w:fill="E6E6E6"/>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$2,453,000</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rPr>
              <w:t>7</w:t>
            </w:r>
          </w:p>
        </w:tc>
        <w:tc>
          <w:tcPr>
            <w:tcW w:w="1260" w:type="dxa"/>
            <w:vAlign w:val="bottom"/>
            <w:shd w:val="clear" w:color="auto" w:fill="E6E6E6"/>
          </w:tcPr>
          <w:p>
            <w:pPr>
              <w:jc w:val="right"/>
              <w:ind w:right="152"/>
              <w:spacing w:after="0"/>
              <w:rPr>
                <w:sz w:val="20"/>
                <w:szCs w:val="20"/>
                <w:color w:val="auto"/>
              </w:rPr>
            </w:pPr>
            <w:r>
              <w:rPr>
                <w:rFonts w:ascii="Arial" w:cs="Arial" w:eastAsia="Arial" w:hAnsi="Arial"/>
                <w:sz w:val="13"/>
                <w:szCs w:val="13"/>
                <w:color w:val="auto"/>
              </w:rPr>
              <w:t>$907,816</w:t>
            </w:r>
          </w:p>
        </w:tc>
        <w:tc>
          <w:tcPr>
            <w:tcW w:w="920" w:type="dxa"/>
            <w:vAlign w:val="bottom"/>
            <w:shd w:val="clear" w:color="auto" w:fill="E6E6E6"/>
          </w:tcPr>
          <w:p>
            <w:pPr>
              <w:jc w:val="right"/>
              <w:ind w:right="32"/>
              <w:spacing w:after="0"/>
              <w:rPr>
                <w:sz w:val="20"/>
                <w:szCs w:val="20"/>
                <w:color w:val="auto"/>
              </w:rPr>
            </w:pPr>
            <w:r>
              <w:rPr>
                <w:rFonts w:ascii="Arial" w:cs="Arial" w:eastAsia="Arial" w:hAnsi="Arial"/>
                <w:sz w:val="13"/>
                <w:szCs w:val="13"/>
                <w:color w:val="auto"/>
              </w:rPr>
              <w:t>$395,335</w:t>
            </w:r>
          </w:p>
        </w:tc>
        <w:tc>
          <w:tcPr>
            <w:tcW w:w="122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$51,026</w:t>
            </w:r>
          </w:p>
        </w:tc>
        <w:tc>
          <w:tcPr>
            <w:tcW w:w="114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$4,657,609</w:t>
            </w:r>
          </w:p>
        </w:tc>
        <w:tc>
          <w:tcPr>
            <w:tcW w:w="0" w:type="dxa"/>
            <w:vAlign w:val="bottom"/>
          </w:tcPr>
          <w:p>
            <w:pPr>
              <w:spacing w:after="0"/>
              <w:rPr>
                <w:sz w:val="1"/>
                <w:szCs w:val="1"/>
                <w:color w:val="auto"/>
              </w:rPr>
            </w:pPr>
          </w:p>
        </w:tc>
      </w:tr>
      <w:tr>
        <w:trPr>
          <w:trHeight w:val="216"/>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Senior Vice</w:t>
            </w:r>
          </w:p>
        </w:tc>
        <w:tc>
          <w:tcPr>
            <w:tcW w:w="42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President and</w:t>
            </w:r>
          </w:p>
        </w:tc>
        <w:tc>
          <w:tcPr>
            <w:tcW w:w="420" w:type="dxa"/>
            <w:vAlign w:val="bottom"/>
            <w:shd w:val="clear" w:color="auto" w:fill="E6E6E6"/>
          </w:tcPr>
          <w:p>
            <w:pPr>
              <w:ind w:left="60"/>
              <w:spacing w:after="0"/>
              <w:rPr>
                <w:sz w:val="20"/>
                <w:szCs w:val="20"/>
                <w:color w:val="auto"/>
              </w:rPr>
            </w:pPr>
            <w:r>
              <w:rPr>
                <w:rFonts w:ascii="Arial" w:cs="Arial" w:eastAsia="Arial" w:hAnsi="Arial"/>
                <w:sz w:val="13"/>
                <w:szCs w:val="13"/>
                <w:color w:val="auto"/>
              </w:rPr>
              <w:t>2020</w:t>
            </w:r>
          </w:p>
        </w:tc>
        <w:tc>
          <w:tcPr>
            <w:tcW w:w="960" w:type="dxa"/>
            <w:vAlign w:val="bottom"/>
            <w:shd w:val="clear" w:color="auto" w:fill="E6E6E6"/>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shd w:val="clear" w:color="auto" w:fill="E6E6E6"/>
          </w:tcPr>
          <w:p>
            <w:pPr>
              <w:jc w:val="right"/>
              <w:ind w:right="73"/>
              <w:spacing w:after="0"/>
              <w:rPr>
                <w:sz w:val="20"/>
                <w:szCs w:val="20"/>
                <w:color w:val="auto"/>
              </w:rPr>
            </w:pPr>
            <w:r>
              <w:rPr>
                <w:rFonts w:ascii="Arial" w:cs="Arial" w:eastAsia="Arial" w:hAnsi="Arial"/>
                <w:sz w:val="13"/>
                <w:szCs w:val="13"/>
                <w:color w:val="auto"/>
              </w:rPr>
              <w:t>N/A</w:t>
            </w:r>
          </w:p>
        </w:tc>
        <w:tc>
          <w:tcPr>
            <w:tcW w:w="1120" w:type="dxa"/>
            <w:vAlign w:val="bottom"/>
            <w:gridSpan w:val="2"/>
            <w:shd w:val="clear" w:color="auto" w:fill="E6E6E6"/>
          </w:tcPr>
          <w:p>
            <w:pPr>
              <w:jc w:val="right"/>
              <w:ind w:right="76"/>
              <w:spacing w:after="0"/>
              <w:rPr>
                <w:sz w:val="20"/>
                <w:szCs w:val="20"/>
                <w:color w:val="auto"/>
              </w:rPr>
            </w:pPr>
            <w:r>
              <w:rPr>
                <w:rFonts w:ascii="Arial" w:cs="Arial" w:eastAsia="Arial" w:hAnsi="Arial"/>
                <w:sz w:val="13"/>
                <w:szCs w:val="13"/>
                <w:color w:val="auto"/>
              </w:rPr>
              <w:t xml:space="preserve">N/A </w:t>
            </w:r>
            <w:r>
              <w:rPr>
                <w:rFonts w:ascii="Arial" w:cs="Arial" w:eastAsia="Arial" w:hAnsi="Arial"/>
                <w:sz w:val="8"/>
                <w:szCs w:val="8"/>
                <w:color w:val="auto"/>
              </w:rPr>
              <w:t>7</w:t>
            </w:r>
          </w:p>
        </w:tc>
        <w:tc>
          <w:tcPr>
            <w:tcW w:w="1260" w:type="dxa"/>
            <w:vAlign w:val="bottom"/>
            <w:shd w:val="clear" w:color="auto" w:fill="E6E6E6"/>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shd w:val="clear" w:color="auto" w:fill="E6E6E6"/>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Chief Financial</w:t>
            </w:r>
          </w:p>
        </w:tc>
        <w:tc>
          <w:tcPr>
            <w:tcW w:w="420" w:type="dxa"/>
            <w:vAlign w:val="bottom"/>
            <w:vMerge w:val="restart"/>
            <w:shd w:val="clear" w:color="auto" w:fill="E6E6E6"/>
          </w:tcPr>
          <w:p>
            <w:pPr>
              <w:ind w:left="60"/>
              <w:spacing w:after="0"/>
              <w:rPr>
                <w:sz w:val="20"/>
                <w:szCs w:val="20"/>
                <w:color w:val="auto"/>
              </w:rPr>
            </w:pPr>
            <w:r>
              <w:rPr>
                <w:rFonts w:ascii="Arial" w:cs="Arial" w:eastAsia="Arial" w:hAnsi="Arial"/>
                <w:sz w:val="13"/>
                <w:szCs w:val="13"/>
                <w:color w:val="auto"/>
              </w:rPr>
              <w:t>2019</w:t>
            </w:r>
          </w:p>
        </w:tc>
        <w:tc>
          <w:tcPr>
            <w:tcW w:w="960" w:type="dxa"/>
            <w:vAlign w:val="bottom"/>
            <w:vMerge w:val="restart"/>
            <w:shd w:val="clear" w:color="auto" w:fill="E6E6E6"/>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vMerge w:val="restart"/>
            <w:shd w:val="clear" w:color="auto" w:fill="E6E6E6"/>
          </w:tcPr>
          <w:p>
            <w:pPr>
              <w:jc w:val="right"/>
              <w:ind w:right="73"/>
              <w:spacing w:after="0"/>
              <w:rPr>
                <w:sz w:val="20"/>
                <w:szCs w:val="20"/>
                <w:color w:val="auto"/>
              </w:rPr>
            </w:pPr>
            <w:r>
              <w:rPr>
                <w:rFonts w:ascii="Arial" w:cs="Arial" w:eastAsia="Arial" w:hAnsi="Arial"/>
                <w:sz w:val="13"/>
                <w:szCs w:val="13"/>
                <w:color w:val="auto"/>
              </w:rPr>
              <w:t>N/A</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200" w:type="dxa"/>
            <w:vAlign w:val="bottom"/>
            <w:shd w:val="clear" w:color="auto" w:fill="E6E6E6"/>
          </w:tcPr>
          <w:p>
            <w:pPr>
              <w:ind w:left="20"/>
              <w:spacing w:after="0"/>
              <w:rPr>
                <w:sz w:val="20"/>
                <w:szCs w:val="20"/>
                <w:color w:val="auto"/>
              </w:rPr>
            </w:pPr>
            <w:r>
              <w:rPr>
                <w:rFonts w:ascii="Arial" w:cs="Arial" w:eastAsia="Arial" w:hAnsi="Arial"/>
                <w:sz w:val="9"/>
                <w:szCs w:val="9"/>
                <w:color w:val="auto"/>
              </w:rPr>
              <w:t>7</w:t>
            </w:r>
          </w:p>
        </w:tc>
        <w:tc>
          <w:tcPr>
            <w:tcW w:w="1260" w:type="dxa"/>
            <w:vAlign w:val="bottom"/>
            <w:vMerge w:val="restart"/>
            <w:shd w:val="clear" w:color="auto" w:fill="E6E6E6"/>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vMerge w:val="restart"/>
            <w:shd w:val="clear" w:color="auto" w:fill="E6E6E6"/>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vMerge w:val="restart"/>
            <w:shd w:val="clear" w:color="auto" w:fill="E6E6E6"/>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68"/>
        </w:trPr>
        <w:tc>
          <w:tcPr>
            <w:tcW w:w="106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rPr>
              <w:t>Officer</w:t>
            </w:r>
          </w:p>
        </w:tc>
        <w:tc>
          <w:tcPr>
            <w:tcW w:w="420" w:type="dxa"/>
            <w:vAlign w:val="bottom"/>
            <w:vMerge w:val="continue"/>
            <w:shd w:val="clear" w:color="auto" w:fill="E6E6E6"/>
          </w:tcPr>
          <w:p>
            <w:pPr>
              <w:spacing w:after="0"/>
              <w:rPr>
                <w:sz w:val="5"/>
                <w:szCs w:val="5"/>
                <w:color w:val="auto"/>
              </w:rPr>
            </w:pPr>
          </w:p>
        </w:tc>
        <w:tc>
          <w:tcPr>
            <w:tcW w:w="960" w:type="dxa"/>
            <w:vAlign w:val="bottom"/>
            <w:vMerge w:val="continue"/>
            <w:shd w:val="clear" w:color="auto" w:fill="E6E6E6"/>
          </w:tcPr>
          <w:p>
            <w:pPr>
              <w:spacing w:after="0"/>
              <w:rPr>
                <w:sz w:val="5"/>
                <w:szCs w:val="5"/>
                <w:color w:val="auto"/>
              </w:rPr>
            </w:pPr>
          </w:p>
        </w:tc>
        <w:tc>
          <w:tcPr>
            <w:tcW w:w="840" w:type="dxa"/>
            <w:vAlign w:val="bottom"/>
            <w:vMerge w:val="continue"/>
            <w:shd w:val="clear" w:color="auto" w:fill="E6E6E6"/>
          </w:tcPr>
          <w:p>
            <w:pPr>
              <w:spacing w:after="0"/>
              <w:rPr>
                <w:sz w:val="5"/>
                <w:szCs w:val="5"/>
                <w:color w:val="auto"/>
              </w:rPr>
            </w:pPr>
          </w:p>
        </w:tc>
        <w:tc>
          <w:tcPr>
            <w:tcW w:w="920" w:type="dxa"/>
            <w:vAlign w:val="bottom"/>
            <w:vMerge w:val="continue"/>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1260" w:type="dxa"/>
            <w:vAlign w:val="bottom"/>
            <w:vMerge w:val="continue"/>
            <w:shd w:val="clear" w:color="auto" w:fill="E6E6E6"/>
          </w:tcPr>
          <w:p>
            <w:pPr>
              <w:spacing w:after="0"/>
              <w:rPr>
                <w:sz w:val="5"/>
                <w:szCs w:val="5"/>
                <w:color w:val="auto"/>
              </w:rPr>
            </w:pPr>
          </w:p>
        </w:tc>
        <w:tc>
          <w:tcPr>
            <w:tcW w:w="920" w:type="dxa"/>
            <w:vAlign w:val="bottom"/>
            <w:vMerge w:val="continue"/>
            <w:shd w:val="clear" w:color="auto" w:fill="E6E6E6"/>
          </w:tcPr>
          <w:p>
            <w:pPr>
              <w:spacing w:after="0"/>
              <w:rPr>
                <w:sz w:val="5"/>
                <w:szCs w:val="5"/>
                <w:color w:val="auto"/>
              </w:rPr>
            </w:pPr>
          </w:p>
        </w:tc>
        <w:tc>
          <w:tcPr>
            <w:tcW w:w="1220" w:type="dxa"/>
            <w:vAlign w:val="bottom"/>
            <w:vMerge w:val="continue"/>
            <w:shd w:val="clear" w:color="auto" w:fill="E6E6E6"/>
          </w:tcPr>
          <w:p>
            <w:pPr>
              <w:spacing w:after="0"/>
              <w:rPr>
                <w:sz w:val="5"/>
                <w:szCs w:val="5"/>
                <w:color w:val="auto"/>
              </w:rPr>
            </w:pPr>
          </w:p>
        </w:tc>
        <w:tc>
          <w:tcPr>
            <w:tcW w:w="1140" w:type="dxa"/>
            <w:vAlign w:val="bottom"/>
            <w:vMerge w:val="continue"/>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060" w:type="dxa"/>
            <w:vAlign w:val="bottom"/>
            <w:tcBorders>
              <w:bottom w:val="single" w:sz="8" w:color="E6E6E6"/>
            </w:tcBorders>
            <w:vMerge w:val="continue"/>
            <w:shd w:val="clear" w:color="auto" w:fill="E6E6E6"/>
          </w:tcPr>
          <w:p>
            <w:pPr>
              <w:spacing w:after="0"/>
              <w:rPr>
                <w:sz w:val="8"/>
                <w:szCs w:val="8"/>
                <w:color w:val="auto"/>
              </w:rPr>
            </w:pPr>
          </w:p>
        </w:tc>
        <w:tc>
          <w:tcPr>
            <w:tcW w:w="420" w:type="dxa"/>
            <w:vAlign w:val="bottom"/>
            <w:tcBorders>
              <w:bottom w:val="single" w:sz="8" w:color="E6E6E6"/>
            </w:tcBorders>
            <w:shd w:val="clear" w:color="auto" w:fill="E6E6E6"/>
          </w:tcPr>
          <w:p>
            <w:pPr>
              <w:spacing w:after="0"/>
              <w:rPr>
                <w:sz w:val="8"/>
                <w:szCs w:val="8"/>
                <w:color w:val="auto"/>
              </w:rPr>
            </w:pPr>
          </w:p>
        </w:tc>
        <w:tc>
          <w:tcPr>
            <w:tcW w:w="960" w:type="dxa"/>
            <w:vAlign w:val="bottom"/>
            <w:tcBorders>
              <w:bottom w:val="single" w:sz="8" w:color="E6E6E6"/>
            </w:tcBorders>
            <w:shd w:val="clear" w:color="auto" w:fill="E6E6E6"/>
          </w:tcPr>
          <w:p>
            <w:pPr>
              <w:spacing w:after="0"/>
              <w:rPr>
                <w:sz w:val="8"/>
                <w:szCs w:val="8"/>
                <w:color w:val="auto"/>
              </w:rPr>
            </w:pPr>
          </w:p>
        </w:tc>
        <w:tc>
          <w:tcPr>
            <w:tcW w:w="840" w:type="dxa"/>
            <w:vAlign w:val="bottom"/>
            <w:tcBorders>
              <w:bottom w:val="single" w:sz="8" w:color="E6E6E6"/>
            </w:tcBorders>
            <w:shd w:val="clear" w:color="auto" w:fill="E6E6E6"/>
          </w:tcPr>
          <w:p>
            <w:pPr>
              <w:spacing w:after="0"/>
              <w:rPr>
                <w:sz w:val="8"/>
                <w:szCs w:val="8"/>
                <w:color w:val="auto"/>
              </w:rPr>
            </w:pPr>
          </w:p>
        </w:tc>
        <w:tc>
          <w:tcPr>
            <w:tcW w:w="920" w:type="dxa"/>
            <w:vAlign w:val="bottom"/>
            <w:tcBorders>
              <w:bottom w:val="single" w:sz="8" w:color="E6E6E6"/>
            </w:tcBorders>
            <w:shd w:val="clear" w:color="auto" w:fill="E6E6E6"/>
          </w:tcPr>
          <w:p>
            <w:pPr>
              <w:spacing w:after="0"/>
              <w:rPr>
                <w:sz w:val="8"/>
                <w:szCs w:val="8"/>
                <w:color w:val="auto"/>
              </w:rPr>
            </w:pPr>
          </w:p>
        </w:tc>
        <w:tc>
          <w:tcPr>
            <w:tcW w:w="200" w:type="dxa"/>
            <w:vAlign w:val="bottom"/>
            <w:tcBorders>
              <w:bottom w:val="single" w:sz="8" w:color="E6E6E6"/>
            </w:tcBorders>
            <w:shd w:val="clear" w:color="auto" w:fill="E6E6E6"/>
          </w:tcPr>
          <w:p>
            <w:pPr>
              <w:spacing w:after="0"/>
              <w:rPr>
                <w:sz w:val="8"/>
                <w:szCs w:val="8"/>
                <w:color w:val="auto"/>
              </w:rPr>
            </w:pPr>
          </w:p>
        </w:tc>
        <w:tc>
          <w:tcPr>
            <w:tcW w:w="1260" w:type="dxa"/>
            <w:vAlign w:val="bottom"/>
            <w:tcBorders>
              <w:bottom w:val="single" w:sz="8" w:color="E6E6E6"/>
            </w:tcBorders>
            <w:shd w:val="clear" w:color="auto" w:fill="E6E6E6"/>
          </w:tcPr>
          <w:p>
            <w:pPr>
              <w:spacing w:after="0"/>
              <w:rPr>
                <w:sz w:val="8"/>
                <w:szCs w:val="8"/>
                <w:color w:val="auto"/>
              </w:rPr>
            </w:pPr>
          </w:p>
        </w:tc>
        <w:tc>
          <w:tcPr>
            <w:tcW w:w="920" w:type="dxa"/>
            <w:vAlign w:val="bottom"/>
            <w:tcBorders>
              <w:bottom w:val="single" w:sz="8" w:color="E6E6E6"/>
            </w:tcBorders>
            <w:shd w:val="clear" w:color="auto" w:fill="E6E6E6"/>
          </w:tcPr>
          <w:p>
            <w:pPr>
              <w:spacing w:after="0"/>
              <w:rPr>
                <w:sz w:val="8"/>
                <w:szCs w:val="8"/>
                <w:color w:val="auto"/>
              </w:rPr>
            </w:pPr>
          </w:p>
        </w:tc>
        <w:tc>
          <w:tcPr>
            <w:tcW w:w="1220" w:type="dxa"/>
            <w:vAlign w:val="bottom"/>
            <w:tcBorders>
              <w:bottom w:val="single" w:sz="8" w:color="E6E6E6"/>
            </w:tcBorders>
            <w:shd w:val="clear" w:color="auto" w:fill="E6E6E6"/>
          </w:tcPr>
          <w:p>
            <w:pPr>
              <w:spacing w:after="0"/>
              <w:rPr>
                <w:sz w:val="8"/>
                <w:szCs w:val="8"/>
                <w:color w:val="auto"/>
              </w:rPr>
            </w:pPr>
          </w:p>
        </w:tc>
        <w:tc>
          <w:tcPr>
            <w:tcW w:w="1140" w:type="dxa"/>
            <w:vAlign w:val="bottom"/>
            <w:tcBorders>
              <w:bottom w:val="single" w:sz="8" w:color="E6E6E6"/>
            </w:tcBorders>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60" w:type="dxa"/>
            <w:vAlign w:val="bottom"/>
          </w:tcPr>
          <w:p>
            <w:pPr>
              <w:ind w:left="20"/>
              <w:spacing w:after="0"/>
              <w:rPr>
                <w:sz w:val="20"/>
                <w:szCs w:val="20"/>
                <w:color w:val="auto"/>
              </w:rPr>
            </w:pPr>
            <w:r>
              <w:rPr>
                <w:rFonts w:ascii="Arial" w:cs="Arial" w:eastAsia="Arial" w:hAnsi="Arial"/>
                <w:sz w:val="13"/>
                <w:szCs w:val="13"/>
                <w:color w:val="auto"/>
              </w:rPr>
              <w:t>Daniel M.</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Skovronsky,</w:t>
            </w:r>
          </w:p>
        </w:tc>
        <w:tc>
          <w:tcPr>
            <w:tcW w:w="420" w:type="dxa"/>
            <w:vAlign w:val="bottom"/>
          </w:tcPr>
          <w:p>
            <w:pPr>
              <w:ind w:left="60"/>
              <w:spacing w:after="0"/>
              <w:rPr>
                <w:sz w:val="20"/>
                <w:szCs w:val="20"/>
                <w:color w:val="auto"/>
              </w:rPr>
            </w:pPr>
            <w:r>
              <w:rPr>
                <w:rFonts w:ascii="Arial" w:cs="Arial" w:eastAsia="Arial" w:hAnsi="Arial"/>
                <w:sz w:val="13"/>
                <w:szCs w:val="13"/>
                <w:color w:val="auto"/>
              </w:rPr>
              <w:t>2021</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$1,000,000</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12"/>
              <w:spacing w:after="0"/>
              <w:rPr>
                <w:sz w:val="20"/>
                <w:szCs w:val="20"/>
                <w:color w:val="auto"/>
              </w:rPr>
            </w:pPr>
            <w:r>
              <w:rPr>
                <w:rFonts w:ascii="Arial" w:cs="Arial" w:eastAsia="Arial" w:hAnsi="Arial"/>
                <w:sz w:val="13"/>
                <w:szCs w:val="13"/>
                <w:color w:val="auto"/>
              </w:rPr>
              <w:t>$5,024,300</w:t>
            </w:r>
          </w:p>
        </w:tc>
        <w:tc>
          <w:tcPr>
            <w:tcW w:w="200" w:type="dxa"/>
            <w:vAlign w:val="bottom"/>
          </w:tcPr>
          <w:p>
            <w:pPr>
              <w:spacing w:after="0"/>
              <w:rPr>
                <w:sz w:val="14"/>
                <w:szCs w:val="14"/>
                <w:color w:val="auto"/>
              </w:rPr>
            </w:pPr>
          </w:p>
        </w:tc>
        <w:tc>
          <w:tcPr>
            <w:tcW w:w="1260" w:type="dxa"/>
            <w:vAlign w:val="bottom"/>
          </w:tcPr>
          <w:p>
            <w:pPr>
              <w:jc w:val="right"/>
              <w:ind w:right="152"/>
              <w:spacing w:after="0"/>
              <w:rPr>
                <w:sz w:val="20"/>
                <w:szCs w:val="20"/>
                <w:color w:val="auto"/>
              </w:rPr>
            </w:pPr>
            <w:r>
              <w:rPr>
                <w:rFonts w:ascii="Arial" w:cs="Arial" w:eastAsia="Arial" w:hAnsi="Arial"/>
                <w:sz w:val="13"/>
                <w:szCs w:val="13"/>
                <w:color w:val="auto"/>
              </w:rPr>
              <w:t>$1,100,000</w:t>
            </w:r>
          </w:p>
        </w:tc>
        <w:tc>
          <w:tcPr>
            <w:tcW w:w="920" w:type="dxa"/>
            <w:vAlign w:val="bottom"/>
          </w:tcPr>
          <w:p>
            <w:pPr>
              <w:jc w:val="right"/>
              <w:ind w:right="32"/>
              <w:spacing w:after="0"/>
              <w:rPr>
                <w:sz w:val="20"/>
                <w:szCs w:val="20"/>
                <w:color w:val="auto"/>
              </w:rPr>
            </w:pPr>
            <w:r>
              <w:rPr>
                <w:rFonts w:ascii="Arial" w:cs="Arial" w:eastAsia="Arial" w:hAnsi="Arial"/>
                <w:sz w:val="13"/>
                <w:szCs w:val="13"/>
                <w:color w:val="auto"/>
              </w:rPr>
              <w:t>$342,792</w:t>
            </w:r>
          </w:p>
        </w:tc>
        <w:tc>
          <w:tcPr>
            <w:tcW w:w="1220" w:type="dxa"/>
            <w:vAlign w:val="bottom"/>
          </w:tcPr>
          <w:p>
            <w:pPr>
              <w:jc w:val="right"/>
              <w:ind w:right="12"/>
              <w:spacing w:after="0"/>
              <w:rPr>
                <w:sz w:val="20"/>
                <w:szCs w:val="20"/>
                <w:color w:val="auto"/>
              </w:rPr>
            </w:pPr>
            <w:r>
              <w:rPr>
                <w:rFonts w:ascii="Arial" w:cs="Arial" w:eastAsia="Arial" w:hAnsi="Arial"/>
                <w:sz w:val="13"/>
                <w:szCs w:val="13"/>
                <w:color w:val="auto"/>
              </w:rPr>
              <w:t>$60,000</w:t>
            </w:r>
          </w:p>
        </w:tc>
        <w:tc>
          <w:tcPr>
            <w:tcW w:w="1140" w:type="dxa"/>
            <w:vAlign w:val="bottom"/>
          </w:tcPr>
          <w:p>
            <w:pPr>
              <w:jc w:val="right"/>
              <w:ind w:right="12"/>
              <w:spacing w:after="0"/>
              <w:rPr>
                <w:sz w:val="20"/>
                <w:szCs w:val="20"/>
                <w:color w:val="auto"/>
              </w:rPr>
            </w:pPr>
            <w:r>
              <w:rPr>
                <w:rFonts w:ascii="Arial" w:cs="Arial" w:eastAsia="Arial" w:hAnsi="Arial"/>
                <w:sz w:val="13"/>
                <w:szCs w:val="13"/>
                <w:color w:val="auto"/>
              </w:rPr>
              <w:t>$7,527,092</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M.D., Ph.D.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3"/>
                <w:szCs w:val="13"/>
                <w:color w:val="auto"/>
              </w:rPr>
              <w:t>Senior Vice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President,</w:t>
            </w:r>
          </w:p>
        </w:tc>
        <w:tc>
          <w:tcPr>
            <w:tcW w:w="420" w:type="dxa"/>
            <w:vAlign w:val="bottom"/>
            <w:vMerge w:val="restart"/>
          </w:tcPr>
          <w:p>
            <w:pPr>
              <w:ind w:left="60"/>
              <w:spacing w:after="0"/>
              <w:rPr>
                <w:sz w:val="20"/>
                <w:szCs w:val="20"/>
                <w:color w:val="auto"/>
              </w:rPr>
            </w:pPr>
            <w:r>
              <w:rPr>
                <w:rFonts w:ascii="Arial" w:cs="Arial" w:eastAsia="Arial" w:hAnsi="Arial"/>
                <w:sz w:val="13"/>
                <w:szCs w:val="13"/>
                <w:color w:val="auto"/>
              </w:rPr>
              <w:t>2020</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$983,333</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vMerge w:val="restart"/>
          </w:tcPr>
          <w:p>
            <w:pPr>
              <w:jc w:val="right"/>
              <w:ind w:right="12"/>
              <w:spacing w:after="0"/>
              <w:rPr>
                <w:sz w:val="20"/>
                <w:szCs w:val="20"/>
                <w:color w:val="auto"/>
              </w:rPr>
            </w:pPr>
            <w:r>
              <w:rPr>
                <w:rFonts w:ascii="Arial" w:cs="Arial" w:eastAsia="Arial" w:hAnsi="Arial"/>
                <w:sz w:val="13"/>
                <w:szCs w:val="13"/>
                <w:color w:val="auto"/>
              </w:rPr>
              <w:t>$4,456,700</w:t>
            </w:r>
          </w:p>
        </w:tc>
        <w:tc>
          <w:tcPr>
            <w:tcW w:w="200" w:type="dxa"/>
            <w:vAlign w:val="bottom"/>
          </w:tcPr>
          <w:p>
            <w:pPr>
              <w:spacing w:after="0"/>
              <w:rPr>
                <w:sz w:val="14"/>
                <w:szCs w:val="14"/>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3"/>
                <w:szCs w:val="13"/>
                <w:color w:val="auto"/>
              </w:rPr>
              <w:t>$1,102,317</w:t>
            </w:r>
          </w:p>
        </w:tc>
        <w:tc>
          <w:tcPr>
            <w:tcW w:w="920" w:type="dxa"/>
            <w:vAlign w:val="bottom"/>
            <w:vMerge w:val="restart"/>
          </w:tcPr>
          <w:p>
            <w:pPr>
              <w:jc w:val="right"/>
              <w:ind w:right="32"/>
              <w:spacing w:after="0"/>
              <w:rPr>
                <w:sz w:val="20"/>
                <w:szCs w:val="20"/>
                <w:color w:val="auto"/>
              </w:rPr>
            </w:pPr>
            <w:r>
              <w:rPr>
                <w:rFonts w:ascii="Arial" w:cs="Arial" w:eastAsia="Arial" w:hAnsi="Arial"/>
                <w:sz w:val="13"/>
                <w:szCs w:val="13"/>
                <w:color w:val="auto"/>
              </w:rPr>
              <w:t>$751,223</w:t>
            </w:r>
          </w:p>
        </w:tc>
        <w:tc>
          <w:tcPr>
            <w:tcW w:w="1220" w:type="dxa"/>
            <w:vAlign w:val="bottom"/>
            <w:vMerge w:val="restart"/>
          </w:tcPr>
          <w:p>
            <w:pPr>
              <w:jc w:val="right"/>
              <w:ind w:right="12"/>
              <w:spacing w:after="0"/>
              <w:rPr>
                <w:sz w:val="20"/>
                <w:szCs w:val="20"/>
                <w:color w:val="auto"/>
              </w:rPr>
            </w:pPr>
            <w:r>
              <w:rPr>
                <w:rFonts w:ascii="Arial" w:cs="Arial" w:eastAsia="Arial" w:hAnsi="Arial"/>
                <w:sz w:val="13"/>
                <w:szCs w:val="13"/>
                <w:color w:val="auto"/>
              </w:rPr>
              <w:t>$58,539</w:t>
            </w:r>
          </w:p>
        </w:tc>
        <w:tc>
          <w:tcPr>
            <w:tcW w:w="1140" w:type="dxa"/>
            <w:vAlign w:val="bottom"/>
            <w:vMerge w:val="restart"/>
          </w:tcPr>
          <w:p>
            <w:pPr>
              <w:jc w:val="right"/>
              <w:ind w:right="12"/>
              <w:spacing w:after="0"/>
              <w:rPr>
                <w:sz w:val="20"/>
                <w:szCs w:val="20"/>
                <w:color w:val="auto"/>
              </w:rPr>
            </w:pPr>
            <w:r>
              <w:rPr>
                <w:rFonts w:ascii="Arial" w:cs="Arial" w:eastAsia="Arial" w:hAnsi="Arial"/>
                <w:sz w:val="13"/>
                <w:szCs w:val="13"/>
                <w:color w:val="auto"/>
              </w:rPr>
              <w:t>$7,352,112</w:t>
            </w:r>
          </w:p>
        </w:tc>
        <w:tc>
          <w:tcPr>
            <w:tcW w:w="0" w:type="dxa"/>
            <w:vAlign w:val="bottom"/>
          </w:tcPr>
          <w:p>
            <w:pPr>
              <w:spacing w:after="0"/>
              <w:rPr>
                <w:sz w:val="1"/>
                <w:szCs w:val="1"/>
                <w:color w:val="auto"/>
              </w:rPr>
            </w:pPr>
          </w:p>
        </w:tc>
      </w:tr>
      <w:tr>
        <w:trPr>
          <w:trHeight w:val="68"/>
        </w:trPr>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Chief Scientific</w:t>
            </w:r>
          </w:p>
        </w:tc>
        <w:tc>
          <w:tcPr>
            <w:tcW w:w="4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and Medical</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Officer and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President, Lilly</w:t>
            </w:r>
          </w:p>
        </w:tc>
        <w:tc>
          <w:tcPr>
            <w:tcW w:w="420" w:type="dxa"/>
            <w:vAlign w:val="bottom"/>
            <w:vMerge w:val="restart"/>
          </w:tcPr>
          <w:p>
            <w:pPr>
              <w:ind w:left="60"/>
              <w:spacing w:after="0"/>
              <w:rPr>
                <w:sz w:val="20"/>
                <w:szCs w:val="20"/>
                <w:color w:val="auto"/>
              </w:rPr>
            </w:pPr>
            <w:r>
              <w:rPr>
                <w:rFonts w:ascii="Arial" w:cs="Arial" w:eastAsia="Arial" w:hAnsi="Arial"/>
                <w:sz w:val="13"/>
                <w:szCs w:val="13"/>
                <w:color w:val="auto"/>
              </w:rPr>
              <w:t>2019</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$900,000</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vMerge w:val="restart"/>
          </w:tcPr>
          <w:p>
            <w:pPr>
              <w:jc w:val="right"/>
              <w:ind w:right="12"/>
              <w:spacing w:after="0"/>
              <w:rPr>
                <w:sz w:val="20"/>
                <w:szCs w:val="20"/>
                <w:color w:val="auto"/>
              </w:rPr>
            </w:pPr>
            <w:r>
              <w:rPr>
                <w:rFonts w:ascii="Arial" w:cs="Arial" w:eastAsia="Arial" w:hAnsi="Arial"/>
                <w:sz w:val="13"/>
                <w:szCs w:val="13"/>
                <w:color w:val="auto"/>
              </w:rPr>
              <w:t>$4,074,000</w:t>
            </w:r>
          </w:p>
        </w:tc>
        <w:tc>
          <w:tcPr>
            <w:tcW w:w="200" w:type="dxa"/>
            <w:vAlign w:val="bottom"/>
          </w:tcPr>
          <w:p>
            <w:pPr>
              <w:spacing w:after="0"/>
              <w:rPr>
                <w:sz w:val="14"/>
                <w:szCs w:val="14"/>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3"/>
                <w:szCs w:val="13"/>
                <w:color w:val="auto"/>
              </w:rPr>
              <w:t>$1,188,450</w:t>
            </w:r>
          </w:p>
        </w:tc>
        <w:tc>
          <w:tcPr>
            <w:tcW w:w="920" w:type="dxa"/>
            <w:vAlign w:val="bottom"/>
            <w:vMerge w:val="restart"/>
          </w:tcPr>
          <w:p>
            <w:pPr>
              <w:jc w:val="right"/>
              <w:ind w:right="32"/>
              <w:spacing w:after="0"/>
              <w:rPr>
                <w:sz w:val="20"/>
                <w:szCs w:val="20"/>
                <w:color w:val="auto"/>
              </w:rPr>
            </w:pPr>
            <w:r>
              <w:rPr>
                <w:rFonts w:ascii="Arial" w:cs="Arial" w:eastAsia="Arial" w:hAnsi="Arial"/>
                <w:sz w:val="13"/>
                <w:szCs w:val="13"/>
                <w:color w:val="auto"/>
              </w:rPr>
              <w:t>$446,521</w:t>
            </w:r>
          </w:p>
        </w:tc>
        <w:tc>
          <w:tcPr>
            <w:tcW w:w="1220" w:type="dxa"/>
            <w:vAlign w:val="bottom"/>
            <w:vMerge w:val="restart"/>
          </w:tcPr>
          <w:p>
            <w:pPr>
              <w:jc w:val="right"/>
              <w:ind w:right="12"/>
              <w:spacing w:after="0"/>
              <w:rPr>
                <w:sz w:val="20"/>
                <w:szCs w:val="20"/>
                <w:color w:val="auto"/>
              </w:rPr>
            </w:pPr>
            <w:r>
              <w:rPr>
                <w:rFonts w:ascii="Arial" w:cs="Arial" w:eastAsia="Arial" w:hAnsi="Arial"/>
                <w:sz w:val="13"/>
                <w:szCs w:val="13"/>
                <w:color w:val="auto"/>
              </w:rPr>
              <w:t>$54,000</w:t>
            </w:r>
          </w:p>
        </w:tc>
        <w:tc>
          <w:tcPr>
            <w:tcW w:w="1140" w:type="dxa"/>
            <w:vAlign w:val="bottom"/>
            <w:vMerge w:val="restart"/>
          </w:tcPr>
          <w:p>
            <w:pPr>
              <w:jc w:val="right"/>
              <w:ind w:right="12"/>
              <w:spacing w:after="0"/>
              <w:rPr>
                <w:sz w:val="20"/>
                <w:szCs w:val="20"/>
                <w:color w:val="auto"/>
              </w:rPr>
            </w:pPr>
            <w:r>
              <w:rPr>
                <w:rFonts w:ascii="Arial" w:cs="Arial" w:eastAsia="Arial" w:hAnsi="Arial"/>
                <w:sz w:val="13"/>
                <w:szCs w:val="13"/>
                <w:color w:val="auto"/>
              </w:rPr>
              <w:t>$6,662,971</w:t>
            </w:r>
          </w:p>
        </w:tc>
        <w:tc>
          <w:tcPr>
            <w:tcW w:w="0" w:type="dxa"/>
            <w:vAlign w:val="bottom"/>
          </w:tcPr>
          <w:p>
            <w:pPr>
              <w:spacing w:after="0"/>
              <w:rPr>
                <w:sz w:val="1"/>
                <w:szCs w:val="1"/>
                <w:color w:val="auto"/>
              </w:rPr>
            </w:pPr>
          </w:p>
        </w:tc>
      </w:tr>
      <w:tr>
        <w:trPr>
          <w:trHeight w:val="95"/>
        </w:trPr>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Research</w:t>
            </w: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0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Laboratories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Jacob Van</w:t>
            </w:r>
          </w:p>
        </w:tc>
        <w:tc>
          <w:tcPr>
            <w:tcW w:w="420" w:type="dxa"/>
            <w:vAlign w:val="bottom"/>
            <w:shd w:val="clear" w:color="auto" w:fill="E6E6E6"/>
          </w:tcPr>
          <w:p>
            <w:pPr>
              <w:spacing w:after="0"/>
              <w:rPr>
                <w:sz w:val="16"/>
                <w:szCs w:val="16"/>
                <w:color w:val="auto"/>
              </w:rPr>
            </w:pPr>
          </w:p>
        </w:tc>
        <w:tc>
          <w:tcPr>
            <w:tcW w:w="960" w:type="dxa"/>
            <w:vAlign w:val="bottom"/>
            <w:shd w:val="clear" w:color="auto" w:fill="E6E6E6"/>
          </w:tcPr>
          <w:p>
            <w:pPr>
              <w:jc w:val="right"/>
              <w:ind w:right="13"/>
              <w:spacing w:after="0"/>
              <w:rPr>
                <w:sz w:val="20"/>
                <w:szCs w:val="20"/>
                <w:color w:val="auto"/>
              </w:rPr>
            </w:pPr>
            <w:r>
              <w:rPr>
                <w:rFonts w:ascii="Arial" w:cs="Arial" w:eastAsia="Arial" w:hAnsi="Arial"/>
                <w:sz w:val="9"/>
                <w:szCs w:val="9"/>
                <w:color w:val="auto"/>
              </w:rPr>
              <w:t>5</w:t>
            </w:r>
          </w:p>
        </w:tc>
        <w:tc>
          <w:tcPr>
            <w:tcW w:w="840" w:type="dxa"/>
            <w:vAlign w:val="bottom"/>
            <w:shd w:val="clear" w:color="auto" w:fill="E6E6E6"/>
          </w:tcPr>
          <w:p>
            <w:pPr>
              <w:jc w:val="right"/>
              <w:spacing w:after="0"/>
              <w:rPr>
                <w:sz w:val="20"/>
                <w:szCs w:val="20"/>
                <w:color w:val="auto"/>
              </w:rPr>
            </w:pPr>
            <w:r>
              <w:rPr>
                <w:rFonts w:ascii="Arial" w:cs="Arial" w:eastAsia="Arial" w:hAnsi="Arial"/>
                <w:sz w:val="9"/>
                <w:szCs w:val="9"/>
                <w:color w:val="auto"/>
              </w:rPr>
              <w:t>6</w:t>
            </w:r>
          </w:p>
        </w:tc>
        <w:tc>
          <w:tcPr>
            <w:tcW w:w="9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2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1220" w:type="dxa"/>
            <w:vAlign w:val="bottom"/>
            <w:shd w:val="clear" w:color="auto" w:fill="E6E6E6"/>
          </w:tcPr>
          <w:p>
            <w:pPr>
              <w:spacing w:after="0"/>
              <w:rPr>
                <w:sz w:val="16"/>
                <w:szCs w:val="16"/>
                <w:color w:val="auto"/>
              </w:rPr>
            </w:pPr>
          </w:p>
        </w:tc>
        <w:tc>
          <w:tcPr>
            <w:tcW w:w="114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Naarden</w:t>
            </w:r>
          </w:p>
        </w:tc>
        <w:tc>
          <w:tcPr>
            <w:tcW w:w="420" w:type="dxa"/>
            <w:vAlign w:val="bottom"/>
            <w:shd w:val="clear" w:color="auto" w:fill="E6E6E6"/>
          </w:tcPr>
          <w:p>
            <w:pPr>
              <w:ind w:left="60"/>
              <w:spacing w:after="0"/>
              <w:rPr>
                <w:sz w:val="20"/>
                <w:szCs w:val="20"/>
                <w:color w:val="auto"/>
              </w:rPr>
            </w:pPr>
            <w:r>
              <w:rPr>
                <w:rFonts w:ascii="Arial" w:cs="Arial" w:eastAsia="Arial" w:hAnsi="Arial"/>
                <w:sz w:val="13"/>
                <w:szCs w:val="13"/>
                <w:color w:val="auto"/>
              </w:rPr>
              <w:t>2021</w:t>
            </w:r>
          </w:p>
        </w:tc>
        <w:tc>
          <w:tcPr>
            <w:tcW w:w="960" w:type="dxa"/>
            <w:vAlign w:val="bottom"/>
            <w:shd w:val="clear" w:color="auto" w:fill="E6E6E6"/>
          </w:tcPr>
          <w:p>
            <w:pPr>
              <w:jc w:val="right"/>
              <w:ind w:right="153"/>
              <w:spacing w:after="0"/>
              <w:rPr>
                <w:sz w:val="20"/>
                <w:szCs w:val="20"/>
                <w:color w:val="auto"/>
              </w:rPr>
            </w:pPr>
            <w:r>
              <w:rPr>
                <w:rFonts w:ascii="Arial" w:cs="Arial" w:eastAsia="Arial" w:hAnsi="Arial"/>
                <w:sz w:val="13"/>
                <w:szCs w:val="13"/>
                <w:color w:val="auto"/>
              </w:rPr>
              <w:t>$745,649</w:t>
            </w:r>
          </w:p>
        </w:tc>
        <w:tc>
          <w:tcPr>
            <w:tcW w:w="840" w:type="dxa"/>
            <w:vAlign w:val="bottom"/>
            <w:shd w:val="clear" w:color="auto" w:fill="E6E6E6"/>
          </w:tcPr>
          <w:p>
            <w:pPr>
              <w:jc w:val="center"/>
              <w:ind w:right="53"/>
              <w:spacing w:after="0"/>
              <w:rPr>
                <w:sz w:val="20"/>
                <w:szCs w:val="20"/>
                <w:color w:val="auto"/>
              </w:rPr>
            </w:pPr>
            <w:r>
              <w:rPr>
                <w:rFonts w:ascii="Arial" w:cs="Arial" w:eastAsia="Arial" w:hAnsi="Arial"/>
                <w:sz w:val="13"/>
                <w:szCs w:val="13"/>
                <w:color w:val="auto"/>
              </w:rPr>
              <w:t>$218,715</w:t>
            </w:r>
          </w:p>
        </w:tc>
        <w:tc>
          <w:tcPr>
            <w:tcW w:w="92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$4,099,500</w:t>
            </w:r>
          </w:p>
        </w:tc>
        <w:tc>
          <w:tcPr>
            <w:tcW w:w="200" w:type="dxa"/>
            <w:vAlign w:val="bottom"/>
            <w:shd w:val="clear" w:color="auto" w:fill="E6E6E6"/>
          </w:tcPr>
          <w:p>
            <w:pPr>
              <w:spacing w:after="0"/>
              <w:rPr>
                <w:sz w:val="14"/>
                <w:szCs w:val="14"/>
                <w:color w:val="auto"/>
              </w:rPr>
            </w:pPr>
          </w:p>
        </w:tc>
        <w:tc>
          <w:tcPr>
            <w:tcW w:w="1260" w:type="dxa"/>
            <w:vAlign w:val="bottom"/>
            <w:shd w:val="clear" w:color="auto" w:fill="E6E6E6"/>
          </w:tcPr>
          <w:p>
            <w:pPr>
              <w:jc w:val="right"/>
              <w:ind w:right="152"/>
              <w:spacing w:after="0"/>
              <w:rPr>
                <w:sz w:val="20"/>
                <w:szCs w:val="20"/>
                <w:color w:val="auto"/>
              </w:rPr>
            </w:pPr>
            <w:r>
              <w:rPr>
                <w:rFonts w:ascii="Arial" w:cs="Arial" w:eastAsia="Arial" w:hAnsi="Arial"/>
                <w:sz w:val="13"/>
                <w:szCs w:val="13"/>
                <w:color w:val="auto"/>
              </w:rPr>
              <w:t>$1,029,507</w:t>
            </w:r>
          </w:p>
        </w:tc>
        <w:tc>
          <w:tcPr>
            <w:tcW w:w="920" w:type="dxa"/>
            <w:vAlign w:val="bottom"/>
            <w:shd w:val="clear" w:color="auto" w:fill="E6E6E6"/>
          </w:tcPr>
          <w:p>
            <w:pPr>
              <w:jc w:val="right"/>
              <w:ind w:right="32"/>
              <w:spacing w:after="0"/>
              <w:rPr>
                <w:sz w:val="20"/>
                <w:szCs w:val="20"/>
                <w:color w:val="auto"/>
              </w:rPr>
            </w:pPr>
            <w:r>
              <w:rPr>
                <w:rFonts w:ascii="Arial" w:cs="Arial" w:eastAsia="Arial" w:hAnsi="Arial"/>
                <w:sz w:val="13"/>
                <w:szCs w:val="13"/>
                <w:color w:val="auto"/>
              </w:rPr>
              <w:t>$16,909</w:t>
            </w:r>
          </w:p>
        </w:tc>
        <w:tc>
          <w:tcPr>
            <w:tcW w:w="1220" w:type="dxa"/>
            <w:vAlign w:val="bottom"/>
            <w:shd w:val="clear" w:color="auto" w:fill="E6E6E6"/>
          </w:tcPr>
          <w:p>
            <w:pPr>
              <w:jc w:val="right"/>
              <w:ind w:right="72"/>
              <w:spacing w:after="0"/>
              <w:rPr>
                <w:sz w:val="20"/>
                <w:szCs w:val="20"/>
                <w:color w:val="auto"/>
              </w:rPr>
            </w:pPr>
            <w:r>
              <w:rPr>
                <w:rFonts w:ascii="Arial" w:cs="Arial" w:eastAsia="Arial" w:hAnsi="Arial"/>
                <w:sz w:val="13"/>
                <w:szCs w:val="13"/>
                <w:color w:val="auto"/>
              </w:rPr>
              <w:t>$12,462</w:t>
            </w:r>
          </w:p>
        </w:tc>
        <w:tc>
          <w:tcPr>
            <w:tcW w:w="114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$6,122,742</w:t>
            </w:r>
          </w:p>
        </w:tc>
        <w:tc>
          <w:tcPr>
            <w:tcW w:w="0" w:type="dxa"/>
            <w:vAlign w:val="bottom"/>
          </w:tcPr>
          <w:p>
            <w:pPr>
              <w:spacing w:after="0"/>
              <w:rPr>
                <w:sz w:val="1"/>
                <w:szCs w:val="1"/>
                <w:color w:val="auto"/>
              </w:rPr>
            </w:pPr>
          </w:p>
        </w:tc>
      </w:tr>
      <w:tr>
        <w:trPr>
          <w:trHeight w:val="216"/>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Senior Vice</w:t>
            </w:r>
          </w:p>
        </w:tc>
        <w:tc>
          <w:tcPr>
            <w:tcW w:w="42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President, CEO</w:t>
            </w:r>
          </w:p>
        </w:tc>
        <w:tc>
          <w:tcPr>
            <w:tcW w:w="420" w:type="dxa"/>
            <w:vAlign w:val="bottom"/>
            <w:shd w:val="clear" w:color="auto" w:fill="E6E6E6"/>
          </w:tcPr>
          <w:p>
            <w:pPr>
              <w:ind w:left="60"/>
              <w:spacing w:after="0"/>
              <w:rPr>
                <w:sz w:val="20"/>
                <w:szCs w:val="20"/>
                <w:color w:val="auto"/>
              </w:rPr>
            </w:pPr>
            <w:r>
              <w:rPr>
                <w:rFonts w:ascii="Arial" w:cs="Arial" w:eastAsia="Arial" w:hAnsi="Arial"/>
                <w:sz w:val="13"/>
                <w:szCs w:val="13"/>
                <w:color w:val="auto"/>
              </w:rPr>
              <w:t>2020</w:t>
            </w:r>
          </w:p>
        </w:tc>
        <w:tc>
          <w:tcPr>
            <w:tcW w:w="960" w:type="dxa"/>
            <w:vAlign w:val="bottom"/>
            <w:shd w:val="clear" w:color="auto" w:fill="E6E6E6"/>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shd w:val="clear" w:color="auto" w:fill="E6E6E6"/>
          </w:tcPr>
          <w:p>
            <w:pPr>
              <w:jc w:val="right"/>
              <w:ind w:right="73"/>
              <w:spacing w:after="0"/>
              <w:rPr>
                <w:sz w:val="20"/>
                <w:szCs w:val="20"/>
                <w:color w:val="auto"/>
              </w:rPr>
            </w:pPr>
            <w:r>
              <w:rPr>
                <w:rFonts w:ascii="Arial" w:cs="Arial" w:eastAsia="Arial" w:hAnsi="Arial"/>
                <w:sz w:val="13"/>
                <w:szCs w:val="13"/>
                <w:color w:val="auto"/>
              </w:rPr>
              <w:t>N/A</w:t>
            </w:r>
          </w:p>
        </w:tc>
        <w:tc>
          <w:tcPr>
            <w:tcW w:w="9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200" w:type="dxa"/>
            <w:vAlign w:val="bottom"/>
            <w:shd w:val="clear" w:color="auto" w:fill="E6E6E6"/>
          </w:tcPr>
          <w:p>
            <w:pPr>
              <w:spacing w:after="0"/>
              <w:rPr>
                <w:sz w:val="14"/>
                <w:szCs w:val="14"/>
                <w:color w:val="auto"/>
              </w:rPr>
            </w:pPr>
          </w:p>
        </w:tc>
        <w:tc>
          <w:tcPr>
            <w:tcW w:w="1260" w:type="dxa"/>
            <w:vAlign w:val="bottom"/>
            <w:shd w:val="clear" w:color="auto" w:fill="E6E6E6"/>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shd w:val="clear" w:color="auto" w:fill="E6E6E6"/>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shd w:val="clear" w:color="auto" w:fill="E6E6E6"/>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Loxo Oncology</w:t>
            </w:r>
          </w:p>
        </w:tc>
        <w:tc>
          <w:tcPr>
            <w:tcW w:w="420" w:type="dxa"/>
            <w:vAlign w:val="bottom"/>
            <w:shd w:val="clear" w:color="auto" w:fill="E6E6E6"/>
          </w:tcPr>
          <w:p>
            <w:pPr>
              <w:spacing w:after="0"/>
              <w:rPr>
                <w:sz w:val="14"/>
                <w:szCs w:val="14"/>
                <w:color w:val="auto"/>
              </w:rPr>
            </w:pPr>
          </w:p>
        </w:tc>
        <w:tc>
          <w:tcPr>
            <w:tcW w:w="960" w:type="dxa"/>
            <w:vAlign w:val="bottom"/>
            <w:shd w:val="clear" w:color="auto" w:fill="E6E6E6"/>
          </w:tcPr>
          <w:p>
            <w:pPr>
              <w:spacing w:after="0"/>
              <w:rPr>
                <w:sz w:val="14"/>
                <w:szCs w:val="14"/>
                <w:color w:val="auto"/>
              </w:rPr>
            </w:pPr>
          </w:p>
        </w:tc>
        <w:tc>
          <w:tcPr>
            <w:tcW w:w="84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126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122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at Lilly and</w:t>
            </w:r>
          </w:p>
        </w:tc>
        <w:tc>
          <w:tcPr>
            <w:tcW w:w="420" w:type="dxa"/>
            <w:vAlign w:val="bottom"/>
            <w:shd w:val="clear" w:color="auto" w:fill="E6E6E6"/>
          </w:tcPr>
          <w:p>
            <w:pPr>
              <w:spacing w:after="0"/>
              <w:rPr>
                <w:sz w:val="14"/>
                <w:szCs w:val="14"/>
                <w:color w:val="auto"/>
              </w:rPr>
            </w:pPr>
          </w:p>
        </w:tc>
        <w:tc>
          <w:tcPr>
            <w:tcW w:w="960" w:type="dxa"/>
            <w:vAlign w:val="bottom"/>
            <w:shd w:val="clear" w:color="auto" w:fill="E6E6E6"/>
          </w:tcPr>
          <w:p>
            <w:pPr>
              <w:spacing w:after="0"/>
              <w:rPr>
                <w:sz w:val="14"/>
                <w:szCs w:val="14"/>
                <w:color w:val="auto"/>
              </w:rPr>
            </w:pPr>
          </w:p>
        </w:tc>
        <w:tc>
          <w:tcPr>
            <w:tcW w:w="84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126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1220" w:type="dxa"/>
            <w:vAlign w:val="bottom"/>
            <w:shd w:val="clear" w:color="auto" w:fill="E6E6E6"/>
          </w:tcPr>
          <w:p>
            <w:pPr>
              <w:spacing w:after="0"/>
              <w:rPr>
                <w:sz w:val="14"/>
                <w:szCs w:val="14"/>
                <w:color w:val="auto"/>
              </w:rPr>
            </w:pPr>
          </w:p>
        </w:tc>
        <w:tc>
          <w:tcPr>
            <w:tcW w:w="114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President, Lilly</w:t>
            </w:r>
          </w:p>
        </w:tc>
        <w:tc>
          <w:tcPr>
            <w:tcW w:w="420" w:type="dxa"/>
            <w:vAlign w:val="bottom"/>
            <w:vMerge w:val="restart"/>
            <w:shd w:val="clear" w:color="auto" w:fill="E6E6E6"/>
          </w:tcPr>
          <w:p>
            <w:pPr>
              <w:ind w:left="60"/>
              <w:spacing w:after="0"/>
              <w:rPr>
                <w:sz w:val="20"/>
                <w:szCs w:val="20"/>
                <w:color w:val="auto"/>
              </w:rPr>
            </w:pPr>
            <w:r>
              <w:rPr>
                <w:rFonts w:ascii="Arial" w:cs="Arial" w:eastAsia="Arial" w:hAnsi="Arial"/>
                <w:sz w:val="13"/>
                <w:szCs w:val="13"/>
                <w:color w:val="auto"/>
              </w:rPr>
              <w:t>2019</w:t>
            </w:r>
          </w:p>
        </w:tc>
        <w:tc>
          <w:tcPr>
            <w:tcW w:w="960" w:type="dxa"/>
            <w:vAlign w:val="bottom"/>
            <w:vMerge w:val="restart"/>
            <w:shd w:val="clear" w:color="auto" w:fill="E6E6E6"/>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vMerge w:val="restart"/>
            <w:shd w:val="clear" w:color="auto" w:fill="E6E6E6"/>
          </w:tcPr>
          <w:p>
            <w:pPr>
              <w:jc w:val="right"/>
              <w:ind w:right="73"/>
              <w:spacing w:after="0"/>
              <w:rPr>
                <w:sz w:val="20"/>
                <w:szCs w:val="20"/>
                <w:color w:val="auto"/>
              </w:rPr>
            </w:pPr>
            <w:r>
              <w:rPr>
                <w:rFonts w:ascii="Arial" w:cs="Arial" w:eastAsia="Arial" w:hAnsi="Arial"/>
                <w:sz w:val="13"/>
                <w:szCs w:val="13"/>
                <w:color w:val="auto"/>
              </w:rPr>
              <w:t>N/A</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200" w:type="dxa"/>
            <w:vAlign w:val="bottom"/>
            <w:shd w:val="clear" w:color="auto" w:fill="E6E6E6"/>
          </w:tcPr>
          <w:p>
            <w:pPr>
              <w:spacing w:after="0"/>
              <w:rPr>
                <w:sz w:val="14"/>
                <w:szCs w:val="14"/>
                <w:color w:val="auto"/>
              </w:rPr>
            </w:pPr>
          </w:p>
        </w:tc>
        <w:tc>
          <w:tcPr>
            <w:tcW w:w="1260" w:type="dxa"/>
            <w:vAlign w:val="bottom"/>
            <w:vMerge w:val="restart"/>
            <w:shd w:val="clear" w:color="auto" w:fill="E6E6E6"/>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vMerge w:val="restart"/>
            <w:shd w:val="clear" w:color="auto" w:fill="E6E6E6"/>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vMerge w:val="restart"/>
            <w:shd w:val="clear" w:color="auto" w:fill="E6E6E6"/>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54"/>
        </w:trPr>
        <w:tc>
          <w:tcPr>
            <w:tcW w:w="106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rPr>
              <w:t>Oncology</w:t>
            </w:r>
          </w:p>
        </w:tc>
        <w:tc>
          <w:tcPr>
            <w:tcW w:w="420" w:type="dxa"/>
            <w:vAlign w:val="bottom"/>
            <w:vMerge w:val="continue"/>
            <w:shd w:val="clear" w:color="auto" w:fill="E6E6E6"/>
          </w:tcPr>
          <w:p>
            <w:pPr>
              <w:spacing w:after="0"/>
              <w:rPr>
                <w:sz w:val="4"/>
                <w:szCs w:val="4"/>
                <w:color w:val="auto"/>
              </w:rPr>
            </w:pPr>
          </w:p>
        </w:tc>
        <w:tc>
          <w:tcPr>
            <w:tcW w:w="960" w:type="dxa"/>
            <w:vAlign w:val="bottom"/>
            <w:vMerge w:val="continue"/>
            <w:shd w:val="clear" w:color="auto" w:fill="E6E6E6"/>
          </w:tcPr>
          <w:p>
            <w:pPr>
              <w:spacing w:after="0"/>
              <w:rPr>
                <w:sz w:val="4"/>
                <w:szCs w:val="4"/>
                <w:color w:val="auto"/>
              </w:rPr>
            </w:pPr>
          </w:p>
        </w:tc>
        <w:tc>
          <w:tcPr>
            <w:tcW w:w="840" w:type="dxa"/>
            <w:vAlign w:val="bottom"/>
            <w:vMerge w:val="continue"/>
            <w:shd w:val="clear" w:color="auto" w:fill="E6E6E6"/>
          </w:tcPr>
          <w:p>
            <w:pPr>
              <w:spacing w:after="0"/>
              <w:rPr>
                <w:sz w:val="4"/>
                <w:szCs w:val="4"/>
                <w:color w:val="auto"/>
              </w:rPr>
            </w:pPr>
          </w:p>
        </w:tc>
        <w:tc>
          <w:tcPr>
            <w:tcW w:w="920" w:type="dxa"/>
            <w:vAlign w:val="bottom"/>
            <w:vMerge w:val="continue"/>
            <w:shd w:val="clear" w:color="auto" w:fill="E6E6E6"/>
          </w:tcPr>
          <w:p>
            <w:pPr>
              <w:spacing w:after="0"/>
              <w:rPr>
                <w:sz w:val="4"/>
                <w:szCs w:val="4"/>
                <w:color w:val="auto"/>
              </w:rPr>
            </w:pPr>
          </w:p>
        </w:tc>
        <w:tc>
          <w:tcPr>
            <w:tcW w:w="200" w:type="dxa"/>
            <w:vAlign w:val="bottom"/>
            <w:shd w:val="clear" w:color="auto" w:fill="E6E6E6"/>
          </w:tcPr>
          <w:p>
            <w:pPr>
              <w:spacing w:after="0"/>
              <w:rPr>
                <w:sz w:val="4"/>
                <w:szCs w:val="4"/>
                <w:color w:val="auto"/>
              </w:rPr>
            </w:pPr>
          </w:p>
        </w:tc>
        <w:tc>
          <w:tcPr>
            <w:tcW w:w="1260" w:type="dxa"/>
            <w:vAlign w:val="bottom"/>
            <w:vMerge w:val="continue"/>
            <w:shd w:val="clear" w:color="auto" w:fill="E6E6E6"/>
          </w:tcPr>
          <w:p>
            <w:pPr>
              <w:spacing w:after="0"/>
              <w:rPr>
                <w:sz w:val="4"/>
                <w:szCs w:val="4"/>
                <w:color w:val="auto"/>
              </w:rPr>
            </w:pPr>
          </w:p>
        </w:tc>
        <w:tc>
          <w:tcPr>
            <w:tcW w:w="920" w:type="dxa"/>
            <w:vAlign w:val="bottom"/>
            <w:vMerge w:val="continue"/>
            <w:shd w:val="clear" w:color="auto" w:fill="E6E6E6"/>
          </w:tcPr>
          <w:p>
            <w:pPr>
              <w:spacing w:after="0"/>
              <w:rPr>
                <w:sz w:val="4"/>
                <w:szCs w:val="4"/>
                <w:color w:val="auto"/>
              </w:rPr>
            </w:pPr>
          </w:p>
        </w:tc>
        <w:tc>
          <w:tcPr>
            <w:tcW w:w="1220" w:type="dxa"/>
            <w:vAlign w:val="bottom"/>
            <w:vMerge w:val="continue"/>
            <w:shd w:val="clear" w:color="auto" w:fill="E6E6E6"/>
          </w:tcPr>
          <w:p>
            <w:pPr>
              <w:spacing w:after="0"/>
              <w:rPr>
                <w:sz w:val="4"/>
                <w:szCs w:val="4"/>
                <w:color w:val="auto"/>
              </w:rPr>
            </w:pPr>
          </w:p>
        </w:tc>
        <w:tc>
          <w:tcPr>
            <w:tcW w:w="1140" w:type="dxa"/>
            <w:vAlign w:val="bottom"/>
            <w:vMerge w:val="continue"/>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E6E6E6"/>
            </w:tcBorders>
            <w:vMerge w:val="continue"/>
            <w:shd w:val="clear" w:color="auto" w:fill="E6E6E6"/>
          </w:tcPr>
          <w:p>
            <w:pPr>
              <w:spacing w:after="0"/>
              <w:rPr>
                <w:sz w:val="10"/>
                <w:szCs w:val="10"/>
                <w:color w:val="auto"/>
              </w:rPr>
            </w:pPr>
          </w:p>
        </w:tc>
        <w:tc>
          <w:tcPr>
            <w:tcW w:w="420" w:type="dxa"/>
            <w:vAlign w:val="bottom"/>
            <w:tcBorders>
              <w:bottom w:val="single" w:sz="8" w:color="E6E6E6"/>
            </w:tcBorders>
            <w:shd w:val="clear" w:color="auto" w:fill="E6E6E6"/>
          </w:tcPr>
          <w:p>
            <w:pPr>
              <w:spacing w:after="0"/>
              <w:rPr>
                <w:sz w:val="10"/>
                <w:szCs w:val="10"/>
                <w:color w:val="auto"/>
              </w:rPr>
            </w:pPr>
          </w:p>
        </w:tc>
        <w:tc>
          <w:tcPr>
            <w:tcW w:w="960" w:type="dxa"/>
            <w:vAlign w:val="bottom"/>
            <w:tcBorders>
              <w:bottom w:val="single" w:sz="8" w:color="E6E6E6"/>
            </w:tcBorders>
            <w:shd w:val="clear" w:color="auto" w:fill="E6E6E6"/>
          </w:tcPr>
          <w:p>
            <w:pPr>
              <w:spacing w:after="0"/>
              <w:rPr>
                <w:sz w:val="10"/>
                <w:szCs w:val="10"/>
                <w:color w:val="auto"/>
              </w:rPr>
            </w:pPr>
          </w:p>
        </w:tc>
        <w:tc>
          <w:tcPr>
            <w:tcW w:w="840" w:type="dxa"/>
            <w:vAlign w:val="bottom"/>
            <w:tcBorders>
              <w:bottom w:val="single" w:sz="8" w:color="E6E6E6"/>
            </w:tcBorders>
            <w:shd w:val="clear" w:color="auto" w:fill="E6E6E6"/>
          </w:tcPr>
          <w:p>
            <w:pPr>
              <w:spacing w:after="0"/>
              <w:rPr>
                <w:sz w:val="10"/>
                <w:szCs w:val="10"/>
                <w:color w:val="auto"/>
              </w:rPr>
            </w:pPr>
          </w:p>
        </w:tc>
        <w:tc>
          <w:tcPr>
            <w:tcW w:w="920" w:type="dxa"/>
            <w:vAlign w:val="bottom"/>
            <w:tcBorders>
              <w:bottom w:val="single" w:sz="8" w:color="E6E6E6"/>
            </w:tcBorders>
            <w:shd w:val="clear" w:color="auto" w:fill="E6E6E6"/>
          </w:tcPr>
          <w:p>
            <w:pPr>
              <w:spacing w:after="0"/>
              <w:rPr>
                <w:sz w:val="10"/>
                <w:szCs w:val="10"/>
                <w:color w:val="auto"/>
              </w:rPr>
            </w:pPr>
          </w:p>
        </w:tc>
        <w:tc>
          <w:tcPr>
            <w:tcW w:w="200" w:type="dxa"/>
            <w:vAlign w:val="bottom"/>
            <w:tcBorders>
              <w:bottom w:val="single" w:sz="8" w:color="E6E6E6"/>
            </w:tcBorders>
            <w:shd w:val="clear" w:color="auto" w:fill="E6E6E6"/>
          </w:tcPr>
          <w:p>
            <w:pPr>
              <w:spacing w:after="0"/>
              <w:rPr>
                <w:sz w:val="10"/>
                <w:szCs w:val="10"/>
                <w:color w:val="auto"/>
              </w:rPr>
            </w:pPr>
          </w:p>
        </w:tc>
        <w:tc>
          <w:tcPr>
            <w:tcW w:w="1260" w:type="dxa"/>
            <w:vAlign w:val="bottom"/>
            <w:tcBorders>
              <w:bottom w:val="single" w:sz="8" w:color="E6E6E6"/>
            </w:tcBorders>
            <w:shd w:val="clear" w:color="auto" w:fill="E6E6E6"/>
          </w:tcPr>
          <w:p>
            <w:pPr>
              <w:spacing w:after="0"/>
              <w:rPr>
                <w:sz w:val="10"/>
                <w:szCs w:val="10"/>
                <w:color w:val="auto"/>
              </w:rPr>
            </w:pPr>
          </w:p>
        </w:tc>
        <w:tc>
          <w:tcPr>
            <w:tcW w:w="920" w:type="dxa"/>
            <w:vAlign w:val="bottom"/>
            <w:tcBorders>
              <w:bottom w:val="single" w:sz="8" w:color="E6E6E6"/>
            </w:tcBorders>
            <w:shd w:val="clear" w:color="auto" w:fill="E6E6E6"/>
          </w:tcPr>
          <w:p>
            <w:pPr>
              <w:spacing w:after="0"/>
              <w:rPr>
                <w:sz w:val="10"/>
                <w:szCs w:val="10"/>
                <w:color w:val="auto"/>
              </w:rPr>
            </w:pPr>
          </w:p>
        </w:tc>
        <w:tc>
          <w:tcPr>
            <w:tcW w:w="1220" w:type="dxa"/>
            <w:vAlign w:val="bottom"/>
            <w:tcBorders>
              <w:bottom w:val="single" w:sz="8" w:color="E6E6E6"/>
            </w:tcBorders>
            <w:shd w:val="clear" w:color="auto" w:fill="E6E6E6"/>
          </w:tcPr>
          <w:p>
            <w:pPr>
              <w:spacing w:after="0"/>
              <w:rPr>
                <w:sz w:val="10"/>
                <w:szCs w:val="10"/>
                <w:color w:val="auto"/>
              </w:rPr>
            </w:pPr>
          </w:p>
        </w:tc>
        <w:tc>
          <w:tcPr>
            <w:tcW w:w="1140" w:type="dxa"/>
            <w:vAlign w:val="bottom"/>
            <w:tcBorders>
              <w:bottom w:val="single" w:sz="8" w:color="E6E6E6"/>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060" w:type="dxa"/>
            <w:vAlign w:val="bottom"/>
          </w:tcPr>
          <w:p>
            <w:pPr>
              <w:ind w:left="20"/>
              <w:spacing w:after="0"/>
              <w:rPr>
                <w:sz w:val="20"/>
                <w:szCs w:val="20"/>
                <w:color w:val="auto"/>
              </w:rPr>
            </w:pPr>
            <w:r>
              <w:rPr>
                <w:rFonts w:ascii="Arial" w:cs="Arial" w:eastAsia="Arial" w:hAnsi="Arial"/>
                <w:sz w:val="13"/>
                <w:szCs w:val="13"/>
                <w:color w:val="auto"/>
              </w:rPr>
              <w:t>Diogo Rau</w:t>
            </w:r>
            <w:r>
              <w:rPr>
                <w:rFonts w:ascii="Arial" w:cs="Arial" w:eastAsia="Arial" w:hAnsi="Arial"/>
                <w:sz w:val="17"/>
                <w:szCs w:val="17"/>
                <w:color w:val="auto"/>
                <w:vertAlign w:val="superscript"/>
              </w:rPr>
              <w:t>7</w:t>
            </w:r>
          </w:p>
        </w:tc>
        <w:tc>
          <w:tcPr>
            <w:tcW w:w="420" w:type="dxa"/>
            <w:vAlign w:val="bottom"/>
          </w:tcPr>
          <w:p>
            <w:pPr>
              <w:ind w:left="60"/>
              <w:spacing w:after="0"/>
              <w:rPr>
                <w:sz w:val="20"/>
                <w:szCs w:val="20"/>
                <w:color w:val="auto"/>
              </w:rPr>
            </w:pPr>
            <w:r>
              <w:rPr>
                <w:rFonts w:ascii="Arial" w:cs="Arial" w:eastAsia="Arial" w:hAnsi="Arial"/>
                <w:sz w:val="13"/>
                <w:szCs w:val="13"/>
                <w:color w:val="auto"/>
              </w:rPr>
              <w:t>2021</w:t>
            </w:r>
          </w:p>
        </w:tc>
        <w:tc>
          <w:tcPr>
            <w:tcW w:w="960" w:type="dxa"/>
            <w:vAlign w:val="bottom"/>
          </w:tcPr>
          <w:p>
            <w:pPr>
              <w:jc w:val="right"/>
              <w:ind w:right="153"/>
              <w:spacing w:after="0"/>
              <w:rPr>
                <w:sz w:val="20"/>
                <w:szCs w:val="20"/>
                <w:color w:val="auto"/>
              </w:rPr>
            </w:pPr>
            <w:r>
              <w:rPr>
                <w:rFonts w:ascii="Arial" w:cs="Arial" w:eastAsia="Arial" w:hAnsi="Arial"/>
                <w:sz w:val="13"/>
                <w:szCs w:val="13"/>
                <w:color w:val="auto"/>
              </w:rPr>
              <w:t>$412,308</w:t>
            </w:r>
          </w:p>
        </w:tc>
        <w:tc>
          <w:tcPr>
            <w:tcW w:w="840" w:type="dxa"/>
            <w:vAlign w:val="bottom"/>
          </w:tcPr>
          <w:p>
            <w:pPr>
              <w:jc w:val="right"/>
              <w:spacing w:after="0"/>
              <w:rPr>
                <w:sz w:val="20"/>
                <w:szCs w:val="20"/>
                <w:color w:val="auto"/>
              </w:rPr>
            </w:pPr>
            <w:r>
              <w:rPr>
                <w:rFonts w:ascii="Arial" w:cs="Arial" w:eastAsia="Arial" w:hAnsi="Arial"/>
                <w:sz w:val="13"/>
                <w:szCs w:val="13"/>
                <w:color w:val="auto"/>
              </w:rPr>
              <w:t xml:space="preserve">$250,000 </w:t>
            </w:r>
            <w:r>
              <w:rPr>
                <w:rFonts w:ascii="Arial" w:cs="Arial" w:eastAsia="Arial" w:hAnsi="Arial"/>
                <w:sz w:val="17"/>
                <w:szCs w:val="17"/>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3"/>
                <w:szCs w:val="13"/>
                <w:color w:val="auto"/>
              </w:rPr>
              <w:t>$4,000,000</w:t>
            </w:r>
          </w:p>
        </w:tc>
        <w:tc>
          <w:tcPr>
            <w:tcW w:w="20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Arial" w:cs="Arial" w:eastAsia="Arial" w:hAnsi="Arial"/>
                <w:sz w:val="13"/>
                <w:szCs w:val="13"/>
                <w:color w:val="auto"/>
              </w:rPr>
              <w:t>$362,831</w:t>
            </w:r>
          </w:p>
        </w:tc>
        <w:tc>
          <w:tcPr>
            <w:tcW w:w="920" w:type="dxa"/>
            <w:vAlign w:val="bottom"/>
          </w:tcPr>
          <w:p>
            <w:pPr>
              <w:jc w:val="right"/>
              <w:ind w:right="32"/>
              <w:spacing w:after="0"/>
              <w:rPr>
                <w:sz w:val="20"/>
                <w:szCs w:val="20"/>
                <w:color w:val="auto"/>
              </w:rPr>
            </w:pPr>
            <w:r>
              <w:rPr>
                <w:rFonts w:ascii="Arial" w:cs="Arial" w:eastAsia="Arial" w:hAnsi="Arial"/>
                <w:sz w:val="13"/>
                <w:szCs w:val="13"/>
                <w:color w:val="auto"/>
              </w:rPr>
              <w:t>$44,519</w:t>
            </w:r>
          </w:p>
        </w:tc>
        <w:tc>
          <w:tcPr>
            <w:tcW w:w="1220" w:type="dxa"/>
            <w:vAlign w:val="bottom"/>
          </w:tcPr>
          <w:p>
            <w:pPr>
              <w:jc w:val="right"/>
              <w:ind w:right="12"/>
              <w:spacing w:after="0"/>
              <w:rPr>
                <w:sz w:val="20"/>
                <w:szCs w:val="20"/>
                <w:color w:val="auto"/>
              </w:rPr>
            </w:pPr>
            <w:r>
              <w:rPr>
                <w:rFonts w:ascii="Arial" w:cs="Arial" w:eastAsia="Arial" w:hAnsi="Arial"/>
                <w:sz w:val="13"/>
                <w:szCs w:val="13"/>
                <w:color w:val="auto"/>
              </w:rPr>
              <w:t>$31,670</w:t>
            </w:r>
          </w:p>
        </w:tc>
        <w:tc>
          <w:tcPr>
            <w:tcW w:w="1140" w:type="dxa"/>
            <w:vAlign w:val="bottom"/>
          </w:tcPr>
          <w:p>
            <w:pPr>
              <w:jc w:val="right"/>
              <w:ind w:right="12"/>
              <w:spacing w:after="0"/>
              <w:rPr>
                <w:sz w:val="20"/>
                <w:szCs w:val="20"/>
                <w:color w:val="auto"/>
              </w:rPr>
            </w:pPr>
            <w:r>
              <w:rPr>
                <w:rFonts w:ascii="Arial" w:cs="Arial" w:eastAsia="Arial" w:hAnsi="Arial"/>
                <w:sz w:val="13"/>
                <w:szCs w:val="13"/>
                <w:color w:val="auto"/>
              </w:rPr>
              <w:t>$5,101,328</w:t>
            </w:r>
          </w:p>
        </w:tc>
        <w:tc>
          <w:tcPr>
            <w:tcW w:w="0" w:type="dxa"/>
            <w:vAlign w:val="bottom"/>
          </w:tcPr>
          <w:p>
            <w:pPr>
              <w:spacing w:after="0"/>
              <w:rPr>
                <w:sz w:val="1"/>
                <w:szCs w:val="1"/>
                <w:color w:val="auto"/>
              </w:rPr>
            </w:pPr>
          </w:p>
        </w:tc>
      </w:tr>
      <w:tr>
        <w:trPr>
          <w:trHeight w:val="165"/>
        </w:trPr>
        <w:tc>
          <w:tcPr>
            <w:tcW w:w="1060" w:type="dxa"/>
            <w:vAlign w:val="bottom"/>
          </w:tcPr>
          <w:p>
            <w:pPr>
              <w:ind w:left="20"/>
              <w:spacing w:after="0"/>
              <w:rPr>
                <w:sz w:val="20"/>
                <w:szCs w:val="20"/>
                <w:color w:val="auto"/>
              </w:rPr>
            </w:pPr>
            <w:r>
              <w:rPr>
                <w:rFonts w:ascii="Arial" w:cs="Arial" w:eastAsia="Arial" w:hAnsi="Arial"/>
                <w:sz w:val="13"/>
                <w:szCs w:val="13"/>
                <w:color w:val="auto"/>
              </w:rPr>
              <w:t>Senior Vice</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President and</w:t>
            </w:r>
          </w:p>
        </w:tc>
        <w:tc>
          <w:tcPr>
            <w:tcW w:w="420" w:type="dxa"/>
            <w:vAlign w:val="bottom"/>
          </w:tcPr>
          <w:p>
            <w:pPr>
              <w:ind w:left="60"/>
              <w:spacing w:after="0"/>
              <w:rPr>
                <w:sz w:val="20"/>
                <w:szCs w:val="20"/>
                <w:color w:val="auto"/>
              </w:rPr>
            </w:pPr>
            <w:r>
              <w:rPr>
                <w:rFonts w:ascii="Arial" w:cs="Arial" w:eastAsia="Arial" w:hAnsi="Arial"/>
                <w:sz w:val="13"/>
                <w:szCs w:val="13"/>
                <w:color w:val="auto"/>
              </w:rPr>
              <w:t>2020</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N/A</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200" w:type="dxa"/>
            <w:vAlign w:val="bottom"/>
          </w:tcPr>
          <w:p>
            <w:pPr>
              <w:spacing w:after="0"/>
              <w:rPr>
                <w:sz w:val="14"/>
                <w:szCs w:val="14"/>
                <w:color w:val="auto"/>
              </w:rPr>
            </w:pPr>
          </w:p>
        </w:tc>
        <w:tc>
          <w:tcPr>
            <w:tcW w:w="1260" w:type="dxa"/>
            <w:vAlign w:val="bottom"/>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Chief</w:t>
            </w:r>
          </w:p>
        </w:tc>
        <w:tc>
          <w:tcPr>
            <w:tcW w:w="420" w:type="dxa"/>
            <w:vAlign w:val="bottom"/>
            <w:vMerge w:val="restart"/>
          </w:tcPr>
          <w:p>
            <w:pPr>
              <w:ind w:left="60"/>
              <w:spacing w:after="0"/>
              <w:rPr>
                <w:sz w:val="20"/>
                <w:szCs w:val="20"/>
                <w:color w:val="auto"/>
              </w:rPr>
            </w:pPr>
            <w:r>
              <w:rPr>
                <w:rFonts w:ascii="Arial" w:cs="Arial" w:eastAsia="Arial" w:hAnsi="Arial"/>
                <w:sz w:val="13"/>
                <w:szCs w:val="13"/>
                <w:color w:val="auto"/>
              </w:rPr>
              <w:t>2019</w:t>
            </w:r>
          </w:p>
        </w:tc>
        <w:tc>
          <w:tcPr>
            <w:tcW w:w="960" w:type="dxa"/>
            <w:vAlign w:val="bottom"/>
            <w:vMerge w:val="restart"/>
          </w:tcPr>
          <w:p>
            <w:pPr>
              <w:jc w:val="right"/>
              <w:ind w:right="93"/>
              <w:spacing w:after="0"/>
              <w:rPr>
                <w:sz w:val="20"/>
                <w:szCs w:val="20"/>
                <w:color w:val="auto"/>
              </w:rPr>
            </w:pPr>
            <w:r>
              <w:rPr>
                <w:rFonts w:ascii="Arial" w:cs="Arial" w:eastAsia="Arial" w:hAnsi="Arial"/>
                <w:sz w:val="13"/>
                <w:szCs w:val="13"/>
                <w:color w:val="auto"/>
              </w:rPr>
              <w:t>N/A</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color w:val="auto"/>
              </w:rPr>
              <w:t>N/A</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200" w:type="dxa"/>
            <w:vAlign w:val="bottom"/>
          </w:tcPr>
          <w:p>
            <w:pPr>
              <w:spacing w:after="0"/>
              <w:rPr>
                <w:sz w:val="14"/>
                <w:szCs w:val="14"/>
                <w:color w:val="auto"/>
              </w:rPr>
            </w:pPr>
          </w:p>
        </w:tc>
        <w:tc>
          <w:tcPr>
            <w:tcW w:w="1260" w:type="dxa"/>
            <w:vAlign w:val="bottom"/>
            <w:vMerge w:val="restart"/>
          </w:tcPr>
          <w:p>
            <w:pPr>
              <w:jc w:val="right"/>
              <w:ind w:right="92"/>
              <w:spacing w:after="0"/>
              <w:rPr>
                <w:sz w:val="20"/>
                <w:szCs w:val="20"/>
                <w:color w:val="auto"/>
              </w:rPr>
            </w:pPr>
            <w:r>
              <w:rPr>
                <w:rFonts w:ascii="Arial" w:cs="Arial" w:eastAsia="Arial" w:hAnsi="Arial"/>
                <w:sz w:val="13"/>
                <w:szCs w:val="13"/>
                <w:color w:val="auto"/>
              </w:rPr>
              <w:t>N/A</w:t>
            </w:r>
          </w:p>
        </w:tc>
        <w:tc>
          <w:tcPr>
            <w:tcW w:w="920" w:type="dxa"/>
            <w:vAlign w:val="bottom"/>
            <w:vMerge w:val="restart"/>
          </w:tcPr>
          <w:p>
            <w:pPr>
              <w:jc w:val="right"/>
              <w:ind w:right="32"/>
              <w:spacing w:after="0"/>
              <w:rPr>
                <w:sz w:val="20"/>
                <w:szCs w:val="20"/>
                <w:color w:val="auto"/>
              </w:rPr>
            </w:pPr>
            <w:r>
              <w:rPr>
                <w:rFonts w:ascii="Arial" w:cs="Arial" w:eastAsia="Arial" w:hAnsi="Arial"/>
                <w:sz w:val="13"/>
                <w:szCs w:val="13"/>
                <w:color w:val="auto"/>
              </w:rPr>
              <w:t>N/A</w:t>
            </w:r>
          </w:p>
        </w:tc>
        <w:tc>
          <w:tcPr>
            <w:tcW w:w="1220" w:type="dxa"/>
            <w:vAlign w:val="bottom"/>
            <w:vMerge w:val="restart"/>
          </w:tcPr>
          <w:p>
            <w:pPr>
              <w:jc w:val="right"/>
              <w:ind w:right="12"/>
              <w:spacing w:after="0"/>
              <w:rPr>
                <w:sz w:val="20"/>
                <w:szCs w:val="20"/>
                <w:color w:val="auto"/>
              </w:rPr>
            </w:pPr>
            <w:r>
              <w:rPr>
                <w:rFonts w:ascii="Arial" w:cs="Arial" w:eastAsia="Arial" w:hAnsi="Arial"/>
                <w:sz w:val="13"/>
                <w:szCs w:val="13"/>
                <w:color w:val="auto"/>
              </w:rPr>
              <w:t>N/A</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54"/>
        </w:trPr>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Information and</w:t>
            </w:r>
          </w:p>
        </w:tc>
        <w:tc>
          <w:tcPr>
            <w:tcW w:w="4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Digital Officer</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60" w:type="dxa"/>
            <w:vAlign w:val="bottom"/>
            <w:shd w:val="clear" w:color="auto" w:fill="E6E6E6"/>
          </w:tcPr>
          <w:p>
            <w:pPr>
              <w:ind w:left="20"/>
              <w:spacing w:after="0"/>
              <w:rPr>
                <w:sz w:val="20"/>
                <w:szCs w:val="20"/>
                <w:color w:val="auto"/>
              </w:rPr>
            </w:pPr>
            <w:r>
              <w:rPr>
                <w:rFonts w:ascii="Arial" w:cs="Arial" w:eastAsia="Arial" w:hAnsi="Arial"/>
                <w:sz w:val="13"/>
                <w:szCs w:val="13"/>
                <w:color w:val="auto"/>
              </w:rPr>
              <w:t>Joshua L.</w:t>
            </w:r>
          </w:p>
        </w:tc>
        <w:tc>
          <w:tcPr>
            <w:tcW w:w="42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84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2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1220" w:type="dxa"/>
            <w:vAlign w:val="bottom"/>
            <w:shd w:val="clear" w:color="auto" w:fill="E6E6E6"/>
          </w:tcPr>
          <w:p>
            <w:pPr>
              <w:spacing w:after="0"/>
              <w:rPr>
                <w:sz w:val="16"/>
                <w:szCs w:val="16"/>
                <w:color w:val="auto"/>
              </w:rPr>
            </w:pPr>
          </w:p>
        </w:tc>
        <w:tc>
          <w:tcPr>
            <w:tcW w:w="114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Smiley</w:t>
            </w:r>
          </w:p>
        </w:tc>
        <w:tc>
          <w:tcPr>
            <w:tcW w:w="4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3"/>
                <w:szCs w:val="13"/>
                <w:color w:val="auto"/>
              </w:rPr>
              <w:t>2021</w:t>
            </w:r>
          </w:p>
        </w:tc>
        <w:tc>
          <w:tcPr>
            <w:tcW w:w="9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3"/>
                <w:szCs w:val="13"/>
                <w:color w:val="auto"/>
              </w:rPr>
              <w:t>$230,831</w:t>
            </w:r>
          </w:p>
        </w:tc>
        <w:tc>
          <w:tcPr>
            <w:tcW w:w="840" w:type="dxa"/>
            <w:vAlign w:val="bottom"/>
            <w:tcBorders>
              <w:bottom w:val="single" w:sz="8" w:color="E6E6E6"/>
            </w:tcBorders>
            <w:shd w:val="clear" w:color="auto" w:fill="E6E6E6"/>
          </w:tcPr>
          <w:p>
            <w:pPr>
              <w:jc w:val="right"/>
              <w:ind w:right="73"/>
              <w:spacing w:after="0"/>
              <w:rPr>
                <w:sz w:val="20"/>
                <w:szCs w:val="20"/>
                <w:color w:val="auto"/>
              </w:rPr>
            </w:pPr>
            <w:r>
              <w:rPr>
                <w:rFonts w:ascii="Arial" w:cs="Arial" w:eastAsia="Arial" w:hAnsi="Arial"/>
                <w:sz w:val="13"/>
                <w:szCs w:val="13"/>
                <w:color w:val="auto"/>
              </w:rPr>
              <w:t>$0</w:t>
            </w:r>
          </w:p>
        </w:tc>
        <w:tc>
          <w:tcPr>
            <w:tcW w:w="1120" w:type="dxa"/>
            <w:vAlign w:val="bottom"/>
            <w:tcBorders>
              <w:bottom w:val="single" w:sz="8" w:color="E6E6E6"/>
            </w:tcBorders>
            <w:gridSpan w:val="2"/>
            <w:shd w:val="clear" w:color="auto" w:fill="E6E6E6"/>
          </w:tcPr>
          <w:p>
            <w:pPr>
              <w:jc w:val="right"/>
              <w:ind w:right="36"/>
              <w:spacing w:after="0"/>
              <w:rPr>
                <w:sz w:val="20"/>
                <w:szCs w:val="20"/>
                <w:color w:val="auto"/>
              </w:rPr>
            </w:pPr>
            <w:r>
              <w:rPr>
                <w:rFonts w:ascii="Arial" w:cs="Arial" w:eastAsia="Arial" w:hAnsi="Arial"/>
                <w:sz w:val="13"/>
                <w:szCs w:val="13"/>
                <w:color w:val="auto"/>
              </w:rPr>
              <w:t xml:space="preserve">$0 </w:t>
            </w:r>
            <w:r>
              <w:rPr>
                <w:rFonts w:ascii="Arial" w:cs="Arial" w:eastAsia="Arial" w:hAnsi="Arial"/>
                <w:sz w:val="8"/>
                <w:szCs w:val="8"/>
                <w:color w:val="auto"/>
              </w:rPr>
              <w:t>10</w:t>
            </w:r>
          </w:p>
        </w:tc>
        <w:tc>
          <w:tcPr>
            <w:tcW w:w="126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3"/>
                <w:szCs w:val="13"/>
                <w:color w:val="auto"/>
              </w:rPr>
              <w:t xml:space="preserve">$0 </w:t>
            </w:r>
            <w:r>
              <w:rPr>
                <w:rFonts w:ascii="Arial" w:cs="Arial" w:eastAsia="Arial" w:hAnsi="Arial"/>
                <w:sz w:val="8"/>
                <w:szCs w:val="8"/>
                <w:color w:val="auto"/>
              </w:rPr>
              <w:t>9</w:t>
            </w:r>
          </w:p>
        </w:tc>
        <w:tc>
          <w:tcPr>
            <w:tcW w:w="920" w:type="dxa"/>
            <w:vAlign w:val="bottom"/>
            <w:tcBorders>
              <w:bottom w:val="single" w:sz="8" w:color="E6E6E6"/>
            </w:tcBorders>
            <w:shd w:val="clear" w:color="auto" w:fill="E6E6E6"/>
          </w:tcPr>
          <w:p>
            <w:pPr>
              <w:jc w:val="right"/>
              <w:ind w:right="32"/>
              <w:spacing w:after="0"/>
              <w:rPr>
                <w:sz w:val="20"/>
                <w:szCs w:val="20"/>
                <w:color w:val="auto"/>
              </w:rPr>
            </w:pPr>
            <w:r>
              <w:rPr>
                <w:rFonts w:ascii="Arial" w:cs="Arial" w:eastAsia="Arial" w:hAnsi="Arial"/>
                <w:sz w:val="13"/>
                <w:szCs w:val="13"/>
                <w:color w:val="auto"/>
              </w:rPr>
              <w:t>$0</w:t>
            </w:r>
          </w:p>
        </w:tc>
        <w:tc>
          <w:tcPr>
            <w:tcW w:w="1220" w:type="dxa"/>
            <w:vAlign w:val="bottom"/>
            <w:tcBorders>
              <w:bottom w:val="single" w:sz="8" w:color="E6E6E6"/>
            </w:tcBorders>
            <w:shd w:val="clear" w:color="auto" w:fill="E6E6E6"/>
          </w:tcPr>
          <w:p>
            <w:pPr>
              <w:jc w:val="right"/>
              <w:ind w:right="72"/>
              <w:spacing w:after="0"/>
              <w:rPr>
                <w:sz w:val="20"/>
                <w:szCs w:val="20"/>
                <w:color w:val="auto"/>
              </w:rPr>
            </w:pPr>
            <w:r>
              <w:rPr>
                <w:rFonts w:ascii="Arial" w:cs="Arial" w:eastAsia="Arial" w:hAnsi="Arial"/>
                <w:sz w:val="13"/>
                <w:szCs w:val="13"/>
                <w:color w:val="auto"/>
              </w:rPr>
              <w:t>$13,850</w:t>
            </w:r>
          </w:p>
        </w:tc>
        <w:tc>
          <w:tcPr>
            <w:tcW w:w="1140" w:type="dxa"/>
            <w:vAlign w:val="bottom"/>
            <w:tcBorders>
              <w:bottom w:val="single" w:sz="8" w:color="E6E6E6"/>
            </w:tcBorders>
            <w:shd w:val="clear" w:color="auto" w:fill="E6E6E6"/>
          </w:tcPr>
          <w:p>
            <w:pPr>
              <w:jc w:val="right"/>
              <w:ind w:right="12"/>
              <w:spacing w:after="0"/>
              <w:rPr>
                <w:sz w:val="20"/>
                <w:szCs w:val="20"/>
                <w:color w:val="auto"/>
              </w:rPr>
            </w:pPr>
            <w:r>
              <w:rPr>
                <w:rFonts w:ascii="Arial" w:cs="Arial" w:eastAsia="Arial" w:hAnsi="Arial"/>
                <w:sz w:val="13"/>
                <w:szCs w:val="13"/>
                <w:color w:val="auto"/>
              </w:rPr>
              <w:t>$244,681</w:t>
            </w:r>
          </w:p>
        </w:tc>
        <w:tc>
          <w:tcPr>
            <w:tcW w:w="0" w:type="dxa"/>
            <w:vAlign w:val="bottom"/>
          </w:tcPr>
          <w:p>
            <w:pPr>
              <w:spacing w:after="0"/>
              <w:rPr>
                <w:sz w:val="1"/>
                <w:szCs w:val="1"/>
                <w:color w:val="auto"/>
              </w:rPr>
            </w:pPr>
          </w:p>
        </w:tc>
      </w:tr>
      <w:tr>
        <w:trPr>
          <w:trHeight w:val="188"/>
        </w:trPr>
        <w:tc>
          <w:tcPr>
            <w:tcW w:w="1060" w:type="dxa"/>
            <w:vAlign w:val="bottom"/>
          </w:tcPr>
          <w:p>
            <w:pPr>
              <w:ind w:left="20"/>
              <w:spacing w:after="0"/>
              <w:rPr>
                <w:sz w:val="20"/>
                <w:szCs w:val="20"/>
                <w:color w:val="auto"/>
              </w:rPr>
            </w:pPr>
            <w:r>
              <w:rPr>
                <w:rFonts w:ascii="Arial" w:cs="Arial" w:eastAsia="Arial" w:hAnsi="Arial"/>
                <w:sz w:val="13"/>
                <w:szCs w:val="13"/>
                <w:color w:val="auto"/>
              </w:rPr>
              <w:t>Former Senior</w:t>
            </w:r>
          </w:p>
        </w:tc>
        <w:tc>
          <w:tcPr>
            <w:tcW w:w="420" w:type="dxa"/>
            <w:vAlign w:val="bottom"/>
            <w:vMerge w:val="restart"/>
            <w:shd w:val="clear" w:color="auto" w:fill="E6E6E6"/>
          </w:tcPr>
          <w:p>
            <w:pPr>
              <w:ind w:left="60"/>
              <w:spacing w:after="0"/>
              <w:rPr>
                <w:sz w:val="20"/>
                <w:szCs w:val="20"/>
                <w:color w:val="auto"/>
              </w:rPr>
            </w:pPr>
            <w:r>
              <w:rPr>
                <w:rFonts w:ascii="Arial" w:cs="Arial" w:eastAsia="Arial" w:hAnsi="Arial"/>
                <w:sz w:val="13"/>
                <w:szCs w:val="13"/>
                <w:color w:val="auto"/>
              </w:rPr>
              <w:t>2020</w:t>
            </w:r>
          </w:p>
        </w:tc>
        <w:tc>
          <w:tcPr>
            <w:tcW w:w="960" w:type="dxa"/>
            <w:vAlign w:val="bottom"/>
            <w:vMerge w:val="restart"/>
            <w:shd w:val="clear" w:color="auto" w:fill="E6E6E6"/>
          </w:tcPr>
          <w:p>
            <w:pPr>
              <w:jc w:val="right"/>
              <w:ind w:right="153"/>
              <w:spacing w:after="0"/>
              <w:rPr>
                <w:sz w:val="20"/>
                <w:szCs w:val="20"/>
                <w:color w:val="auto"/>
              </w:rPr>
            </w:pPr>
            <w:r>
              <w:rPr>
                <w:rFonts w:ascii="Arial" w:cs="Arial" w:eastAsia="Arial" w:hAnsi="Arial"/>
                <w:sz w:val="13"/>
                <w:szCs w:val="13"/>
                <w:color w:val="auto"/>
              </w:rPr>
              <w:t>$983,333</w:t>
            </w:r>
          </w:p>
        </w:tc>
        <w:tc>
          <w:tcPr>
            <w:tcW w:w="840" w:type="dxa"/>
            <w:vAlign w:val="bottom"/>
            <w:vMerge w:val="restart"/>
            <w:shd w:val="clear" w:color="auto" w:fill="E6E6E6"/>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vMerge w:val="restart"/>
            <w:shd w:val="clear" w:color="auto" w:fill="E6E6E6"/>
          </w:tcPr>
          <w:p>
            <w:pPr>
              <w:jc w:val="right"/>
              <w:ind w:right="12"/>
              <w:spacing w:after="0"/>
              <w:rPr>
                <w:sz w:val="20"/>
                <w:szCs w:val="20"/>
                <w:color w:val="auto"/>
              </w:rPr>
            </w:pPr>
            <w:r>
              <w:rPr>
                <w:rFonts w:ascii="Arial" w:cs="Arial" w:eastAsia="Arial" w:hAnsi="Arial"/>
                <w:sz w:val="13"/>
                <w:szCs w:val="13"/>
                <w:color w:val="auto"/>
              </w:rPr>
              <w:t>$3,587,100</w:t>
            </w:r>
          </w:p>
        </w:tc>
        <w:tc>
          <w:tcPr>
            <w:tcW w:w="200" w:type="dxa"/>
            <w:vAlign w:val="bottom"/>
            <w:vMerge w:val="restart"/>
            <w:shd w:val="clear" w:color="auto" w:fill="E6E6E6"/>
          </w:tcPr>
          <w:p>
            <w:pPr>
              <w:ind w:left="20"/>
              <w:spacing w:after="0"/>
              <w:rPr>
                <w:sz w:val="20"/>
                <w:szCs w:val="20"/>
                <w:color w:val="auto"/>
              </w:rPr>
            </w:pPr>
            <w:r>
              <w:rPr>
                <w:rFonts w:ascii="Arial" w:cs="Arial" w:eastAsia="Arial" w:hAnsi="Arial"/>
                <w:sz w:val="9"/>
                <w:szCs w:val="9"/>
                <w:color w:val="auto"/>
              </w:rPr>
              <w:t>10</w:t>
            </w:r>
          </w:p>
        </w:tc>
        <w:tc>
          <w:tcPr>
            <w:tcW w:w="1260" w:type="dxa"/>
            <w:vAlign w:val="bottom"/>
            <w:vMerge w:val="restart"/>
            <w:shd w:val="clear" w:color="auto" w:fill="E6E6E6"/>
          </w:tcPr>
          <w:p>
            <w:pPr>
              <w:jc w:val="right"/>
              <w:ind w:right="12"/>
              <w:spacing w:after="0"/>
              <w:rPr>
                <w:sz w:val="20"/>
                <w:szCs w:val="20"/>
                <w:color w:val="auto"/>
              </w:rPr>
            </w:pPr>
            <w:r>
              <w:rPr>
                <w:rFonts w:ascii="Arial" w:cs="Arial" w:eastAsia="Arial" w:hAnsi="Arial"/>
                <w:sz w:val="13"/>
                <w:szCs w:val="13"/>
                <w:color w:val="auto"/>
              </w:rPr>
              <w:t xml:space="preserve">$0 </w:t>
            </w:r>
            <w:r>
              <w:rPr>
                <w:rFonts w:ascii="Arial" w:cs="Arial" w:eastAsia="Arial" w:hAnsi="Arial"/>
                <w:sz w:val="8"/>
                <w:szCs w:val="8"/>
                <w:color w:val="auto"/>
              </w:rPr>
              <w:t>9</w:t>
            </w:r>
          </w:p>
        </w:tc>
        <w:tc>
          <w:tcPr>
            <w:tcW w:w="920" w:type="dxa"/>
            <w:vAlign w:val="bottom"/>
            <w:vMerge w:val="restart"/>
            <w:shd w:val="clear" w:color="auto" w:fill="E6E6E6"/>
          </w:tcPr>
          <w:p>
            <w:pPr>
              <w:jc w:val="right"/>
              <w:ind w:right="32"/>
              <w:spacing w:after="0"/>
              <w:rPr>
                <w:sz w:val="20"/>
                <w:szCs w:val="20"/>
                <w:color w:val="auto"/>
              </w:rPr>
            </w:pPr>
            <w:r>
              <w:rPr>
                <w:rFonts w:ascii="Arial" w:cs="Arial" w:eastAsia="Arial" w:hAnsi="Arial"/>
                <w:sz w:val="13"/>
                <w:szCs w:val="13"/>
                <w:color w:val="auto"/>
              </w:rPr>
              <w:t>$2,685,276</w:t>
            </w:r>
          </w:p>
        </w:tc>
        <w:tc>
          <w:tcPr>
            <w:tcW w:w="1220" w:type="dxa"/>
            <w:vAlign w:val="bottom"/>
            <w:vMerge w:val="restart"/>
            <w:shd w:val="clear" w:color="auto" w:fill="E6E6E6"/>
          </w:tcPr>
          <w:p>
            <w:pPr>
              <w:jc w:val="right"/>
              <w:ind w:right="72"/>
              <w:spacing w:after="0"/>
              <w:rPr>
                <w:sz w:val="20"/>
                <w:szCs w:val="20"/>
                <w:color w:val="auto"/>
              </w:rPr>
            </w:pPr>
            <w:r>
              <w:rPr>
                <w:rFonts w:ascii="Arial" w:cs="Arial" w:eastAsia="Arial" w:hAnsi="Arial"/>
                <w:sz w:val="13"/>
                <w:szCs w:val="13"/>
                <w:color w:val="auto"/>
              </w:rPr>
              <w:t>$58,539</w:t>
            </w:r>
          </w:p>
        </w:tc>
        <w:tc>
          <w:tcPr>
            <w:tcW w:w="1140" w:type="dxa"/>
            <w:vAlign w:val="bottom"/>
            <w:vMerge w:val="restart"/>
            <w:shd w:val="clear" w:color="auto" w:fill="E6E6E6"/>
          </w:tcPr>
          <w:p>
            <w:pPr>
              <w:jc w:val="right"/>
              <w:ind w:right="12"/>
              <w:spacing w:after="0"/>
              <w:rPr>
                <w:sz w:val="20"/>
                <w:szCs w:val="20"/>
                <w:color w:val="auto"/>
              </w:rPr>
            </w:pPr>
            <w:r>
              <w:rPr>
                <w:rFonts w:ascii="Arial" w:cs="Arial" w:eastAsia="Arial" w:hAnsi="Arial"/>
                <w:sz w:val="13"/>
                <w:szCs w:val="13"/>
                <w:color w:val="auto"/>
              </w:rPr>
              <w:t>$7,314,248</w:t>
            </w:r>
          </w:p>
        </w:tc>
        <w:tc>
          <w:tcPr>
            <w:tcW w:w="0" w:type="dxa"/>
            <w:vAlign w:val="bottom"/>
          </w:tcPr>
          <w:p>
            <w:pPr>
              <w:spacing w:after="0"/>
              <w:rPr>
                <w:sz w:val="1"/>
                <w:szCs w:val="1"/>
                <w:color w:val="auto"/>
              </w:rPr>
            </w:pPr>
          </w:p>
        </w:tc>
      </w:tr>
      <w:tr>
        <w:trPr>
          <w:trHeight w:val="94"/>
        </w:trPr>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Vice President</w:t>
            </w:r>
          </w:p>
        </w:tc>
        <w:tc>
          <w:tcPr>
            <w:tcW w:w="420" w:type="dxa"/>
            <w:vAlign w:val="bottom"/>
            <w:tcBorders>
              <w:bottom w:val="single" w:sz="8" w:color="E6E6E6"/>
            </w:tcBorders>
            <w:vMerge w:val="continue"/>
            <w:shd w:val="clear" w:color="auto" w:fill="E6E6E6"/>
          </w:tcPr>
          <w:p>
            <w:pPr>
              <w:spacing w:after="0"/>
              <w:rPr>
                <w:sz w:val="7"/>
                <w:szCs w:val="7"/>
                <w:color w:val="auto"/>
              </w:rPr>
            </w:pPr>
          </w:p>
        </w:tc>
        <w:tc>
          <w:tcPr>
            <w:tcW w:w="960" w:type="dxa"/>
            <w:vAlign w:val="bottom"/>
            <w:tcBorders>
              <w:bottom w:val="single" w:sz="8" w:color="E6E6E6"/>
            </w:tcBorders>
            <w:vMerge w:val="continue"/>
            <w:shd w:val="clear" w:color="auto" w:fill="E6E6E6"/>
          </w:tcPr>
          <w:p>
            <w:pPr>
              <w:spacing w:after="0"/>
              <w:rPr>
                <w:sz w:val="7"/>
                <w:szCs w:val="7"/>
                <w:color w:val="auto"/>
              </w:rPr>
            </w:pPr>
          </w:p>
        </w:tc>
        <w:tc>
          <w:tcPr>
            <w:tcW w:w="840" w:type="dxa"/>
            <w:vAlign w:val="bottom"/>
            <w:tcBorders>
              <w:bottom w:val="single" w:sz="8" w:color="E6E6E6"/>
            </w:tcBorders>
            <w:vMerge w:val="continue"/>
            <w:shd w:val="clear" w:color="auto" w:fill="E6E6E6"/>
          </w:tcPr>
          <w:p>
            <w:pPr>
              <w:spacing w:after="0"/>
              <w:rPr>
                <w:sz w:val="7"/>
                <w:szCs w:val="7"/>
                <w:color w:val="auto"/>
              </w:rPr>
            </w:pPr>
          </w:p>
        </w:tc>
        <w:tc>
          <w:tcPr>
            <w:tcW w:w="920" w:type="dxa"/>
            <w:vAlign w:val="bottom"/>
            <w:tcBorders>
              <w:bottom w:val="single" w:sz="8" w:color="E6E6E6"/>
            </w:tcBorders>
            <w:vMerge w:val="continue"/>
            <w:shd w:val="clear" w:color="auto" w:fill="E6E6E6"/>
          </w:tcPr>
          <w:p>
            <w:pPr>
              <w:spacing w:after="0"/>
              <w:rPr>
                <w:sz w:val="7"/>
                <w:szCs w:val="7"/>
                <w:color w:val="auto"/>
              </w:rPr>
            </w:pPr>
          </w:p>
        </w:tc>
        <w:tc>
          <w:tcPr>
            <w:tcW w:w="200" w:type="dxa"/>
            <w:vAlign w:val="bottom"/>
            <w:tcBorders>
              <w:bottom w:val="single" w:sz="8" w:color="E6E6E6"/>
            </w:tcBorders>
            <w:vMerge w:val="continue"/>
            <w:shd w:val="clear" w:color="auto" w:fill="E6E6E6"/>
          </w:tcPr>
          <w:p>
            <w:pPr>
              <w:spacing w:after="0"/>
              <w:rPr>
                <w:sz w:val="7"/>
                <w:szCs w:val="7"/>
                <w:color w:val="auto"/>
              </w:rPr>
            </w:pPr>
          </w:p>
        </w:tc>
        <w:tc>
          <w:tcPr>
            <w:tcW w:w="1260" w:type="dxa"/>
            <w:vAlign w:val="bottom"/>
            <w:tcBorders>
              <w:bottom w:val="single" w:sz="8" w:color="E6E6E6"/>
            </w:tcBorders>
            <w:vMerge w:val="continue"/>
            <w:shd w:val="clear" w:color="auto" w:fill="E6E6E6"/>
          </w:tcPr>
          <w:p>
            <w:pPr>
              <w:spacing w:after="0"/>
              <w:rPr>
                <w:sz w:val="7"/>
                <w:szCs w:val="7"/>
                <w:color w:val="auto"/>
              </w:rPr>
            </w:pPr>
          </w:p>
        </w:tc>
        <w:tc>
          <w:tcPr>
            <w:tcW w:w="920" w:type="dxa"/>
            <w:vAlign w:val="bottom"/>
            <w:tcBorders>
              <w:bottom w:val="single" w:sz="8" w:color="E6E6E6"/>
            </w:tcBorders>
            <w:vMerge w:val="continue"/>
            <w:shd w:val="clear" w:color="auto" w:fill="E6E6E6"/>
          </w:tcPr>
          <w:p>
            <w:pPr>
              <w:spacing w:after="0"/>
              <w:rPr>
                <w:sz w:val="7"/>
                <w:szCs w:val="7"/>
                <w:color w:val="auto"/>
              </w:rPr>
            </w:pPr>
          </w:p>
        </w:tc>
        <w:tc>
          <w:tcPr>
            <w:tcW w:w="1220" w:type="dxa"/>
            <w:vAlign w:val="bottom"/>
            <w:tcBorders>
              <w:bottom w:val="single" w:sz="8" w:color="E6E6E6"/>
            </w:tcBorders>
            <w:vMerge w:val="continue"/>
            <w:shd w:val="clear" w:color="auto" w:fill="E6E6E6"/>
          </w:tcPr>
          <w:p>
            <w:pPr>
              <w:spacing w:after="0"/>
              <w:rPr>
                <w:sz w:val="7"/>
                <w:szCs w:val="7"/>
                <w:color w:val="auto"/>
              </w:rPr>
            </w:pPr>
          </w:p>
        </w:tc>
        <w:tc>
          <w:tcPr>
            <w:tcW w:w="1140" w:type="dxa"/>
            <w:vAlign w:val="bottom"/>
            <w:tcBorders>
              <w:bottom w:val="single" w:sz="8" w:color="E6E6E6"/>
            </w:tcBorders>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60" w:type="dxa"/>
            <w:vAlign w:val="bottom"/>
            <w:vMerge w:val="continue"/>
          </w:tcPr>
          <w:p>
            <w:pPr>
              <w:spacing w:after="0"/>
              <w:rPr>
                <w:sz w:val="4"/>
                <w:szCs w:val="4"/>
                <w:color w:val="auto"/>
              </w:rPr>
            </w:pPr>
          </w:p>
        </w:tc>
        <w:tc>
          <w:tcPr>
            <w:tcW w:w="420" w:type="dxa"/>
            <w:vAlign w:val="bottom"/>
            <w:vMerge w:val="restart"/>
          </w:tcPr>
          <w:p>
            <w:pPr>
              <w:ind w:left="60"/>
              <w:spacing w:after="0"/>
              <w:rPr>
                <w:sz w:val="20"/>
                <w:szCs w:val="20"/>
                <w:color w:val="auto"/>
              </w:rPr>
            </w:pPr>
            <w:r>
              <w:rPr>
                <w:rFonts w:ascii="Arial" w:cs="Arial" w:eastAsia="Arial" w:hAnsi="Arial"/>
                <w:sz w:val="13"/>
                <w:szCs w:val="13"/>
                <w:color w:val="auto"/>
              </w:rPr>
              <w:t>2019</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auto"/>
              </w:rPr>
              <w:t>$895,833</w:t>
            </w:r>
          </w:p>
        </w:tc>
        <w:tc>
          <w:tcPr>
            <w:tcW w:w="840" w:type="dxa"/>
            <w:vAlign w:val="bottom"/>
            <w:vMerge w:val="restart"/>
          </w:tcPr>
          <w:p>
            <w:pPr>
              <w:jc w:val="right"/>
              <w:ind w:right="73"/>
              <w:spacing w:after="0"/>
              <w:rPr>
                <w:sz w:val="20"/>
                <w:szCs w:val="20"/>
                <w:color w:val="auto"/>
              </w:rPr>
            </w:pPr>
            <w:r>
              <w:rPr>
                <w:rFonts w:ascii="Arial" w:cs="Arial" w:eastAsia="Arial" w:hAnsi="Arial"/>
                <w:sz w:val="13"/>
                <w:szCs w:val="13"/>
                <w:color w:val="auto"/>
              </w:rPr>
              <w:t>$0</w:t>
            </w:r>
          </w:p>
        </w:tc>
        <w:tc>
          <w:tcPr>
            <w:tcW w:w="920" w:type="dxa"/>
            <w:vAlign w:val="bottom"/>
            <w:vMerge w:val="restart"/>
          </w:tcPr>
          <w:p>
            <w:pPr>
              <w:jc w:val="right"/>
              <w:ind w:right="12"/>
              <w:spacing w:after="0"/>
              <w:rPr>
                <w:sz w:val="20"/>
                <w:szCs w:val="20"/>
                <w:color w:val="auto"/>
              </w:rPr>
            </w:pPr>
            <w:r>
              <w:rPr>
                <w:rFonts w:ascii="Arial" w:cs="Arial" w:eastAsia="Arial" w:hAnsi="Arial"/>
                <w:sz w:val="13"/>
                <w:szCs w:val="13"/>
                <w:color w:val="auto"/>
              </w:rPr>
              <w:t>$3,142,800</w:t>
            </w:r>
          </w:p>
        </w:tc>
        <w:tc>
          <w:tcPr>
            <w:tcW w:w="200" w:type="dxa"/>
            <w:vAlign w:val="bottom"/>
            <w:vMerge w:val="restart"/>
          </w:tcPr>
          <w:p>
            <w:pPr>
              <w:ind w:left="20"/>
              <w:spacing w:after="0"/>
              <w:rPr>
                <w:sz w:val="20"/>
                <w:szCs w:val="20"/>
                <w:color w:val="auto"/>
              </w:rPr>
            </w:pPr>
            <w:r>
              <w:rPr>
                <w:rFonts w:ascii="Arial" w:cs="Arial" w:eastAsia="Arial" w:hAnsi="Arial"/>
                <w:sz w:val="9"/>
                <w:szCs w:val="9"/>
                <w:color w:val="auto"/>
              </w:rPr>
              <w:t>10</w:t>
            </w:r>
          </w:p>
        </w:tc>
        <w:tc>
          <w:tcPr>
            <w:tcW w:w="1260" w:type="dxa"/>
            <w:vAlign w:val="bottom"/>
            <w:vMerge w:val="restart"/>
          </w:tcPr>
          <w:p>
            <w:pPr>
              <w:jc w:val="right"/>
              <w:ind w:right="152"/>
              <w:spacing w:after="0"/>
              <w:rPr>
                <w:sz w:val="20"/>
                <w:szCs w:val="20"/>
                <w:color w:val="auto"/>
              </w:rPr>
            </w:pPr>
            <w:r>
              <w:rPr>
                <w:rFonts w:ascii="Arial" w:cs="Arial" w:eastAsia="Arial" w:hAnsi="Arial"/>
                <w:sz w:val="13"/>
                <w:szCs w:val="13"/>
                <w:color w:val="auto"/>
              </w:rPr>
              <w:t>$1,182,948</w:t>
            </w:r>
          </w:p>
        </w:tc>
        <w:tc>
          <w:tcPr>
            <w:tcW w:w="920" w:type="dxa"/>
            <w:vAlign w:val="bottom"/>
            <w:vMerge w:val="restart"/>
          </w:tcPr>
          <w:p>
            <w:pPr>
              <w:jc w:val="right"/>
              <w:ind w:right="32"/>
              <w:spacing w:after="0"/>
              <w:rPr>
                <w:sz w:val="20"/>
                <w:szCs w:val="20"/>
                <w:color w:val="auto"/>
              </w:rPr>
            </w:pPr>
            <w:r>
              <w:rPr>
                <w:rFonts w:ascii="Arial" w:cs="Arial" w:eastAsia="Arial" w:hAnsi="Arial"/>
                <w:sz w:val="13"/>
                <w:szCs w:val="13"/>
                <w:color w:val="auto"/>
              </w:rPr>
              <w:t>$2,073,070</w:t>
            </w:r>
          </w:p>
        </w:tc>
        <w:tc>
          <w:tcPr>
            <w:tcW w:w="1220" w:type="dxa"/>
            <w:vAlign w:val="bottom"/>
            <w:vMerge w:val="restart"/>
          </w:tcPr>
          <w:p>
            <w:pPr>
              <w:jc w:val="right"/>
              <w:ind w:right="72"/>
              <w:spacing w:after="0"/>
              <w:rPr>
                <w:sz w:val="20"/>
                <w:szCs w:val="20"/>
                <w:color w:val="auto"/>
              </w:rPr>
            </w:pPr>
            <w:r>
              <w:rPr>
                <w:rFonts w:ascii="Arial" w:cs="Arial" w:eastAsia="Arial" w:hAnsi="Arial"/>
                <w:sz w:val="13"/>
                <w:szCs w:val="13"/>
                <w:color w:val="auto"/>
              </w:rPr>
              <w:t>$53,750</w:t>
            </w:r>
          </w:p>
        </w:tc>
        <w:tc>
          <w:tcPr>
            <w:tcW w:w="1140" w:type="dxa"/>
            <w:vAlign w:val="bottom"/>
            <w:vMerge w:val="restart"/>
          </w:tcPr>
          <w:p>
            <w:pPr>
              <w:jc w:val="right"/>
              <w:ind w:right="12"/>
              <w:spacing w:after="0"/>
              <w:rPr>
                <w:sz w:val="20"/>
                <w:szCs w:val="20"/>
                <w:color w:val="auto"/>
              </w:rPr>
            </w:pPr>
            <w:r>
              <w:rPr>
                <w:rFonts w:ascii="Arial" w:cs="Arial" w:eastAsia="Arial" w:hAnsi="Arial"/>
                <w:sz w:val="13"/>
                <w:szCs w:val="13"/>
                <w:color w:val="auto"/>
              </w:rPr>
              <w:t>$7,348,401</w:t>
            </w:r>
          </w:p>
        </w:tc>
        <w:tc>
          <w:tcPr>
            <w:tcW w:w="0" w:type="dxa"/>
            <w:vAlign w:val="bottom"/>
          </w:tcPr>
          <w:p>
            <w:pPr>
              <w:spacing w:after="0"/>
              <w:rPr>
                <w:sz w:val="1"/>
                <w:szCs w:val="1"/>
                <w:color w:val="auto"/>
              </w:rPr>
            </w:pPr>
          </w:p>
        </w:tc>
      </w:tr>
      <w:tr>
        <w:trPr>
          <w:trHeight w:val="162"/>
        </w:trPr>
        <w:tc>
          <w:tcPr>
            <w:tcW w:w="1060" w:type="dxa"/>
            <w:vAlign w:val="bottom"/>
          </w:tcPr>
          <w:p>
            <w:pPr>
              <w:ind w:left="20"/>
              <w:spacing w:after="0"/>
              <w:rPr>
                <w:sz w:val="20"/>
                <w:szCs w:val="20"/>
                <w:color w:val="auto"/>
              </w:rPr>
            </w:pPr>
            <w:r>
              <w:rPr>
                <w:rFonts w:ascii="Arial" w:cs="Arial" w:eastAsia="Arial" w:hAnsi="Arial"/>
                <w:sz w:val="13"/>
                <w:szCs w:val="13"/>
                <w:color w:val="auto"/>
              </w:rPr>
              <w:t>and Chief</w:t>
            </w:r>
          </w:p>
        </w:tc>
        <w:tc>
          <w:tcPr>
            <w:tcW w:w="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5674995" cy="685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4995" cy="6858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Financial Officer</w:t>
      </w:r>
    </w:p>
    <w:p>
      <w:pPr>
        <w:spacing w:after="0" w:line="175" w:lineRule="exact"/>
        <w:rPr>
          <w:sz w:val="20"/>
          <w:szCs w:val="20"/>
          <w:color w:val="auto"/>
        </w:rPr>
      </w:pPr>
    </w:p>
    <w:p>
      <w:pPr>
        <w:ind w:left="80" w:hanging="72"/>
        <w:spacing w:after="0" w:line="222" w:lineRule="auto"/>
        <w:tabs>
          <w:tab w:leader="none" w:pos="85" w:val="left"/>
        </w:tabs>
        <w:numPr>
          <w:ilvl w:val="0"/>
          <w:numId w:val="82"/>
        </w:numPr>
        <w:rPr>
          <w:rFonts w:ascii="Arial" w:cs="Arial" w:eastAsia="Arial" w:hAnsi="Arial"/>
          <w:sz w:val="18"/>
          <w:szCs w:val="18"/>
          <w:color w:val="auto"/>
          <w:vertAlign w:val="superscript"/>
        </w:rPr>
      </w:pPr>
      <w:r>
        <w:rPr>
          <w:rFonts w:ascii="Arial" w:cs="Arial" w:eastAsia="Arial" w:hAnsi="Arial"/>
          <w:sz w:val="13"/>
          <w:szCs w:val="13"/>
          <w:color w:val="auto"/>
        </w:rPr>
        <w:t>This column shows the grant date fair value of performance awards, shareholder value awards and relative value awards for all named executive officers and additional restricted stock unit awards for Mr. Van Naarden and Mr. Rau computed in accordance with FASB ASC Topic 718. See Note 12 of the consolidated financial statements in the company’s Annual Report on Form 10-K for the fiscal year ended December 31, 2021 for additional detail regarding assumptions underlying the valuation of equity awards. All values in the "Stock Awards" column were based upon the probable outcome of performance conditions as of the grant date, which vary year to year.</w:t>
      </w:r>
    </w:p>
    <w:p>
      <w:pPr>
        <w:spacing w:after="0" w:line="95" w:lineRule="exact"/>
        <w:rPr>
          <w:rFonts w:ascii="Arial" w:cs="Arial" w:eastAsia="Arial" w:hAnsi="Arial"/>
          <w:sz w:val="18"/>
          <w:szCs w:val="18"/>
          <w:color w:val="auto"/>
          <w:vertAlign w:val="superscript"/>
        </w:rPr>
      </w:pPr>
    </w:p>
    <w:p>
      <w:pPr>
        <w:ind w:left="80"/>
        <w:spacing w:after="0"/>
        <w:rPr>
          <w:rFonts w:ascii="Arial" w:cs="Arial" w:eastAsia="Arial" w:hAnsi="Arial"/>
          <w:sz w:val="18"/>
          <w:szCs w:val="18"/>
          <w:color w:val="auto"/>
          <w:vertAlign w:val="superscript"/>
        </w:rPr>
      </w:pPr>
      <w:r>
        <w:rPr>
          <w:rFonts w:ascii="Arial" w:cs="Arial" w:eastAsia="Arial" w:hAnsi="Arial"/>
          <w:sz w:val="13"/>
          <w:szCs w:val="13"/>
          <w:color w:val="auto"/>
        </w:rPr>
        <w:t>For purposes of comparison, the supplemental table below shows the total target grant values of stock awards approved by the Compensation Committee:</w:t>
      </w:r>
    </w:p>
    <w:p>
      <w:pPr>
        <w:spacing w:after="0" w:line="13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3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p>
        </w:tc>
        <w:tc>
          <w:tcPr>
            <w:tcW w:w="1980" w:type="dxa"/>
            <w:vAlign w:val="bottom"/>
            <w:shd w:val="clear" w:color="auto" w:fill="DBDBDB"/>
          </w:tcPr>
          <w:p>
            <w:pPr>
              <w:jc w:val="right"/>
              <w:ind w:right="372"/>
              <w:spacing w:after="0"/>
              <w:rPr>
                <w:sz w:val="20"/>
                <w:szCs w:val="20"/>
                <w:color w:val="auto"/>
              </w:rPr>
            </w:pPr>
            <w:r>
              <w:rPr>
                <w:rFonts w:ascii="Arial" w:cs="Arial" w:eastAsia="Arial" w:hAnsi="Arial"/>
                <w:sz w:val="14"/>
                <w:szCs w:val="14"/>
                <w:b w:val="1"/>
                <w:bCs w:val="1"/>
                <w:color w:val="00A1DE"/>
              </w:rPr>
              <w:t>2019 Total Equity</w:t>
            </w:r>
          </w:p>
        </w:tc>
        <w:tc>
          <w:tcPr>
            <w:tcW w:w="2080" w:type="dxa"/>
            <w:vAlign w:val="bottom"/>
            <w:shd w:val="clear" w:color="auto" w:fill="DBDBDB"/>
          </w:tcPr>
          <w:p>
            <w:pPr>
              <w:jc w:val="right"/>
              <w:ind w:right="472"/>
              <w:spacing w:after="0"/>
              <w:rPr>
                <w:sz w:val="20"/>
                <w:szCs w:val="20"/>
                <w:color w:val="auto"/>
              </w:rPr>
            </w:pPr>
            <w:r>
              <w:rPr>
                <w:rFonts w:ascii="Arial" w:cs="Arial" w:eastAsia="Arial" w:hAnsi="Arial"/>
                <w:sz w:val="14"/>
                <w:szCs w:val="14"/>
                <w:b w:val="1"/>
                <w:bCs w:val="1"/>
                <w:color w:val="00A1DE"/>
              </w:rPr>
              <w:t>2020 Total Equity</w:t>
            </w:r>
          </w:p>
        </w:tc>
        <w:tc>
          <w:tcPr>
            <w:tcW w:w="1840" w:type="dxa"/>
            <w:vAlign w:val="bottom"/>
            <w:gridSpan w:val="2"/>
            <w:shd w:val="clear" w:color="auto" w:fill="DBDBDB"/>
          </w:tcPr>
          <w:p>
            <w:pPr>
              <w:ind w:left="300"/>
              <w:spacing w:after="0"/>
              <w:rPr>
                <w:sz w:val="20"/>
                <w:szCs w:val="20"/>
                <w:color w:val="auto"/>
              </w:rPr>
            </w:pPr>
            <w:r>
              <w:rPr>
                <w:rFonts w:ascii="Arial" w:cs="Arial" w:eastAsia="Arial" w:hAnsi="Arial"/>
                <w:sz w:val="14"/>
                <w:szCs w:val="14"/>
                <w:b w:val="1"/>
                <w:bCs w:val="1"/>
                <w:color w:val="00A1DE"/>
              </w:rPr>
              <w:t>2021 Total Equity</w:t>
            </w:r>
          </w:p>
        </w:tc>
      </w:tr>
      <w:tr>
        <w:trPr>
          <w:trHeight w:val="229"/>
        </w:trPr>
        <w:tc>
          <w:tcPr>
            <w:tcW w:w="1380" w:type="dxa"/>
            <w:vAlign w:val="bottom"/>
          </w:tcPr>
          <w:p>
            <w:pPr>
              <w:ind w:left="20"/>
              <w:spacing w:after="0"/>
              <w:rPr>
                <w:sz w:val="20"/>
                <w:szCs w:val="20"/>
                <w:color w:val="auto"/>
              </w:rPr>
            </w:pPr>
            <w:r>
              <w:rPr>
                <w:rFonts w:ascii="Arial" w:cs="Arial" w:eastAsia="Arial" w:hAnsi="Arial"/>
                <w:sz w:val="13"/>
                <w:szCs w:val="13"/>
                <w:color w:val="auto"/>
              </w:rPr>
              <w:t>Mr. Ricks</w:t>
            </w:r>
          </w:p>
        </w:tc>
        <w:tc>
          <w:tcPr>
            <w:tcW w:w="1980" w:type="dxa"/>
            <w:vAlign w:val="bottom"/>
          </w:tcPr>
          <w:p>
            <w:pPr>
              <w:jc w:val="right"/>
              <w:ind w:right="552"/>
              <w:spacing w:after="0"/>
              <w:rPr>
                <w:sz w:val="20"/>
                <w:szCs w:val="20"/>
                <w:color w:val="auto"/>
              </w:rPr>
            </w:pPr>
            <w:r>
              <w:rPr>
                <w:rFonts w:ascii="Arial" w:cs="Arial" w:eastAsia="Arial" w:hAnsi="Arial"/>
                <w:sz w:val="13"/>
                <w:szCs w:val="13"/>
                <w:color w:val="auto"/>
              </w:rPr>
              <w:t>$10,500,000</w:t>
            </w:r>
          </w:p>
        </w:tc>
        <w:tc>
          <w:tcPr>
            <w:tcW w:w="2080" w:type="dxa"/>
            <w:vAlign w:val="bottom"/>
          </w:tcPr>
          <w:p>
            <w:pPr>
              <w:jc w:val="right"/>
              <w:ind w:right="472"/>
              <w:spacing w:after="0"/>
              <w:rPr>
                <w:sz w:val="20"/>
                <w:szCs w:val="20"/>
                <w:color w:val="auto"/>
              </w:rPr>
            </w:pPr>
            <w:r>
              <w:rPr>
                <w:rFonts w:ascii="Arial" w:cs="Arial" w:eastAsia="Arial" w:hAnsi="Arial"/>
                <w:sz w:val="13"/>
                <w:szCs w:val="13"/>
                <w:color w:val="auto"/>
              </w:rPr>
              <w:t>$12,500,000</w:t>
            </w:r>
          </w:p>
        </w:tc>
        <w:tc>
          <w:tcPr>
            <w:tcW w:w="1400" w:type="dxa"/>
            <w:vAlign w:val="bottom"/>
          </w:tcPr>
          <w:p>
            <w:pPr>
              <w:jc w:val="right"/>
              <w:spacing w:after="0"/>
              <w:rPr>
                <w:sz w:val="20"/>
                <w:szCs w:val="20"/>
                <w:color w:val="auto"/>
              </w:rPr>
            </w:pPr>
            <w:r>
              <w:rPr>
                <w:rFonts w:ascii="Arial" w:cs="Arial" w:eastAsia="Arial" w:hAnsi="Arial"/>
                <w:sz w:val="13"/>
                <w:szCs w:val="13"/>
                <w:color w:val="auto"/>
              </w:rPr>
              <w:t>$14,000,000</w:t>
            </w:r>
          </w:p>
        </w:tc>
        <w:tc>
          <w:tcPr>
            <w:tcW w:w="440" w:type="dxa"/>
            <w:vAlign w:val="bottom"/>
          </w:tcPr>
          <w:p>
            <w:pPr>
              <w:spacing w:after="0"/>
              <w:rPr>
                <w:sz w:val="19"/>
                <w:szCs w:val="19"/>
                <w:color w:val="auto"/>
              </w:rPr>
            </w:pPr>
          </w:p>
        </w:tc>
      </w:tr>
      <w:tr>
        <w:trPr>
          <w:trHeight w:val="270"/>
        </w:trPr>
        <w:tc>
          <w:tcPr>
            <w:tcW w:w="138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1980" w:type="dxa"/>
            <w:vAlign w:val="bottom"/>
          </w:tcPr>
          <w:p>
            <w:pPr>
              <w:jc w:val="right"/>
              <w:ind w:right="452"/>
              <w:spacing w:after="0"/>
              <w:rPr>
                <w:sz w:val="20"/>
                <w:szCs w:val="20"/>
                <w:color w:val="auto"/>
              </w:rPr>
            </w:pPr>
            <w:r>
              <w:rPr>
                <w:rFonts w:ascii="Arial" w:cs="Arial" w:eastAsia="Arial" w:hAnsi="Arial"/>
                <w:sz w:val="13"/>
                <w:szCs w:val="13"/>
                <w:color w:val="auto"/>
              </w:rPr>
              <w:t>N/A *</w:t>
            </w:r>
          </w:p>
        </w:tc>
        <w:tc>
          <w:tcPr>
            <w:tcW w:w="2080" w:type="dxa"/>
            <w:vAlign w:val="bottom"/>
          </w:tcPr>
          <w:p>
            <w:pPr>
              <w:jc w:val="right"/>
              <w:ind w:right="392"/>
              <w:spacing w:after="0"/>
              <w:rPr>
                <w:sz w:val="20"/>
                <w:szCs w:val="20"/>
                <w:color w:val="auto"/>
              </w:rPr>
            </w:pPr>
            <w:r>
              <w:rPr>
                <w:rFonts w:ascii="Arial" w:cs="Arial" w:eastAsia="Arial" w:hAnsi="Arial"/>
                <w:sz w:val="13"/>
                <w:szCs w:val="13"/>
                <w:color w:val="auto"/>
              </w:rPr>
              <w:t>N/A *</w:t>
            </w:r>
          </w:p>
        </w:tc>
        <w:tc>
          <w:tcPr>
            <w:tcW w:w="1400" w:type="dxa"/>
            <w:vAlign w:val="bottom"/>
          </w:tcPr>
          <w:p>
            <w:pPr>
              <w:jc w:val="right"/>
              <w:spacing w:after="0"/>
              <w:rPr>
                <w:sz w:val="20"/>
                <w:szCs w:val="20"/>
                <w:color w:val="auto"/>
              </w:rPr>
            </w:pPr>
            <w:r>
              <w:rPr>
                <w:rFonts w:ascii="Arial" w:cs="Arial" w:eastAsia="Arial" w:hAnsi="Arial"/>
                <w:sz w:val="13"/>
                <w:szCs w:val="13"/>
                <w:color w:val="auto"/>
              </w:rPr>
              <w:t>$2,200,000</w:t>
            </w:r>
          </w:p>
        </w:tc>
        <w:tc>
          <w:tcPr>
            <w:tcW w:w="440" w:type="dxa"/>
            <w:vAlign w:val="bottom"/>
          </w:tcPr>
          <w:p>
            <w:pPr>
              <w:spacing w:after="0"/>
              <w:rPr>
                <w:sz w:val="23"/>
                <w:szCs w:val="23"/>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980" w:type="dxa"/>
            <w:vAlign w:val="bottom"/>
          </w:tcPr>
          <w:p>
            <w:pPr>
              <w:jc w:val="right"/>
              <w:ind w:right="552"/>
              <w:spacing w:after="0"/>
              <w:rPr>
                <w:sz w:val="20"/>
                <w:szCs w:val="20"/>
                <w:color w:val="auto"/>
              </w:rPr>
            </w:pPr>
            <w:r>
              <w:rPr>
                <w:rFonts w:ascii="Arial" w:cs="Arial" w:eastAsia="Arial" w:hAnsi="Arial"/>
                <w:sz w:val="13"/>
                <w:szCs w:val="13"/>
                <w:color w:val="auto"/>
              </w:rPr>
              <w:t>$3,500,000</w:t>
            </w:r>
          </w:p>
        </w:tc>
        <w:tc>
          <w:tcPr>
            <w:tcW w:w="2080" w:type="dxa"/>
            <w:vAlign w:val="bottom"/>
          </w:tcPr>
          <w:p>
            <w:pPr>
              <w:jc w:val="right"/>
              <w:ind w:right="472"/>
              <w:spacing w:after="0"/>
              <w:rPr>
                <w:sz w:val="20"/>
                <w:szCs w:val="20"/>
                <w:color w:val="auto"/>
              </w:rPr>
            </w:pPr>
            <w:r>
              <w:rPr>
                <w:rFonts w:ascii="Arial" w:cs="Arial" w:eastAsia="Arial" w:hAnsi="Arial"/>
                <w:sz w:val="13"/>
                <w:szCs w:val="13"/>
                <w:color w:val="auto"/>
              </w:rPr>
              <w:t>$4,100,000</w:t>
            </w:r>
          </w:p>
        </w:tc>
        <w:tc>
          <w:tcPr>
            <w:tcW w:w="1400" w:type="dxa"/>
            <w:vAlign w:val="bottom"/>
          </w:tcPr>
          <w:p>
            <w:pPr>
              <w:jc w:val="right"/>
              <w:spacing w:after="0"/>
              <w:rPr>
                <w:sz w:val="20"/>
                <w:szCs w:val="20"/>
                <w:color w:val="auto"/>
              </w:rPr>
            </w:pPr>
            <w:r>
              <w:rPr>
                <w:rFonts w:ascii="Arial" w:cs="Arial" w:eastAsia="Arial" w:hAnsi="Arial"/>
                <w:sz w:val="13"/>
                <w:szCs w:val="13"/>
                <w:color w:val="auto"/>
              </w:rPr>
              <w:t>$4,700,000</w:t>
            </w:r>
          </w:p>
        </w:tc>
        <w:tc>
          <w:tcPr>
            <w:tcW w:w="440" w:type="dxa"/>
            <w:vAlign w:val="bottom"/>
          </w:tcPr>
          <w:p>
            <w:pPr>
              <w:spacing w:after="0"/>
              <w:rPr>
                <w:sz w:val="21"/>
                <w:szCs w:val="21"/>
                <w:color w:val="auto"/>
              </w:rPr>
            </w:pPr>
          </w:p>
        </w:tc>
      </w:tr>
      <w:tr>
        <w:trPr>
          <w:trHeight w:val="270"/>
        </w:trPr>
        <w:tc>
          <w:tcPr>
            <w:tcW w:w="138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1980" w:type="dxa"/>
            <w:vAlign w:val="bottom"/>
          </w:tcPr>
          <w:p>
            <w:pPr>
              <w:jc w:val="right"/>
              <w:ind w:right="452"/>
              <w:spacing w:after="0"/>
              <w:rPr>
                <w:sz w:val="20"/>
                <w:szCs w:val="20"/>
                <w:color w:val="auto"/>
              </w:rPr>
            </w:pPr>
            <w:r>
              <w:rPr>
                <w:rFonts w:ascii="Arial" w:cs="Arial" w:eastAsia="Arial" w:hAnsi="Arial"/>
                <w:sz w:val="13"/>
                <w:szCs w:val="13"/>
                <w:color w:val="auto"/>
              </w:rPr>
              <w:t>N/A *</w:t>
            </w:r>
          </w:p>
        </w:tc>
        <w:tc>
          <w:tcPr>
            <w:tcW w:w="2080" w:type="dxa"/>
            <w:vAlign w:val="bottom"/>
          </w:tcPr>
          <w:p>
            <w:pPr>
              <w:jc w:val="right"/>
              <w:ind w:right="392"/>
              <w:spacing w:after="0"/>
              <w:rPr>
                <w:sz w:val="20"/>
                <w:szCs w:val="20"/>
                <w:color w:val="auto"/>
              </w:rPr>
            </w:pPr>
            <w:r>
              <w:rPr>
                <w:rFonts w:ascii="Arial" w:cs="Arial" w:eastAsia="Arial" w:hAnsi="Arial"/>
                <w:sz w:val="13"/>
                <w:szCs w:val="13"/>
                <w:color w:val="auto"/>
              </w:rPr>
              <w:t>N/A *</w:t>
            </w:r>
          </w:p>
        </w:tc>
        <w:tc>
          <w:tcPr>
            <w:tcW w:w="1400" w:type="dxa"/>
            <w:vAlign w:val="bottom"/>
          </w:tcPr>
          <w:p>
            <w:pPr>
              <w:jc w:val="right"/>
              <w:spacing w:after="0"/>
              <w:rPr>
                <w:sz w:val="20"/>
                <w:szCs w:val="20"/>
                <w:color w:val="auto"/>
              </w:rPr>
            </w:pPr>
            <w:r>
              <w:rPr>
                <w:rFonts w:ascii="Arial" w:cs="Arial" w:eastAsia="Arial" w:hAnsi="Arial"/>
                <w:sz w:val="13"/>
                <w:szCs w:val="13"/>
                <w:color w:val="auto"/>
              </w:rPr>
              <w:t>$4,099,500</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r>
      <w:tr>
        <w:trPr>
          <w:trHeight w:val="256"/>
        </w:trPr>
        <w:tc>
          <w:tcPr>
            <w:tcW w:w="1380" w:type="dxa"/>
            <w:vAlign w:val="bottom"/>
          </w:tcPr>
          <w:p>
            <w:pPr>
              <w:ind w:left="20"/>
              <w:spacing w:after="0"/>
              <w:rPr>
                <w:sz w:val="20"/>
                <w:szCs w:val="20"/>
                <w:color w:val="auto"/>
              </w:rPr>
            </w:pPr>
            <w:r>
              <w:rPr>
                <w:rFonts w:ascii="Arial" w:cs="Arial" w:eastAsia="Arial" w:hAnsi="Arial"/>
                <w:sz w:val="13"/>
                <w:szCs w:val="13"/>
                <w:color w:val="auto"/>
              </w:rPr>
              <w:t>Mr. Rau</w:t>
            </w:r>
          </w:p>
        </w:tc>
        <w:tc>
          <w:tcPr>
            <w:tcW w:w="1980" w:type="dxa"/>
            <w:vAlign w:val="bottom"/>
          </w:tcPr>
          <w:p>
            <w:pPr>
              <w:jc w:val="right"/>
              <w:ind w:right="452"/>
              <w:spacing w:after="0"/>
              <w:rPr>
                <w:sz w:val="20"/>
                <w:szCs w:val="20"/>
                <w:color w:val="auto"/>
              </w:rPr>
            </w:pPr>
            <w:r>
              <w:rPr>
                <w:rFonts w:ascii="Arial" w:cs="Arial" w:eastAsia="Arial" w:hAnsi="Arial"/>
                <w:sz w:val="13"/>
                <w:szCs w:val="13"/>
                <w:color w:val="auto"/>
              </w:rPr>
              <w:t>N/A *</w:t>
            </w:r>
          </w:p>
        </w:tc>
        <w:tc>
          <w:tcPr>
            <w:tcW w:w="2080" w:type="dxa"/>
            <w:vAlign w:val="bottom"/>
          </w:tcPr>
          <w:p>
            <w:pPr>
              <w:jc w:val="right"/>
              <w:ind w:right="392"/>
              <w:spacing w:after="0"/>
              <w:rPr>
                <w:sz w:val="20"/>
                <w:szCs w:val="20"/>
                <w:color w:val="auto"/>
              </w:rPr>
            </w:pPr>
            <w:r>
              <w:rPr>
                <w:rFonts w:ascii="Arial" w:cs="Arial" w:eastAsia="Arial" w:hAnsi="Arial"/>
                <w:sz w:val="13"/>
                <w:szCs w:val="13"/>
                <w:color w:val="auto"/>
              </w:rPr>
              <w:t>N/A *</w:t>
            </w:r>
          </w:p>
        </w:tc>
        <w:tc>
          <w:tcPr>
            <w:tcW w:w="1400" w:type="dxa"/>
            <w:vAlign w:val="bottom"/>
          </w:tcPr>
          <w:p>
            <w:pPr>
              <w:jc w:val="right"/>
              <w:spacing w:after="0"/>
              <w:rPr>
                <w:sz w:val="20"/>
                <w:szCs w:val="20"/>
                <w:color w:val="auto"/>
              </w:rPr>
            </w:pPr>
            <w:r>
              <w:rPr>
                <w:rFonts w:ascii="Arial" w:cs="Arial" w:eastAsia="Arial" w:hAnsi="Arial"/>
                <w:sz w:val="13"/>
                <w:szCs w:val="13"/>
                <w:color w:val="auto"/>
              </w:rPr>
              <w:t>$4,000,000</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r>
      <w:tr>
        <w:trPr>
          <w:trHeight w:val="256"/>
        </w:trPr>
        <w:tc>
          <w:tcPr>
            <w:tcW w:w="1380" w:type="dxa"/>
            <w:vAlign w:val="bottom"/>
          </w:tcPr>
          <w:p>
            <w:pPr>
              <w:ind w:left="20"/>
              <w:spacing w:after="0"/>
              <w:rPr>
                <w:sz w:val="20"/>
                <w:szCs w:val="20"/>
                <w:color w:val="auto"/>
              </w:rPr>
            </w:pPr>
            <w:r>
              <w:rPr>
                <w:rFonts w:ascii="Arial" w:cs="Arial" w:eastAsia="Arial" w:hAnsi="Arial"/>
                <w:sz w:val="13"/>
                <w:szCs w:val="13"/>
                <w:color w:val="auto"/>
              </w:rPr>
              <w:t>Mr. Smiley</w:t>
            </w:r>
          </w:p>
        </w:tc>
        <w:tc>
          <w:tcPr>
            <w:tcW w:w="1980" w:type="dxa"/>
            <w:vAlign w:val="bottom"/>
          </w:tcPr>
          <w:p>
            <w:pPr>
              <w:jc w:val="right"/>
              <w:ind w:right="292"/>
              <w:spacing w:after="0"/>
              <w:rPr>
                <w:sz w:val="20"/>
                <w:szCs w:val="20"/>
                <w:color w:val="auto"/>
              </w:rPr>
            </w:pPr>
            <w:r>
              <w:rPr>
                <w:rFonts w:ascii="Arial" w:cs="Arial" w:eastAsia="Arial" w:hAnsi="Arial"/>
                <w:sz w:val="13"/>
                <w:szCs w:val="13"/>
                <w:color w:val="auto"/>
              </w:rPr>
              <w:t>$2,700,000 ****</w:t>
            </w:r>
          </w:p>
        </w:tc>
        <w:tc>
          <w:tcPr>
            <w:tcW w:w="2080" w:type="dxa"/>
            <w:vAlign w:val="bottom"/>
          </w:tcPr>
          <w:p>
            <w:pPr>
              <w:jc w:val="right"/>
              <w:ind w:right="232"/>
              <w:spacing w:after="0"/>
              <w:rPr>
                <w:sz w:val="20"/>
                <w:szCs w:val="20"/>
                <w:color w:val="auto"/>
              </w:rPr>
            </w:pPr>
            <w:r>
              <w:rPr>
                <w:rFonts w:ascii="Arial" w:cs="Arial" w:eastAsia="Arial" w:hAnsi="Arial"/>
                <w:sz w:val="13"/>
                <w:szCs w:val="13"/>
                <w:color w:val="auto"/>
              </w:rPr>
              <w:t>$3,300,000 ****</w:t>
            </w:r>
          </w:p>
        </w:tc>
        <w:tc>
          <w:tcPr>
            <w:tcW w:w="1400" w:type="dxa"/>
            <w:vAlign w:val="bottom"/>
          </w:tcPr>
          <w:p>
            <w:pPr>
              <w:jc w:val="right"/>
              <w:spacing w:after="0"/>
              <w:rPr>
                <w:sz w:val="20"/>
                <w:szCs w:val="20"/>
                <w:color w:val="auto"/>
              </w:rPr>
            </w:pPr>
            <w:r>
              <w:rPr>
                <w:rFonts w:ascii="Arial" w:cs="Arial" w:eastAsia="Arial" w:hAnsi="Arial"/>
                <w:sz w:val="13"/>
                <w:szCs w:val="13"/>
                <w:color w:val="auto"/>
              </w:rPr>
              <w:t>$0</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r>
    </w:tbl>
    <w:p>
      <w:pPr>
        <w:spacing w:after="0" w:line="19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*Ms. Ashkenazi, Mr. Van Naarden, and Mr. Rau were not executive officers in 2019 and 2020.</w:t>
      </w:r>
    </w:p>
    <w:p>
      <w:pPr>
        <w:spacing w:after="0" w:line="90" w:lineRule="exact"/>
        <w:rPr>
          <w:sz w:val="20"/>
          <w:szCs w:val="20"/>
          <w:color w:val="auto"/>
        </w:rPr>
      </w:pPr>
    </w:p>
    <w:p>
      <w:pPr>
        <w:ind w:left="920" w:right="2980"/>
        <w:spacing w:after="0" w:line="266" w:lineRule="auto"/>
        <w:rPr>
          <w:sz w:val="20"/>
          <w:szCs w:val="20"/>
          <w:color w:val="auto"/>
        </w:rPr>
      </w:pPr>
      <w:r>
        <w:rPr>
          <w:rFonts w:ascii="Arial" w:cs="Arial" w:eastAsia="Arial" w:hAnsi="Arial"/>
          <w:sz w:val="13"/>
          <w:szCs w:val="13"/>
          <w:color w:val="auto"/>
        </w:rPr>
        <w:t>**Mr. Van Naarden's total equity includes $1,300,000 non-executive officer annual equity grant when he held his former role with Loxo Oncology, Inc. and $2,650,000 of restricted stock units ($1,650,000 granted in February 2021 representing transition equity following Lilly’s acquisition of Loxo Oncology, Inc. and $1,000,000 granted in December 2021 associated with Mr. Van Naarden's promotion).</w:t>
      </w:r>
    </w:p>
    <w:p>
      <w:pPr>
        <w:spacing w:after="0" w:line="66" w:lineRule="exact"/>
        <w:rPr>
          <w:sz w:val="20"/>
          <w:szCs w:val="20"/>
          <w:color w:val="auto"/>
        </w:rPr>
      </w:pPr>
    </w:p>
    <w:p>
      <w:pPr>
        <w:ind w:left="920" w:right="3040"/>
        <w:spacing w:after="0" w:line="258" w:lineRule="auto"/>
        <w:rPr>
          <w:sz w:val="20"/>
          <w:szCs w:val="20"/>
          <w:color w:val="auto"/>
        </w:rPr>
      </w:pPr>
      <w:r>
        <w:rPr>
          <w:rFonts w:ascii="Arial" w:cs="Arial" w:eastAsia="Arial" w:hAnsi="Arial"/>
          <w:sz w:val="13"/>
          <w:szCs w:val="13"/>
          <w:color w:val="auto"/>
        </w:rPr>
        <w:t>***Mr. Rau received a sign-on restricted stock unit to replace a portion of the outstanding equity he forfeited after leaving Apple and the missed opportunity for a 2021 annual equity award from Lilly.</w:t>
      </w:r>
    </w:p>
    <w:p>
      <w:pPr>
        <w:spacing w:after="0" w:line="70" w:lineRule="exact"/>
        <w:rPr>
          <w:sz w:val="20"/>
          <w:szCs w:val="20"/>
          <w:color w:val="auto"/>
        </w:rPr>
      </w:pPr>
    </w:p>
    <w:p>
      <w:pPr>
        <w:ind w:left="920" w:right="3340"/>
        <w:spacing w:after="0" w:line="280" w:lineRule="auto"/>
        <w:rPr>
          <w:sz w:val="20"/>
          <w:szCs w:val="20"/>
          <w:color w:val="auto"/>
        </w:rPr>
      </w:pPr>
      <w:r>
        <w:rPr>
          <w:rFonts w:ascii="Arial" w:cs="Arial" w:eastAsia="Arial" w:hAnsi="Arial"/>
          <w:sz w:val="13"/>
          <w:szCs w:val="13"/>
          <w:color w:val="auto"/>
        </w:rPr>
        <w:t>****As a result of Mr. Smiley's resignation as an officer on February 9, 2021, his 2019 and 2020 equity awards were cancelled and he did not receive an equity grant in 2021.</w:t>
      </w:r>
    </w:p>
    <w:p>
      <w:pPr>
        <w:sectPr>
          <w:pgSz w:w="11900" w:h="16838" w:orient="portrait"/>
          <w:cols w:equalWidth="0" w:num="1">
            <w:col w:w="11120"/>
          </w:cols>
          <w:pgMar w:left="320" w:top="982" w:right="459" w:bottom="58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982" w:right="459" w:bottom="585" w:gutter="0" w:footer="0" w:header="0"/>
          <w:type w:val="continuous"/>
        </w:sectPr>
      </w:pPr>
    </w:p>
    <w:bookmarkStart w:id="60" w:name="page61"/>
    <w:bookmarkEnd w:id="60"/>
    <w:p>
      <w:pPr>
        <w:ind w:left="80" w:right="220"/>
        <w:spacing w:after="0" w:line="280" w:lineRule="auto"/>
        <w:rPr>
          <w:sz w:val="20"/>
          <w:szCs w:val="20"/>
          <w:color w:val="auto"/>
        </w:rPr>
      </w:pPr>
      <w:r>
        <w:rPr>
          <w:rFonts w:ascii="Arial" w:cs="Arial" w:eastAsia="Arial" w:hAnsi="Arial"/>
          <w:sz w:val="13"/>
          <w:szCs w:val="13"/>
          <w:color w:val="auto"/>
        </w:rPr>
        <w:t>The table below shows the minimum, target, and maximum payouts (valuing the number of shares that would vest at each payout level using the grant date fair value of a share of Lilly common stock on the date of grant) for the 2021-2023 performance award included in the Summary Compensation Table, which will pay out in February 2024.</w:t>
      </w:r>
    </w:p>
    <w:p>
      <w:pPr>
        <w:spacing w:after="0" w:line="5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2120" w:type="dxa"/>
            <w:vAlign w:val="bottom"/>
            <w:shd w:val="clear" w:color="auto" w:fill="DBDBDB"/>
          </w:tcPr>
          <w:p>
            <w:pPr>
              <w:jc w:val="right"/>
              <w:ind w:right="112"/>
              <w:spacing w:after="0"/>
              <w:rPr>
                <w:sz w:val="20"/>
                <w:szCs w:val="20"/>
                <w:color w:val="auto"/>
              </w:rPr>
            </w:pPr>
            <w:r>
              <w:rPr>
                <w:rFonts w:ascii="Arial" w:cs="Arial" w:eastAsia="Arial" w:hAnsi="Arial"/>
                <w:sz w:val="14"/>
                <w:szCs w:val="14"/>
                <w:b w:val="1"/>
                <w:bCs w:val="1"/>
                <w:color w:val="1CA8E1"/>
              </w:rPr>
              <w:t>Minimum Payout</w:t>
            </w:r>
          </w:p>
        </w:tc>
        <w:tc>
          <w:tcPr>
            <w:tcW w:w="1360" w:type="dxa"/>
            <w:vAlign w:val="bottom"/>
            <w:shd w:val="clear" w:color="auto" w:fill="DBDBDB"/>
          </w:tcPr>
          <w:p>
            <w:pPr>
              <w:jc w:val="right"/>
              <w:ind w:right="152"/>
              <w:spacing w:after="0"/>
              <w:rPr>
                <w:sz w:val="20"/>
                <w:szCs w:val="20"/>
                <w:color w:val="auto"/>
              </w:rPr>
            </w:pPr>
            <w:r>
              <w:rPr>
                <w:rFonts w:ascii="Arial" w:cs="Arial" w:eastAsia="Arial" w:hAnsi="Arial"/>
                <w:sz w:val="14"/>
                <w:szCs w:val="14"/>
                <w:b w:val="1"/>
                <w:bCs w:val="1"/>
                <w:color w:val="1CA8E1"/>
              </w:rPr>
              <w:t>Target Payout</w:t>
            </w:r>
          </w:p>
        </w:tc>
        <w:tc>
          <w:tcPr>
            <w:tcW w:w="1580" w:type="dxa"/>
            <w:vAlign w:val="bottom"/>
            <w:shd w:val="clear" w:color="auto" w:fill="DBDBDB"/>
          </w:tcPr>
          <w:p>
            <w:pPr>
              <w:jc w:val="right"/>
              <w:ind w:right="112"/>
              <w:spacing w:after="0"/>
              <w:rPr>
                <w:sz w:val="20"/>
                <w:szCs w:val="20"/>
                <w:color w:val="auto"/>
              </w:rPr>
            </w:pPr>
            <w:r>
              <w:rPr>
                <w:rFonts w:ascii="Arial" w:cs="Arial" w:eastAsia="Arial" w:hAnsi="Arial"/>
                <w:sz w:val="14"/>
                <w:szCs w:val="14"/>
                <w:b w:val="1"/>
                <w:bCs w:val="1"/>
                <w:color w:val="1CA8E1"/>
              </w:rPr>
              <w:t>Maximum Payout</w:t>
            </w:r>
          </w:p>
        </w:tc>
      </w:tr>
      <w:tr>
        <w:trPr>
          <w:trHeight w:val="202"/>
        </w:trPr>
        <w:tc>
          <w:tcPr>
            <w:tcW w:w="1820" w:type="dxa"/>
            <w:vAlign w:val="bottom"/>
          </w:tcPr>
          <w:p>
            <w:pPr>
              <w:ind w:left="20"/>
              <w:spacing w:after="0"/>
              <w:rPr>
                <w:sz w:val="20"/>
                <w:szCs w:val="20"/>
                <w:color w:val="auto"/>
              </w:rPr>
            </w:pPr>
            <w:r>
              <w:rPr>
                <w:rFonts w:ascii="Arial" w:cs="Arial" w:eastAsia="Arial" w:hAnsi="Arial"/>
                <w:sz w:val="13"/>
                <w:szCs w:val="13"/>
                <w:color w:val="auto"/>
              </w:rPr>
              <w:t>Mr. Ricks</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$4,200,000</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$7,350,000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$1,100,000</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$1,925,000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$1,410,000</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$2,467,500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$0</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$650,000</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$1,137,500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Rau*</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N/A</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N/A</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Smiley**</w:t>
            </w:r>
          </w:p>
        </w:tc>
        <w:tc>
          <w:tcPr>
            <w:tcW w:w="2120" w:type="dxa"/>
            <w:vAlign w:val="bottom"/>
          </w:tcPr>
          <w:p>
            <w:pPr>
              <w:jc w:val="right"/>
              <w:ind w:right="452"/>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352"/>
              <w:spacing w:after="0"/>
              <w:rPr>
                <w:sz w:val="20"/>
                <w:szCs w:val="20"/>
                <w:color w:val="auto"/>
              </w:rPr>
            </w:pPr>
            <w:r>
              <w:rPr>
                <w:rFonts w:ascii="Arial" w:cs="Arial" w:eastAsia="Arial" w:hAnsi="Arial"/>
                <w:sz w:val="13"/>
                <w:szCs w:val="13"/>
                <w:color w:val="auto"/>
              </w:rPr>
              <w:t>N/A</w:t>
            </w:r>
          </w:p>
        </w:tc>
        <w:tc>
          <w:tcPr>
            <w:tcW w:w="1580" w:type="dxa"/>
            <w:vAlign w:val="bottom"/>
          </w:tcPr>
          <w:p>
            <w:pPr>
              <w:jc w:val="right"/>
              <w:ind w:right="412"/>
              <w:spacing w:after="0"/>
              <w:rPr>
                <w:sz w:val="20"/>
                <w:szCs w:val="20"/>
                <w:color w:val="auto"/>
              </w:rPr>
            </w:pPr>
            <w:r>
              <w:rPr>
                <w:rFonts w:ascii="Arial" w:cs="Arial" w:eastAsia="Arial" w:hAnsi="Arial"/>
                <w:sz w:val="13"/>
                <w:szCs w:val="13"/>
                <w:color w:val="auto"/>
              </w:rPr>
              <w:t>N/A</w:t>
            </w:r>
          </w:p>
        </w:tc>
      </w:tr>
    </w:tbl>
    <w:p>
      <w:pPr>
        <w:spacing w:after="0" w:line="18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*Mr. Rau joined Lilly in May 2021 and did not receive a 2021-2023 performance award grant.</w:t>
      </w:r>
    </w:p>
    <w:p>
      <w:pPr>
        <w:spacing w:after="0" w:line="107" w:lineRule="exact"/>
        <w:rPr>
          <w:sz w:val="20"/>
          <w:szCs w:val="20"/>
          <w:color w:val="auto"/>
        </w:rPr>
      </w:pPr>
    </w:p>
    <w:p>
      <w:pPr>
        <w:ind w:left="920" w:right="4200"/>
        <w:spacing w:after="0" w:line="280" w:lineRule="auto"/>
        <w:rPr>
          <w:sz w:val="20"/>
          <w:szCs w:val="20"/>
          <w:color w:val="auto"/>
        </w:rPr>
      </w:pPr>
      <w:r>
        <w:rPr>
          <w:rFonts w:ascii="Arial" w:cs="Arial" w:eastAsia="Arial" w:hAnsi="Arial"/>
          <w:sz w:val="13"/>
          <w:szCs w:val="13"/>
          <w:color w:val="auto"/>
        </w:rPr>
        <w:t>**As a result of Mr. Smiley's resignation as an officer on February 9, 2021, Mr. Smiley did not receive a 2021-2023 performance award grant.</w:t>
      </w:r>
    </w:p>
    <w:p>
      <w:pPr>
        <w:spacing w:after="0" w:line="191" w:lineRule="exact"/>
        <w:rPr>
          <w:sz w:val="20"/>
          <w:szCs w:val="20"/>
          <w:color w:val="auto"/>
        </w:rPr>
      </w:pPr>
    </w:p>
    <w:p>
      <w:pPr>
        <w:ind w:left="80" w:right="220"/>
        <w:spacing w:after="0" w:line="280" w:lineRule="auto"/>
        <w:rPr>
          <w:sz w:val="20"/>
          <w:szCs w:val="20"/>
          <w:color w:val="auto"/>
        </w:rPr>
      </w:pPr>
      <w:r>
        <w:rPr>
          <w:rFonts w:ascii="Arial" w:cs="Arial" w:eastAsia="Arial" w:hAnsi="Arial"/>
          <w:sz w:val="13"/>
          <w:szCs w:val="13"/>
          <w:color w:val="auto"/>
        </w:rPr>
        <w:t>The table below shows the minimum, target, and maximum payouts (valuing the number of shares that would vest at each payout level using the grant date fair value of a share of Lilly common stock on the date of grant) for the 2021-2023 shareholder value award included in the Summary Compensation Table, which will pay out in February 2024.</w:t>
      </w:r>
    </w:p>
    <w:p>
      <w:pPr>
        <w:spacing w:after="0" w:line="57" w:lineRule="exact"/>
        <w:rPr>
          <w:sz w:val="20"/>
          <w:szCs w:val="20"/>
          <w:color w:val="auto"/>
        </w:rPr>
      </w:pPr>
    </w:p>
    <w:tbl>
      <w:tblPr>
        <w:tblLayout w:type="fixed"/>
        <w:tblInd w:w="900" w:type="dxa"/>
        <w:tblCellMar>
          <w:top w:w="0" w:type="dxa"/>
          <w:left w:w="0" w:type="dxa"/>
          <w:bottom w:w="0" w:type="dxa"/>
          <w:right w:w="0" w:type="dxa"/>
        </w:tblCellMar>
      </w:tblPr>
      <w:tr>
        <w:trPr>
          <w:trHeight w:val="257"/>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p>
        </w:tc>
        <w:tc>
          <w:tcPr>
            <w:tcW w:w="2120" w:type="dxa"/>
            <w:vAlign w:val="bottom"/>
            <w:shd w:val="clear" w:color="auto" w:fill="DBDBDB"/>
          </w:tcPr>
          <w:p>
            <w:pPr>
              <w:jc w:val="right"/>
              <w:ind w:right="112"/>
              <w:spacing w:after="0"/>
              <w:rPr>
                <w:sz w:val="20"/>
                <w:szCs w:val="20"/>
                <w:color w:val="auto"/>
              </w:rPr>
            </w:pPr>
            <w:r>
              <w:rPr>
                <w:rFonts w:ascii="Arial" w:cs="Arial" w:eastAsia="Arial" w:hAnsi="Arial"/>
                <w:sz w:val="14"/>
                <w:szCs w:val="14"/>
                <w:b w:val="1"/>
                <w:bCs w:val="1"/>
                <w:color w:val="00A1DE"/>
              </w:rPr>
              <w:t>Minimum Payout</w:t>
            </w:r>
          </w:p>
        </w:tc>
        <w:tc>
          <w:tcPr>
            <w:tcW w:w="1320" w:type="dxa"/>
            <w:vAlign w:val="bottom"/>
            <w:shd w:val="clear" w:color="auto" w:fill="DBDBDB"/>
          </w:tcPr>
          <w:p>
            <w:pPr>
              <w:jc w:val="right"/>
              <w:ind w:right="152"/>
              <w:spacing w:after="0"/>
              <w:rPr>
                <w:sz w:val="20"/>
                <w:szCs w:val="20"/>
                <w:color w:val="auto"/>
              </w:rPr>
            </w:pPr>
            <w:r>
              <w:rPr>
                <w:rFonts w:ascii="Arial" w:cs="Arial" w:eastAsia="Arial" w:hAnsi="Arial"/>
                <w:sz w:val="14"/>
                <w:szCs w:val="14"/>
                <w:b w:val="1"/>
                <w:bCs w:val="1"/>
                <w:color w:val="00A1DE"/>
              </w:rPr>
              <w:t>Target Payout</w:t>
            </w:r>
          </w:p>
        </w:tc>
        <w:tc>
          <w:tcPr>
            <w:tcW w:w="1580" w:type="dxa"/>
            <w:vAlign w:val="bottom"/>
            <w:shd w:val="clear" w:color="auto" w:fill="DBDBDB"/>
          </w:tcPr>
          <w:p>
            <w:pPr>
              <w:jc w:val="right"/>
              <w:ind w:right="112"/>
              <w:spacing w:after="0"/>
              <w:rPr>
                <w:sz w:val="20"/>
                <w:szCs w:val="20"/>
                <w:color w:val="auto"/>
              </w:rPr>
            </w:pPr>
            <w:r>
              <w:rPr>
                <w:rFonts w:ascii="Arial" w:cs="Arial" w:eastAsia="Arial" w:hAnsi="Arial"/>
                <w:sz w:val="14"/>
                <w:szCs w:val="14"/>
                <w:b w:val="1"/>
                <w:bCs w:val="1"/>
                <w:color w:val="00A1DE"/>
              </w:rPr>
              <w:t>Maximum Payout</w:t>
            </w:r>
          </w:p>
        </w:tc>
      </w:tr>
      <w:tr>
        <w:trPr>
          <w:trHeight w:val="229"/>
        </w:trPr>
        <w:tc>
          <w:tcPr>
            <w:tcW w:w="1820" w:type="dxa"/>
            <w:vAlign w:val="bottom"/>
          </w:tcPr>
          <w:p>
            <w:pPr>
              <w:ind w:left="20"/>
              <w:spacing w:after="0"/>
              <w:rPr>
                <w:sz w:val="20"/>
                <w:szCs w:val="20"/>
                <w:color w:val="auto"/>
              </w:rPr>
            </w:pPr>
            <w:r>
              <w:rPr>
                <w:rFonts w:ascii="Arial" w:cs="Arial" w:eastAsia="Arial" w:hAnsi="Arial"/>
                <w:sz w:val="13"/>
                <w:szCs w:val="13"/>
                <w:color w:val="auto"/>
              </w:rPr>
              <w:t>Mr. Ricks</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$4,900,000</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$8,575,000</w:t>
            </w:r>
          </w:p>
        </w:tc>
      </w:tr>
      <w:tr>
        <w:trPr>
          <w:trHeight w:val="257"/>
        </w:trPr>
        <w:tc>
          <w:tcPr>
            <w:tcW w:w="182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$550,000</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$962,500</w:t>
            </w:r>
          </w:p>
        </w:tc>
      </w:tr>
      <w:tr>
        <w:trPr>
          <w:trHeight w:val="256"/>
        </w:trPr>
        <w:tc>
          <w:tcPr>
            <w:tcW w:w="182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$1,645,000</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$2,878,750</w:t>
            </w:r>
          </w:p>
        </w:tc>
      </w:tr>
      <w:tr>
        <w:trPr>
          <w:trHeight w:val="257"/>
        </w:trPr>
        <w:tc>
          <w:tcPr>
            <w:tcW w:w="182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$325,000</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$568,750</w:t>
            </w:r>
          </w:p>
        </w:tc>
      </w:tr>
      <w:tr>
        <w:trPr>
          <w:trHeight w:val="257"/>
        </w:trPr>
        <w:tc>
          <w:tcPr>
            <w:tcW w:w="1820" w:type="dxa"/>
            <w:vAlign w:val="bottom"/>
          </w:tcPr>
          <w:p>
            <w:pPr>
              <w:ind w:left="20"/>
              <w:spacing w:after="0"/>
              <w:rPr>
                <w:sz w:val="20"/>
                <w:szCs w:val="20"/>
                <w:color w:val="auto"/>
              </w:rPr>
            </w:pPr>
            <w:r>
              <w:rPr>
                <w:rFonts w:ascii="Arial" w:cs="Arial" w:eastAsia="Arial" w:hAnsi="Arial"/>
                <w:sz w:val="13"/>
                <w:szCs w:val="13"/>
                <w:color w:val="auto"/>
              </w:rPr>
              <w:t>Mr. Rau*</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N/A</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N/A</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N/A</w:t>
            </w:r>
          </w:p>
        </w:tc>
      </w:tr>
      <w:tr>
        <w:trPr>
          <w:trHeight w:val="257"/>
        </w:trPr>
        <w:tc>
          <w:tcPr>
            <w:tcW w:w="1820" w:type="dxa"/>
            <w:vAlign w:val="bottom"/>
          </w:tcPr>
          <w:p>
            <w:pPr>
              <w:ind w:left="20"/>
              <w:spacing w:after="0"/>
              <w:rPr>
                <w:sz w:val="20"/>
                <w:szCs w:val="20"/>
                <w:color w:val="auto"/>
              </w:rPr>
            </w:pPr>
            <w:r>
              <w:rPr>
                <w:rFonts w:ascii="Arial" w:cs="Arial" w:eastAsia="Arial" w:hAnsi="Arial"/>
                <w:sz w:val="13"/>
                <w:szCs w:val="13"/>
                <w:color w:val="auto"/>
              </w:rPr>
              <w:t>Mr. Smiley**</w:t>
            </w:r>
          </w:p>
        </w:tc>
        <w:tc>
          <w:tcPr>
            <w:tcW w:w="2120" w:type="dxa"/>
            <w:vAlign w:val="bottom"/>
          </w:tcPr>
          <w:p>
            <w:pPr>
              <w:jc w:val="right"/>
              <w:ind w:right="372"/>
              <w:spacing w:after="0"/>
              <w:rPr>
                <w:sz w:val="20"/>
                <w:szCs w:val="20"/>
                <w:color w:val="auto"/>
              </w:rPr>
            </w:pPr>
            <w:r>
              <w:rPr>
                <w:rFonts w:ascii="Arial" w:cs="Arial" w:eastAsia="Arial" w:hAnsi="Arial"/>
                <w:sz w:val="13"/>
                <w:szCs w:val="13"/>
                <w:color w:val="auto"/>
              </w:rPr>
              <w:t>N/A</w:t>
            </w:r>
          </w:p>
        </w:tc>
        <w:tc>
          <w:tcPr>
            <w:tcW w:w="1320" w:type="dxa"/>
            <w:vAlign w:val="bottom"/>
          </w:tcPr>
          <w:p>
            <w:pPr>
              <w:jc w:val="right"/>
              <w:ind w:right="332"/>
              <w:spacing w:after="0"/>
              <w:rPr>
                <w:sz w:val="20"/>
                <w:szCs w:val="20"/>
                <w:color w:val="auto"/>
              </w:rPr>
            </w:pPr>
            <w:r>
              <w:rPr>
                <w:rFonts w:ascii="Arial" w:cs="Arial" w:eastAsia="Arial" w:hAnsi="Arial"/>
                <w:sz w:val="13"/>
                <w:szCs w:val="13"/>
                <w:color w:val="auto"/>
              </w:rPr>
              <w:t>N/A</w:t>
            </w:r>
          </w:p>
        </w:tc>
        <w:tc>
          <w:tcPr>
            <w:tcW w:w="1580" w:type="dxa"/>
            <w:vAlign w:val="bottom"/>
          </w:tcPr>
          <w:p>
            <w:pPr>
              <w:jc w:val="right"/>
              <w:ind w:right="352"/>
              <w:spacing w:after="0"/>
              <w:rPr>
                <w:sz w:val="20"/>
                <w:szCs w:val="20"/>
                <w:color w:val="auto"/>
              </w:rPr>
            </w:pPr>
            <w:r>
              <w:rPr>
                <w:rFonts w:ascii="Arial" w:cs="Arial" w:eastAsia="Arial" w:hAnsi="Arial"/>
                <w:sz w:val="13"/>
                <w:szCs w:val="13"/>
                <w:color w:val="auto"/>
              </w:rPr>
              <w:t>N/A</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*Mr. Rau joined Lilly in May 2021 and did not receive a 2021-2023 shareholder value award grant.</w:t>
      </w:r>
    </w:p>
    <w:p>
      <w:pPr>
        <w:spacing w:after="0" w:line="107" w:lineRule="exact"/>
        <w:rPr>
          <w:sz w:val="20"/>
          <w:szCs w:val="20"/>
          <w:color w:val="auto"/>
        </w:rPr>
      </w:pPr>
    </w:p>
    <w:p>
      <w:pPr>
        <w:ind w:left="920" w:right="4200"/>
        <w:spacing w:after="0" w:line="280" w:lineRule="auto"/>
        <w:rPr>
          <w:sz w:val="20"/>
          <w:szCs w:val="20"/>
          <w:color w:val="auto"/>
        </w:rPr>
      </w:pPr>
      <w:r>
        <w:rPr>
          <w:rFonts w:ascii="Arial" w:cs="Arial" w:eastAsia="Arial" w:hAnsi="Arial"/>
          <w:sz w:val="13"/>
          <w:szCs w:val="13"/>
          <w:color w:val="auto"/>
        </w:rPr>
        <w:t>**As a result of Mr. Smiley's resignation as an officer on February 9, 2021, Mr. Smiley did not receive a 2021-2023 shareholder value award grant.</w:t>
      </w:r>
    </w:p>
    <w:p>
      <w:pPr>
        <w:spacing w:after="0" w:line="205" w:lineRule="exact"/>
        <w:rPr>
          <w:sz w:val="20"/>
          <w:szCs w:val="20"/>
          <w:color w:val="auto"/>
        </w:rPr>
      </w:pPr>
    </w:p>
    <w:p>
      <w:pPr>
        <w:ind w:left="180" w:right="140"/>
        <w:spacing w:after="0" w:line="280" w:lineRule="auto"/>
        <w:rPr>
          <w:sz w:val="20"/>
          <w:szCs w:val="20"/>
          <w:color w:val="auto"/>
        </w:rPr>
      </w:pPr>
      <w:r>
        <w:rPr>
          <w:rFonts w:ascii="Arial" w:cs="Arial" w:eastAsia="Arial" w:hAnsi="Arial"/>
          <w:sz w:val="13"/>
          <w:szCs w:val="13"/>
          <w:color w:val="auto"/>
        </w:rPr>
        <w:t>The table below shows the minimum, target, and maximum payouts (valuing the number of shares that would vest at each payout level using the grant date fair value of a share of Lilly common stock on the date of grant) for the 2021-2023 relative value award included in the Summary Compensation Table, which will pay out in February 2024.</w:t>
      </w:r>
    </w:p>
    <w:p>
      <w:pPr>
        <w:spacing w:after="0" w:line="5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p>
        </w:tc>
        <w:tc>
          <w:tcPr>
            <w:tcW w:w="2140" w:type="dxa"/>
            <w:vAlign w:val="bottom"/>
            <w:shd w:val="clear" w:color="auto" w:fill="DBDBDB"/>
          </w:tcPr>
          <w:p>
            <w:pPr>
              <w:jc w:val="right"/>
              <w:ind w:right="132"/>
              <w:spacing w:after="0"/>
              <w:rPr>
                <w:sz w:val="20"/>
                <w:szCs w:val="20"/>
                <w:color w:val="auto"/>
              </w:rPr>
            </w:pPr>
            <w:r>
              <w:rPr>
                <w:rFonts w:ascii="Arial" w:cs="Arial" w:eastAsia="Arial" w:hAnsi="Arial"/>
                <w:sz w:val="14"/>
                <w:szCs w:val="14"/>
                <w:b w:val="1"/>
                <w:bCs w:val="1"/>
                <w:color w:val="00A1DE"/>
              </w:rPr>
              <w:t>Minimum Payout</w:t>
            </w:r>
          </w:p>
        </w:tc>
        <w:tc>
          <w:tcPr>
            <w:tcW w:w="1340" w:type="dxa"/>
            <w:vAlign w:val="bottom"/>
            <w:shd w:val="clear" w:color="auto" w:fill="DBDBDB"/>
          </w:tcPr>
          <w:p>
            <w:pPr>
              <w:jc w:val="right"/>
              <w:ind w:right="152"/>
              <w:spacing w:after="0"/>
              <w:rPr>
                <w:sz w:val="20"/>
                <w:szCs w:val="20"/>
                <w:color w:val="auto"/>
              </w:rPr>
            </w:pPr>
            <w:r>
              <w:rPr>
                <w:rFonts w:ascii="Arial" w:cs="Arial" w:eastAsia="Arial" w:hAnsi="Arial"/>
                <w:sz w:val="14"/>
                <w:szCs w:val="14"/>
                <w:b w:val="1"/>
                <w:bCs w:val="1"/>
                <w:color w:val="00A1DE"/>
              </w:rPr>
              <w:t>Target Payout</w:t>
            </w:r>
          </w:p>
        </w:tc>
        <w:tc>
          <w:tcPr>
            <w:tcW w:w="1540" w:type="dxa"/>
            <w:vAlign w:val="bottom"/>
            <w:shd w:val="clear" w:color="auto" w:fill="DBDBDB"/>
          </w:tcPr>
          <w:p>
            <w:pPr>
              <w:jc w:val="right"/>
              <w:ind w:right="92"/>
              <w:spacing w:after="0"/>
              <w:rPr>
                <w:sz w:val="20"/>
                <w:szCs w:val="20"/>
                <w:color w:val="auto"/>
              </w:rPr>
            </w:pPr>
            <w:r>
              <w:rPr>
                <w:rFonts w:ascii="Arial" w:cs="Arial" w:eastAsia="Arial" w:hAnsi="Arial"/>
                <w:sz w:val="14"/>
                <w:szCs w:val="14"/>
                <w:b w:val="1"/>
                <w:bCs w:val="1"/>
                <w:color w:val="00A1DE"/>
              </w:rPr>
              <w:t>Maximum Payout</w:t>
            </w:r>
          </w:p>
        </w:tc>
      </w:tr>
      <w:tr>
        <w:trPr>
          <w:trHeight w:val="188"/>
        </w:trPr>
        <w:tc>
          <w:tcPr>
            <w:tcW w:w="1820" w:type="dxa"/>
            <w:vAlign w:val="bottom"/>
          </w:tcPr>
          <w:p>
            <w:pPr>
              <w:ind w:left="20"/>
              <w:spacing w:after="0"/>
              <w:rPr>
                <w:sz w:val="20"/>
                <w:szCs w:val="20"/>
                <w:color w:val="auto"/>
              </w:rPr>
            </w:pPr>
            <w:r>
              <w:rPr>
                <w:rFonts w:ascii="Arial" w:cs="Arial" w:eastAsia="Arial" w:hAnsi="Arial"/>
                <w:sz w:val="13"/>
                <w:szCs w:val="13"/>
                <w:color w:val="auto"/>
              </w:rPr>
              <w:t>Mr. Ricks</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$4,900,000</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$8,575,000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$550,000</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$962,500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$1,645,000</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$2,878,750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$325,000</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$568,750</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Rau*</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N/A</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N/A</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N/A</w:t>
            </w:r>
          </w:p>
        </w:tc>
      </w:tr>
      <w:tr>
        <w:trPr>
          <w:trHeight w:val="216"/>
        </w:trPr>
        <w:tc>
          <w:tcPr>
            <w:tcW w:w="1820" w:type="dxa"/>
            <w:vAlign w:val="bottom"/>
          </w:tcPr>
          <w:p>
            <w:pPr>
              <w:ind w:left="20"/>
              <w:spacing w:after="0"/>
              <w:rPr>
                <w:sz w:val="20"/>
                <w:szCs w:val="20"/>
                <w:color w:val="auto"/>
              </w:rPr>
            </w:pPr>
            <w:r>
              <w:rPr>
                <w:rFonts w:ascii="Arial" w:cs="Arial" w:eastAsia="Arial" w:hAnsi="Arial"/>
                <w:sz w:val="13"/>
                <w:szCs w:val="13"/>
                <w:color w:val="auto"/>
              </w:rPr>
              <w:t>Mr. Smiley**</w:t>
            </w:r>
          </w:p>
        </w:tc>
        <w:tc>
          <w:tcPr>
            <w:tcW w:w="2140" w:type="dxa"/>
            <w:vAlign w:val="bottom"/>
          </w:tcPr>
          <w:p>
            <w:pPr>
              <w:jc w:val="right"/>
              <w:ind w:right="412"/>
              <w:spacing w:after="0"/>
              <w:rPr>
                <w:sz w:val="20"/>
                <w:szCs w:val="20"/>
                <w:color w:val="auto"/>
              </w:rPr>
            </w:pPr>
            <w:r>
              <w:rPr>
                <w:rFonts w:ascii="Arial" w:cs="Arial" w:eastAsia="Arial" w:hAnsi="Arial"/>
                <w:sz w:val="13"/>
                <w:szCs w:val="13"/>
                <w:color w:val="auto"/>
              </w:rPr>
              <w:t>N/A</w:t>
            </w:r>
          </w:p>
        </w:tc>
        <w:tc>
          <w:tcPr>
            <w:tcW w:w="1340" w:type="dxa"/>
            <w:vAlign w:val="bottom"/>
          </w:tcPr>
          <w:p>
            <w:pPr>
              <w:jc w:val="right"/>
              <w:ind w:right="252"/>
              <w:spacing w:after="0"/>
              <w:rPr>
                <w:sz w:val="20"/>
                <w:szCs w:val="20"/>
                <w:color w:val="auto"/>
              </w:rPr>
            </w:pPr>
            <w:r>
              <w:rPr>
                <w:rFonts w:ascii="Arial" w:cs="Arial" w:eastAsia="Arial" w:hAnsi="Arial"/>
                <w:sz w:val="13"/>
                <w:szCs w:val="13"/>
                <w:color w:val="auto"/>
              </w:rPr>
              <w:t>N/A</w:t>
            </w:r>
          </w:p>
        </w:tc>
        <w:tc>
          <w:tcPr>
            <w:tcW w:w="1540" w:type="dxa"/>
            <w:vAlign w:val="bottom"/>
          </w:tcPr>
          <w:p>
            <w:pPr>
              <w:jc w:val="right"/>
              <w:ind w:right="332"/>
              <w:spacing w:after="0"/>
              <w:rPr>
                <w:sz w:val="20"/>
                <w:szCs w:val="20"/>
                <w:color w:val="auto"/>
              </w:rPr>
            </w:pPr>
            <w:r>
              <w:rPr>
                <w:rFonts w:ascii="Arial" w:cs="Arial" w:eastAsia="Arial" w:hAnsi="Arial"/>
                <w:sz w:val="13"/>
                <w:szCs w:val="13"/>
                <w:color w:val="auto"/>
              </w:rPr>
              <w:t>N/A</w:t>
            </w:r>
          </w:p>
        </w:tc>
      </w:tr>
    </w:tbl>
    <w:p>
      <w:pPr>
        <w:spacing w:after="0" w:line="16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*Mr. Rau joined Lilly in May 2021 and did not receive a 2021-2023 relative value award grant.</w:t>
      </w:r>
    </w:p>
    <w:p>
      <w:pPr>
        <w:spacing w:after="0" w:line="107" w:lineRule="exact"/>
        <w:rPr>
          <w:sz w:val="20"/>
          <w:szCs w:val="20"/>
          <w:color w:val="auto"/>
        </w:rPr>
      </w:pPr>
    </w:p>
    <w:p>
      <w:pPr>
        <w:ind w:left="920" w:right="4160" w:hanging="3"/>
        <w:spacing w:after="0" w:line="280" w:lineRule="auto"/>
        <w:tabs>
          <w:tab w:leader="none" w:pos="1062" w:val="left"/>
        </w:tabs>
        <w:numPr>
          <w:ilvl w:val="0"/>
          <w:numId w:val="83"/>
        </w:numPr>
        <w:rPr>
          <w:rFonts w:ascii="Arial" w:cs="Arial" w:eastAsia="Arial" w:hAnsi="Arial"/>
          <w:sz w:val="13"/>
          <w:szCs w:val="13"/>
          <w:color w:val="auto"/>
        </w:rPr>
      </w:pPr>
      <w:r>
        <w:rPr>
          <w:rFonts w:ascii="Arial" w:cs="Arial" w:eastAsia="Arial" w:hAnsi="Arial"/>
          <w:sz w:val="13"/>
          <w:szCs w:val="13"/>
          <w:color w:val="auto"/>
        </w:rPr>
        <w:t>As a result of Mr. Smiley's resignation as an officer on February 9, 2021, Mr. Smiley did not receive a 2021-2023 relative value award grant.</w:t>
      </w:r>
    </w:p>
    <w:p>
      <w:pPr>
        <w:spacing w:after="0" w:line="205" w:lineRule="exact"/>
        <w:rPr>
          <w:sz w:val="20"/>
          <w:szCs w:val="20"/>
          <w:color w:val="auto"/>
        </w:rPr>
      </w:pPr>
    </w:p>
    <w:p>
      <w:pPr>
        <w:ind w:right="100" w:firstLine="8"/>
        <w:spacing w:after="0" w:line="218" w:lineRule="auto"/>
        <w:tabs>
          <w:tab w:leader="none" w:pos="86" w:val="left"/>
        </w:tabs>
        <w:numPr>
          <w:ilvl w:val="0"/>
          <w:numId w:val="84"/>
        </w:numPr>
        <w:rPr>
          <w:rFonts w:ascii="Arial" w:cs="Arial" w:eastAsia="Arial" w:hAnsi="Arial"/>
          <w:sz w:val="18"/>
          <w:szCs w:val="18"/>
          <w:color w:val="auto"/>
          <w:vertAlign w:val="superscript"/>
        </w:rPr>
      </w:pPr>
      <w:r>
        <w:rPr>
          <w:rFonts w:ascii="Arial" w:cs="Arial" w:eastAsia="Arial" w:hAnsi="Arial"/>
          <w:sz w:val="13"/>
          <w:szCs w:val="13"/>
          <w:color w:val="auto"/>
        </w:rPr>
        <w:t>Payments under the Bonus Plan for performance in the years represented. For Mr. Van Naarden, the amount in this column reflects payments under the Bonus Plan and the Loxo Bonus Plan for 2021.</w:t>
      </w:r>
    </w:p>
    <w:p>
      <w:pPr>
        <w:jc w:val="both"/>
        <w:ind w:right="32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The amounts in this column reflect the change in pension value for each individual, calculated by an actuary. The changes in pension values in 2021 were driven by pay changes, an additional year of credited service, offset by changes in actuarial assumptions. The design of the pension benefit plan did not change. See the Pension Benefits in 2021 table below for information about the standard actuarial assumptions used. No named executive officer received preferential or above-market earnings on deferred compensation.</w:t>
      </w:r>
    </w:p>
    <w:p>
      <w:pPr>
        <w:spacing w:after="0" w:line="1" w:lineRule="exact"/>
        <w:rPr>
          <w:rFonts w:ascii="Arial" w:cs="Arial" w:eastAsia="Arial" w:hAnsi="Arial"/>
          <w:sz w:val="18"/>
          <w:szCs w:val="18"/>
          <w:color w:val="auto"/>
          <w:vertAlign w:val="superscript"/>
        </w:rPr>
      </w:pPr>
    </w:p>
    <w:p>
      <w:pPr>
        <w:spacing w:after="0" w:line="249"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The amounts in this column are company matching contributions into each individual's 401(k) and nonqualified savings plan contributions. For Mr. Ricks, the amount in this column reflects $90,000 of company matching contributions and nonqualified savings plan contributions and $36,750 of aggregate incremental cost for his personal use of the corporate aircraft.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the vast majority of the use of the corporate aircraft is for business purposes, fixed costs such as aircraft purchase costs, maintenance not related to personal trips, and flight crew salaries are not included. For Mr. Rau, the amount in this column reflects $18,914 of company matching contributions and nonqualified savings plan contributions and $12,756 of moving expense reimbursements. The company does not reimburse executives for taxes outside of the limited circumstance of taxes related to a domestic employee relocation or a prior international assignment.</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For Mr. Van Naarden, this column reflects $668,399 in salary payments and $77,250 of unused vacation pay from Loxo Oncology, Inc.</w:t>
      </w:r>
    </w:p>
    <w:p>
      <w:pPr>
        <w:ind w:right="4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6</w:t>
      </w:r>
      <w:r>
        <w:rPr>
          <w:rFonts w:ascii="Arial" w:cs="Arial" w:eastAsia="Arial" w:hAnsi="Arial"/>
          <w:sz w:val="13"/>
          <w:szCs w:val="13"/>
          <w:color w:val="auto"/>
        </w:rPr>
        <w:t xml:space="preserve"> This column includes the amount which represents a one-time cash payment of $218,715 in lieu of compensation and benefits Mr. Van Naarden was no longer eligible to receive following his transition to his new role, including compensation for the difference between the bonus he would have earned under the Loxo Bonus Plan and the Lilly Bonus Plan, and changes in his expected out-of-pocket costs for healthcare expenses.</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7</w:t>
      </w:r>
      <w:r>
        <w:rPr>
          <w:rFonts w:ascii="Arial" w:cs="Arial" w:eastAsia="Arial" w:hAnsi="Arial"/>
          <w:sz w:val="13"/>
          <w:szCs w:val="13"/>
          <w:color w:val="auto"/>
        </w:rPr>
        <w:t xml:space="preserve"> Mr. Rau joined Lilly in May 2021, and the amount in this column reflects the pro-rated annual incentive paid for the portion of the year for which he was employed.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881" w:right="359" w:bottom="1440" w:gutter="0" w:footer="0" w:header="0"/>
        </w:sectPr>
      </w:pPr>
    </w:p>
    <w:bookmarkStart w:id="61" w:name="page62"/>
    <w:bookmarkEnd w:id="61"/>
    <w:p>
      <w:pPr>
        <w:ind w:right="20" w:firstLine="8"/>
        <w:spacing w:after="0" w:line="218" w:lineRule="auto"/>
        <w:tabs>
          <w:tab w:leader="none" w:pos="86" w:val="left"/>
        </w:tabs>
        <w:numPr>
          <w:ilvl w:val="0"/>
          <w:numId w:val="85"/>
        </w:numPr>
        <w:rPr>
          <w:rFonts w:ascii="Arial" w:cs="Arial" w:eastAsia="Arial" w:hAnsi="Arial"/>
          <w:sz w:val="18"/>
          <w:szCs w:val="18"/>
          <w:color w:val="auto"/>
          <w:vertAlign w:val="superscript"/>
        </w:rPr>
      </w:pPr>
      <w:r>
        <w:rPr>
          <w:rFonts w:ascii="Arial" w:cs="Arial" w:eastAsia="Arial" w:hAnsi="Arial"/>
          <w:sz w:val="13"/>
          <w:szCs w:val="13"/>
          <w:color w:val="auto"/>
        </w:rPr>
        <w:t>Mr. Rau received a cash sign-on award of $250,000 to replace a portion of the outstanding equity with near-term vesting provisions that he forfeited after leaving Apple and to cover other incidental expenses associated with his transition to the role with Lilly.</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9</w:t>
      </w:r>
      <w:r>
        <w:rPr>
          <w:rFonts w:ascii="Arial" w:cs="Arial" w:eastAsia="Arial" w:hAnsi="Arial"/>
          <w:sz w:val="13"/>
          <w:szCs w:val="13"/>
          <w:color w:val="auto"/>
        </w:rPr>
        <w:t xml:space="preserve"> As a result of Mr. Smiley’s resignation as an officer on February 9, 2021, he did not receive a bonus payout for 2020 or 2021.</w:t>
      </w:r>
    </w:p>
    <w:p>
      <w:pPr>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10</w:t>
      </w:r>
      <w:r>
        <w:rPr>
          <w:rFonts w:ascii="Arial" w:cs="Arial" w:eastAsia="Arial" w:hAnsi="Arial"/>
          <w:sz w:val="13"/>
          <w:szCs w:val="13"/>
          <w:color w:val="auto"/>
        </w:rPr>
        <w:t xml:space="preserve"> As a result of Mr. Smiley’s resignation as an officer on February 9, 2021, his 2019 and 2020 equity awards were cancelled and he did not receive a 2021 equity grant. Mr. Smiley realized $0 from these awards.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During 2021</w:t>
      </w:r>
    </w:p>
    <w:p>
      <w:pPr>
        <w:spacing w:after="0" w:line="8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relative value awards and restricted stock units, among others.</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To receive a payout under the performance award, the shareholder value award and the relative value award issued annually to executive officers, the participant must remain employed with the company through the end of the relevant award period, retire after December 31 of the year in which the award was issued or be subject to termination events outside of the control of the employee (death, disability, plant closing or reduction in workforce). Annual awards issued to executive officers are also generally subject to a one-year non-compete post company exit, other than the award of restricted stock units granted to Mr. Van Naarden on December 28, 2021, which does not include a non-compete covenant. The annual awards issued to executive officers (other than Mr. Van Naarden's award of restricted stock units granted on December 28, 2021) provide that if the former executive officer works for a direct competitor within the one-year restriction period, all annual cycle awards issued during the 2021 annual cycle or later would be forfeited. Awards issued to employees who were not executive officers at the time of grant generally do not include the non-compete or vesting into retirement provisions.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No dividends accrue on either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64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All Other</w:t>
            </w: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84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40" w:type="dxa"/>
            <w:vAlign w:val="bottom"/>
            <w:shd w:val="clear" w:color="auto" w:fill="DBDBDB"/>
          </w:tcPr>
          <w:p>
            <w:pPr>
              <w:jc w:val="center"/>
              <w:spacing w:after="0" w:line="122" w:lineRule="exact"/>
              <w:rPr>
                <w:sz w:val="20"/>
                <w:szCs w:val="20"/>
                <w:color w:val="auto"/>
              </w:rPr>
            </w:pPr>
            <w:r>
              <w:rPr>
                <w:rFonts w:ascii="Arial" w:cs="Arial" w:eastAsia="Arial" w:hAnsi="Arial"/>
                <w:sz w:val="11"/>
                <w:szCs w:val="11"/>
                <w:b w:val="1"/>
                <w:bCs w:val="1"/>
                <w:color w:val="00A1DE"/>
                <w:w w:val="95"/>
              </w:rPr>
              <w:t>Stock or</w:t>
            </w:r>
          </w:p>
        </w:tc>
        <w:tc>
          <w:tcPr>
            <w:tcW w:w="140" w:type="dxa"/>
            <w:vAlign w:val="bottom"/>
            <w:shd w:val="clear" w:color="auto" w:fill="DBDBDB"/>
          </w:tcPr>
          <w:p>
            <w:pPr>
              <w:spacing w:after="0"/>
              <w:rPr>
                <w:sz w:val="10"/>
                <w:szCs w:val="10"/>
                <w:color w:val="auto"/>
              </w:rPr>
            </w:pPr>
          </w:p>
        </w:tc>
        <w:tc>
          <w:tcPr>
            <w:tcW w:w="7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840" w:type="dxa"/>
            <w:vAlign w:val="bottom"/>
            <w:shd w:val="clear" w:color="auto" w:fill="DBDBDB"/>
          </w:tcPr>
          <w:p>
            <w:pPr>
              <w:spacing w:after="0"/>
              <w:rPr>
                <w:sz w:val="10"/>
                <w:szCs w:val="10"/>
                <w:color w:val="auto"/>
              </w:rPr>
            </w:pPr>
          </w:p>
        </w:tc>
        <w:tc>
          <w:tcPr>
            <w:tcW w:w="2300" w:type="dxa"/>
            <w:vAlign w:val="bottom"/>
            <w:gridSpan w:val="3"/>
            <w:vMerge w:val="restart"/>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Estimated Possible Payouts</w:t>
            </w:r>
          </w:p>
        </w:tc>
        <w:tc>
          <w:tcPr>
            <w:tcW w:w="1940" w:type="dxa"/>
            <w:vAlign w:val="bottom"/>
            <w:gridSpan w:val="3"/>
            <w:vMerge w:val="restart"/>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Estimated Possible and Future</w:t>
            </w:r>
          </w:p>
        </w:tc>
        <w:tc>
          <w:tcPr>
            <w:tcW w:w="640" w:type="dxa"/>
            <w:vAlign w:val="bottom"/>
            <w:shd w:val="clear" w:color="auto" w:fill="DBDBDB"/>
          </w:tcPr>
          <w:p>
            <w:pPr>
              <w:jc w:val="center"/>
              <w:spacing w:after="0" w:line="122" w:lineRule="exact"/>
              <w:rPr>
                <w:sz w:val="20"/>
                <w:szCs w:val="20"/>
                <w:color w:val="auto"/>
              </w:rPr>
            </w:pPr>
            <w:r>
              <w:rPr>
                <w:rFonts w:ascii="Arial" w:cs="Arial" w:eastAsia="Arial" w:hAnsi="Arial"/>
                <w:sz w:val="11"/>
                <w:szCs w:val="11"/>
                <w:b w:val="1"/>
                <w:bCs w:val="1"/>
                <w:color w:val="00A1DE"/>
                <w:w w:val="95"/>
              </w:rPr>
              <w:t>Option</w:t>
            </w:r>
          </w:p>
        </w:tc>
        <w:tc>
          <w:tcPr>
            <w:tcW w:w="140" w:type="dxa"/>
            <w:vAlign w:val="bottom"/>
            <w:shd w:val="clear" w:color="auto" w:fill="DBDBDB"/>
          </w:tcPr>
          <w:p>
            <w:pPr>
              <w:spacing w:after="0"/>
              <w:rPr>
                <w:sz w:val="10"/>
                <w:szCs w:val="10"/>
                <w:color w:val="auto"/>
              </w:rPr>
            </w:pPr>
          </w:p>
        </w:tc>
        <w:tc>
          <w:tcPr>
            <w:tcW w:w="7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80" w:type="dxa"/>
            <w:vAlign w:val="bottom"/>
            <w:shd w:val="clear" w:color="auto" w:fill="DBDBDB"/>
          </w:tcPr>
          <w:p>
            <w:pPr>
              <w:spacing w:after="0"/>
              <w:rPr>
                <w:sz w:val="4"/>
                <w:szCs w:val="4"/>
                <w:color w:val="auto"/>
              </w:rPr>
            </w:pPr>
          </w:p>
        </w:tc>
        <w:tc>
          <w:tcPr>
            <w:tcW w:w="760" w:type="dxa"/>
            <w:vAlign w:val="bottom"/>
            <w:shd w:val="clear" w:color="auto" w:fill="DBDBDB"/>
          </w:tcPr>
          <w:p>
            <w:pPr>
              <w:spacing w:after="0"/>
              <w:rPr>
                <w:sz w:val="4"/>
                <w:szCs w:val="4"/>
                <w:color w:val="auto"/>
              </w:rPr>
            </w:pPr>
          </w:p>
        </w:tc>
        <w:tc>
          <w:tcPr>
            <w:tcW w:w="200" w:type="dxa"/>
            <w:vAlign w:val="bottom"/>
            <w:shd w:val="clear" w:color="auto" w:fill="DBDBDB"/>
          </w:tcPr>
          <w:p>
            <w:pPr>
              <w:spacing w:after="0"/>
              <w:rPr>
                <w:sz w:val="4"/>
                <w:szCs w:val="4"/>
                <w:color w:val="auto"/>
              </w:rPr>
            </w:pPr>
          </w:p>
        </w:tc>
        <w:tc>
          <w:tcPr>
            <w:tcW w:w="82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2300" w:type="dxa"/>
            <w:vAlign w:val="bottom"/>
            <w:gridSpan w:val="3"/>
            <w:vMerge w:val="continue"/>
            <w:shd w:val="clear" w:color="auto" w:fill="DBDBDB"/>
          </w:tcPr>
          <w:p>
            <w:pPr>
              <w:spacing w:after="0"/>
              <w:rPr>
                <w:sz w:val="4"/>
                <w:szCs w:val="4"/>
                <w:color w:val="auto"/>
              </w:rPr>
            </w:pPr>
          </w:p>
        </w:tc>
        <w:tc>
          <w:tcPr>
            <w:tcW w:w="1940" w:type="dxa"/>
            <w:vAlign w:val="bottom"/>
            <w:gridSpan w:val="3"/>
            <w:vMerge w:val="continue"/>
            <w:shd w:val="clear" w:color="auto" w:fill="DBDBDB"/>
          </w:tcPr>
          <w:p>
            <w:pPr>
              <w:spacing w:after="0"/>
              <w:rPr>
                <w:sz w:val="4"/>
                <w:szCs w:val="4"/>
                <w:color w:val="auto"/>
              </w:rPr>
            </w:pPr>
          </w:p>
        </w:tc>
        <w:tc>
          <w:tcPr>
            <w:tcW w:w="640" w:type="dxa"/>
            <w:vAlign w:val="bottom"/>
            <w:vMerge w:val="restart"/>
            <w:shd w:val="clear" w:color="auto" w:fill="DBDBDB"/>
          </w:tcPr>
          <w:p>
            <w:pPr>
              <w:jc w:val="center"/>
              <w:spacing w:after="0" w:line="110" w:lineRule="exact"/>
              <w:rPr>
                <w:sz w:val="20"/>
                <w:szCs w:val="20"/>
                <w:color w:val="auto"/>
              </w:rPr>
            </w:pPr>
            <w:r>
              <w:rPr>
                <w:rFonts w:ascii="Arial" w:cs="Arial" w:eastAsia="Arial" w:hAnsi="Arial"/>
                <w:sz w:val="11"/>
                <w:szCs w:val="11"/>
                <w:b w:val="1"/>
                <w:bCs w:val="1"/>
                <w:color w:val="00A1DE"/>
                <w:w w:val="96"/>
              </w:rPr>
              <w:t>Awards:</w:t>
            </w:r>
          </w:p>
        </w:tc>
        <w:tc>
          <w:tcPr>
            <w:tcW w:w="140" w:type="dxa"/>
            <w:vAlign w:val="bottom"/>
            <w:shd w:val="clear" w:color="auto" w:fill="DBDBDB"/>
          </w:tcPr>
          <w:p>
            <w:pPr>
              <w:spacing w:after="0"/>
              <w:rPr>
                <w:sz w:val="4"/>
                <w:szCs w:val="4"/>
                <w:color w:val="auto"/>
              </w:rPr>
            </w:pPr>
          </w:p>
        </w:tc>
        <w:tc>
          <w:tcPr>
            <w:tcW w:w="72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580" w:type="dxa"/>
            <w:vAlign w:val="bottom"/>
            <w:shd w:val="clear" w:color="auto" w:fill="DBDBDB"/>
          </w:tcPr>
          <w:p>
            <w:pPr>
              <w:spacing w:after="0"/>
              <w:rPr>
                <w:sz w:val="4"/>
                <w:szCs w:val="4"/>
                <w:color w:val="auto"/>
              </w:rPr>
            </w:pPr>
          </w:p>
        </w:tc>
        <w:tc>
          <w:tcPr>
            <w:tcW w:w="760" w:type="dxa"/>
            <w:vAlign w:val="bottom"/>
            <w:shd w:val="clear" w:color="auto" w:fill="DBDBDB"/>
          </w:tcPr>
          <w:p>
            <w:pPr>
              <w:spacing w:after="0"/>
              <w:rPr>
                <w:sz w:val="4"/>
                <w:szCs w:val="4"/>
                <w:color w:val="auto"/>
              </w:rPr>
            </w:pPr>
          </w:p>
        </w:tc>
        <w:tc>
          <w:tcPr>
            <w:tcW w:w="200" w:type="dxa"/>
            <w:vAlign w:val="bottom"/>
            <w:shd w:val="clear" w:color="auto" w:fill="DBDBDB"/>
          </w:tcPr>
          <w:p>
            <w:pPr>
              <w:spacing w:after="0"/>
              <w:rPr>
                <w:sz w:val="4"/>
                <w:szCs w:val="4"/>
                <w:color w:val="auto"/>
              </w:rPr>
            </w:pPr>
          </w:p>
        </w:tc>
        <w:tc>
          <w:tcPr>
            <w:tcW w:w="82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2300" w:type="dxa"/>
            <w:vAlign w:val="bottom"/>
            <w:gridSpan w:val="3"/>
            <w:vMerge w:val="restart"/>
            <w:shd w:val="clear" w:color="auto" w:fill="DBDBDB"/>
          </w:tcPr>
          <w:p>
            <w:pPr>
              <w:jc w:val="center"/>
              <w:spacing w:after="0" w:line="120" w:lineRule="exact"/>
              <w:rPr>
                <w:sz w:val="20"/>
                <w:szCs w:val="20"/>
                <w:color w:val="auto"/>
              </w:rPr>
            </w:pPr>
            <w:r>
              <w:rPr>
                <w:rFonts w:ascii="Arial" w:cs="Arial" w:eastAsia="Arial" w:hAnsi="Arial"/>
                <w:sz w:val="11"/>
                <w:szCs w:val="11"/>
                <w:b w:val="1"/>
                <w:bCs w:val="1"/>
                <w:color w:val="00A1DE"/>
                <w:w w:val="98"/>
              </w:rPr>
              <w:t>Under Non-Equity</w:t>
            </w:r>
          </w:p>
        </w:tc>
        <w:tc>
          <w:tcPr>
            <w:tcW w:w="1940" w:type="dxa"/>
            <w:vAlign w:val="bottom"/>
            <w:gridSpan w:val="3"/>
            <w:vMerge w:val="continue"/>
            <w:shd w:val="clear" w:color="auto" w:fill="DBDBDB"/>
          </w:tcPr>
          <w:p>
            <w:pPr>
              <w:spacing w:after="0"/>
              <w:rPr>
                <w:sz w:val="4"/>
                <w:szCs w:val="4"/>
                <w:color w:val="auto"/>
              </w:rPr>
            </w:pPr>
          </w:p>
        </w:tc>
        <w:tc>
          <w:tcPr>
            <w:tcW w:w="640" w:type="dxa"/>
            <w:vAlign w:val="bottom"/>
            <w:vMerge w:val="continue"/>
            <w:shd w:val="clear" w:color="auto" w:fill="DBDBDB"/>
          </w:tcPr>
          <w:p>
            <w:pPr>
              <w:spacing w:after="0"/>
              <w:rPr>
                <w:sz w:val="4"/>
                <w:szCs w:val="4"/>
                <w:color w:val="auto"/>
              </w:rPr>
            </w:pPr>
          </w:p>
        </w:tc>
        <w:tc>
          <w:tcPr>
            <w:tcW w:w="140" w:type="dxa"/>
            <w:vAlign w:val="bottom"/>
            <w:shd w:val="clear" w:color="auto" w:fill="DBDBDB"/>
          </w:tcPr>
          <w:p>
            <w:pPr>
              <w:spacing w:after="0"/>
              <w:rPr>
                <w:sz w:val="4"/>
                <w:szCs w:val="4"/>
                <w:color w:val="auto"/>
              </w:rPr>
            </w:pPr>
          </w:p>
        </w:tc>
        <w:tc>
          <w:tcPr>
            <w:tcW w:w="72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580" w:type="dxa"/>
            <w:vAlign w:val="bottom"/>
            <w:shd w:val="clear" w:color="auto" w:fill="DBDBDB"/>
          </w:tcPr>
          <w:p>
            <w:pPr>
              <w:spacing w:after="0"/>
              <w:rPr>
                <w:sz w:val="5"/>
                <w:szCs w:val="5"/>
                <w:color w:val="auto"/>
              </w:rPr>
            </w:pPr>
          </w:p>
        </w:tc>
        <w:tc>
          <w:tcPr>
            <w:tcW w:w="760" w:type="dxa"/>
            <w:vAlign w:val="bottom"/>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820" w:type="dxa"/>
            <w:vAlign w:val="bottom"/>
            <w:shd w:val="clear" w:color="auto" w:fill="DBDBDB"/>
          </w:tcPr>
          <w:p>
            <w:pPr>
              <w:spacing w:after="0"/>
              <w:rPr>
                <w:sz w:val="5"/>
                <w:szCs w:val="5"/>
                <w:color w:val="auto"/>
              </w:rPr>
            </w:pPr>
          </w:p>
        </w:tc>
        <w:tc>
          <w:tcPr>
            <w:tcW w:w="840" w:type="dxa"/>
            <w:vAlign w:val="bottom"/>
            <w:shd w:val="clear" w:color="auto" w:fill="DBDBDB"/>
          </w:tcPr>
          <w:p>
            <w:pPr>
              <w:spacing w:after="0"/>
              <w:rPr>
                <w:sz w:val="5"/>
                <w:szCs w:val="5"/>
                <w:color w:val="auto"/>
              </w:rPr>
            </w:pPr>
          </w:p>
        </w:tc>
        <w:tc>
          <w:tcPr>
            <w:tcW w:w="2300" w:type="dxa"/>
            <w:vAlign w:val="bottom"/>
            <w:gridSpan w:val="3"/>
            <w:vMerge w:val="continue"/>
            <w:shd w:val="clear" w:color="auto" w:fill="DBDBDB"/>
          </w:tcPr>
          <w:p>
            <w:pPr>
              <w:spacing w:after="0"/>
              <w:rPr>
                <w:sz w:val="5"/>
                <w:szCs w:val="5"/>
                <w:color w:val="auto"/>
              </w:rPr>
            </w:pPr>
          </w:p>
        </w:tc>
        <w:tc>
          <w:tcPr>
            <w:tcW w:w="1940" w:type="dxa"/>
            <w:vAlign w:val="bottom"/>
            <w:gridSpan w:val="3"/>
            <w:vMerge w:val="restart"/>
            <w:shd w:val="clear" w:color="auto" w:fill="DBDBDB"/>
          </w:tcPr>
          <w:p>
            <w:pPr>
              <w:jc w:val="center"/>
              <w:spacing w:after="0"/>
              <w:rPr>
                <w:sz w:val="20"/>
                <w:szCs w:val="20"/>
                <w:color w:val="auto"/>
              </w:rPr>
            </w:pPr>
            <w:r>
              <w:rPr>
                <w:rFonts w:ascii="Arial" w:cs="Arial" w:eastAsia="Arial" w:hAnsi="Arial"/>
                <w:sz w:val="11"/>
                <w:szCs w:val="11"/>
                <w:b w:val="1"/>
                <w:bCs w:val="1"/>
                <w:color w:val="00A1DE"/>
                <w:w w:val="97"/>
              </w:rPr>
              <w:t>Payouts Under Equity</w:t>
            </w:r>
          </w:p>
        </w:tc>
        <w:tc>
          <w:tcPr>
            <w:tcW w:w="640" w:type="dxa"/>
            <w:vAlign w:val="bottom"/>
            <w:vMerge w:val="restart"/>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Number of</w:t>
            </w:r>
          </w:p>
        </w:tc>
        <w:tc>
          <w:tcPr>
            <w:tcW w:w="140" w:type="dxa"/>
            <w:vAlign w:val="bottom"/>
            <w:shd w:val="clear" w:color="auto" w:fill="DBDBDB"/>
          </w:tcPr>
          <w:p>
            <w:pPr>
              <w:spacing w:after="0"/>
              <w:rPr>
                <w:sz w:val="5"/>
                <w:szCs w:val="5"/>
                <w:color w:val="auto"/>
              </w:rPr>
            </w:pPr>
          </w:p>
        </w:tc>
        <w:tc>
          <w:tcPr>
            <w:tcW w:w="7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580" w:type="dxa"/>
            <w:vAlign w:val="bottom"/>
            <w:shd w:val="clear" w:color="auto" w:fill="DBDBDB"/>
          </w:tcPr>
          <w:p>
            <w:pPr>
              <w:spacing w:after="0"/>
              <w:rPr>
                <w:sz w:val="9"/>
                <w:szCs w:val="9"/>
                <w:color w:val="auto"/>
              </w:rPr>
            </w:pPr>
          </w:p>
        </w:tc>
        <w:tc>
          <w:tcPr>
            <w:tcW w:w="76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820" w:type="dxa"/>
            <w:vAlign w:val="bottom"/>
            <w:shd w:val="clear" w:color="auto" w:fill="DBDBDB"/>
          </w:tcPr>
          <w:p>
            <w:pPr>
              <w:spacing w:after="0"/>
              <w:rPr>
                <w:sz w:val="9"/>
                <w:szCs w:val="9"/>
                <w:color w:val="auto"/>
              </w:rPr>
            </w:pPr>
          </w:p>
        </w:tc>
        <w:tc>
          <w:tcPr>
            <w:tcW w:w="840" w:type="dxa"/>
            <w:vAlign w:val="bottom"/>
            <w:shd w:val="clear" w:color="auto" w:fill="DBDBDB"/>
          </w:tcPr>
          <w:p>
            <w:pPr>
              <w:spacing w:after="0"/>
              <w:rPr>
                <w:sz w:val="9"/>
                <w:szCs w:val="9"/>
                <w:color w:val="auto"/>
              </w:rPr>
            </w:pPr>
          </w:p>
        </w:tc>
        <w:tc>
          <w:tcPr>
            <w:tcW w:w="2300" w:type="dxa"/>
            <w:vAlign w:val="bottom"/>
            <w:gridSpan w:val="3"/>
            <w:shd w:val="clear" w:color="auto" w:fill="DBDBDB"/>
          </w:tcPr>
          <w:p>
            <w:pPr>
              <w:jc w:val="center"/>
              <w:spacing w:after="0" w:line="112" w:lineRule="exact"/>
              <w:rPr>
                <w:sz w:val="20"/>
                <w:szCs w:val="20"/>
                <w:color w:val="auto"/>
              </w:rPr>
            </w:pPr>
            <w:r>
              <w:rPr>
                <w:rFonts w:ascii="Arial" w:cs="Arial" w:eastAsia="Arial" w:hAnsi="Arial"/>
                <w:sz w:val="9"/>
                <w:szCs w:val="9"/>
                <w:b w:val="1"/>
                <w:bCs w:val="1"/>
                <w:color w:val="00A1DE"/>
              </w:rPr>
              <w:t xml:space="preserve">Incentive Plan Awards </w:t>
            </w:r>
            <w:r>
              <w:rPr>
                <w:rFonts w:ascii="Arial" w:cs="Arial" w:eastAsia="Arial" w:hAnsi="Arial"/>
                <w:sz w:val="12"/>
                <w:szCs w:val="12"/>
                <w:b w:val="1"/>
                <w:bCs w:val="1"/>
                <w:color w:val="00A1DE"/>
                <w:vertAlign w:val="superscript"/>
              </w:rPr>
              <w:t>1</w:t>
            </w:r>
          </w:p>
        </w:tc>
        <w:tc>
          <w:tcPr>
            <w:tcW w:w="1940" w:type="dxa"/>
            <w:vAlign w:val="bottom"/>
            <w:gridSpan w:val="3"/>
            <w:vMerge w:val="continue"/>
            <w:shd w:val="clear" w:color="auto" w:fill="DBDBDB"/>
          </w:tcPr>
          <w:p>
            <w:pPr>
              <w:spacing w:after="0"/>
              <w:rPr>
                <w:sz w:val="9"/>
                <w:szCs w:val="9"/>
                <w:color w:val="auto"/>
              </w:rPr>
            </w:pPr>
          </w:p>
        </w:tc>
        <w:tc>
          <w:tcPr>
            <w:tcW w:w="640" w:type="dxa"/>
            <w:vAlign w:val="bottom"/>
            <w:vMerge w:val="continue"/>
            <w:shd w:val="clear" w:color="auto" w:fill="DBDBDB"/>
          </w:tcPr>
          <w:p>
            <w:pPr>
              <w:spacing w:after="0"/>
              <w:rPr>
                <w:sz w:val="9"/>
                <w:szCs w:val="9"/>
                <w:color w:val="auto"/>
              </w:rPr>
            </w:pPr>
          </w:p>
        </w:tc>
        <w:tc>
          <w:tcPr>
            <w:tcW w:w="14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center"/>
              <w:ind w:right="75"/>
              <w:spacing w:after="0"/>
              <w:rPr>
                <w:sz w:val="20"/>
                <w:szCs w:val="20"/>
                <w:color w:val="auto"/>
              </w:rPr>
            </w:pPr>
            <w:r>
              <w:rPr>
                <w:rFonts w:ascii="Arial" w:cs="Arial" w:eastAsia="Arial" w:hAnsi="Arial"/>
                <w:sz w:val="11"/>
                <w:szCs w:val="11"/>
                <w:b w:val="1"/>
                <w:bCs w:val="1"/>
                <w:color w:val="00A1DE"/>
                <w:w w:val="95"/>
              </w:rPr>
              <w:t>Grant Date</w:t>
            </w:r>
          </w:p>
        </w:tc>
        <w:tc>
          <w:tcPr>
            <w:tcW w:w="0" w:type="dxa"/>
            <w:vAlign w:val="bottom"/>
          </w:tcPr>
          <w:p>
            <w:pPr>
              <w:spacing w:after="0"/>
              <w:rPr>
                <w:sz w:val="1"/>
                <w:szCs w:val="1"/>
                <w:color w:val="auto"/>
              </w:rPr>
            </w:pPr>
          </w:p>
        </w:tc>
      </w:tr>
      <w:tr>
        <w:trPr>
          <w:trHeight w:val="79"/>
        </w:trPr>
        <w:tc>
          <w:tcPr>
            <w:tcW w:w="580" w:type="dxa"/>
            <w:vAlign w:val="bottom"/>
            <w:shd w:val="clear" w:color="auto" w:fill="DBDBDB"/>
          </w:tcPr>
          <w:p>
            <w:pPr>
              <w:spacing w:after="0"/>
              <w:rPr>
                <w:sz w:val="6"/>
                <w:szCs w:val="6"/>
                <w:color w:val="auto"/>
              </w:rPr>
            </w:pPr>
          </w:p>
        </w:tc>
        <w:tc>
          <w:tcPr>
            <w:tcW w:w="760" w:type="dxa"/>
            <w:vAlign w:val="bottom"/>
            <w:shd w:val="clear" w:color="auto" w:fill="DBDBDB"/>
          </w:tcPr>
          <w:p>
            <w:pPr>
              <w:spacing w:after="0"/>
              <w:rPr>
                <w:sz w:val="6"/>
                <w:szCs w:val="6"/>
                <w:color w:val="auto"/>
              </w:rPr>
            </w:pPr>
          </w:p>
        </w:tc>
        <w:tc>
          <w:tcPr>
            <w:tcW w:w="200" w:type="dxa"/>
            <w:vAlign w:val="bottom"/>
            <w:shd w:val="clear" w:color="auto" w:fill="DBDBDB"/>
          </w:tcPr>
          <w:p>
            <w:pPr>
              <w:spacing w:after="0"/>
              <w:rPr>
                <w:sz w:val="6"/>
                <w:szCs w:val="6"/>
                <w:color w:val="auto"/>
              </w:rPr>
            </w:pPr>
          </w:p>
        </w:tc>
        <w:tc>
          <w:tcPr>
            <w:tcW w:w="820" w:type="dxa"/>
            <w:vAlign w:val="bottom"/>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1940" w:type="dxa"/>
            <w:vAlign w:val="bottom"/>
            <w:gridSpan w:val="3"/>
            <w:shd w:val="clear" w:color="auto" w:fill="DBDBDB"/>
          </w:tcPr>
          <w:p>
            <w:pPr>
              <w:jc w:val="center"/>
              <w:spacing w:after="0" w:line="79" w:lineRule="exact"/>
              <w:rPr>
                <w:sz w:val="20"/>
                <w:szCs w:val="20"/>
                <w:color w:val="auto"/>
              </w:rPr>
            </w:pPr>
            <w:r>
              <w:rPr>
                <w:rFonts w:ascii="Arial" w:cs="Arial" w:eastAsia="Arial" w:hAnsi="Arial"/>
                <w:sz w:val="9"/>
                <w:szCs w:val="9"/>
                <w:b w:val="1"/>
                <w:bCs w:val="1"/>
                <w:color w:val="00A1DE"/>
              </w:rPr>
              <w:t>Incentive Plan Awards</w:t>
            </w:r>
          </w:p>
        </w:tc>
        <w:tc>
          <w:tcPr>
            <w:tcW w:w="640" w:type="dxa"/>
            <w:vAlign w:val="bottom"/>
            <w:shd w:val="clear" w:color="auto" w:fill="DBDBDB"/>
          </w:tcPr>
          <w:p>
            <w:pPr>
              <w:jc w:val="center"/>
              <w:spacing w:after="0" w:line="79" w:lineRule="exact"/>
              <w:rPr>
                <w:sz w:val="20"/>
                <w:szCs w:val="20"/>
                <w:color w:val="auto"/>
              </w:rPr>
            </w:pPr>
            <w:r>
              <w:rPr>
                <w:rFonts w:ascii="Arial" w:cs="Arial" w:eastAsia="Arial" w:hAnsi="Arial"/>
                <w:sz w:val="9"/>
                <w:szCs w:val="9"/>
                <w:b w:val="1"/>
                <w:bCs w:val="1"/>
                <w:color w:val="00A1DE"/>
              </w:rPr>
              <w:t>Shares of</w:t>
            </w:r>
          </w:p>
        </w:tc>
        <w:tc>
          <w:tcPr>
            <w:tcW w:w="140" w:type="dxa"/>
            <w:vAlign w:val="bottom"/>
            <w:shd w:val="clear" w:color="auto" w:fill="DBDBDB"/>
          </w:tcPr>
          <w:p>
            <w:pPr>
              <w:spacing w:after="0"/>
              <w:rPr>
                <w:sz w:val="6"/>
                <w:szCs w:val="6"/>
                <w:color w:val="auto"/>
              </w:rPr>
            </w:pPr>
          </w:p>
        </w:tc>
        <w:tc>
          <w:tcPr>
            <w:tcW w:w="72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8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840" w:type="dxa"/>
            <w:vAlign w:val="bottom"/>
            <w:shd w:val="clear" w:color="auto" w:fill="DBDBDB"/>
          </w:tcPr>
          <w:p>
            <w:pPr>
              <w:jc w:val="center"/>
              <w:spacing w:after="0" w:line="122" w:lineRule="exact"/>
              <w:rPr>
                <w:sz w:val="20"/>
                <w:szCs w:val="20"/>
                <w:color w:val="auto"/>
              </w:rPr>
            </w:pPr>
            <w:r>
              <w:rPr>
                <w:rFonts w:ascii="Arial" w:cs="Arial" w:eastAsia="Arial" w:hAnsi="Arial"/>
                <w:sz w:val="11"/>
                <w:szCs w:val="11"/>
                <w:b w:val="1"/>
                <w:bCs w:val="1"/>
                <w:color w:val="00A1DE"/>
                <w:w w:val="99"/>
              </w:rPr>
              <w:t>Compensation</w:t>
            </w:r>
          </w:p>
        </w:tc>
        <w:tc>
          <w:tcPr>
            <w:tcW w:w="74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6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640" w:type="dxa"/>
            <w:vAlign w:val="bottom"/>
            <w:shd w:val="clear" w:color="auto" w:fill="DBDBDB"/>
          </w:tcPr>
          <w:p>
            <w:pPr>
              <w:jc w:val="center"/>
              <w:spacing w:after="0" w:line="122" w:lineRule="exact"/>
              <w:rPr>
                <w:sz w:val="20"/>
                <w:szCs w:val="20"/>
                <w:color w:val="auto"/>
              </w:rPr>
            </w:pPr>
            <w:r>
              <w:rPr>
                <w:rFonts w:ascii="Arial" w:cs="Arial" w:eastAsia="Arial" w:hAnsi="Arial"/>
                <w:sz w:val="11"/>
                <w:szCs w:val="11"/>
                <w:b w:val="1"/>
                <w:bCs w:val="1"/>
                <w:color w:val="00A1DE"/>
              </w:rPr>
              <w:t>Stock,</w:t>
            </w:r>
          </w:p>
        </w:tc>
        <w:tc>
          <w:tcPr>
            <w:tcW w:w="140" w:type="dxa"/>
            <w:vAlign w:val="bottom"/>
            <w:shd w:val="clear" w:color="auto" w:fill="DBDBDB"/>
          </w:tcPr>
          <w:p>
            <w:pPr>
              <w:spacing w:after="0"/>
              <w:rPr>
                <w:sz w:val="10"/>
                <w:szCs w:val="10"/>
                <w:color w:val="auto"/>
              </w:rPr>
            </w:pPr>
          </w:p>
        </w:tc>
        <w:tc>
          <w:tcPr>
            <w:tcW w:w="720" w:type="dxa"/>
            <w:vAlign w:val="bottom"/>
            <w:shd w:val="clear" w:color="auto" w:fill="DBDBDB"/>
          </w:tcPr>
          <w:p>
            <w:pPr>
              <w:jc w:val="center"/>
              <w:ind w:right="75"/>
              <w:spacing w:after="0" w:line="122" w:lineRule="exact"/>
              <w:rPr>
                <w:sz w:val="20"/>
                <w:szCs w:val="20"/>
                <w:color w:val="auto"/>
              </w:rPr>
            </w:pPr>
            <w:r>
              <w:rPr>
                <w:rFonts w:ascii="Arial" w:cs="Arial" w:eastAsia="Arial" w:hAnsi="Arial"/>
                <w:sz w:val="11"/>
                <w:szCs w:val="11"/>
                <w:b w:val="1"/>
                <w:bCs w:val="1"/>
                <w:color w:val="00A1DE"/>
                <w:w w:val="94"/>
              </w:rPr>
              <w:t>Fair Value</w:t>
            </w:r>
          </w:p>
        </w:tc>
        <w:tc>
          <w:tcPr>
            <w:tcW w:w="0" w:type="dxa"/>
            <w:vAlign w:val="bottom"/>
          </w:tcPr>
          <w:p>
            <w:pPr>
              <w:spacing w:after="0"/>
              <w:rPr>
                <w:sz w:val="1"/>
                <w:szCs w:val="1"/>
                <w:color w:val="auto"/>
              </w:rPr>
            </w:pPr>
          </w:p>
        </w:tc>
      </w:tr>
      <w:tr>
        <w:trPr>
          <w:trHeight w:val="133"/>
        </w:trPr>
        <w:tc>
          <w:tcPr>
            <w:tcW w:w="580" w:type="dxa"/>
            <w:vAlign w:val="bottom"/>
            <w:vMerge w:val="restart"/>
            <w:shd w:val="clear" w:color="auto" w:fill="DBDBDB"/>
          </w:tcPr>
          <w:p>
            <w:pPr>
              <w:ind w:left="20"/>
              <w:spacing w:after="0"/>
              <w:rPr>
                <w:sz w:val="20"/>
                <w:szCs w:val="20"/>
                <w:color w:val="auto"/>
              </w:rPr>
            </w:pPr>
            <w:r>
              <w:rPr>
                <w:rFonts w:ascii="Arial" w:cs="Arial" w:eastAsia="Arial" w:hAnsi="Arial"/>
                <w:sz w:val="11"/>
                <w:szCs w:val="11"/>
                <w:b w:val="1"/>
                <w:bCs w:val="1"/>
                <w:color w:val="00A1DE"/>
              </w:rPr>
              <w:t>Name</w:t>
            </w:r>
          </w:p>
        </w:tc>
        <w:tc>
          <w:tcPr>
            <w:tcW w:w="760" w:type="dxa"/>
            <w:vAlign w:val="bottom"/>
            <w:vMerge w:val="restart"/>
            <w:shd w:val="clear" w:color="auto" w:fill="DBDBDB"/>
          </w:tcPr>
          <w:p>
            <w:pPr>
              <w:jc w:val="center"/>
              <w:ind w:right="13"/>
              <w:spacing w:after="0"/>
              <w:rPr>
                <w:sz w:val="20"/>
                <w:szCs w:val="20"/>
                <w:color w:val="auto"/>
              </w:rPr>
            </w:pPr>
            <w:r>
              <w:rPr>
                <w:rFonts w:ascii="Arial" w:cs="Arial" w:eastAsia="Arial" w:hAnsi="Arial"/>
                <w:sz w:val="11"/>
                <w:szCs w:val="11"/>
                <w:b w:val="1"/>
                <w:bCs w:val="1"/>
                <w:color w:val="00A1DE"/>
                <w:w w:val="95"/>
              </w:rPr>
              <w:t>Award</w:t>
            </w:r>
          </w:p>
        </w:tc>
        <w:tc>
          <w:tcPr>
            <w:tcW w:w="200" w:type="dxa"/>
            <w:vAlign w:val="bottom"/>
            <w:shd w:val="clear" w:color="auto" w:fill="DBDBDB"/>
          </w:tcPr>
          <w:p>
            <w:pPr>
              <w:spacing w:after="0"/>
              <w:rPr>
                <w:sz w:val="11"/>
                <w:szCs w:val="11"/>
                <w:color w:val="auto"/>
              </w:rPr>
            </w:pPr>
          </w:p>
        </w:tc>
        <w:tc>
          <w:tcPr>
            <w:tcW w:w="820" w:type="dxa"/>
            <w:vAlign w:val="bottom"/>
            <w:shd w:val="clear" w:color="auto" w:fill="DBDBDB"/>
          </w:tcPr>
          <w:p>
            <w:pPr>
              <w:ind w:left="120"/>
              <w:spacing w:after="0" w:line="134" w:lineRule="exact"/>
              <w:rPr>
                <w:sz w:val="20"/>
                <w:szCs w:val="20"/>
                <w:color w:val="auto"/>
              </w:rPr>
            </w:pPr>
            <w:r>
              <w:rPr>
                <w:rFonts w:ascii="Arial" w:cs="Arial" w:eastAsia="Arial" w:hAnsi="Arial"/>
                <w:sz w:val="11"/>
                <w:szCs w:val="11"/>
                <w:b w:val="1"/>
                <w:bCs w:val="1"/>
                <w:color w:val="00A1DE"/>
              </w:rPr>
              <w:t>Grant Date</w:t>
            </w:r>
            <w:r>
              <w:rPr>
                <w:rFonts w:ascii="Arial" w:cs="Arial" w:eastAsia="Arial" w:hAnsi="Arial"/>
                <w:sz w:val="14"/>
                <w:szCs w:val="14"/>
                <w:b w:val="1"/>
                <w:bCs w:val="1"/>
                <w:color w:val="00A1DE"/>
                <w:vertAlign w:val="superscript"/>
              </w:rPr>
              <w:t>2</w:t>
            </w:r>
          </w:p>
        </w:tc>
        <w:tc>
          <w:tcPr>
            <w:tcW w:w="84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Committee</w:t>
            </w:r>
          </w:p>
        </w:tc>
        <w:tc>
          <w:tcPr>
            <w:tcW w:w="740" w:type="dxa"/>
            <w:vAlign w:val="bottom"/>
            <w:shd w:val="clear" w:color="auto" w:fill="DBDBDB"/>
          </w:tcPr>
          <w:p>
            <w:pPr>
              <w:jc w:val="right"/>
              <w:ind w:right="60"/>
              <w:spacing w:after="0"/>
              <w:rPr>
                <w:sz w:val="20"/>
                <w:szCs w:val="20"/>
                <w:color w:val="auto"/>
              </w:rPr>
            </w:pPr>
            <w:r>
              <w:rPr>
                <w:rFonts w:ascii="Arial" w:cs="Arial" w:eastAsia="Arial" w:hAnsi="Arial"/>
                <w:sz w:val="11"/>
                <w:szCs w:val="11"/>
                <w:b w:val="1"/>
                <w:bCs w:val="1"/>
                <w:color w:val="00A1DE"/>
              </w:rPr>
              <w:t>Threshold</w:t>
            </w:r>
          </w:p>
        </w:tc>
        <w:tc>
          <w:tcPr>
            <w:tcW w:w="780" w:type="dxa"/>
            <w:vAlign w:val="bottom"/>
            <w:shd w:val="clear" w:color="auto" w:fill="DBDBDB"/>
          </w:tcPr>
          <w:p>
            <w:pPr>
              <w:jc w:val="right"/>
              <w:ind w:right="196"/>
              <w:spacing w:after="0"/>
              <w:rPr>
                <w:sz w:val="20"/>
                <w:szCs w:val="20"/>
                <w:color w:val="auto"/>
              </w:rPr>
            </w:pPr>
            <w:r>
              <w:rPr>
                <w:rFonts w:ascii="Arial" w:cs="Arial" w:eastAsia="Arial" w:hAnsi="Arial"/>
                <w:sz w:val="11"/>
                <w:szCs w:val="11"/>
                <w:b w:val="1"/>
                <w:bCs w:val="1"/>
                <w:color w:val="00A1DE"/>
              </w:rPr>
              <w:t>Target</w:t>
            </w:r>
          </w:p>
        </w:tc>
        <w:tc>
          <w:tcPr>
            <w:tcW w:w="780" w:type="dxa"/>
            <w:vAlign w:val="bottom"/>
            <w:shd w:val="clear" w:color="auto" w:fill="DBDBDB"/>
          </w:tcPr>
          <w:p>
            <w:pPr>
              <w:jc w:val="right"/>
              <w:ind w:right="96"/>
              <w:spacing w:after="0"/>
              <w:rPr>
                <w:sz w:val="20"/>
                <w:szCs w:val="20"/>
                <w:color w:val="auto"/>
              </w:rPr>
            </w:pPr>
            <w:r>
              <w:rPr>
                <w:rFonts w:ascii="Arial" w:cs="Arial" w:eastAsia="Arial" w:hAnsi="Arial"/>
                <w:sz w:val="11"/>
                <w:szCs w:val="11"/>
                <w:b w:val="1"/>
                <w:bCs w:val="1"/>
                <w:color w:val="00A1DE"/>
              </w:rPr>
              <w:t>Maximum</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00A1DE"/>
              </w:rPr>
              <w:t>Threshold</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5"/>
              </w:rPr>
              <w:t>Target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00A1DE"/>
              </w:rPr>
              <w:t>Maximum</w:t>
            </w:r>
          </w:p>
        </w:tc>
        <w:tc>
          <w:tcPr>
            <w:tcW w:w="64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Options, or</w:t>
            </w:r>
          </w:p>
        </w:tc>
        <w:tc>
          <w:tcPr>
            <w:tcW w:w="140" w:type="dxa"/>
            <w:vAlign w:val="bottom"/>
            <w:shd w:val="clear" w:color="auto" w:fill="DBDBDB"/>
          </w:tcPr>
          <w:p>
            <w:pPr>
              <w:spacing w:after="0"/>
              <w:rPr>
                <w:sz w:val="11"/>
                <w:szCs w:val="11"/>
                <w:color w:val="auto"/>
              </w:rPr>
            </w:pPr>
          </w:p>
        </w:tc>
        <w:tc>
          <w:tcPr>
            <w:tcW w:w="720" w:type="dxa"/>
            <w:vAlign w:val="bottom"/>
            <w:shd w:val="clear" w:color="auto" w:fill="DBDBDB"/>
          </w:tcPr>
          <w:p>
            <w:pPr>
              <w:jc w:val="center"/>
              <w:ind w:right="75"/>
              <w:spacing w:after="0"/>
              <w:rPr>
                <w:sz w:val="20"/>
                <w:szCs w:val="20"/>
                <w:color w:val="auto"/>
              </w:rPr>
            </w:pPr>
            <w:r>
              <w:rPr>
                <w:rFonts w:ascii="Arial" w:cs="Arial" w:eastAsia="Arial" w:hAnsi="Arial"/>
                <w:sz w:val="11"/>
                <w:szCs w:val="11"/>
                <w:b w:val="1"/>
                <w:bCs w:val="1"/>
                <w:color w:val="00A1DE"/>
                <w:w w:val="97"/>
              </w:rPr>
              <w:t>of Equity</w:t>
            </w:r>
          </w:p>
        </w:tc>
        <w:tc>
          <w:tcPr>
            <w:tcW w:w="0" w:type="dxa"/>
            <w:vAlign w:val="bottom"/>
          </w:tcPr>
          <w:p>
            <w:pPr>
              <w:spacing w:after="0"/>
              <w:rPr>
                <w:sz w:val="1"/>
                <w:szCs w:val="1"/>
                <w:color w:val="auto"/>
              </w:rPr>
            </w:pPr>
          </w:p>
        </w:tc>
      </w:tr>
      <w:tr>
        <w:trPr>
          <w:trHeight w:val="152"/>
        </w:trPr>
        <w:tc>
          <w:tcPr>
            <w:tcW w:w="580" w:type="dxa"/>
            <w:vAlign w:val="bottom"/>
            <w:vMerge w:val="continue"/>
            <w:shd w:val="clear" w:color="auto" w:fill="DBDBDB"/>
          </w:tcPr>
          <w:p>
            <w:pPr>
              <w:spacing w:after="0"/>
              <w:rPr>
                <w:sz w:val="13"/>
                <w:szCs w:val="13"/>
                <w:color w:val="auto"/>
              </w:rPr>
            </w:pPr>
          </w:p>
        </w:tc>
        <w:tc>
          <w:tcPr>
            <w:tcW w:w="760" w:type="dxa"/>
            <w:vAlign w:val="bottom"/>
            <w:vMerge w:val="continue"/>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4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8"/>
              </w:rPr>
              <w:t>Action Date</w:t>
            </w:r>
          </w:p>
        </w:tc>
        <w:tc>
          <w:tcPr>
            <w:tcW w:w="740" w:type="dxa"/>
            <w:vAlign w:val="bottom"/>
            <w:shd w:val="clear" w:color="auto" w:fill="DBDBDB"/>
          </w:tcPr>
          <w:p>
            <w:pPr>
              <w:jc w:val="right"/>
              <w:ind w:right="260"/>
              <w:spacing w:after="0"/>
              <w:rPr>
                <w:sz w:val="20"/>
                <w:szCs w:val="20"/>
                <w:color w:val="auto"/>
              </w:rPr>
            </w:pPr>
            <w:r>
              <w:rPr>
                <w:rFonts w:ascii="Arial" w:cs="Arial" w:eastAsia="Arial" w:hAnsi="Arial"/>
                <w:sz w:val="11"/>
                <w:szCs w:val="11"/>
                <w:b w:val="1"/>
                <w:bCs w:val="1"/>
                <w:color w:val="00A1DE"/>
              </w:rPr>
              <w:t>($)</w:t>
            </w:r>
          </w:p>
        </w:tc>
        <w:tc>
          <w:tcPr>
            <w:tcW w:w="780" w:type="dxa"/>
            <w:vAlign w:val="bottom"/>
            <w:shd w:val="clear" w:color="auto" w:fill="DBDBDB"/>
          </w:tcPr>
          <w:p>
            <w:pPr>
              <w:jc w:val="right"/>
              <w:ind w:right="296"/>
              <w:spacing w:after="0"/>
              <w:rPr>
                <w:sz w:val="20"/>
                <w:szCs w:val="20"/>
                <w:color w:val="auto"/>
              </w:rPr>
            </w:pPr>
            <w:r>
              <w:rPr>
                <w:rFonts w:ascii="Arial" w:cs="Arial" w:eastAsia="Arial" w:hAnsi="Arial"/>
                <w:sz w:val="11"/>
                <w:szCs w:val="11"/>
                <w:b w:val="1"/>
                <w:bCs w:val="1"/>
                <w:color w:val="00A1DE"/>
              </w:rPr>
              <w:t>($)</w:t>
            </w:r>
          </w:p>
        </w:tc>
        <w:tc>
          <w:tcPr>
            <w:tcW w:w="780" w:type="dxa"/>
            <w:vAlign w:val="bottom"/>
            <w:shd w:val="clear" w:color="auto" w:fill="DBDBDB"/>
          </w:tcPr>
          <w:p>
            <w:pPr>
              <w:jc w:val="right"/>
              <w:ind w:right="276"/>
              <w:spacing w:after="0"/>
              <w:rPr>
                <w:sz w:val="20"/>
                <w:szCs w:val="20"/>
                <w:color w:val="auto"/>
              </w:rPr>
            </w:pPr>
            <w:r>
              <w:rPr>
                <w:rFonts w:ascii="Arial" w:cs="Arial" w:eastAsia="Arial" w:hAnsi="Arial"/>
                <w:sz w:val="11"/>
                <w:szCs w:val="11"/>
                <w:b w:val="1"/>
                <w:bCs w:val="1"/>
                <w:color w:val="00A1DE"/>
              </w:rPr>
              <w:t>($)</w:t>
            </w:r>
          </w:p>
        </w:tc>
        <w:tc>
          <w:tcPr>
            <w:tcW w:w="640" w:type="dxa"/>
            <w:vAlign w:val="bottom"/>
            <w:shd w:val="clear" w:color="auto" w:fill="DBDBDB"/>
          </w:tcPr>
          <w:p>
            <w:pPr>
              <w:jc w:val="right"/>
              <w:ind w:right="17"/>
              <w:spacing w:after="0"/>
              <w:rPr>
                <w:sz w:val="20"/>
                <w:szCs w:val="20"/>
                <w:color w:val="auto"/>
              </w:rPr>
            </w:pPr>
            <w:r>
              <w:rPr>
                <w:rFonts w:ascii="Arial" w:cs="Arial" w:eastAsia="Arial" w:hAnsi="Arial"/>
                <w:sz w:val="11"/>
                <w:szCs w:val="11"/>
                <w:b w:val="1"/>
                <w:bCs w:val="1"/>
                <w:color w:val="00A1DE"/>
              </w:rPr>
              <w:t>(# shares)</w:t>
            </w:r>
          </w:p>
        </w:tc>
        <w:tc>
          <w:tcPr>
            <w:tcW w:w="66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6"/>
              </w:rPr>
              <w:t>(# shares)</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00A1DE"/>
              </w:rPr>
              <w:t>(# shares)</w:t>
            </w:r>
          </w:p>
        </w:tc>
        <w:tc>
          <w:tcPr>
            <w:tcW w:w="640" w:type="dxa"/>
            <w:vAlign w:val="bottom"/>
            <w:shd w:val="clear" w:color="auto" w:fill="DBDBDB"/>
          </w:tcPr>
          <w:p>
            <w:pPr>
              <w:jc w:val="center"/>
              <w:spacing w:after="0"/>
              <w:rPr>
                <w:sz w:val="20"/>
                <w:szCs w:val="20"/>
                <w:color w:val="auto"/>
              </w:rPr>
            </w:pPr>
            <w:r>
              <w:rPr>
                <w:rFonts w:ascii="Arial" w:cs="Arial" w:eastAsia="Arial" w:hAnsi="Arial"/>
                <w:sz w:val="11"/>
                <w:szCs w:val="11"/>
                <w:b w:val="1"/>
                <w:bCs w:val="1"/>
                <w:color w:val="00A1DE"/>
                <w:w w:val="94"/>
              </w:rPr>
              <w:t>Units</w:t>
            </w:r>
          </w:p>
        </w:tc>
        <w:tc>
          <w:tcPr>
            <w:tcW w:w="140" w:type="dxa"/>
            <w:vAlign w:val="bottom"/>
            <w:shd w:val="clear" w:color="auto" w:fill="DBDBDB"/>
          </w:tcPr>
          <w:p>
            <w:pPr>
              <w:spacing w:after="0"/>
              <w:rPr>
                <w:sz w:val="13"/>
                <w:szCs w:val="13"/>
                <w:color w:val="auto"/>
              </w:rPr>
            </w:pPr>
          </w:p>
        </w:tc>
        <w:tc>
          <w:tcPr>
            <w:tcW w:w="720" w:type="dxa"/>
            <w:vAlign w:val="bottom"/>
            <w:shd w:val="clear" w:color="auto" w:fill="DBDBDB"/>
          </w:tcPr>
          <w:p>
            <w:pPr>
              <w:jc w:val="center"/>
              <w:ind w:right="75"/>
              <w:spacing w:after="0"/>
              <w:rPr>
                <w:sz w:val="20"/>
                <w:szCs w:val="20"/>
                <w:color w:val="auto"/>
              </w:rPr>
            </w:pPr>
            <w:r>
              <w:rPr>
                <w:rFonts w:ascii="Arial" w:cs="Arial" w:eastAsia="Arial" w:hAnsi="Arial"/>
                <w:sz w:val="11"/>
                <w:szCs w:val="11"/>
                <w:b w:val="1"/>
                <w:bCs w:val="1"/>
                <w:color w:val="00A1DE"/>
                <w:w w:val="95"/>
              </w:rPr>
              <w:t>Awards</w:t>
            </w:r>
          </w:p>
        </w:tc>
        <w:tc>
          <w:tcPr>
            <w:tcW w:w="0" w:type="dxa"/>
            <w:vAlign w:val="bottom"/>
          </w:tcPr>
          <w:p>
            <w:pPr>
              <w:spacing w:after="0"/>
              <w:rPr>
                <w:sz w:val="1"/>
                <w:szCs w:val="1"/>
                <w:color w:val="auto"/>
              </w:rPr>
            </w:pPr>
          </w:p>
        </w:tc>
      </w:tr>
      <w:tr>
        <w:trPr>
          <w:trHeight w:val="229"/>
        </w:trPr>
        <w:tc>
          <w:tcPr>
            <w:tcW w:w="580" w:type="dxa"/>
            <w:vAlign w:val="bottom"/>
          </w:tcPr>
          <w:p>
            <w:pPr>
              <w:ind w:left="20"/>
              <w:spacing w:after="0"/>
              <w:rPr>
                <w:sz w:val="20"/>
                <w:szCs w:val="20"/>
                <w:color w:val="auto"/>
              </w:rPr>
            </w:pPr>
            <w:r>
              <w:rPr>
                <w:rFonts w:ascii="Arial" w:cs="Arial" w:eastAsia="Arial" w:hAnsi="Arial"/>
                <w:sz w:val="13"/>
                <w:szCs w:val="13"/>
                <w:color w:val="auto"/>
                <w:w w:val="99"/>
              </w:rPr>
              <w:t>Mr. Ricks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__</w:t>
            </w:r>
          </w:p>
        </w:tc>
        <w:tc>
          <w:tcPr>
            <w:tcW w:w="840" w:type="dxa"/>
            <w:vAlign w:val="bottom"/>
          </w:tcPr>
          <w:p>
            <w:pPr>
              <w:jc w:val="center"/>
              <w:spacing w:after="0"/>
              <w:rPr>
                <w:sz w:val="20"/>
                <w:szCs w:val="20"/>
                <w:color w:val="auto"/>
              </w:rPr>
            </w:pPr>
            <w:r>
              <w:rPr>
                <w:rFonts w:ascii="Arial" w:cs="Arial" w:eastAsia="Arial" w:hAnsi="Arial"/>
                <w:sz w:val="13"/>
                <w:szCs w:val="13"/>
                <w:color w:val="auto"/>
              </w:rPr>
              <w:t>__</w:t>
            </w:r>
          </w:p>
        </w:tc>
        <w:tc>
          <w:tcPr>
            <w:tcW w:w="740" w:type="dxa"/>
            <w:vAlign w:val="bottom"/>
          </w:tcPr>
          <w:p>
            <w:pPr>
              <w:jc w:val="right"/>
              <w:spacing w:after="0"/>
              <w:rPr>
                <w:sz w:val="20"/>
                <w:szCs w:val="20"/>
                <w:color w:val="auto"/>
              </w:rPr>
            </w:pPr>
            <w:r>
              <w:rPr>
                <w:rFonts w:ascii="Arial" w:cs="Arial" w:eastAsia="Arial" w:hAnsi="Arial"/>
                <w:sz w:val="13"/>
                <w:szCs w:val="13"/>
                <w:color w:val="auto"/>
              </w:rPr>
              <w:t>$562,500</w:t>
            </w:r>
          </w:p>
        </w:tc>
        <w:tc>
          <w:tcPr>
            <w:tcW w:w="780" w:type="dxa"/>
            <w:vAlign w:val="bottom"/>
          </w:tcPr>
          <w:p>
            <w:pPr>
              <w:jc w:val="right"/>
              <w:spacing w:after="0"/>
              <w:rPr>
                <w:sz w:val="20"/>
                <w:szCs w:val="20"/>
                <w:color w:val="auto"/>
              </w:rPr>
            </w:pPr>
            <w:r>
              <w:rPr>
                <w:rFonts w:ascii="Arial" w:cs="Arial" w:eastAsia="Arial" w:hAnsi="Arial"/>
                <w:sz w:val="13"/>
                <w:szCs w:val="13"/>
                <w:color w:val="auto"/>
              </w:rPr>
              <w:t>$2,250,000</w:t>
            </w:r>
          </w:p>
        </w:tc>
        <w:tc>
          <w:tcPr>
            <w:tcW w:w="780" w:type="dxa"/>
            <w:vAlign w:val="bottom"/>
          </w:tcPr>
          <w:p>
            <w:pPr>
              <w:jc w:val="right"/>
              <w:spacing w:after="0"/>
              <w:rPr>
                <w:sz w:val="20"/>
                <w:szCs w:val="20"/>
                <w:color w:val="auto"/>
              </w:rPr>
            </w:pPr>
            <w:r>
              <w:rPr>
                <w:rFonts w:ascii="Arial" w:cs="Arial" w:eastAsia="Arial" w:hAnsi="Arial"/>
                <w:sz w:val="13"/>
                <w:szCs w:val="13"/>
                <w:color w:val="auto"/>
              </w:rPr>
              <w:t>$4,500,000</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3</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w w:val="91"/>
              </w:rPr>
              <w:t>PA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10,576</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21,151</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37,014</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5,166,000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4</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color w:val="auto"/>
                <w:w w:val="99"/>
              </w:rPr>
              <w:t>SVA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11,271</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22,541</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39,447</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5</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RVA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8,545</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17,090</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29,908</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40" w:type="dxa"/>
            <w:vAlign w:val="bottom"/>
            <w:gridSpan w:val="2"/>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200" w:type="dxa"/>
            <w:vAlign w:val="bottom"/>
            <w:shd w:val="clear" w:color="auto" w:fill="E6E6E6"/>
          </w:tcPr>
          <w:p>
            <w:pPr>
              <w:spacing w:after="0"/>
              <w:rPr>
                <w:sz w:val="19"/>
                <w:szCs w:val="19"/>
                <w:color w:val="auto"/>
              </w:rPr>
            </w:pPr>
          </w:p>
        </w:tc>
        <w:tc>
          <w:tcPr>
            <w:tcW w:w="820" w:type="dxa"/>
            <w:vAlign w:val="bottom"/>
            <w:shd w:val="clear" w:color="auto" w:fill="E6E6E6"/>
          </w:tcPr>
          <w:p>
            <w:pPr>
              <w:jc w:val="center"/>
              <w:spacing w:after="0"/>
              <w:rPr>
                <w:sz w:val="20"/>
                <w:szCs w:val="20"/>
                <w:color w:val="auto"/>
              </w:rPr>
            </w:pPr>
            <w:r>
              <w:rPr>
                <w:rFonts w:ascii="Arial" w:cs="Arial" w:eastAsia="Arial" w:hAnsi="Arial"/>
                <w:sz w:val="9"/>
                <w:szCs w:val="9"/>
                <w:color w:val="auto"/>
                <w:w w:val="99"/>
              </w:rPr>
              <w:t>__</w:t>
            </w:r>
          </w:p>
        </w:tc>
        <w:tc>
          <w:tcPr>
            <w:tcW w:w="840" w:type="dxa"/>
            <w:vAlign w:val="bottom"/>
            <w:shd w:val="clear" w:color="auto" w:fill="E6E6E6"/>
          </w:tcPr>
          <w:p>
            <w:pPr>
              <w:jc w:val="center"/>
              <w:spacing w:after="0"/>
              <w:rPr>
                <w:sz w:val="20"/>
                <w:szCs w:val="20"/>
                <w:color w:val="auto"/>
              </w:rPr>
            </w:pPr>
            <w:r>
              <w:rPr>
                <w:rFonts w:ascii="Arial" w:cs="Arial" w:eastAsia="Arial" w:hAnsi="Arial"/>
                <w:sz w:val="9"/>
                <w:szCs w:val="9"/>
                <w:color w:val="auto"/>
                <w:w w:val="99"/>
              </w:rPr>
              <w:t>__</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$206,322</w:t>
            </w: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$825,287</w:t>
            </w: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$1,650,575</w:t>
            </w:r>
          </w:p>
        </w:tc>
        <w:tc>
          <w:tcPr>
            <w:tcW w:w="640" w:type="dxa"/>
            <w:vAlign w:val="bottom"/>
            <w:shd w:val="clear" w:color="auto" w:fill="E6E6E6"/>
          </w:tcPr>
          <w:p>
            <w:pPr>
              <w:spacing w:after="0"/>
              <w:rPr>
                <w:sz w:val="19"/>
                <w:szCs w:val="19"/>
                <w:color w:val="auto"/>
              </w:rPr>
            </w:pPr>
          </w:p>
        </w:tc>
        <w:tc>
          <w:tcPr>
            <w:tcW w:w="66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3</w:t>
            </w: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w w:val="91"/>
              </w:rPr>
              <w:t>PA</w:t>
            </w:r>
          </w:p>
        </w:tc>
        <w:tc>
          <w:tcPr>
            <w:tcW w:w="200" w:type="dxa"/>
            <w:vAlign w:val="bottom"/>
            <w:shd w:val="clear" w:color="auto" w:fill="E6E6E6"/>
          </w:tcPr>
          <w:p>
            <w:pPr>
              <w:spacing w:after="0"/>
              <w:rPr>
                <w:sz w:val="14"/>
                <w:szCs w:val="14"/>
                <w:color w:val="auto"/>
              </w:rPr>
            </w:pP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2,770</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5,540</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9,695</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1,353,000</w:t>
            </w: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4</w:t>
            </w: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33"/>
              <w:spacing w:after="0"/>
              <w:rPr>
                <w:sz w:val="20"/>
                <w:szCs w:val="20"/>
                <w:color w:val="auto"/>
              </w:rPr>
            </w:pPr>
            <w:r>
              <w:rPr>
                <w:rFonts w:ascii="Arial" w:cs="Arial" w:eastAsia="Arial" w:hAnsi="Arial"/>
                <w:sz w:val="13"/>
                <w:szCs w:val="13"/>
                <w:color w:val="auto"/>
                <w:w w:val="99"/>
              </w:rPr>
              <w:t>SVA</w:t>
            </w:r>
          </w:p>
        </w:tc>
        <w:tc>
          <w:tcPr>
            <w:tcW w:w="200" w:type="dxa"/>
            <w:vAlign w:val="bottom"/>
            <w:shd w:val="clear" w:color="auto" w:fill="E6E6E6"/>
          </w:tcPr>
          <w:p>
            <w:pPr>
              <w:spacing w:after="0"/>
              <w:rPr>
                <w:sz w:val="14"/>
                <w:szCs w:val="14"/>
                <w:color w:val="auto"/>
              </w:rPr>
            </w:pP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1,176</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2,351</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4,114</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5</w:t>
            </w: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RVA</w:t>
            </w:r>
          </w:p>
        </w:tc>
        <w:tc>
          <w:tcPr>
            <w:tcW w:w="200" w:type="dxa"/>
            <w:vAlign w:val="bottom"/>
            <w:shd w:val="clear" w:color="auto" w:fill="E6E6E6"/>
          </w:tcPr>
          <w:p>
            <w:pPr>
              <w:spacing w:after="0"/>
              <w:rPr>
                <w:sz w:val="14"/>
                <w:szCs w:val="14"/>
                <w:color w:val="auto"/>
              </w:rPr>
            </w:pP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959</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1,918</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3,357</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264"/>
        </w:trPr>
        <w:tc>
          <w:tcPr>
            <w:tcW w:w="580" w:type="dxa"/>
            <w:vAlign w:val="bottom"/>
            <w:tcBorders>
              <w:bottom w:val="single" w:sz="8" w:color="E6E6E6"/>
            </w:tcBorders>
            <w:shd w:val="clear" w:color="auto" w:fill="E6E6E6"/>
          </w:tcPr>
          <w:p>
            <w:pPr>
              <w:spacing w:after="0"/>
              <w:rPr>
                <w:sz w:val="22"/>
                <w:szCs w:val="22"/>
                <w:color w:val="auto"/>
              </w:rPr>
            </w:pPr>
          </w:p>
        </w:tc>
        <w:tc>
          <w:tcPr>
            <w:tcW w:w="7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spacing w:after="0"/>
              <w:rPr>
                <w:sz w:val="22"/>
                <w:szCs w:val="22"/>
                <w:color w:val="auto"/>
              </w:rPr>
            </w:pPr>
          </w:p>
        </w:tc>
        <w:tc>
          <w:tcPr>
            <w:tcW w:w="840" w:type="dxa"/>
            <w:vAlign w:val="bottom"/>
            <w:tcBorders>
              <w:bottom w:val="single" w:sz="8" w:color="E6E6E6"/>
            </w:tcBorders>
            <w:shd w:val="clear" w:color="auto" w:fill="E6E6E6"/>
          </w:tcPr>
          <w:p>
            <w:pPr>
              <w:spacing w:after="0"/>
              <w:rPr>
                <w:sz w:val="22"/>
                <w:szCs w:val="22"/>
                <w:color w:val="auto"/>
              </w:rPr>
            </w:pPr>
          </w:p>
        </w:tc>
        <w:tc>
          <w:tcPr>
            <w:tcW w:w="740" w:type="dxa"/>
            <w:vAlign w:val="bottom"/>
            <w:tcBorders>
              <w:bottom w:val="single" w:sz="8" w:color="E6E6E6"/>
            </w:tcBorders>
            <w:shd w:val="clear" w:color="auto" w:fill="E6E6E6"/>
          </w:tcPr>
          <w:p>
            <w:pPr>
              <w:spacing w:after="0"/>
              <w:rPr>
                <w:sz w:val="22"/>
                <w:szCs w:val="22"/>
                <w:color w:val="auto"/>
              </w:rPr>
            </w:pPr>
          </w:p>
        </w:tc>
        <w:tc>
          <w:tcPr>
            <w:tcW w:w="780" w:type="dxa"/>
            <w:vAlign w:val="bottom"/>
            <w:tcBorders>
              <w:bottom w:val="single" w:sz="8" w:color="E6E6E6"/>
            </w:tcBorders>
            <w:shd w:val="clear" w:color="auto" w:fill="E6E6E6"/>
          </w:tcPr>
          <w:p>
            <w:pPr>
              <w:spacing w:after="0"/>
              <w:rPr>
                <w:sz w:val="22"/>
                <w:szCs w:val="22"/>
                <w:color w:val="auto"/>
              </w:rPr>
            </w:pPr>
          </w:p>
        </w:tc>
        <w:tc>
          <w:tcPr>
            <w:tcW w:w="78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spacing w:after="0"/>
              <w:rPr>
                <w:sz w:val="22"/>
                <w:szCs w:val="22"/>
                <w:color w:val="auto"/>
              </w:rPr>
            </w:pPr>
          </w:p>
        </w:tc>
        <w:tc>
          <w:tcPr>
            <w:tcW w:w="66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6E6E6"/>
            </w:tcBorders>
            <w:shd w:val="clear" w:color="auto" w:fill="E6E6E6"/>
          </w:tcPr>
          <w:p>
            <w:pPr>
              <w:spacing w:after="0"/>
              <w:rPr>
                <w:sz w:val="22"/>
                <w:szCs w:val="22"/>
                <w:color w:val="auto"/>
              </w:rPr>
            </w:pPr>
          </w:p>
        </w:tc>
        <w:tc>
          <w:tcPr>
            <w:tcW w:w="7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Arial" w:cs="Arial" w:eastAsia="Arial" w:hAnsi="Arial"/>
                <w:sz w:val="13"/>
                <w:szCs w:val="13"/>
                <w:color w:val="auto"/>
              </w:rPr>
              <w:t>Dr. Skovronsky</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740" w:type="dxa"/>
            <w:vAlign w:val="bottom"/>
          </w:tcPr>
          <w:p>
            <w:pPr>
              <w:jc w:val="right"/>
              <w:spacing w:after="0"/>
              <w:rPr>
                <w:sz w:val="20"/>
                <w:szCs w:val="20"/>
                <w:color w:val="auto"/>
              </w:rPr>
            </w:pPr>
            <w:r>
              <w:rPr>
                <w:rFonts w:ascii="Arial" w:cs="Arial" w:eastAsia="Arial" w:hAnsi="Arial"/>
                <w:sz w:val="13"/>
                <w:szCs w:val="13"/>
                <w:color w:val="auto"/>
              </w:rPr>
              <w:t>$250,000</w:t>
            </w:r>
          </w:p>
        </w:tc>
        <w:tc>
          <w:tcPr>
            <w:tcW w:w="780" w:type="dxa"/>
            <w:vAlign w:val="bottom"/>
          </w:tcPr>
          <w:p>
            <w:pPr>
              <w:jc w:val="right"/>
              <w:spacing w:after="0"/>
              <w:rPr>
                <w:sz w:val="20"/>
                <w:szCs w:val="20"/>
                <w:color w:val="auto"/>
              </w:rPr>
            </w:pPr>
            <w:r>
              <w:rPr>
                <w:rFonts w:ascii="Arial" w:cs="Arial" w:eastAsia="Arial" w:hAnsi="Arial"/>
                <w:sz w:val="13"/>
                <w:szCs w:val="13"/>
                <w:color w:val="auto"/>
              </w:rPr>
              <w:t>$1,000,000</w:t>
            </w:r>
          </w:p>
        </w:tc>
        <w:tc>
          <w:tcPr>
            <w:tcW w:w="780" w:type="dxa"/>
            <w:vAlign w:val="bottom"/>
          </w:tcPr>
          <w:p>
            <w:pPr>
              <w:jc w:val="right"/>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3</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w w:val="91"/>
              </w:rPr>
              <w:t>PA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3,551</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7,101</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12,427</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1,734,300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4</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color w:val="auto"/>
                <w:w w:val="99"/>
              </w:rPr>
              <w:t>SVA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3,784</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7,567</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13,242</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1,645,000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5</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RVA</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2,869</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5,738</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10,042</w:t>
            </w:r>
          </w:p>
        </w:tc>
        <w:tc>
          <w:tcPr>
            <w:tcW w:w="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1,645,000</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40" w:type="dxa"/>
            <w:vAlign w:val="bottom"/>
            <w:gridSpan w:val="2"/>
            <w:shd w:val="clear" w:color="auto" w:fill="E6E6E6"/>
          </w:tcPr>
          <w:p>
            <w:pPr>
              <w:ind w:left="20"/>
              <w:spacing w:after="0"/>
              <w:rPr>
                <w:sz w:val="20"/>
                <w:szCs w:val="20"/>
                <w:color w:val="auto"/>
              </w:rPr>
            </w:pPr>
            <w:r>
              <w:rPr>
                <w:rFonts w:ascii="Arial" w:cs="Arial" w:eastAsia="Arial" w:hAnsi="Arial"/>
                <w:sz w:val="13"/>
                <w:szCs w:val="13"/>
                <w:color w:val="auto"/>
              </w:rPr>
              <w:t>Mr. Van Naarden</w:t>
            </w:r>
          </w:p>
        </w:tc>
        <w:tc>
          <w:tcPr>
            <w:tcW w:w="200" w:type="dxa"/>
            <w:vAlign w:val="bottom"/>
            <w:shd w:val="clear" w:color="auto" w:fill="E6E6E6"/>
          </w:tcPr>
          <w:p>
            <w:pPr>
              <w:spacing w:after="0"/>
              <w:rPr>
                <w:sz w:val="19"/>
                <w:szCs w:val="19"/>
                <w:color w:val="auto"/>
              </w:rPr>
            </w:pPr>
          </w:p>
        </w:tc>
        <w:tc>
          <w:tcPr>
            <w:tcW w:w="820" w:type="dxa"/>
            <w:vAlign w:val="bottom"/>
            <w:shd w:val="clear" w:color="auto" w:fill="E6E6E6"/>
          </w:tcPr>
          <w:p>
            <w:pPr>
              <w:jc w:val="center"/>
              <w:spacing w:after="0"/>
              <w:rPr>
                <w:sz w:val="20"/>
                <w:szCs w:val="20"/>
                <w:color w:val="auto"/>
              </w:rPr>
            </w:pPr>
            <w:r>
              <w:rPr>
                <w:rFonts w:ascii="Arial" w:cs="Arial" w:eastAsia="Arial" w:hAnsi="Arial"/>
                <w:sz w:val="9"/>
                <w:szCs w:val="9"/>
                <w:color w:val="auto"/>
                <w:w w:val="99"/>
              </w:rPr>
              <w:t>__</w:t>
            </w:r>
          </w:p>
        </w:tc>
        <w:tc>
          <w:tcPr>
            <w:tcW w:w="840" w:type="dxa"/>
            <w:vAlign w:val="bottom"/>
            <w:shd w:val="clear" w:color="auto" w:fill="E6E6E6"/>
          </w:tcPr>
          <w:p>
            <w:pPr>
              <w:jc w:val="center"/>
              <w:spacing w:after="0"/>
              <w:rPr>
                <w:sz w:val="20"/>
                <w:szCs w:val="20"/>
                <w:color w:val="auto"/>
              </w:rPr>
            </w:pPr>
            <w:r>
              <w:rPr>
                <w:rFonts w:ascii="Arial" w:cs="Arial" w:eastAsia="Arial" w:hAnsi="Arial"/>
                <w:sz w:val="9"/>
                <w:szCs w:val="9"/>
                <w:color w:val="auto"/>
                <w:w w:val="99"/>
              </w:rPr>
              <w:t>__</w:t>
            </w:r>
          </w:p>
        </w:tc>
        <w:tc>
          <w:tcPr>
            <w:tcW w:w="7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$111,164</w:t>
            </w: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$444,655</w:t>
            </w: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$1,429,696</w:t>
            </w:r>
          </w:p>
        </w:tc>
        <w:tc>
          <w:tcPr>
            <w:tcW w:w="640" w:type="dxa"/>
            <w:vAlign w:val="bottom"/>
            <w:shd w:val="clear" w:color="auto" w:fill="E6E6E6"/>
          </w:tcPr>
          <w:p>
            <w:pPr>
              <w:spacing w:after="0"/>
              <w:rPr>
                <w:sz w:val="19"/>
                <w:szCs w:val="19"/>
                <w:color w:val="auto"/>
              </w:rPr>
            </w:pPr>
          </w:p>
        </w:tc>
        <w:tc>
          <w:tcPr>
            <w:tcW w:w="66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w w:val="91"/>
              </w:rPr>
              <w:t>PA</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3</w:t>
            </w: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1,637</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3,273</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5,728</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799,500</w:t>
            </w: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33"/>
              <w:spacing w:after="0"/>
              <w:rPr>
                <w:sz w:val="20"/>
                <w:szCs w:val="20"/>
                <w:color w:val="auto"/>
              </w:rPr>
            </w:pPr>
            <w:r>
              <w:rPr>
                <w:rFonts w:ascii="Arial" w:cs="Arial" w:eastAsia="Arial" w:hAnsi="Arial"/>
                <w:sz w:val="13"/>
                <w:szCs w:val="13"/>
                <w:color w:val="auto"/>
                <w:w w:val="99"/>
              </w:rPr>
              <w:t>SVA</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4</w:t>
            </w: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695</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1,389</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2,431</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325,000</w:t>
            </w:r>
          </w:p>
        </w:tc>
        <w:tc>
          <w:tcPr>
            <w:tcW w:w="0" w:type="dxa"/>
            <w:vAlign w:val="bottom"/>
          </w:tcPr>
          <w:p>
            <w:pPr>
              <w:spacing w:after="0"/>
              <w:rPr>
                <w:sz w:val="1"/>
                <w:szCs w:val="1"/>
                <w:color w:val="auto"/>
              </w:rPr>
            </w:pPr>
          </w:p>
        </w:tc>
      </w:tr>
      <w:tr>
        <w:trPr>
          <w:trHeight w:val="216"/>
        </w:trPr>
        <w:tc>
          <w:tcPr>
            <w:tcW w:w="580" w:type="dxa"/>
            <w:vAlign w:val="bottom"/>
            <w:shd w:val="clear" w:color="auto" w:fill="E6E6E6"/>
          </w:tcPr>
          <w:p>
            <w:pPr>
              <w:spacing w:after="0"/>
              <w:rPr>
                <w:sz w:val="18"/>
                <w:szCs w:val="18"/>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2021-2023</w:t>
            </w:r>
          </w:p>
        </w:tc>
        <w:tc>
          <w:tcPr>
            <w:tcW w:w="20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shd w:val="clear" w:color="auto" w:fill="E6E6E6"/>
          </w:tcPr>
          <w:p>
            <w:pPr>
              <w:spacing w:after="0"/>
              <w:rPr>
                <w:sz w:val="14"/>
                <w:szCs w:val="14"/>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RVA</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5</w:t>
            </w: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12/11/2020</w:t>
            </w:r>
          </w:p>
        </w:tc>
        <w:tc>
          <w:tcPr>
            <w:tcW w:w="74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567</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1,134</w:t>
            </w:r>
          </w:p>
        </w:tc>
        <w:tc>
          <w:tcPr>
            <w:tcW w:w="640" w:type="dxa"/>
            <w:vAlign w:val="bottom"/>
            <w:shd w:val="clear" w:color="auto" w:fill="E6E6E6"/>
          </w:tcPr>
          <w:p>
            <w:pPr>
              <w:jc w:val="right"/>
              <w:ind w:right="14"/>
              <w:spacing w:after="0"/>
              <w:rPr>
                <w:sz w:val="20"/>
                <w:szCs w:val="20"/>
                <w:color w:val="auto"/>
              </w:rPr>
            </w:pPr>
            <w:r>
              <w:rPr>
                <w:rFonts w:ascii="Arial" w:cs="Arial" w:eastAsia="Arial" w:hAnsi="Arial"/>
                <w:sz w:val="13"/>
                <w:szCs w:val="13"/>
                <w:color w:val="auto"/>
              </w:rPr>
              <w:t>1,985</w:t>
            </w:r>
          </w:p>
        </w:tc>
        <w:tc>
          <w:tcPr>
            <w:tcW w:w="640" w:type="dxa"/>
            <w:vAlign w:val="bottom"/>
            <w:shd w:val="clear" w:color="auto" w:fill="E6E6E6"/>
          </w:tcPr>
          <w:p>
            <w:pPr>
              <w:spacing w:after="0"/>
              <w:rPr>
                <w:sz w:val="14"/>
                <w:szCs w:val="14"/>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325,000</w:t>
            </w:r>
          </w:p>
        </w:tc>
        <w:tc>
          <w:tcPr>
            <w:tcW w:w="0" w:type="dxa"/>
            <w:vAlign w:val="bottom"/>
          </w:tcPr>
          <w:p>
            <w:pPr>
              <w:spacing w:after="0"/>
              <w:rPr>
                <w:sz w:val="1"/>
                <w:szCs w:val="1"/>
                <w:color w:val="auto"/>
              </w:rPr>
            </w:pPr>
          </w:p>
        </w:tc>
      </w:tr>
      <w:tr>
        <w:trPr>
          <w:trHeight w:val="256"/>
        </w:trPr>
        <w:tc>
          <w:tcPr>
            <w:tcW w:w="580" w:type="dxa"/>
            <w:vAlign w:val="bottom"/>
            <w:shd w:val="clear" w:color="auto" w:fill="E6E6E6"/>
          </w:tcPr>
          <w:p>
            <w:pPr>
              <w:spacing w:after="0"/>
              <w:rPr>
                <w:sz w:val="22"/>
                <w:szCs w:val="22"/>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RSU</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6</w:t>
            </w: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10/15/2020</w:t>
            </w:r>
          </w:p>
        </w:tc>
        <w:tc>
          <w:tcPr>
            <w:tcW w:w="74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640" w:type="dxa"/>
            <w:vAlign w:val="bottom"/>
            <w:shd w:val="clear" w:color="auto" w:fill="E6E6E6"/>
          </w:tcPr>
          <w:p>
            <w:pPr>
              <w:jc w:val="right"/>
              <w:ind w:right="1"/>
              <w:spacing w:after="0"/>
              <w:rPr>
                <w:sz w:val="20"/>
                <w:szCs w:val="20"/>
                <w:color w:val="auto"/>
              </w:rPr>
            </w:pPr>
            <w:r>
              <w:rPr>
                <w:rFonts w:ascii="Arial" w:cs="Arial" w:eastAsia="Arial" w:hAnsi="Arial"/>
                <w:sz w:val="13"/>
                <w:szCs w:val="13"/>
                <w:color w:val="auto"/>
              </w:rPr>
              <w:t>5,461</w:t>
            </w: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1,100,000</w:t>
            </w:r>
          </w:p>
        </w:tc>
        <w:tc>
          <w:tcPr>
            <w:tcW w:w="0" w:type="dxa"/>
            <w:vAlign w:val="bottom"/>
          </w:tcPr>
          <w:p>
            <w:pPr>
              <w:spacing w:after="0"/>
              <w:rPr>
                <w:sz w:val="1"/>
                <w:szCs w:val="1"/>
                <w:color w:val="auto"/>
              </w:rPr>
            </w:pPr>
          </w:p>
        </w:tc>
      </w:tr>
      <w:tr>
        <w:trPr>
          <w:trHeight w:val="256"/>
        </w:trPr>
        <w:tc>
          <w:tcPr>
            <w:tcW w:w="580" w:type="dxa"/>
            <w:vAlign w:val="bottom"/>
            <w:shd w:val="clear" w:color="auto" w:fill="E6E6E6"/>
          </w:tcPr>
          <w:p>
            <w:pPr>
              <w:spacing w:after="0"/>
              <w:rPr>
                <w:sz w:val="22"/>
                <w:szCs w:val="22"/>
                <w:color w:val="auto"/>
              </w:rPr>
            </w:pPr>
          </w:p>
        </w:tc>
        <w:tc>
          <w:tcPr>
            <w:tcW w:w="760" w:type="dxa"/>
            <w:vAlign w:val="bottom"/>
            <w:shd w:val="clear" w:color="auto" w:fill="E6E6E6"/>
          </w:tcPr>
          <w:p>
            <w:pPr>
              <w:jc w:val="center"/>
              <w:ind w:right="13"/>
              <w:spacing w:after="0"/>
              <w:rPr>
                <w:sz w:val="20"/>
                <w:szCs w:val="20"/>
                <w:color w:val="auto"/>
              </w:rPr>
            </w:pPr>
            <w:r>
              <w:rPr>
                <w:rFonts w:ascii="Arial" w:cs="Arial" w:eastAsia="Arial" w:hAnsi="Arial"/>
                <w:sz w:val="13"/>
                <w:szCs w:val="13"/>
                <w:color w:val="auto"/>
              </w:rPr>
              <w:t>RSU</w:t>
            </w:r>
          </w:p>
        </w:tc>
        <w:tc>
          <w:tcPr>
            <w:tcW w:w="200" w:type="dxa"/>
            <w:vAlign w:val="bottom"/>
            <w:shd w:val="clear" w:color="auto" w:fill="E6E6E6"/>
          </w:tcPr>
          <w:p>
            <w:pPr>
              <w:jc w:val="right"/>
              <w:ind w:right="76"/>
              <w:spacing w:after="0"/>
              <w:rPr>
                <w:sz w:val="20"/>
                <w:szCs w:val="20"/>
                <w:color w:val="auto"/>
              </w:rPr>
            </w:pPr>
            <w:r>
              <w:rPr>
                <w:rFonts w:ascii="Arial" w:cs="Arial" w:eastAsia="Arial" w:hAnsi="Arial"/>
                <w:sz w:val="9"/>
                <w:szCs w:val="9"/>
                <w:color w:val="auto"/>
              </w:rPr>
              <w:t>6</w:t>
            </w:r>
          </w:p>
        </w:tc>
        <w:tc>
          <w:tcPr>
            <w:tcW w:w="82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2/8/2021</w:t>
            </w:r>
          </w:p>
        </w:tc>
        <w:tc>
          <w:tcPr>
            <w:tcW w:w="8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10/15/2020</w:t>
            </w:r>
          </w:p>
        </w:tc>
        <w:tc>
          <w:tcPr>
            <w:tcW w:w="74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640" w:type="dxa"/>
            <w:vAlign w:val="bottom"/>
            <w:shd w:val="clear" w:color="auto" w:fill="E6E6E6"/>
          </w:tcPr>
          <w:p>
            <w:pPr>
              <w:jc w:val="right"/>
              <w:ind w:right="1"/>
              <w:spacing w:after="0"/>
              <w:rPr>
                <w:sz w:val="20"/>
                <w:szCs w:val="20"/>
                <w:color w:val="auto"/>
              </w:rPr>
            </w:pPr>
            <w:r>
              <w:rPr>
                <w:rFonts w:ascii="Arial" w:cs="Arial" w:eastAsia="Arial" w:hAnsi="Arial"/>
                <w:sz w:val="13"/>
                <w:szCs w:val="13"/>
                <w:color w:val="auto"/>
              </w:rPr>
              <w:t>2,785</w:t>
            </w: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6E6"/>
          </w:tcPr>
          <w:p>
            <w:pPr>
              <w:jc w:val="right"/>
              <w:ind w:right="15"/>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264"/>
        </w:trPr>
        <w:tc>
          <w:tcPr>
            <w:tcW w:w="580" w:type="dxa"/>
            <w:vAlign w:val="bottom"/>
            <w:tcBorders>
              <w:bottom w:val="single" w:sz="8" w:color="E6E6E6"/>
            </w:tcBorders>
            <w:shd w:val="clear" w:color="auto" w:fill="E6E6E6"/>
          </w:tcPr>
          <w:p>
            <w:pPr>
              <w:spacing w:after="0"/>
              <w:rPr>
                <w:sz w:val="22"/>
                <w:szCs w:val="22"/>
                <w:color w:val="auto"/>
              </w:rPr>
            </w:pPr>
          </w:p>
        </w:tc>
        <w:tc>
          <w:tcPr>
            <w:tcW w:w="760" w:type="dxa"/>
            <w:vAlign w:val="bottom"/>
            <w:tcBorders>
              <w:bottom w:val="single" w:sz="8" w:color="E6E6E6"/>
            </w:tcBorders>
            <w:shd w:val="clear" w:color="auto" w:fill="E6E6E6"/>
          </w:tcPr>
          <w:p>
            <w:pPr>
              <w:jc w:val="center"/>
              <w:ind w:right="13"/>
              <w:spacing w:after="0"/>
              <w:rPr>
                <w:sz w:val="20"/>
                <w:szCs w:val="20"/>
                <w:color w:val="auto"/>
              </w:rPr>
            </w:pPr>
            <w:r>
              <w:rPr>
                <w:rFonts w:ascii="Arial" w:cs="Arial" w:eastAsia="Arial" w:hAnsi="Arial"/>
                <w:sz w:val="13"/>
                <w:szCs w:val="13"/>
                <w:color w:val="auto"/>
              </w:rPr>
              <w:t>RSU</w:t>
            </w:r>
          </w:p>
        </w:tc>
        <w:tc>
          <w:tcPr>
            <w:tcW w:w="200" w:type="dxa"/>
            <w:vAlign w:val="bottom"/>
            <w:tcBorders>
              <w:bottom w:val="single" w:sz="8" w:color="E6E6E6"/>
            </w:tcBorders>
            <w:shd w:val="clear" w:color="auto" w:fill="E6E6E6"/>
          </w:tcPr>
          <w:p>
            <w:pPr>
              <w:jc w:val="right"/>
              <w:ind w:right="76"/>
              <w:spacing w:after="0"/>
              <w:rPr>
                <w:sz w:val="20"/>
                <w:szCs w:val="20"/>
                <w:color w:val="auto"/>
              </w:rPr>
            </w:pPr>
            <w:r>
              <w:rPr>
                <w:rFonts w:ascii="Arial" w:cs="Arial" w:eastAsia="Arial" w:hAnsi="Arial"/>
                <w:sz w:val="9"/>
                <w:szCs w:val="9"/>
                <w:color w:val="auto"/>
              </w:rPr>
              <w:t>6</w:t>
            </w:r>
          </w:p>
        </w:tc>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12/28/2021</w:t>
            </w: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12/21/2021</w:t>
            </w:r>
          </w:p>
        </w:tc>
        <w:tc>
          <w:tcPr>
            <w:tcW w:w="740" w:type="dxa"/>
            <w:vAlign w:val="bottom"/>
            <w:tcBorders>
              <w:bottom w:val="single" w:sz="8" w:color="E6E6E6"/>
            </w:tcBorders>
            <w:shd w:val="clear" w:color="auto" w:fill="E6E6E6"/>
          </w:tcPr>
          <w:p>
            <w:pPr>
              <w:spacing w:after="0"/>
              <w:rPr>
                <w:sz w:val="22"/>
                <w:szCs w:val="22"/>
                <w:color w:val="auto"/>
              </w:rPr>
            </w:pPr>
          </w:p>
        </w:tc>
        <w:tc>
          <w:tcPr>
            <w:tcW w:w="780" w:type="dxa"/>
            <w:vAlign w:val="bottom"/>
            <w:tcBorders>
              <w:bottom w:val="single" w:sz="8" w:color="E6E6E6"/>
            </w:tcBorders>
            <w:shd w:val="clear" w:color="auto" w:fill="E6E6E6"/>
          </w:tcPr>
          <w:p>
            <w:pPr>
              <w:spacing w:after="0"/>
              <w:rPr>
                <w:sz w:val="22"/>
                <w:szCs w:val="22"/>
                <w:color w:val="auto"/>
              </w:rPr>
            </w:pPr>
          </w:p>
        </w:tc>
        <w:tc>
          <w:tcPr>
            <w:tcW w:w="78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spacing w:after="0"/>
              <w:rPr>
                <w:sz w:val="22"/>
                <w:szCs w:val="22"/>
                <w:color w:val="auto"/>
              </w:rPr>
            </w:pPr>
          </w:p>
        </w:tc>
        <w:tc>
          <w:tcPr>
            <w:tcW w:w="66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spacing w:after="0"/>
              <w:rPr>
                <w:sz w:val="22"/>
                <w:szCs w:val="22"/>
                <w:color w:val="auto"/>
              </w:rPr>
            </w:pPr>
          </w:p>
        </w:tc>
        <w:tc>
          <w:tcPr>
            <w:tcW w:w="640" w:type="dxa"/>
            <w:vAlign w:val="bottom"/>
            <w:tcBorders>
              <w:bottom w:val="single" w:sz="8" w:color="E6E6E6"/>
            </w:tcBorders>
            <w:shd w:val="clear" w:color="auto" w:fill="E6E6E6"/>
          </w:tcPr>
          <w:p>
            <w:pPr>
              <w:jc w:val="right"/>
              <w:ind w:right="1"/>
              <w:spacing w:after="0"/>
              <w:rPr>
                <w:sz w:val="20"/>
                <w:szCs w:val="20"/>
                <w:color w:val="auto"/>
              </w:rPr>
            </w:pPr>
            <w:r>
              <w:rPr>
                <w:rFonts w:ascii="Arial" w:cs="Arial" w:eastAsia="Arial" w:hAnsi="Arial"/>
                <w:sz w:val="13"/>
                <w:szCs w:val="13"/>
                <w:color w:val="auto"/>
              </w:rPr>
              <w:t>3,618</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6E6E6"/>
            </w:tcBorders>
            <w:shd w:val="clear" w:color="auto" w:fill="E6E6E6"/>
          </w:tcPr>
          <w:p>
            <w:pPr>
              <w:jc w:val="right"/>
              <w:ind w:right="15"/>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458"/>
        </w:trPr>
        <w:tc>
          <w:tcPr>
            <w:tcW w:w="580" w:type="dxa"/>
            <w:vAlign w:val="bottom"/>
          </w:tcPr>
          <w:p>
            <w:pPr>
              <w:ind w:left="20"/>
              <w:spacing w:after="0"/>
              <w:rPr>
                <w:sz w:val="20"/>
                <w:szCs w:val="20"/>
                <w:color w:val="auto"/>
              </w:rPr>
            </w:pPr>
            <w:r>
              <w:rPr>
                <w:rFonts w:ascii="Arial" w:cs="Arial" w:eastAsia="Arial" w:hAnsi="Arial"/>
                <w:sz w:val="13"/>
                <w:szCs w:val="13"/>
                <w:color w:val="auto"/>
              </w:rPr>
              <w:t>Mr.</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20"/>
              <w:spacing w:after="0"/>
              <w:rPr>
                <w:sz w:val="20"/>
                <w:szCs w:val="20"/>
                <w:color w:val="auto"/>
              </w:rPr>
            </w:pPr>
            <w:r>
              <w:rPr>
                <w:rFonts w:ascii="Arial" w:cs="Arial" w:eastAsia="Arial" w:hAnsi="Arial"/>
                <w:sz w:val="13"/>
                <w:szCs w:val="13"/>
                <w:color w:val="auto"/>
              </w:rPr>
              <w:t>Rau</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84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740" w:type="dxa"/>
            <w:vAlign w:val="bottom"/>
          </w:tcPr>
          <w:p>
            <w:pPr>
              <w:jc w:val="right"/>
              <w:spacing w:after="0"/>
              <w:rPr>
                <w:sz w:val="20"/>
                <w:szCs w:val="20"/>
                <w:color w:val="auto"/>
              </w:rPr>
            </w:pPr>
            <w:r>
              <w:rPr>
                <w:rFonts w:ascii="Arial" w:cs="Arial" w:eastAsia="Arial" w:hAnsi="Arial"/>
                <w:sz w:val="13"/>
                <w:szCs w:val="13"/>
                <w:color w:val="auto"/>
              </w:rPr>
              <w:t>$82,462</w:t>
            </w:r>
          </w:p>
        </w:tc>
        <w:tc>
          <w:tcPr>
            <w:tcW w:w="780" w:type="dxa"/>
            <w:vAlign w:val="bottom"/>
          </w:tcPr>
          <w:p>
            <w:pPr>
              <w:jc w:val="right"/>
              <w:spacing w:after="0"/>
              <w:rPr>
                <w:sz w:val="20"/>
                <w:szCs w:val="20"/>
                <w:color w:val="auto"/>
              </w:rPr>
            </w:pPr>
            <w:r>
              <w:rPr>
                <w:rFonts w:ascii="Arial" w:cs="Arial" w:eastAsia="Arial" w:hAnsi="Arial"/>
                <w:sz w:val="13"/>
                <w:szCs w:val="13"/>
                <w:color w:val="auto"/>
              </w:rPr>
              <w:t>$329,846</w:t>
            </w:r>
          </w:p>
        </w:tc>
        <w:tc>
          <w:tcPr>
            <w:tcW w:w="780" w:type="dxa"/>
            <w:vAlign w:val="bottom"/>
          </w:tcPr>
          <w:p>
            <w:pPr>
              <w:jc w:val="right"/>
              <w:spacing w:after="0"/>
              <w:rPr>
                <w:sz w:val="20"/>
                <w:szCs w:val="20"/>
                <w:color w:val="auto"/>
              </w:rPr>
            </w:pPr>
            <w:r>
              <w:rPr>
                <w:rFonts w:ascii="Arial" w:cs="Arial" w:eastAsia="Arial" w:hAnsi="Arial"/>
                <w:sz w:val="13"/>
                <w:szCs w:val="13"/>
                <w:color w:val="auto"/>
              </w:rPr>
              <w:t>$659,692</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color w:val="auto"/>
              </w:rPr>
              <w:t>RSU</w:t>
            </w:r>
          </w:p>
        </w:tc>
        <w:tc>
          <w:tcPr>
            <w:tcW w:w="200" w:type="dxa"/>
            <w:vAlign w:val="bottom"/>
          </w:tcPr>
          <w:p>
            <w:pPr>
              <w:jc w:val="right"/>
              <w:ind w:right="76"/>
              <w:spacing w:after="0"/>
              <w:rPr>
                <w:sz w:val="20"/>
                <w:szCs w:val="20"/>
                <w:color w:val="auto"/>
              </w:rPr>
            </w:pPr>
            <w:r>
              <w:rPr>
                <w:rFonts w:ascii="Arial" w:cs="Arial" w:eastAsia="Arial" w:hAnsi="Arial"/>
                <w:sz w:val="9"/>
                <w:szCs w:val="9"/>
                <w:color w:val="auto"/>
              </w:rPr>
              <w:t>7</w:t>
            </w:r>
          </w:p>
        </w:tc>
        <w:tc>
          <w:tcPr>
            <w:tcW w:w="820" w:type="dxa"/>
            <w:vAlign w:val="bottom"/>
          </w:tcPr>
          <w:p>
            <w:pPr>
              <w:jc w:val="center"/>
              <w:spacing w:after="0"/>
              <w:rPr>
                <w:sz w:val="20"/>
                <w:szCs w:val="20"/>
                <w:color w:val="auto"/>
              </w:rPr>
            </w:pPr>
            <w:r>
              <w:rPr>
                <w:rFonts w:ascii="Arial" w:cs="Arial" w:eastAsia="Arial" w:hAnsi="Arial"/>
                <w:sz w:val="13"/>
                <w:szCs w:val="13"/>
                <w:color w:val="auto"/>
              </w:rPr>
              <w:t>6/1/2021</w:t>
            </w:r>
          </w:p>
        </w:tc>
        <w:tc>
          <w:tcPr>
            <w:tcW w:w="840" w:type="dxa"/>
            <w:vAlign w:val="bottom"/>
          </w:tcPr>
          <w:p>
            <w:pPr>
              <w:jc w:val="right"/>
              <w:spacing w:after="0"/>
              <w:rPr>
                <w:sz w:val="20"/>
                <w:szCs w:val="20"/>
                <w:color w:val="auto"/>
              </w:rPr>
            </w:pPr>
            <w:r>
              <w:rPr>
                <w:rFonts w:ascii="Arial" w:cs="Arial" w:eastAsia="Arial" w:hAnsi="Arial"/>
                <w:sz w:val="13"/>
                <w:szCs w:val="13"/>
                <w:color w:val="auto"/>
              </w:rPr>
              <w:t>3/10/2021</w:t>
            </w: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20,160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4,000,000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20" w:firstLine="8"/>
        <w:spacing w:after="0" w:line="218" w:lineRule="auto"/>
        <w:tabs>
          <w:tab w:leader="none" w:pos="86" w:val="left"/>
        </w:tabs>
        <w:numPr>
          <w:ilvl w:val="0"/>
          <w:numId w:val="86"/>
        </w:numPr>
        <w:rPr>
          <w:rFonts w:ascii="Arial" w:cs="Arial" w:eastAsia="Arial" w:hAnsi="Arial"/>
          <w:sz w:val="18"/>
          <w:szCs w:val="18"/>
          <w:color w:val="auto"/>
          <w:vertAlign w:val="superscript"/>
        </w:rPr>
      </w:pPr>
      <w:r>
        <w:rPr>
          <w:rFonts w:ascii="Arial" w:cs="Arial" w:eastAsia="Arial" w:hAnsi="Arial"/>
          <w:sz w:val="13"/>
          <w:szCs w:val="13"/>
          <w:color w:val="auto"/>
        </w:rPr>
        <w:t>These columns show the threshold, target and maximum payouts for performance under the Bonus Plan. For Mr. Van Naarden, the columns show the threshold, target, and maximum payouts for performance under both the Bonus Plan and the Loxo Bonus, pro-rated for the portion of the year he</w:t>
      </w:r>
    </w:p>
    <w:p>
      <w:pPr>
        <w:sectPr>
          <w:pgSz w:w="11900" w:h="16838" w:orient="portrait"/>
          <w:cols w:equalWidth="0" w:num="1">
            <w:col w:w="11180"/>
          </w:cols>
          <w:pgMar w:left="320" w:top="787" w:right="399" w:bottom="882"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80"/>
          </w:cols>
          <w:pgMar w:left="320" w:top="787" w:right="399" w:bottom="882" w:gutter="0" w:footer="0" w:header="0"/>
          <w:type w:val="continuous"/>
        </w:sectPr>
      </w:pPr>
    </w:p>
    <w:bookmarkStart w:id="62" w:name="page63"/>
    <w:bookmarkEnd w:id="62"/>
    <w:p>
      <w:pPr>
        <w:ind w:left="80" w:right="60"/>
        <w:spacing w:after="0" w:line="260" w:lineRule="auto"/>
        <w:rPr>
          <w:sz w:val="20"/>
          <w:szCs w:val="20"/>
          <w:color w:val="auto"/>
        </w:rPr>
      </w:pPr>
      <w:r>
        <w:rPr>
          <w:rFonts w:ascii="Arial" w:cs="Arial" w:eastAsia="Arial" w:hAnsi="Arial"/>
          <w:sz w:val="13"/>
          <w:szCs w:val="13"/>
          <w:color w:val="auto"/>
        </w:rPr>
        <w:t>was participating in each plan. The Bonus Plan payouts range from 0 to 200 percent of target and the Loxo Bonus payouts range from 0 to 400 percent of target. The Bonus Plan and Loxo Bonus payments for 2021 performance were 110 percent of target and 310 percent of target, respectively. Actual payouts are shown in the Summary Compensation Table in the column titled "Non-Equity Incentive Plan Compensation."</w:t>
      </w:r>
    </w:p>
    <w:p>
      <w:pPr>
        <w:ind w:left="180" w:hanging="92"/>
        <w:spacing w:after="0" w:line="188" w:lineRule="auto"/>
        <w:tabs>
          <w:tab w:leader="none" w:pos="180" w:val="left"/>
        </w:tabs>
        <w:numPr>
          <w:ilvl w:val="0"/>
          <w:numId w:val="87"/>
        </w:numPr>
        <w:rPr>
          <w:rFonts w:ascii="Arial" w:cs="Arial" w:eastAsia="Arial" w:hAnsi="Arial"/>
          <w:sz w:val="18"/>
          <w:szCs w:val="18"/>
          <w:color w:val="auto"/>
          <w:vertAlign w:val="superscript"/>
        </w:rPr>
      </w:pPr>
      <w:r>
        <w:rPr>
          <w:rFonts w:ascii="Arial" w:cs="Arial" w:eastAsia="Arial" w:hAnsi="Arial"/>
          <w:sz w:val="13"/>
          <w:szCs w:val="13"/>
          <w:color w:val="auto"/>
        </w:rPr>
        <w:t>To assure grant timing is not manipulated for employee gain, the annual grant date is established in advance by the Compensation Committee.</w:t>
      </w:r>
    </w:p>
    <w:p>
      <w:pPr>
        <w:ind w:left="80" w:right="100" w:firstLine="8"/>
        <w:spacing w:after="0" w:line="230" w:lineRule="auto"/>
        <w:tabs>
          <w:tab w:leader="none" w:pos="166" w:val="left"/>
        </w:tabs>
        <w:numPr>
          <w:ilvl w:val="0"/>
          <w:numId w:val="88"/>
        </w:numPr>
        <w:rPr>
          <w:rFonts w:ascii="Arial" w:cs="Arial" w:eastAsia="Arial" w:hAnsi="Arial"/>
          <w:sz w:val="18"/>
          <w:szCs w:val="18"/>
          <w:color w:val="auto"/>
          <w:vertAlign w:val="superscript"/>
        </w:rPr>
      </w:pPr>
      <w:r>
        <w:rPr>
          <w:rFonts w:ascii="Arial" w:cs="Arial" w:eastAsia="Arial" w:hAnsi="Arial"/>
          <w:sz w:val="13"/>
          <w:szCs w:val="13"/>
          <w:color w:val="auto"/>
        </w:rPr>
        <w:t>This row shows the possible payouts for the 2021-2023 performance awards ranging from 0 to 175 percent of target. This performance award will pay out in February 2024. Ms. Ashkenazi and Mr. Van Naarden were not executive officers at the time of grant and, therefore, their performance awards will not be subject to the 13-month service vesting period and will payout in February 2023.</w:t>
      </w:r>
    </w:p>
    <w:p>
      <w:pPr>
        <w:spacing w:after="0" w:line="1" w:lineRule="exact"/>
        <w:rPr>
          <w:rFonts w:ascii="Arial" w:cs="Arial" w:eastAsia="Arial" w:hAnsi="Arial"/>
          <w:sz w:val="18"/>
          <w:szCs w:val="18"/>
          <w:color w:val="auto"/>
          <w:vertAlign w:val="superscript"/>
        </w:rPr>
      </w:pPr>
    </w:p>
    <w:p>
      <w:pPr>
        <w:ind w:left="80" w:right="2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This row shows the range of payouts for the 2021-2023 shareholder value awards. This shareholder value award will pay out in February 2024, with payouts ranging from 0 to 175 percent of target. We measure the fair value of the shareholder value award on the grant date using a Monte Carlo simulation model.</w:t>
      </w:r>
    </w:p>
    <w:p>
      <w:pPr>
        <w:ind w:left="8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This row shows the range of payouts for the 2021-2023 relative value awards. This relative value award will pay out in February 2024, with payouts ranging from 0 to 175 percent of target. We measure the fair value of the relative value award on the grant date using a Monte Carlo simulation model.</w:t>
      </w:r>
    </w:p>
    <w:p>
      <w:pPr>
        <w:ind w:left="80" w:right="2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6</w:t>
      </w:r>
      <w:r>
        <w:rPr>
          <w:rFonts w:ascii="Arial" w:cs="Arial" w:eastAsia="Arial" w:hAnsi="Arial"/>
          <w:sz w:val="13"/>
          <w:szCs w:val="13"/>
          <w:color w:val="auto"/>
        </w:rPr>
        <w:t xml:space="preserve"> These grants were made outside of the normal annual cycle in 2021 and 5,461 units will vest on February 16, 2022, 2,785 units will vest on February 16, 2023, and 3,618 units will vest on February 1, 2024.</w:t>
      </w:r>
    </w:p>
    <w:p>
      <w:pPr>
        <w:ind w:left="80"/>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7</w:t>
      </w:r>
      <w:r>
        <w:rPr>
          <w:rFonts w:ascii="Arial" w:cs="Arial" w:eastAsia="Arial" w:hAnsi="Arial"/>
          <w:sz w:val="13"/>
          <w:szCs w:val="13"/>
          <w:color w:val="auto"/>
        </w:rPr>
        <w:t xml:space="preserve"> This grant was made outside of the normal annual cycle in 2021 and 7,560 units will vest on July 1, 2022, 6,300 units will vest on July 1, 2023, and 6,300 units will vest on July 1, 2024.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on December 31, 2021</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2021 closing stock price used to calculate the values in the table below was $276.22.</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166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2780" w:type="dxa"/>
            <w:vAlign w:val="bottom"/>
            <w:gridSpan w:val="2"/>
            <w:shd w:val="clear" w:color="auto" w:fill="DBDBDB"/>
          </w:tcPr>
          <w:p>
            <w:pPr>
              <w:jc w:val="right"/>
              <w:ind w:right="663"/>
              <w:spacing w:after="0"/>
              <w:rPr>
                <w:sz w:val="20"/>
                <w:szCs w:val="20"/>
                <w:color w:val="auto"/>
              </w:rPr>
            </w:pPr>
            <w:r>
              <w:rPr>
                <w:rFonts w:ascii="Arial" w:cs="Arial" w:eastAsia="Arial" w:hAnsi="Arial"/>
                <w:sz w:val="14"/>
                <w:szCs w:val="14"/>
                <w:b w:val="1"/>
                <w:bCs w:val="1"/>
                <w:color w:val="1CA8E1"/>
              </w:rPr>
              <w:t>Stock Awards</w:t>
            </w:r>
          </w:p>
        </w:tc>
        <w:tc>
          <w:tcPr>
            <w:tcW w:w="1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6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600" w:type="dxa"/>
            <w:vAlign w:val="bottom"/>
            <w:shd w:val="clear" w:color="auto" w:fill="DBDBDB"/>
          </w:tcPr>
          <w:p>
            <w:pPr>
              <w:spacing w:after="0"/>
              <w:rPr>
                <w:sz w:val="16"/>
                <w:szCs w:val="16"/>
                <w:color w:val="auto"/>
              </w:rPr>
            </w:pP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Equity Incentive Plan</w:t>
            </w:r>
          </w:p>
        </w:tc>
        <w:tc>
          <w:tcPr>
            <w:tcW w:w="0" w:type="dxa"/>
            <w:vAlign w:val="bottom"/>
          </w:tcPr>
          <w:p>
            <w:pPr>
              <w:spacing w:after="0"/>
              <w:rPr>
                <w:sz w:val="1"/>
                <w:szCs w:val="1"/>
                <w:color w:val="auto"/>
              </w:rPr>
            </w:pPr>
          </w:p>
        </w:tc>
      </w:tr>
      <w:tr>
        <w:trPr>
          <w:trHeight w:val="162"/>
        </w:trPr>
        <w:tc>
          <w:tcPr>
            <w:tcW w:w="166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80" w:type="dxa"/>
            <w:vAlign w:val="bottom"/>
            <w:shd w:val="clear" w:color="auto" w:fill="DBDBDB"/>
          </w:tcPr>
          <w:p>
            <w:pPr>
              <w:spacing w:after="0"/>
              <w:rPr>
                <w:sz w:val="14"/>
                <w:szCs w:val="14"/>
                <w:color w:val="auto"/>
              </w:rPr>
            </w:pP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Equity Incentive Plan</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Awards: Market or</w:t>
            </w:r>
          </w:p>
        </w:tc>
        <w:tc>
          <w:tcPr>
            <w:tcW w:w="0" w:type="dxa"/>
            <w:vAlign w:val="bottom"/>
          </w:tcPr>
          <w:p>
            <w:pPr>
              <w:spacing w:after="0"/>
              <w:rPr>
                <w:sz w:val="1"/>
                <w:szCs w:val="1"/>
                <w:color w:val="auto"/>
              </w:rPr>
            </w:pPr>
          </w:p>
        </w:tc>
      </w:tr>
      <w:tr>
        <w:trPr>
          <w:trHeight w:val="162"/>
        </w:trPr>
        <w:tc>
          <w:tcPr>
            <w:tcW w:w="166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236"/>
              <w:spacing w:after="0"/>
              <w:rPr>
                <w:sz w:val="20"/>
                <w:szCs w:val="20"/>
                <w:color w:val="auto"/>
              </w:rPr>
            </w:pPr>
            <w:r>
              <w:rPr>
                <w:rFonts w:ascii="Arial" w:cs="Arial" w:eastAsia="Arial" w:hAnsi="Arial"/>
                <w:sz w:val="14"/>
                <w:szCs w:val="14"/>
                <w:b w:val="1"/>
                <w:bCs w:val="1"/>
                <w:color w:val="1CA8E1"/>
              </w:rPr>
              <w:t>Number of</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Market Value of</w:t>
            </w:r>
          </w:p>
        </w:tc>
        <w:tc>
          <w:tcPr>
            <w:tcW w:w="1600" w:type="dxa"/>
            <w:vAlign w:val="bottom"/>
            <w:shd w:val="clear" w:color="auto" w:fill="DBDBDB"/>
          </w:tcPr>
          <w:p>
            <w:pPr>
              <w:jc w:val="right"/>
              <w:ind w:right="83"/>
              <w:spacing w:after="0"/>
              <w:rPr>
                <w:sz w:val="20"/>
                <w:szCs w:val="20"/>
                <w:color w:val="auto"/>
              </w:rPr>
            </w:pPr>
            <w:r>
              <w:rPr>
                <w:rFonts w:ascii="Arial" w:cs="Arial" w:eastAsia="Arial" w:hAnsi="Arial"/>
                <w:sz w:val="14"/>
                <w:szCs w:val="14"/>
                <w:b w:val="1"/>
                <w:bCs w:val="1"/>
                <w:color w:val="1CA8E1"/>
              </w:rPr>
              <w:t>Awards: Number of</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Payout Value of</w:t>
            </w:r>
          </w:p>
        </w:tc>
        <w:tc>
          <w:tcPr>
            <w:tcW w:w="0" w:type="dxa"/>
            <w:vAlign w:val="bottom"/>
          </w:tcPr>
          <w:p>
            <w:pPr>
              <w:spacing w:after="0"/>
              <w:rPr>
                <w:sz w:val="1"/>
                <w:szCs w:val="1"/>
                <w:color w:val="auto"/>
              </w:rPr>
            </w:pPr>
          </w:p>
        </w:tc>
      </w:tr>
      <w:tr>
        <w:trPr>
          <w:trHeight w:val="162"/>
        </w:trPr>
        <w:tc>
          <w:tcPr>
            <w:tcW w:w="166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256"/>
              <w:spacing w:after="0"/>
              <w:rPr>
                <w:sz w:val="20"/>
                <w:szCs w:val="20"/>
                <w:color w:val="auto"/>
              </w:rPr>
            </w:pPr>
            <w:r>
              <w:rPr>
                <w:rFonts w:ascii="Arial" w:cs="Arial" w:eastAsia="Arial" w:hAnsi="Arial"/>
                <w:sz w:val="14"/>
                <w:szCs w:val="14"/>
                <w:b w:val="1"/>
                <w:bCs w:val="1"/>
                <w:color w:val="1CA8E1"/>
              </w:rPr>
              <w:t>Shares or</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Shares or Units</w:t>
            </w: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Unearned Shares,</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Unearned Shares,</w:t>
            </w:r>
          </w:p>
        </w:tc>
        <w:tc>
          <w:tcPr>
            <w:tcW w:w="0" w:type="dxa"/>
            <w:vAlign w:val="bottom"/>
          </w:tcPr>
          <w:p>
            <w:pPr>
              <w:spacing w:after="0"/>
              <w:rPr>
                <w:sz w:val="1"/>
                <w:szCs w:val="1"/>
                <w:color w:val="auto"/>
              </w:rPr>
            </w:pPr>
          </w:p>
        </w:tc>
      </w:tr>
      <w:tr>
        <w:trPr>
          <w:trHeight w:val="162"/>
        </w:trPr>
        <w:tc>
          <w:tcPr>
            <w:tcW w:w="166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96"/>
              <w:spacing w:after="0"/>
              <w:rPr>
                <w:sz w:val="20"/>
                <w:szCs w:val="20"/>
                <w:color w:val="auto"/>
              </w:rPr>
            </w:pPr>
            <w:r>
              <w:rPr>
                <w:rFonts w:ascii="Arial" w:cs="Arial" w:eastAsia="Arial" w:hAnsi="Arial"/>
                <w:sz w:val="14"/>
                <w:szCs w:val="14"/>
                <w:b w:val="1"/>
                <w:bCs w:val="1"/>
                <w:color w:val="1CA8E1"/>
              </w:rPr>
              <w:t>Units of Stock</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of Stock That</w:t>
            </w: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Units, or Other Rights</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Units, or Other Rights</w:t>
            </w:r>
          </w:p>
        </w:tc>
        <w:tc>
          <w:tcPr>
            <w:tcW w:w="0" w:type="dxa"/>
            <w:vAlign w:val="bottom"/>
          </w:tcPr>
          <w:p>
            <w:pPr>
              <w:spacing w:after="0"/>
              <w:rPr>
                <w:sz w:val="1"/>
                <w:szCs w:val="1"/>
                <w:color w:val="auto"/>
              </w:rPr>
            </w:pPr>
          </w:p>
        </w:tc>
      </w:tr>
      <w:tr>
        <w:trPr>
          <w:trHeight w:val="162"/>
        </w:trPr>
        <w:tc>
          <w:tcPr>
            <w:tcW w:w="166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13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96"/>
              <w:spacing w:after="0"/>
              <w:rPr>
                <w:sz w:val="20"/>
                <w:szCs w:val="20"/>
                <w:color w:val="auto"/>
              </w:rPr>
            </w:pPr>
            <w:r>
              <w:rPr>
                <w:rFonts w:ascii="Arial" w:cs="Arial" w:eastAsia="Arial" w:hAnsi="Arial"/>
                <w:sz w:val="14"/>
                <w:szCs w:val="14"/>
                <w:b w:val="1"/>
                <w:bCs w:val="1"/>
                <w:color w:val="1CA8E1"/>
              </w:rPr>
              <w:t>That Have Not</w:t>
            </w:r>
          </w:p>
        </w:tc>
        <w:tc>
          <w:tcPr>
            <w:tcW w:w="11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Have Not</w:t>
            </w: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That Have Not Vested</w:t>
            </w:r>
          </w:p>
        </w:tc>
        <w:tc>
          <w:tcPr>
            <w:tcW w:w="16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That Have Not Vested</w:t>
            </w:r>
          </w:p>
        </w:tc>
        <w:tc>
          <w:tcPr>
            <w:tcW w:w="0" w:type="dxa"/>
            <w:vAlign w:val="bottom"/>
          </w:tcPr>
          <w:p>
            <w:pPr>
              <w:spacing w:after="0"/>
              <w:rPr>
                <w:sz w:val="1"/>
                <w:szCs w:val="1"/>
                <w:color w:val="auto"/>
              </w:rPr>
            </w:pPr>
          </w:p>
        </w:tc>
      </w:tr>
      <w:tr>
        <w:trPr>
          <w:trHeight w:val="136"/>
        </w:trPr>
        <w:tc>
          <w:tcPr>
            <w:tcW w:w="1660" w:type="dxa"/>
            <w:vAlign w:val="bottom"/>
            <w:vMerge w:val="continue"/>
            <w:shd w:val="clear" w:color="auto" w:fill="DBDBDB"/>
          </w:tcPr>
          <w:p>
            <w:pPr>
              <w:spacing w:after="0"/>
              <w:rPr>
                <w:sz w:val="11"/>
                <w:szCs w:val="11"/>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Award</w:t>
            </w:r>
          </w:p>
        </w:tc>
        <w:tc>
          <w:tcPr>
            <w:tcW w:w="220" w:type="dxa"/>
            <w:vAlign w:val="bottom"/>
            <w:shd w:val="clear" w:color="auto" w:fill="DBDBDB"/>
          </w:tcPr>
          <w:p>
            <w:pPr>
              <w:spacing w:after="0"/>
              <w:rPr>
                <w:sz w:val="11"/>
                <w:szCs w:val="11"/>
                <w:color w:val="auto"/>
              </w:rPr>
            </w:pPr>
          </w:p>
        </w:tc>
        <w:tc>
          <w:tcPr>
            <w:tcW w:w="1260" w:type="dxa"/>
            <w:vAlign w:val="bottom"/>
            <w:gridSpan w:val="2"/>
            <w:vMerge w:val="restart"/>
            <w:shd w:val="clear" w:color="auto" w:fill="DBDBDB"/>
          </w:tcPr>
          <w:p>
            <w:pPr>
              <w:jc w:val="right"/>
              <w:ind w:right="256"/>
              <w:spacing w:after="0"/>
              <w:rPr>
                <w:sz w:val="20"/>
                <w:szCs w:val="20"/>
                <w:color w:val="auto"/>
              </w:rPr>
            </w:pPr>
            <w:r>
              <w:rPr>
                <w:rFonts w:ascii="Arial" w:cs="Arial" w:eastAsia="Arial" w:hAnsi="Arial"/>
                <w:sz w:val="14"/>
                <w:szCs w:val="14"/>
                <w:b w:val="1"/>
                <w:bCs w:val="1"/>
                <w:color w:val="1CA8E1"/>
              </w:rPr>
              <w:t>Vested (#)</w:t>
            </w:r>
          </w:p>
        </w:tc>
        <w:tc>
          <w:tcPr>
            <w:tcW w:w="11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Vested ($)</w:t>
            </w:r>
          </w:p>
        </w:tc>
        <w:tc>
          <w:tcPr>
            <w:tcW w:w="160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w:t>
            </w:r>
          </w:p>
        </w:tc>
        <w:tc>
          <w:tcPr>
            <w:tcW w:w="164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w w:val="93"/>
              </w:rPr>
              <w:t>($)</w:t>
            </w:r>
          </w:p>
        </w:tc>
        <w:tc>
          <w:tcPr>
            <w:tcW w:w="0" w:type="dxa"/>
            <w:vAlign w:val="bottom"/>
          </w:tcPr>
          <w:p>
            <w:pPr>
              <w:spacing w:after="0"/>
              <w:rPr>
                <w:sz w:val="1"/>
                <w:szCs w:val="1"/>
                <w:color w:val="auto"/>
              </w:rPr>
            </w:pPr>
          </w:p>
        </w:tc>
      </w:tr>
      <w:tr>
        <w:trPr>
          <w:trHeight w:val="66"/>
        </w:trPr>
        <w:tc>
          <w:tcPr>
            <w:tcW w:w="1660" w:type="dxa"/>
            <w:vAlign w:val="bottom"/>
            <w:shd w:val="clear" w:color="auto" w:fill="DBDBDB"/>
          </w:tcPr>
          <w:p>
            <w:pPr>
              <w:spacing w:after="0"/>
              <w:rPr>
                <w:sz w:val="5"/>
                <w:szCs w:val="5"/>
                <w:color w:val="auto"/>
              </w:rPr>
            </w:pPr>
          </w:p>
        </w:tc>
        <w:tc>
          <w:tcPr>
            <w:tcW w:w="1380" w:type="dxa"/>
            <w:vAlign w:val="bottom"/>
            <w:vMerge w:val="continue"/>
            <w:shd w:val="clear" w:color="auto" w:fill="DBDBDB"/>
          </w:tcPr>
          <w:p>
            <w:pPr>
              <w:spacing w:after="0"/>
              <w:rPr>
                <w:sz w:val="5"/>
                <w:szCs w:val="5"/>
                <w:color w:val="auto"/>
              </w:rPr>
            </w:pPr>
          </w:p>
        </w:tc>
        <w:tc>
          <w:tcPr>
            <w:tcW w:w="220" w:type="dxa"/>
            <w:vAlign w:val="bottom"/>
            <w:shd w:val="clear" w:color="auto" w:fill="DBDBDB"/>
          </w:tcPr>
          <w:p>
            <w:pPr>
              <w:spacing w:after="0"/>
              <w:rPr>
                <w:sz w:val="5"/>
                <w:szCs w:val="5"/>
                <w:color w:val="auto"/>
              </w:rPr>
            </w:pPr>
          </w:p>
        </w:tc>
        <w:tc>
          <w:tcPr>
            <w:tcW w:w="1260" w:type="dxa"/>
            <w:vAlign w:val="bottom"/>
            <w:gridSpan w:val="2"/>
            <w:vMerge w:val="continue"/>
            <w:shd w:val="clear" w:color="auto" w:fill="DBDBDB"/>
          </w:tcPr>
          <w:p>
            <w:pPr>
              <w:spacing w:after="0"/>
              <w:rPr>
                <w:sz w:val="5"/>
                <w:szCs w:val="5"/>
                <w:color w:val="auto"/>
              </w:rPr>
            </w:pPr>
          </w:p>
        </w:tc>
        <w:tc>
          <w:tcPr>
            <w:tcW w:w="1180" w:type="dxa"/>
            <w:vAlign w:val="bottom"/>
            <w:vMerge w:val="continue"/>
            <w:shd w:val="clear" w:color="auto" w:fill="DBDBDB"/>
          </w:tcPr>
          <w:p>
            <w:pPr>
              <w:spacing w:after="0"/>
              <w:rPr>
                <w:sz w:val="5"/>
                <w:szCs w:val="5"/>
                <w:color w:val="auto"/>
              </w:rPr>
            </w:pPr>
          </w:p>
        </w:tc>
        <w:tc>
          <w:tcPr>
            <w:tcW w:w="1600" w:type="dxa"/>
            <w:vAlign w:val="bottom"/>
            <w:vMerge w:val="continue"/>
            <w:shd w:val="clear" w:color="auto" w:fill="DBDBDB"/>
          </w:tcPr>
          <w:p>
            <w:pPr>
              <w:spacing w:after="0"/>
              <w:rPr>
                <w:sz w:val="5"/>
                <w:szCs w:val="5"/>
                <w:color w:val="auto"/>
              </w:rPr>
            </w:pPr>
          </w:p>
        </w:tc>
        <w:tc>
          <w:tcPr>
            <w:tcW w:w="164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0" w:type="dxa"/>
            <w:vAlign w:val="bottom"/>
          </w:tcPr>
          <w:p>
            <w:pPr>
              <w:jc w:val="right"/>
              <w:ind w:right="103"/>
              <w:spacing w:after="0" w:line="67" w:lineRule="exact"/>
              <w:rPr>
                <w:sz w:val="20"/>
                <w:szCs w:val="20"/>
                <w:color w:val="auto"/>
              </w:rPr>
            </w:pPr>
            <w:r>
              <w:rPr>
                <w:rFonts w:ascii="Arial" w:cs="Arial" w:eastAsia="Arial" w:hAnsi="Arial"/>
                <w:sz w:val="7"/>
                <w:szCs w:val="7"/>
                <w:color w:val="auto"/>
              </w:rPr>
              <w:t>1</w:t>
            </w: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Arial" w:cs="Arial" w:eastAsia="Arial" w:hAnsi="Arial"/>
                <w:sz w:val="13"/>
                <w:szCs w:val="13"/>
                <w:color w:val="auto"/>
              </w:rPr>
              <w:t>Mr. Ricks</w:t>
            </w:r>
          </w:p>
        </w:tc>
        <w:tc>
          <w:tcPr>
            <w:tcW w:w="1380" w:type="dxa"/>
            <w:vAlign w:val="bottom"/>
          </w:tcPr>
          <w:p>
            <w:pPr>
              <w:jc w:val="center"/>
              <w:spacing w:after="0"/>
              <w:rPr>
                <w:sz w:val="20"/>
                <w:szCs w:val="20"/>
                <w:color w:val="auto"/>
              </w:rPr>
            </w:pPr>
            <w:r>
              <w:rPr>
                <w:rFonts w:ascii="Arial" w:cs="Arial" w:eastAsia="Arial" w:hAnsi="Arial"/>
                <w:sz w:val="13"/>
                <w:szCs w:val="13"/>
                <w:color w:val="auto"/>
              </w:rPr>
              <w:t>2021-2023 SVA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39,447</w:t>
            </w:r>
          </w:p>
        </w:tc>
        <w:tc>
          <w:tcPr>
            <w:tcW w:w="1640" w:type="dxa"/>
            <w:vAlign w:val="bottom"/>
          </w:tcPr>
          <w:p>
            <w:pPr>
              <w:jc w:val="right"/>
              <w:spacing w:after="0"/>
              <w:rPr>
                <w:sz w:val="20"/>
                <w:szCs w:val="20"/>
                <w:color w:val="auto"/>
              </w:rPr>
            </w:pPr>
            <w:r>
              <w:rPr>
                <w:rFonts w:ascii="Arial" w:cs="Arial" w:eastAsia="Arial" w:hAnsi="Arial"/>
                <w:sz w:val="13"/>
                <w:szCs w:val="13"/>
                <w:color w:val="auto"/>
              </w:rPr>
              <w:t>$10,896,050</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2</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2020-2022 SVA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59,063</w:t>
            </w:r>
          </w:p>
        </w:tc>
        <w:tc>
          <w:tcPr>
            <w:tcW w:w="1640" w:type="dxa"/>
            <w:vAlign w:val="bottom"/>
          </w:tcPr>
          <w:p>
            <w:pPr>
              <w:jc w:val="right"/>
              <w:spacing w:after="0"/>
              <w:rPr>
                <w:sz w:val="20"/>
                <w:szCs w:val="20"/>
                <w:color w:val="auto"/>
              </w:rPr>
            </w:pPr>
            <w:r>
              <w:rPr>
                <w:rFonts w:ascii="Arial" w:cs="Arial" w:eastAsia="Arial" w:hAnsi="Arial"/>
                <w:sz w:val="13"/>
                <w:szCs w:val="13"/>
                <w:color w:val="auto"/>
              </w:rPr>
              <w:t>$16,314,382</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3</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2021-2023 RVA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17,090</w:t>
            </w:r>
          </w:p>
        </w:tc>
        <w:tc>
          <w:tcPr>
            <w:tcW w:w="1640" w:type="dxa"/>
            <w:vAlign w:val="bottom"/>
          </w:tcPr>
          <w:p>
            <w:pPr>
              <w:jc w:val="right"/>
              <w:spacing w:after="0"/>
              <w:rPr>
                <w:sz w:val="20"/>
                <w:szCs w:val="20"/>
                <w:color w:val="auto"/>
              </w:rPr>
            </w:pPr>
            <w:r>
              <w:rPr>
                <w:rFonts w:ascii="Arial" w:cs="Arial" w:eastAsia="Arial" w:hAnsi="Arial"/>
                <w:sz w:val="13"/>
                <w:szCs w:val="13"/>
                <w:color w:val="auto"/>
              </w:rPr>
              <w:t>$4,720,600</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4</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2020-2022 RVA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24,319</w:t>
            </w:r>
          </w:p>
        </w:tc>
        <w:tc>
          <w:tcPr>
            <w:tcW w:w="1640" w:type="dxa"/>
            <w:vAlign w:val="bottom"/>
          </w:tcPr>
          <w:p>
            <w:pPr>
              <w:jc w:val="right"/>
              <w:spacing w:after="0"/>
              <w:rPr>
                <w:sz w:val="20"/>
                <w:szCs w:val="20"/>
                <w:color w:val="auto"/>
              </w:rPr>
            </w:pPr>
            <w:r>
              <w:rPr>
                <w:rFonts w:ascii="Arial" w:cs="Arial" w:eastAsia="Arial" w:hAnsi="Arial"/>
                <w:sz w:val="13"/>
                <w:szCs w:val="13"/>
                <w:color w:val="auto"/>
              </w:rPr>
              <w:t>$6,717,394</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5</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2021-2023 PA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37,014</w:t>
            </w:r>
          </w:p>
        </w:tc>
        <w:tc>
          <w:tcPr>
            <w:tcW w:w="1640" w:type="dxa"/>
            <w:vAlign w:val="bottom"/>
          </w:tcPr>
          <w:p>
            <w:pPr>
              <w:jc w:val="right"/>
              <w:spacing w:after="0"/>
              <w:rPr>
                <w:sz w:val="20"/>
                <w:szCs w:val="20"/>
                <w:color w:val="auto"/>
              </w:rPr>
            </w:pPr>
            <w:r>
              <w:rPr>
                <w:rFonts w:ascii="Arial" w:cs="Arial" w:eastAsia="Arial" w:hAnsi="Arial"/>
                <w:sz w:val="13"/>
                <w:szCs w:val="13"/>
                <w:color w:val="auto"/>
              </w:rPr>
              <w:t>$10,224,007</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8"/>
                <w:szCs w:val="8"/>
                <w:color w:val="auto"/>
              </w:rPr>
              <w:t>6</w:t>
            </w: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2020-2022 PA</w:t>
            </w:r>
          </w:p>
        </w:tc>
        <w:tc>
          <w:tcPr>
            <w:tcW w:w="1140" w:type="dxa"/>
            <w:vAlign w:val="bottom"/>
            <w:gridSpan w:val="2"/>
          </w:tcPr>
          <w:p>
            <w:pPr>
              <w:ind w:left="700"/>
              <w:spacing w:after="0"/>
              <w:rPr>
                <w:sz w:val="20"/>
                <w:szCs w:val="20"/>
                <w:color w:val="auto"/>
              </w:rPr>
            </w:pPr>
            <w:r>
              <w:rPr>
                <w:rFonts w:ascii="Arial" w:cs="Arial" w:eastAsia="Arial" w:hAnsi="Arial"/>
                <w:sz w:val="13"/>
                <w:szCs w:val="13"/>
                <w:color w:val="auto"/>
              </w:rPr>
              <w:t>47,786</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$13,199,449</w:t>
            </w: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2019-2021 PA</w:t>
            </w:r>
          </w:p>
        </w:tc>
        <w:tc>
          <w:tcPr>
            <w:tcW w:w="1480" w:type="dxa"/>
            <w:vAlign w:val="bottom"/>
            <w:gridSpan w:val="3"/>
          </w:tcPr>
          <w:p>
            <w:pPr>
              <w:ind w:left="700"/>
              <w:spacing w:after="0"/>
              <w:rPr>
                <w:sz w:val="20"/>
                <w:szCs w:val="20"/>
                <w:color w:val="auto"/>
              </w:rPr>
            </w:pPr>
            <w:r>
              <w:rPr>
                <w:rFonts w:ascii="Arial" w:cs="Arial" w:eastAsia="Arial" w:hAnsi="Arial"/>
                <w:sz w:val="13"/>
                <w:szCs w:val="13"/>
                <w:color w:val="auto"/>
              </w:rPr>
              <w:t xml:space="preserve">56,205 </w:t>
            </w:r>
            <w:r>
              <w:rPr>
                <w:rFonts w:ascii="Arial" w:cs="Arial" w:eastAsia="Arial" w:hAnsi="Arial"/>
                <w:sz w:val="16"/>
                <w:szCs w:val="16"/>
                <w:color w:val="auto"/>
                <w:vertAlign w:val="superscript"/>
              </w:rPr>
              <w:t>7</w:t>
            </w:r>
          </w:p>
        </w:tc>
        <w:tc>
          <w:tcPr>
            <w:tcW w:w="1180" w:type="dxa"/>
            <w:vAlign w:val="bottom"/>
          </w:tcPr>
          <w:p>
            <w:pPr>
              <w:jc w:val="right"/>
              <w:spacing w:after="0"/>
              <w:rPr>
                <w:sz w:val="20"/>
                <w:szCs w:val="20"/>
                <w:color w:val="auto"/>
              </w:rPr>
            </w:pPr>
            <w:r>
              <w:rPr>
                <w:rFonts w:ascii="Arial" w:cs="Arial" w:eastAsia="Arial" w:hAnsi="Arial"/>
                <w:sz w:val="13"/>
                <w:szCs w:val="13"/>
                <w:color w:val="auto"/>
              </w:rPr>
              <w:t>$15,524,945</w:t>
            </w:r>
          </w:p>
        </w:tc>
        <w:tc>
          <w:tcPr>
            <w:tcW w:w="1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66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22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1180" w:type="dxa"/>
            <w:vAlign w:val="bottom"/>
            <w:shd w:val="clear" w:color="auto" w:fill="E6E6E6"/>
          </w:tcPr>
          <w:p>
            <w:pPr>
              <w:spacing w:after="0"/>
              <w:rPr>
                <w:sz w:val="5"/>
                <w:szCs w:val="5"/>
                <w:color w:val="auto"/>
              </w:rPr>
            </w:pPr>
          </w:p>
        </w:tc>
        <w:tc>
          <w:tcPr>
            <w:tcW w:w="1600" w:type="dxa"/>
            <w:vAlign w:val="bottom"/>
            <w:shd w:val="clear" w:color="auto" w:fill="E6E6E6"/>
          </w:tcPr>
          <w:p>
            <w:pPr>
              <w:jc w:val="right"/>
              <w:ind w:right="103"/>
              <w:spacing w:after="0" w:line="67" w:lineRule="exact"/>
              <w:rPr>
                <w:sz w:val="20"/>
                <w:szCs w:val="20"/>
                <w:color w:val="auto"/>
              </w:rPr>
            </w:pPr>
            <w:r>
              <w:rPr>
                <w:rFonts w:ascii="Arial" w:cs="Arial" w:eastAsia="Arial" w:hAnsi="Arial"/>
                <w:sz w:val="7"/>
                <w:szCs w:val="7"/>
                <w:color w:val="auto"/>
              </w:rPr>
              <w:t>1</w:t>
            </w:r>
          </w:p>
        </w:tc>
        <w:tc>
          <w:tcPr>
            <w:tcW w:w="16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2121-2023 SVA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4,114</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$1,136,369</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2</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2020-2022 SVA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2,305</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$636,687</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3</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2021-2023 RVA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1,918</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$529,790</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4</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2020-2022 RVA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1,042</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$287,821</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5</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2021-2023 PA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9,695</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$2,677,953</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E6E6E6"/>
            </w:tcBorders>
            <w:shd w:val="clear" w:color="auto" w:fill="E6E6E6"/>
          </w:tcPr>
          <w:p>
            <w:pPr>
              <w:spacing w:after="0"/>
              <w:rPr>
                <w:sz w:val="22"/>
                <w:szCs w:val="22"/>
                <w:color w:val="auto"/>
              </w:rPr>
            </w:pPr>
          </w:p>
        </w:tc>
        <w:tc>
          <w:tcPr>
            <w:tcW w:w="13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RSU</w:t>
            </w:r>
          </w:p>
        </w:tc>
        <w:tc>
          <w:tcPr>
            <w:tcW w:w="22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ind w:left="480"/>
              <w:spacing w:after="0"/>
              <w:rPr>
                <w:sz w:val="20"/>
                <w:szCs w:val="20"/>
                <w:color w:val="auto"/>
              </w:rPr>
            </w:pPr>
            <w:r>
              <w:rPr>
                <w:rFonts w:ascii="Arial" w:cs="Arial" w:eastAsia="Arial" w:hAnsi="Arial"/>
                <w:sz w:val="13"/>
                <w:szCs w:val="13"/>
                <w:color w:val="auto"/>
              </w:rPr>
              <w:t>11,499</w:t>
            </w:r>
          </w:p>
        </w:tc>
        <w:tc>
          <w:tcPr>
            <w:tcW w:w="340" w:type="dxa"/>
            <w:vAlign w:val="bottom"/>
            <w:tcBorders>
              <w:bottom w:val="single" w:sz="8" w:color="E6E6E6"/>
            </w:tcBorders>
            <w:shd w:val="clear" w:color="auto" w:fill="E6E6E6"/>
          </w:tcPr>
          <w:p>
            <w:pPr>
              <w:jc w:val="right"/>
              <w:ind w:right="236"/>
              <w:spacing w:after="0"/>
              <w:rPr>
                <w:sz w:val="20"/>
                <w:szCs w:val="20"/>
                <w:color w:val="auto"/>
              </w:rPr>
            </w:pPr>
            <w:r>
              <w:rPr>
                <w:rFonts w:ascii="Arial" w:cs="Arial" w:eastAsia="Arial" w:hAnsi="Arial"/>
                <w:sz w:val="9"/>
                <w:szCs w:val="9"/>
                <w:color w:val="auto"/>
                <w:w w:val="78"/>
              </w:rPr>
              <w:t>8</w:t>
            </w:r>
          </w:p>
        </w:tc>
        <w:tc>
          <w:tcPr>
            <w:tcW w:w="1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$3,176,254</w:t>
            </w:r>
          </w:p>
        </w:tc>
        <w:tc>
          <w:tcPr>
            <w:tcW w:w="1600" w:type="dxa"/>
            <w:vAlign w:val="bottom"/>
            <w:tcBorders>
              <w:bottom w:val="single" w:sz="8" w:color="E6E6E6"/>
            </w:tcBorders>
            <w:shd w:val="clear" w:color="auto" w:fill="E6E6E6"/>
          </w:tcPr>
          <w:p>
            <w:pPr>
              <w:spacing w:after="0"/>
              <w:rPr>
                <w:sz w:val="22"/>
                <w:szCs w:val="22"/>
                <w:color w:val="auto"/>
              </w:rPr>
            </w:pPr>
          </w:p>
        </w:tc>
        <w:tc>
          <w:tcPr>
            <w:tcW w:w="164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0" w:type="dxa"/>
            <w:vAlign w:val="bottom"/>
          </w:tcPr>
          <w:p>
            <w:pPr>
              <w:jc w:val="right"/>
              <w:ind w:right="103"/>
              <w:spacing w:after="0" w:line="67" w:lineRule="exact"/>
              <w:rPr>
                <w:sz w:val="20"/>
                <w:szCs w:val="20"/>
                <w:color w:val="auto"/>
              </w:rPr>
            </w:pPr>
            <w:r>
              <w:rPr>
                <w:rFonts w:ascii="Arial" w:cs="Arial" w:eastAsia="Arial" w:hAnsi="Arial"/>
                <w:sz w:val="7"/>
                <w:szCs w:val="7"/>
                <w:color w:val="auto"/>
              </w:rPr>
              <w:t>1</w:t>
            </w: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2021-2023 SVA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13,242</w:t>
            </w:r>
          </w:p>
        </w:tc>
        <w:tc>
          <w:tcPr>
            <w:tcW w:w="1640" w:type="dxa"/>
            <w:vAlign w:val="bottom"/>
          </w:tcPr>
          <w:p>
            <w:pPr>
              <w:jc w:val="right"/>
              <w:spacing w:after="0"/>
              <w:rPr>
                <w:sz w:val="20"/>
                <w:szCs w:val="20"/>
                <w:color w:val="auto"/>
              </w:rPr>
            </w:pPr>
            <w:r>
              <w:rPr>
                <w:rFonts w:ascii="Arial" w:cs="Arial" w:eastAsia="Arial" w:hAnsi="Arial"/>
                <w:sz w:val="13"/>
                <w:szCs w:val="13"/>
                <w:color w:val="auto"/>
              </w:rPr>
              <w:t>$3,657,705</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2</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2020-2022 SVA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19,373</w:t>
            </w:r>
          </w:p>
        </w:tc>
        <w:tc>
          <w:tcPr>
            <w:tcW w:w="1640" w:type="dxa"/>
            <w:vAlign w:val="bottom"/>
          </w:tcPr>
          <w:p>
            <w:pPr>
              <w:jc w:val="right"/>
              <w:spacing w:after="0"/>
              <w:rPr>
                <w:sz w:val="20"/>
                <w:szCs w:val="20"/>
                <w:color w:val="auto"/>
              </w:rPr>
            </w:pPr>
            <w:r>
              <w:rPr>
                <w:rFonts w:ascii="Arial" w:cs="Arial" w:eastAsia="Arial" w:hAnsi="Arial"/>
                <w:sz w:val="13"/>
                <w:szCs w:val="13"/>
                <w:color w:val="auto"/>
              </w:rPr>
              <w:t>$5,351,210</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3</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2021-2023 RVA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5,738</w:t>
            </w:r>
          </w:p>
        </w:tc>
        <w:tc>
          <w:tcPr>
            <w:tcW w:w="1640" w:type="dxa"/>
            <w:vAlign w:val="bottom"/>
          </w:tcPr>
          <w:p>
            <w:pPr>
              <w:jc w:val="right"/>
              <w:spacing w:after="0"/>
              <w:rPr>
                <w:sz w:val="20"/>
                <w:szCs w:val="20"/>
                <w:color w:val="auto"/>
              </w:rPr>
            </w:pPr>
            <w:r>
              <w:rPr>
                <w:rFonts w:ascii="Arial" w:cs="Arial" w:eastAsia="Arial" w:hAnsi="Arial"/>
                <w:sz w:val="13"/>
                <w:szCs w:val="13"/>
                <w:color w:val="auto"/>
              </w:rPr>
              <w:t>$3,657,705</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4</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2020-2022 RVA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7,977</w:t>
            </w:r>
          </w:p>
        </w:tc>
        <w:tc>
          <w:tcPr>
            <w:tcW w:w="1640" w:type="dxa"/>
            <w:vAlign w:val="bottom"/>
          </w:tcPr>
          <w:p>
            <w:pPr>
              <w:jc w:val="right"/>
              <w:spacing w:after="0"/>
              <w:rPr>
                <w:sz w:val="20"/>
                <w:szCs w:val="20"/>
                <w:color w:val="auto"/>
              </w:rPr>
            </w:pPr>
            <w:r>
              <w:rPr>
                <w:rFonts w:ascii="Arial" w:cs="Arial" w:eastAsia="Arial" w:hAnsi="Arial"/>
                <w:sz w:val="13"/>
                <w:szCs w:val="13"/>
                <w:color w:val="auto"/>
              </w:rPr>
              <w:t>$2,203,407</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jc w:val="right"/>
              <w:ind w:right="103"/>
              <w:spacing w:after="0"/>
              <w:rPr>
                <w:sz w:val="20"/>
                <w:szCs w:val="20"/>
                <w:color w:val="auto"/>
              </w:rPr>
            </w:pPr>
            <w:r>
              <w:rPr>
                <w:rFonts w:ascii="Arial" w:cs="Arial" w:eastAsia="Arial" w:hAnsi="Arial"/>
                <w:sz w:val="8"/>
                <w:szCs w:val="8"/>
                <w:color w:val="auto"/>
              </w:rPr>
              <w:t>5</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2021-2023 PA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jc w:val="right"/>
              <w:ind w:right="183"/>
              <w:spacing w:after="0"/>
              <w:rPr>
                <w:sz w:val="20"/>
                <w:szCs w:val="20"/>
                <w:color w:val="auto"/>
              </w:rPr>
            </w:pPr>
            <w:r>
              <w:rPr>
                <w:rFonts w:ascii="Arial" w:cs="Arial" w:eastAsia="Arial" w:hAnsi="Arial"/>
                <w:sz w:val="13"/>
                <w:szCs w:val="13"/>
                <w:color w:val="auto"/>
              </w:rPr>
              <w:t>12,427</w:t>
            </w:r>
          </w:p>
        </w:tc>
        <w:tc>
          <w:tcPr>
            <w:tcW w:w="1640" w:type="dxa"/>
            <w:vAlign w:val="bottom"/>
          </w:tcPr>
          <w:p>
            <w:pPr>
              <w:jc w:val="right"/>
              <w:spacing w:after="0"/>
              <w:rPr>
                <w:sz w:val="20"/>
                <w:szCs w:val="20"/>
                <w:color w:val="auto"/>
              </w:rPr>
            </w:pPr>
            <w:r>
              <w:rPr>
                <w:rFonts w:ascii="Arial" w:cs="Arial" w:eastAsia="Arial" w:hAnsi="Arial"/>
                <w:sz w:val="13"/>
                <w:szCs w:val="13"/>
                <w:color w:val="auto"/>
              </w:rPr>
              <w:t>$3,432,586</w:t>
            </w: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8"/>
                <w:szCs w:val="8"/>
                <w:color w:val="auto"/>
              </w:rPr>
              <w:t>6</w:t>
            </w: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2020-2022 PA</w:t>
            </w:r>
          </w:p>
        </w:tc>
        <w:tc>
          <w:tcPr>
            <w:tcW w:w="1140" w:type="dxa"/>
            <w:vAlign w:val="bottom"/>
            <w:gridSpan w:val="2"/>
          </w:tcPr>
          <w:p>
            <w:pPr>
              <w:ind w:left="700"/>
              <w:spacing w:after="0"/>
              <w:rPr>
                <w:sz w:val="20"/>
                <w:szCs w:val="20"/>
                <w:color w:val="auto"/>
              </w:rPr>
            </w:pPr>
            <w:r>
              <w:rPr>
                <w:rFonts w:ascii="Arial" w:cs="Arial" w:eastAsia="Arial" w:hAnsi="Arial"/>
                <w:sz w:val="13"/>
                <w:szCs w:val="13"/>
                <w:color w:val="auto"/>
              </w:rPr>
              <w:t>15,675</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$4,329,749</w:t>
            </w: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8"/>
                <w:szCs w:val="8"/>
                <w:color w:val="auto"/>
              </w:rPr>
              <w:t>7</w:t>
            </w: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2019-2021 PA</w:t>
            </w:r>
          </w:p>
        </w:tc>
        <w:tc>
          <w:tcPr>
            <w:tcW w:w="1140" w:type="dxa"/>
            <w:vAlign w:val="bottom"/>
            <w:gridSpan w:val="2"/>
          </w:tcPr>
          <w:p>
            <w:pPr>
              <w:ind w:left="700"/>
              <w:spacing w:after="0"/>
              <w:rPr>
                <w:sz w:val="20"/>
                <w:szCs w:val="20"/>
                <w:color w:val="auto"/>
              </w:rPr>
            </w:pPr>
            <w:r>
              <w:rPr>
                <w:rFonts w:ascii="Arial" w:cs="Arial" w:eastAsia="Arial" w:hAnsi="Arial"/>
                <w:sz w:val="13"/>
                <w:szCs w:val="13"/>
                <w:color w:val="auto"/>
              </w:rPr>
              <w:t>18,735</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$5,174,982</w:t>
            </w: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
        </w:trPr>
        <w:tc>
          <w:tcPr>
            <w:tcW w:w="166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22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340" w:type="dxa"/>
            <w:vAlign w:val="bottom"/>
            <w:shd w:val="clear" w:color="auto" w:fill="E6E6E6"/>
          </w:tcPr>
          <w:p>
            <w:pPr>
              <w:spacing w:after="0"/>
              <w:rPr>
                <w:sz w:val="5"/>
                <w:szCs w:val="5"/>
                <w:color w:val="auto"/>
              </w:rPr>
            </w:pPr>
          </w:p>
        </w:tc>
        <w:tc>
          <w:tcPr>
            <w:tcW w:w="1180" w:type="dxa"/>
            <w:vAlign w:val="bottom"/>
            <w:shd w:val="clear" w:color="auto" w:fill="E6E6E6"/>
          </w:tcPr>
          <w:p>
            <w:pPr>
              <w:spacing w:after="0"/>
              <w:rPr>
                <w:sz w:val="5"/>
                <w:szCs w:val="5"/>
                <w:color w:val="auto"/>
              </w:rPr>
            </w:pPr>
          </w:p>
        </w:tc>
        <w:tc>
          <w:tcPr>
            <w:tcW w:w="1600" w:type="dxa"/>
            <w:vAlign w:val="bottom"/>
            <w:shd w:val="clear" w:color="auto" w:fill="E6E6E6"/>
          </w:tcPr>
          <w:p>
            <w:pPr>
              <w:jc w:val="right"/>
              <w:ind w:right="103"/>
              <w:spacing w:after="0" w:line="67" w:lineRule="exact"/>
              <w:rPr>
                <w:sz w:val="20"/>
                <w:szCs w:val="20"/>
                <w:color w:val="auto"/>
              </w:rPr>
            </w:pPr>
            <w:r>
              <w:rPr>
                <w:rFonts w:ascii="Arial" w:cs="Arial" w:eastAsia="Arial" w:hAnsi="Arial"/>
                <w:sz w:val="7"/>
                <w:szCs w:val="7"/>
                <w:color w:val="auto"/>
              </w:rPr>
              <w:t>1</w:t>
            </w:r>
          </w:p>
        </w:tc>
        <w:tc>
          <w:tcPr>
            <w:tcW w:w="16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Van Naarden</w:t>
            </w: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5"/>
              </w:rPr>
              <w:t>2021-2023 SVA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2,431</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$671,491</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3</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rPr>
              <w:t>2021-2023 RVA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1,134</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$671,491</w:t>
            </w:r>
          </w:p>
        </w:tc>
        <w:tc>
          <w:tcPr>
            <w:tcW w:w="0" w:type="dxa"/>
            <w:vAlign w:val="bottom"/>
          </w:tcPr>
          <w:p>
            <w:pPr>
              <w:spacing w:after="0"/>
              <w:rPr>
                <w:sz w:val="1"/>
                <w:szCs w:val="1"/>
                <w:color w:val="auto"/>
              </w:rPr>
            </w:pPr>
          </w:p>
        </w:tc>
      </w:tr>
      <w:tr>
        <w:trPr>
          <w:trHeight w:val="94"/>
        </w:trPr>
        <w:tc>
          <w:tcPr>
            <w:tcW w:w="1660" w:type="dxa"/>
            <w:vAlign w:val="bottom"/>
            <w:shd w:val="clear" w:color="auto" w:fill="E6E6E6"/>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22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340" w:type="dxa"/>
            <w:vAlign w:val="bottom"/>
            <w:shd w:val="clear" w:color="auto" w:fill="E6E6E6"/>
          </w:tcPr>
          <w:p>
            <w:pPr>
              <w:spacing w:after="0"/>
              <w:rPr>
                <w:sz w:val="8"/>
                <w:szCs w:val="8"/>
                <w:color w:val="auto"/>
              </w:rPr>
            </w:pPr>
          </w:p>
        </w:tc>
        <w:tc>
          <w:tcPr>
            <w:tcW w:w="1180" w:type="dxa"/>
            <w:vAlign w:val="bottom"/>
            <w:shd w:val="clear" w:color="auto" w:fill="E6E6E6"/>
          </w:tcPr>
          <w:p>
            <w:pPr>
              <w:spacing w:after="0"/>
              <w:rPr>
                <w:sz w:val="8"/>
                <w:szCs w:val="8"/>
                <w:color w:val="auto"/>
              </w:rPr>
            </w:pPr>
          </w:p>
        </w:tc>
        <w:tc>
          <w:tcPr>
            <w:tcW w:w="1600" w:type="dxa"/>
            <w:vAlign w:val="bottom"/>
            <w:shd w:val="clear" w:color="auto" w:fill="E6E6E6"/>
          </w:tcPr>
          <w:p>
            <w:pPr>
              <w:jc w:val="right"/>
              <w:ind w:right="103"/>
              <w:spacing w:after="0"/>
              <w:rPr>
                <w:sz w:val="20"/>
                <w:szCs w:val="20"/>
                <w:color w:val="auto"/>
              </w:rPr>
            </w:pPr>
            <w:r>
              <w:rPr>
                <w:rFonts w:ascii="Arial" w:cs="Arial" w:eastAsia="Arial" w:hAnsi="Arial"/>
                <w:sz w:val="8"/>
                <w:szCs w:val="8"/>
                <w:color w:val="auto"/>
              </w:rPr>
              <w:t>5</w:t>
            </w:r>
          </w:p>
        </w:tc>
        <w:tc>
          <w:tcPr>
            <w:tcW w:w="164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6E6E6"/>
          </w:tcPr>
          <w:p>
            <w:pPr>
              <w:spacing w:after="0"/>
              <w:rPr>
                <w:sz w:val="14"/>
                <w:szCs w:val="14"/>
                <w:color w:val="auto"/>
              </w:rPr>
            </w:pPr>
          </w:p>
        </w:tc>
        <w:tc>
          <w:tcPr>
            <w:tcW w:w="13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2021-2023 PA</w:t>
            </w:r>
          </w:p>
        </w:tc>
        <w:tc>
          <w:tcPr>
            <w:tcW w:w="220" w:type="dxa"/>
            <w:vAlign w:val="bottom"/>
            <w:shd w:val="clear" w:color="auto" w:fill="E6E6E6"/>
          </w:tcPr>
          <w:p>
            <w:pPr>
              <w:spacing w:after="0"/>
              <w:rPr>
                <w:sz w:val="14"/>
                <w:szCs w:val="14"/>
                <w:color w:val="auto"/>
              </w:rPr>
            </w:pPr>
          </w:p>
        </w:tc>
        <w:tc>
          <w:tcPr>
            <w:tcW w:w="92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180" w:type="dxa"/>
            <w:vAlign w:val="bottom"/>
            <w:shd w:val="clear" w:color="auto" w:fill="E6E6E6"/>
          </w:tcPr>
          <w:p>
            <w:pPr>
              <w:spacing w:after="0"/>
              <w:rPr>
                <w:sz w:val="14"/>
                <w:szCs w:val="14"/>
                <w:color w:val="auto"/>
              </w:rPr>
            </w:pP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5,728</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$1,582,188</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E6E6E6"/>
            </w:tcBorders>
            <w:shd w:val="clear" w:color="auto" w:fill="E6E6E6"/>
          </w:tcPr>
          <w:p>
            <w:pPr>
              <w:spacing w:after="0"/>
              <w:rPr>
                <w:sz w:val="22"/>
                <w:szCs w:val="22"/>
                <w:color w:val="auto"/>
              </w:rPr>
            </w:pPr>
          </w:p>
        </w:tc>
        <w:tc>
          <w:tcPr>
            <w:tcW w:w="13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RSU</w:t>
            </w:r>
          </w:p>
        </w:tc>
        <w:tc>
          <w:tcPr>
            <w:tcW w:w="220" w:type="dxa"/>
            <w:vAlign w:val="bottom"/>
            <w:tcBorders>
              <w:bottom w:val="single" w:sz="8" w:color="E6E6E6"/>
            </w:tcBorders>
            <w:shd w:val="clear" w:color="auto" w:fill="E6E6E6"/>
          </w:tcPr>
          <w:p>
            <w:pPr>
              <w:spacing w:after="0"/>
              <w:rPr>
                <w:sz w:val="22"/>
                <w:szCs w:val="22"/>
                <w:color w:val="auto"/>
              </w:rPr>
            </w:pPr>
          </w:p>
        </w:tc>
        <w:tc>
          <w:tcPr>
            <w:tcW w:w="1260" w:type="dxa"/>
            <w:vAlign w:val="bottom"/>
            <w:tcBorders>
              <w:bottom w:val="single" w:sz="8" w:color="E6E6E6"/>
            </w:tcBorders>
            <w:gridSpan w:val="2"/>
            <w:shd w:val="clear" w:color="auto" w:fill="E6E6E6"/>
          </w:tcPr>
          <w:p>
            <w:pPr>
              <w:ind w:left="480"/>
              <w:spacing w:after="0"/>
              <w:rPr>
                <w:sz w:val="20"/>
                <w:szCs w:val="20"/>
                <w:color w:val="auto"/>
              </w:rPr>
            </w:pPr>
            <w:r>
              <w:rPr>
                <w:rFonts w:ascii="Arial" w:cs="Arial" w:eastAsia="Arial" w:hAnsi="Arial"/>
                <w:sz w:val="13"/>
                <w:szCs w:val="13"/>
                <w:color w:val="auto"/>
              </w:rPr>
              <w:t xml:space="preserve">11,864 </w:t>
            </w:r>
            <w:r>
              <w:rPr>
                <w:rFonts w:ascii="Arial" w:cs="Arial" w:eastAsia="Arial" w:hAnsi="Arial"/>
                <w:sz w:val="17"/>
                <w:szCs w:val="17"/>
                <w:color w:val="auto"/>
                <w:vertAlign w:val="superscript"/>
              </w:rPr>
              <w:t>9</w:t>
            </w:r>
          </w:p>
        </w:tc>
        <w:tc>
          <w:tcPr>
            <w:tcW w:w="1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$3,277,074</w:t>
            </w:r>
          </w:p>
        </w:tc>
        <w:tc>
          <w:tcPr>
            <w:tcW w:w="1600" w:type="dxa"/>
            <w:vAlign w:val="bottom"/>
            <w:tcBorders>
              <w:bottom w:val="single" w:sz="8" w:color="E6E6E6"/>
            </w:tcBorders>
            <w:shd w:val="clear" w:color="auto" w:fill="E6E6E6"/>
          </w:tcPr>
          <w:p>
            <w:pPr>
              <w:spacing w:after="0"/>
              <w:rPr>
                <w:sz w:val="22"/>
                <w:szCs w:val="22"/>
                <w:color w:val="auto"/>
              </w:rPr>
            </w:pPr>
          </w:p>
        </w:tc>
        <w:tc>
          <w:tcPr>
            <w:tcW w:w="164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60" w:type="dxa"/>
            <w:vAlign w:val="bottom"/>
          </w:tcPr>
          <w:p>
            <w:pPr>
              <w:ind w:left="20"/>
              <w:spacing w:after="0"/>
              <w:rPr>
                <w:sz w:val="20"/>
                <w:szCs w:val="20"/>
                <w:color w:val="auto"/>
              </w:rPr>
            </w:pPr>
            <w:r>
              <w:rPr>
                <w:rFonts w:ascii="Arial" w:cs="Arial" w:eastAsia="Arial" w:hAnsi="Arial"/>
                <w:sz w:val="13"/>
                <w:szCs w:val="13"/>
                <w:color w:val="auto"/>
              </w:rPr>
              <w:t>Mr. Rau</w:t>
            </w:r>
          </w:p>
        </w:tc>
        <w:tc>
          <w:tcPr>
            <w:tcW w:w="1380" w:type="dxa"/>
            <w:vAlign w:val="bottom"/>
          </w:tcPr>
          <w:p>
            <w:pPr>
              <w:jc w:val="center"/>
              <w:spacing w:after="0"/>
              <w:rPr>
                <w:sz w:val="20"/>
                <w:szCs w:val="20"/>
                <w:color w:val="auto"/>
              </w:rPr>
            </w:pPr>
            <w:r>
              <w:rPr>
                <w:rFonts w:ascii="Arial" w:cs="Arial" w:eastAsia="Arial" w:hAnsi="Arial"/>
                <w:sz w:val="13"/>
                <w:szCs w:val="13"/>
                <w:color w:val="auto"/>
              </w:rPr>
              <w:t>RSU</w:t>
            </w:r>
          </w:p>
        </w:tc>
        <w:tc>
          <w:tcPr>
            <w:tcW w:w="220" w:type="dxa"/>
            <w:vAlign w:val="bottom"/>
          </w:tcPr>
          <w:p>
            <w:pPr>
              <w:spacing w:after="0"/>
              <w:rPr>
                <w:sz w:val="19"/>
                <w:szCs w:val="19"/>
                <w:color w:val="auto"/>
              </w:rPr>
            </w:pPr>
          </w:p>
        </w:tc>
        <w:tc>
          <w:tcPr>
            <w:tcW w:w="1260" w:type="dxa"/>
            <w:vAlign w:val="bottom"/>
            <w:gridSpan w:val="2"/>
          </w:tcPr>
          <w:p>
            <w:pPr>
              <w:ind w:left="480"/>
              <w:spacing w:after="0"/>
              <w:rPr>
                <w:sz w:val="20"/>
                <w:szCs w:val="20"/>
                <w:color w:val="auto"/>
              </w:rPr>
            </w:pPr>
            <w:r>
              <w:rPr>
                <w:rFonts w:ascii="Arial" w:cs="Arial" w:eastAsia="Arial" w:hAnsi="Arial"/>
                <w:sz w:val="13"/>
                <w:szCs w:val="13"/>
                <w:color w:val="auto"/>
              </w:rPr>
              <w:t xml:space="preserve">20,160 </w:t>
            </w:r>
            <w:r>
              <w:rPr>
                <w:rFonts w:ascii="Arial" w:cs="Arial" w:eastAsia="Arial" w:hAnsi="Arial"/>
                <w:sz w:val="17"/>
                <w:szCs w:val="17"/>
                <w:color w:val="auto"/>
                <w:vertAlign w:val="superscript"/>
              </w:rPr>
              <w:t>10</w:t>
            </w:r>
          </w:p>
        </w:tc>
        <w:tc>
          <w:tcPr>
            <w:tcW w:w="1180" w:type="dxa"/>
            <w:vAlign w:val="bottom"/>
          </w:tcPr>
          <w:p>
            <w:pPr>
              <w:jc w:val="right"/>
              <w:spacing w:after="0"/>
              <w:rPr>
                <w:sz w:val="20"/>
                <w:szCs w:val="20"/>
                <w:color w:val="auto"/>
              </w:rPr>
            </w:pPr>
            <w:r>
              <w:rPr>
                <w:rFonts w:ascii="Arial" w:cs="Arial" w:eastAsia="Arial" w:hAnsi="Arial"/>
                <w:sz w:val="13"/>
                <w:szCs w:val="13"/>
                <w:color w:val="auto"/>
              </w:rPr>
              <w:t>$5,568,595</w:t>
            </w: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6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Smiley</w:t>
            </w:r>
          </w:p>
        </w:tc>
        <w:tc>
          <w:tcPr>
            <w:tcW w:w="1380" w:type="dxa"/>
            <w:vAlign w:val="bottom"/>
            <w:shd w:val="clear" w:color="auto" w:fill="E6E6E6"/>
          </w:tcPr>
          <w:p>
            <w:pPr>
              <w:spacing w:after="0"/>
              <w:rPr>
                <w:sz w:val="19"/>
                <w:szCs w:val="19"/>
                <w:color w:val="auto"/>
              </w:rPr>
            </w:pP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E6E6E6"/>
          </w:tcPr>
          <w:p>
            <w:pPr>
              <w:spacing w:after="0"/>
              <w:rPr>
                <w:sz w:val="19"/>
                <w:szCs w:val="19"/>
                <w:color w:val="auto"/>
              </w:rPr>
            </w:pPr>
          </w:p>
        </w:tc>
        <w:tc>
          <w:tcPr>
            <w:tcW w:w="11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600" w:type="dxa"/>
            <w:vAlign w:val="bottom"/>
            <w:shd w:val="clear" w:color="auto" w:fill="E6E6E6"/>
          </w:tcPr>
          <w:p>
            <w:pPr>
              <w:jc w:val="right"/>
              <w:ind w:right="183"/>
              <w:spacing w:after="0"/>
              <w:rPr>
                <w:sz w:val="20"/>
                <w:szCs w:val="20"/>
                <w:color w:val="auto"/>
              </w:rPr>
            </w:pPr>
            <w:r>
              <w:rPr>
                <w:rFonts w:ascii="Arial" w:cs="Arial" w:eastAsia="Arial" w:hAnsi="Arial"/>
                <w:sz w:val="13"/>
                <w:szCs w:val="13"/>
                <w:color w:val="auto"/>
              </w:rPr>
              <w:t>0</w:t>
            </w:r>
          </w:p>
        </w:tc>
        <w:tc>
          <w:tcPr>
            <w:tcW w:w="16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
        </w:trPr>
        <w:tc>
          <w:tcPr>
            <w:tcW w:w="1660" w:type="dxa"/>
            <w:vAlign w:val="bottom"/>
            <w:shd w:val="clear" w:color="auto" w:fill="E6E6E6"/>
          </w:tcPr>
          <w:p>
            <w:pPr>
              <w:spacing w:after="0"/>
              <w:rPr>
                <w:sz w:val="2"/>
                <w:szCs w:val="2"/>
                <w:color w:val="auto"/>
              </w:rPr>
            </w:pPr>
          </w:p>
        </w:tc>
        <w:tc>
          <w:tcPr>
            <w:tcW w:w="1380" w:type="dxa"/>
            <w:vAlign w:val="bottom"/>
            <w:shd w:val="clear" w:color="auto" w:fill="E6E6E6"/>
          </w:tcPr>
          <w:p>
            <w:pPr>
              <w:spacing w:after="0"/>
              <w:rPr>
                <w:sz w:val="2"/>
                <w:szCs w:val="2"/>
                <w:color w:val="auto"/>
              </w:rPr>
            </w:pPr>
          </w:p>
        </w:tc>
        <w:tc>
          <w:tcPr>
            <w:tcW w:w="220" w:type="dxa"/>
            <w:vAlign w:val="bottom"/>
            <w:shd w:val="clear" w:color="auto" w:fill="E6E6E6"/>
          </w:tcPr>
          <w:p>
            <w:pPr>
              <w:spacing w:after="0"/>
              <w:rPr>
                <w:sz w:val="2"/>
                <w:szCs w:val="2"/>
                <w:color w:val="auto"/>
              </w:rPr>
            </w:pPr>
          </w:p>
        </w:tc>
        <w:tc>
          <w:tcPr>
            <w:tcW w:w="920" w:type="dxa"/>
            <w:vAlign w:val="bottom"/>
            <w:shd w:val="clear" w:color="auto" w:fill="E6E6E6"/>
          </w:tcPr>
          <w:p>
            <w:pPr>
              <w:spacing w:after="0"/>
              <w:rPr>
                <w:sz w:val="2"/>
                <w:szCs w:val="2"/>
                <w:color w:val="auto"/>
              </w:rPr>
            </w:pPr>
          </w:p>
        </w:tc>
        <w:tc>
          <w:tcPr>
            <w:tcW w:w="340" w:type="dxa"/>
            <w:vAlign w:val="bottom"/>
            <w:shd w:val="clear" w:color="auto" w:fill="E6E6E6"/>
          </w:tcPr>
          <w:p>
            <w:pPr>
              <w:spacing w:after="0"/>
              <w:rPr>
                <w:sz w:val="2"/>
                <w:szCs w:val="2"/>
                <w:color w:val="auto"/>
              </w:rPr>
            </w:pPr>
          </w:p>
        </w:tc>
        <w:tc>
          <w:tcPr>
            <w:tcW w:w="1180" w:type="dxa"/>
            <w:vAlign w:val="bottom"/>
            <w:shd w:val="clear" w:color="auto" w:fill="E6E6E6"/>
          </w:tcPr>
          <w:p>
            <w:pPr>
              <w:spacing w:after="0"/>
              <w:rPr>
                <w:sz w:val="2"/>
                <w:szCs w:val="2"/>
                <w:color w:val="auto"/>
              </w:rPr>
            </w:pPr>
          </w:p>
        </w:tc>
        <w:tc>
          <w:tcPr>
            <w:tcW w:w="1600" w:type="dxa"/>
            <w:vAlign w:val="bottom"/>
            <w:shd w:val="clear" w:color="auto" w:fill="E6E6E6"/>
          </w:tcPr>
          <w:p>
            <w:pPr>
              <w:spacing w:after="0"/>
              <w:rPr>
                <w:sz w:val="2"/>
                <w:szCs w:val="2"/>
                <w:color w:val="auto"/>
              </w:rPr>
            </w:pPr>
          </w:p>
        </w:tc>
        <w:tc>
          <w:tcPr>
            <w:tcW w:w="164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 w:right="220" w:firstLine="8"/>
        <w:spacing w:after="0" w:line="230" w:lineRule="auto"/>
        <w:tabs>
          <w:tab w:leader="none" w:pos="166" w:val="left"/>
        </w:tabs>
        <w:numPr>
          <w:ilvl w:val="0"/>
          <w:numId w:val="89"/>
        </w:numPr>
        <w:rPr>
          <w:rFonts w:ascii="Arial" w:cs="Arial" w:eastAsia="Arial" w:hAnsi="Arial"/>
          <w:sz w:val="18"/>
          <w:szCs w:val="18"/>
          <w:color w:val="auto"/>
          <w:vertAlign w:val="superscript"/>
        </w:rPr>
      </w:pPr>
      <w:r>
        <w:rPr>
          <w:rFonts w:ascii="Arial" w:cs="Arial" w:eastAsia="Arial" w:hAnsi="Arial"/>
          <w:sz w:val="13"/>
          <w:szCs w:val="13"/>
          <w:color w:val="auto"/>
        </w:rPr>
        <w:t>Shareholder value awards granted for the 2021-2023 performance period will vest on December 31, 2023. The number of shares reported reflects the maximum payout, which will be made if the average closing stock price in November and December 2023 is over $239.03. Actual payouts may vary from 0 to 175 percent of target. Net shares from any payout must be held by executive officers for a minimum of one year. Had the performance period ended December 31, 2021, the payout would have been at 175 percent of target.</w:t>
      </w:r>
    </w:p>
    <w:p>
      <w:pPr>
        <w:spacing w:after="0" w:line="1" w:lineRule="exact"/>
        <w:rPr>
          <w:rFonts w:ascii="Arial" w:cs="Arial" w:eastAsia="Arial" w:hAnsi="Arial"/>
          <w:sz w:val="18"/>
          <w:szCs w:val="18"/>
          <w:color w:val="auto"/>
          <w:vertAlign w:val="superscript"/>
        </w:rPr>
      </w:pPr>
    </w:p>
    <w:p>
      <w:pPr>
        <w:ind w:left="80" w:right="32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Shareholder value awards granted for the 2020-2022 performance period will vest on December 31, 2022. The number of shares reported reflects the maximum payout, which will be made if the average closing stock price in November and December 2022 is over $187.17. Actual payouts may vary</w:t>
      </w:r>
    </w:p>
    <w:p>
      <w:pPr>
        <w:sectPr>
          <w:pgSz w:w="11900" w:h="16838" w:orient="portrait"/>
          <w:cols w:equalWidth="0" w:num="1">
            <w:col w:w="11320"/>
          </w:cols>
          <w:pgMar w:left="240" w:top="787"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20"/>
          </w:cols>
          <w:pgMar w:left="240" w:top="787" w:right="339" w:bottom="1440" w:gutter="0" w:footer="0" w:header="0"/>
          <w:type w:val="continuous"/>
        </w:sectPr>
      </w:pPr>
    </w:p>
    <w:bookmarkStart w:id="63" w:name="page64"/>
    <w:bookmarkEnd w:id="63"/>
    <w:p>
      <w:pPr>
        <w:ind w:right="360"/>
        <w:spacing w:after="0" w:line="260" w:lineRule="auto"/>
        <w:rPr>
          <w:sz w:val="20"/>
          <w:szCs w:val="20"/>
          <w:color w:val="auto"/>
        </w:rPr>
      </w:pPr>
      <w:r>
        <w:rPr>
          <w:rFonts w:ascii="Arial" w:cs="Arial" w:eastAsia="Arial" w:hAnsi="Arial"/>
          <w:sz w:val="13"/>
          <w:szCs w:val="13"/>
          <w:color w:val="auto"/>
        </w:rPr>
        <w:t>from 0 to 180 percent of target. Net shares from any payout must be held by executive officers for a minimum of one year. Had the performance period ended December 31, 2021, the payout would have been 175 percent of target.</w:t>
      </w:r>
    </w:p>
    <w:p>
      <w:pPr>
        <w:ind w:right="40" w:firstLine="8"/>
        <w:spacing w:after="0" w:line="230" w:lineRule="auto"/>
        <w:tabs>
          <w:tab w:leader="none" w:pos="86" w:val="left"/>
        </w:tabs>
        <w:numPr>
          <w:ilvl w:val="0"/>
          <w:numId w:val="90"/>
        </w:numPr>
        <w:rPr>
          <w:rFonts w:ascii="Arial" w:cs="Arial" w:eastAsia="Arial" w:hAnsi="Arial"/>
          <w:sz w:val="18"/>
          <w:szCs w:val="18"/>
          <w:color w:val="auto"/>
          <w:vertAlign w:val="superscript"/>
        </w:rPr>
      </w:pPr>
      <w:r>
        <w:rPr>
          <w:rFonts w:ascii="Arial" w:cs="Arial" w:eastAsia="Arial" w:hAnsi="Arial"/>
          <w:sz w:val="13"/>
          <w:szCs w:val="13"/>
          <w:color w:val="auto"/>
        </w:rPr>
        <w:t>Relative value awards granted for the 2021-2023 performance period will vest on December 31, 2023. The number of shares reported reflects the target payout, which will be paid if Lilly's absolute TSR is at or up to 5.9 percentage points above the actual peer median TSR. Net shares from any payout must be held by executive officers for a minimum of one year. Had the performance period ended December 31, 2021, the payout would have been 175 percent of target.</w:t>
      </w:r>
    </w:p>
    <w:p>
      <w:pPr>
        <w:spacing w:after="0" w:line="1" w:lineRule="exact"/>
        <w:rPr>
          <w:rFonts w:ascii="Arial" w:cs="Arial" w:eastAsia="Arial" w:hAnsi="Arial"/>
          <w:sz w:val="18"/>
          <w:szCs w:val="18"/>
          <w:color w:val="auto"/>
          <w:vertAlign w:val="superscript"/>
        </w:rPr>
      </w:pPr>
    </w:p>
    <w:p>
      <w:pPr>
        <w:ind w:right="40"/>
        <w:spacing w:after="0" w:line="23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Relative value awards granted for the 2020-2022 performance period will vest on December 31, 2022. The number of shares reported reflects the target payout, which will be paid if Lilly's absolute TSR is at or up to 5.9 percentage points above the actual peer median TSR. Net shares from any payout must be held by executive officers for a minimum of one year. Had the performance period ended December 31, 2021, the payout would have been 175 percent of target.</w:t>
      </w:r>
    </w:p>
    <w:p>
      <w:pPr>
        <w:spacing w:after="0" w:line="1" w:lineRule="exact"/>
        <w:rPr>
          <w:rFonts w:ascii="Arial" w:cs="Arial" w:eastAsia="Arial" w:hAnsi="Arial"/>
          <w:sz w:val="18"/>
          <w:szCs w:val="18"/>
          <w:color w:val="auto"/>
          <w:vertAlign w:val="superscript"/>
        </w:rPr>
      </w:pPr>
    </w:p>
    <w:p>
      <w:pPr>
        <w:ind w:right="20"/>
        <w:spacing w:after="0" w:line="247"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This number represents the maximum value of performance award shares that could pay out for the 2021-2023 performance awards, provided performance goals are met. Once the combined cumulative EPS result and associated payout level are determined at the end of the 2021-2022 performance period, the associated number of shares will be granted as restricted stock units, vesting in February 2024. Actual payouts may vary from 0 to 175 percent of target. The number of shares recorded in the table reflects the payout if the combined cumulative EPS for 2021 and 2022 is at least $18.08 under the 2021-2023 performance award grid (see "Compensation Discussion and Analysis—Performance Goals for 2021 Incentive Programs— 2021-2023 Performance Award"). Ms. Ashkenazi and Mr. Van Naarden were not executive officers at the time of grant and, therefore, their 2021-2023 performance awards will not be subject to the 13-month service vesting period and will payout in February 2023.</w:t>
      </w:r>
    </w:p>
    <w:p>
      <w:pPr>
        <w:spacing w:after="0" w:line="1" w:lineRule="exact"/>
        <w:rPr>
          <w:rFonts w:ascii="Arial" w:cs="Arial" w:eastAsia="Arial" w:hAnsi="Arial"/>
          <w:sz w:val="18"/>
          <w:szCs w:val="18"/>
          <w:color w:val="auto"/>
          <w:vertAlign w:val="superscript"/>
        </w:rPr>
      </w:pPr>
    </w:p>
    <w:p>
      <w:pPr>
        <w:ind w:right="8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6</w:t>
      </w:r>
      <w:r>
        <w:rPr>
          <w:rFonts w:ascii="Arial" w:cs="Arial" w:eastAsia="Arial" w:hAnsi="Arial"/>
          <w:sz w:val="13"/>
          <w:szCs w:val="13"/>
          <w:color w:val="auto"/>
        </w:rPr>
        <w:t xml:space="preserve"> The performance period ended December 31, 2021, for the 2020-2022 performance award, resulting in the issuance of restricted stock units for 175 percent of target shares for Mr. Ricks and Dr. Skovronsky. These restricted stock units will vest in February 2023.</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7</w:t>
      </w:r>
      <w:r>
        <w:rPr>
          <w:rFonts w:ascii="Arial" w:cs="Arial" w:eastAsia="Arial" w:hAnsi="Arial"/>
          <w:sz w:val="13"/>
          <w:szCs w:val="13"/>
          <w:color w:val="auto"/>
        </w:rPr>
        <w:t xml:space="preserve"> For Mr. Ricks and Dr. Skovronsky, restricted stock units vested from the 2019-2021 performance award on February 1, 2022.</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8</w:t>
      </w:r>
      <w:r>
        <w:rPr>
          <w:rFonts w:ascii="Arial" w:cs="Arial" w:eastAsia="Arial" w:hAnsi="Arial"/>
          <w:sz w:val="13"/>
          <w:szCs w:val="13"/>
          <w:color w:val="auto"/>
        </w:rPr>
        <w:t xml:space="preserve"> These grants were made outside of the normal annual cycle in 2020, and 4,600 units will vest on November 1, 2024, and 6,899 units will vest on November 1, 2026.</w:t>
      </w:r>
    </w:p>
    <w:p>
      <w:pPr>
        <w:ind w:right="16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9</w:t>
      </w:r>
      <w:r>
        <w:rPr>
          <w:rFonts w:ascii="Arial" w:cs="Arial" w:eastAsia="Arial" w:hAnsi="Arial"/>
          <w:sz w:val="13"/>
          <w:szCs w:val="13"/>
          <w:color w:val="auto"/>
        </w:rPr>
        <w:t xml:space="preserve"> These grants were made outside of the normal annual cycle in 2021, and 5,461 units will vest on February 16, 2022, 2,785 units will vest on February 16, 2023, and 3,618 units will vest on February 1, 2024.</w:t>
      </w:r>
    </w:p>
    <w:p>
      <w:pPr>
        <w:ind w:right="180"/>
        <w:spacing w:after="0"/>
        <w:rPr>
          <w:rFonts w:ascii="Arial" w:cs="Arial" w:eastAsia="Arial" w:hAnsi="Arial"/>
          <w:sz w:val="18"/>
          <w:szCs w:val="18"/>
          <w:color w:val="auto"/>
          <w:vertAlign w:val="superscript"/>
        </w:rPr>
      </w:pPr>
      <w:r>
        <w:rPr>
          <w:rFonts w:ascii="Arial" w:cs="Arial" w:eastAsia="Arial" w:hAnsi="Arial"/>
          <w:sz w:val="21"/>
          <w:szCs w:val="21"/>
          <w:color w:val="auto"/>
          <w:vertAlign w:val="superscript"/>
        </w:rPr>
        <w:t>10</w:t>
      </w:r>
      <w:r>
        <w:rPr>
          <w:rFonts w:ascii="Arial" w:cs="Arial" w:eastAsia="Arial" w:hAnsi="Arial"/>
          <w:sz w:val="13"/>
          <w:szCs w:val="13"/>
          <w:color w:val="auto"/>
        </w:rPr>
        <w:t xml:space="preserve"> This grant was made outside of the normal annual cycle in 2021. A total of 7,560 units will vest on July 1, 2022, 6,300 units will vest on July 1, 2023, and 6,300 units will vest on July 1, 2024.</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 Exercised and Stock Vested in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00A1DE"/>
              </w:rPr>
              <w:t>Option Awards</w:t>
            </w:r>
          </w:p>
        </w:tc>
        <w:tc>
          <w:tcPr>
            <w:tcW w:w="76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880" w:type="dxa"/>
            <w:vAlign w:val="bottom"/>
            <w:gridSpan w:val="3"/>
            <w:shd w:val="clear" w:color="auto" w:fill="DBDBDB"/>
          </w:tcPr>
          <w:p>
            <w:pPr>
              <w:jc w:val="right"/>
              <w:ind w:right="913"/>
              <w:spacing w:after="0"/>
              <w:rPr>
                <w:sz w:val="20"/>
                <w:szCs w:val="20"/>
                <w:color w:val="auto"/>
              </w:rPr>
            </w:pPr>
            <w:r>
              <w:rPr>
                <w:rFonts w:ascii="Arial" w:cs="Arial" w:eastAsia="Arial" w:hAnsi="Arial"/>
                <w:sz w:val="13"/>
                <w:szCs w:val="13"/>
                <w:b w:val="1"/>
                <w:bCs w:val="1"/>
                <w:color w:val="00A1DE"/>
              </w:rPr>
              <w:t>Stock Awards</w:t>
            </w:r>
          </w:p>
        </w:tc>
        <w:tc>
          <w:tcPr>
            <w:tcW w:w="0" w:type="dxa"/>
            <w:vAlign w:val="bottom"/>
          </w:tcPr>
          <w:p>
            <w:pPr>
              <w:spacing w:after="0"/>
              <w:rPr>
                <w:sz w:val="1"/>
                <w:szCs w:val="1"/>
                <w:color w:val="auto"/>
              </w:rPr>
            </w:pPr>
          </w:p>
        </w:tc>
      </w:tr>
      <w:tr>
        <w:trPr>
          <w:trHeight w:val="240"/>
        </w:trPr>
        <w:tc>
          <w:tcPr>
            <w:tcW w:w="2960" w:type="dxa"/>
            <w:vAlign w:val="bottom"/>
            <w:shd w:val="clear" w:color="auto" w:fill="DBDBDB"/>
          </w:tcPr>
          <w:p>
            <w:pPr>
              <w:spacing w:after="0"/>
              <w:rPr>
                <w:sz w:val="20"/>
                <w:szCs w:val="20"/>
                <w:color w:val="auto"/>
              </w:rPr>
            </w:pPr>
          </w:p>
        </w:tc>
        <w:tc>
          <w:tcPr>
            <w:tcW w:w="17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520" w:type="dxa"/>
            <w:vAlign w:val="bottom"/>
            <w:gridSpan w:val="2"/>
            <w:shd w:val="clear" w:color="auto" w:fill="DBDBDB"/>
          </w:tcPr>
          <w:p>
            <w:pPr>
              <w:jc w:val="center"/>
              <w:spacing w:after="0"/>
              <w:rPr>
                <w:sz w:val="20"/>
                <w:szCs w:val="20"/>
                <w:color w:val="auto"/>
              </w:rPr>
            </w:pPr>
            <w:r>
              <w:rPr>
                <w:rFonts w:ascii="Arial" w:cs="Arial" w:eastAsia="Arial" w:hAnsi="Arial"/>
                <w:sz w:val="13"/>
                <w:szCs w:val="13"/>
                <w:b w:val="1"/>
                <w:bCs w:val="1"/>
                <w:color w:val="00A1DE"/>
              </w:rPr>
              <w:t>Number of Shares</w:t>
            </w:r>
          </w:p>
        </w:tc>
        <w:tc>
          <w:tcPr>
            <w:tcW w:w="1360" w:type="dxa"/>
            <w:vAlign w:val="bottom"/>
            <w:vMerge w:val="restart"/>
            <w:shd w:val="clear" w:color="auto" w:fill="DBDBDB"/>
          </w:tcPr>
          <w:p>
            <w:pPr>
              <w:jc w:val="right"/>
              <w:ind w:right="33"/>
              <w:spacing w:after="0"/>
              <w:rPr>
                <w:sz w:val="20"/>
                <w:szCs w:val="20"/>
                <w:color w:val="auto"/>
              </w:rPr>
            </w:pPr>
            <w:r>
              <w:rPr>
                <w:rFonts w:ascii="Arial" w:cs="Arial" w:eastAsia="Arial" w:hAnsi="Arial"/>
                <w:sz w:val="13"/>
                <w:szCs w:val="13"/>
                <w:b w:val="1"/>
                <w:bCs w:val="1"/>
                <w:color w:val="00A1DE"/>
              </w:rPr>
              <w:t>Value Realized on</w:t>
            </w:r>
          </w:p>
        </w:tc>
        <w:tc>
          <w:tcPr>
            <w:tcW w:w="0" w:type="dxa"/>
            <w:vAlign w:val="bottom"/>
          </w:tcPr>
          <w:p>
            <w:pPr>
              <w:spacing w:after="0"/>
              <w:rPr>
                <w:sz w:val="1"/>
                <w:szCs w:val="1"/>
                <w:color w:val="auto"/>
              </w:rPr>
            </w:pPr>
          </w:p>
        </w:tc>
      </w:tr>
      <w:tr>
        <w:trPr>
          <w:trHeight w:val="103"/>
        </w:trPr>
        <w:tc>
          <w:tcPr>
            <w:tcW w:w="2960" w:type="dxa"/>
            <w:vAlign w:val="bottom"/>
            <w:shd w:val="clear" w:color="auto" w:fill="DBDBDB"/>
          </w:tcPr>
          <w:p>
            <w:pPr>
              <w:spacing w:after="0"/>
              <w:rPr>
                <w:sz w:val="8"/>
                <w:szCs w:val="8"/>
                <w:color w:val="auto"/>
              </w:rPr>
            </w:pPr>
          </w:p>
        </w:tc>
        <w:tc>
          <w:tcPr>
            <w:tcW w:w="1760" w:type="dxa"/>
            <w:vAlign w:val="bottom"/>
            <w:vMerge w:val="restart"/>
            <w:shd w:val="clear" w:color="auto" w:fill="DBDBDB"/>
          </w:tcPr>
          <w:p>
            <w:pPr>
              <w:jc w:val="right"/>
              <w:ind w:right="295"/>
              <w:spacing w:after="0"/>
              <w:rPr>
                <w:sz w:val="20"/>
                <w:szCs w:val="20"/>
                <w:color w:val="auto"/>
              </w:rPr>
            </w:pPr>
            <w:r>
              <w:rPr>
                <w:rFonts w:ascii="Arial" w:cs="Arial" w:eastAsia="Arial" w:hAnsi="Arial"/>
                <w:sz w:val="13"/>
                <w:szCs w:val="13"/>
                <w:b w:val="1"/>
                <w:bCs w:val="1"/>
                <w:color w:val="00A1DE"/>
              </w:rPr>
              <w:t>Number of Shares</w:t>
            </w:r>
          </w:p>
        </w:tc>
        <w:tc>
          <w:tcPr>
            <w:tcW w:w="1340" w:type="dxa"/>
            <w:vAlign w:val="bottom"/>
            <w:gridSpan w:val="2"/>
            <w:vMerge w:val="restart"/>
            <w:shd w:val="clear" w:color="auto" w:fill="DBDBDB"/>
          </w:tcPr>
          <w:p>
            <w:pPr>
              <w:jc w:val="center"/>
              <w:ind w:right="120"/>
              <w:spacing w:after="0"/>
              <w:rPr>
                <w:sz w:val="20"/>
                <w:szCs w:val="20"/>
                <w:color w:val="auto"/>
              </w:rPr>
            </w:pPr>
            <w:r>
              <w:rPr>
                <w:rFonts w:ascii="Arial" w:cs="Arial" w:eastAsia="Arial" w:hAnsi="Arial"/>
                <w:sz w:val="13"/>
                <w:szCs w:val="13"/>
                <w:b w:val="1"/>
                <w:bCs w:val="1"/>
                <w:color w:val="00A1DE"/>
              </w:rPr>
              <w:t>Value-Realized on</w:t>
            </w:r>
          </w:p>
        </w:tc>
        <w:tc>
          <w:tcPr>
            <w:tcW w:w="1520" w:type="dxa"/>
            <w:vAlign w:val="bottom"/>
            <w:gridSpan w:val="2"/>
            <w:vMerge w:val="restart"/>
            <w:shd w:val="clear" w:color="auto" w:fill="DBDBDB"/>
          </w:tcPr>
          <w:p>
            <w:pPr>
              <w:jc w:val="center"/>
              <w:spacing w:after="0"/>
              <w:rPr>
                <w:sz w:val="20"/>
                <w:szCs w:val="20"/>
                <w:color w:val="auto"/>
              </w:rPr>
            </w:pPr>
            <w:r>
              <w:rPr>
                <w:rFonts w:ascii="Arial" w:cs="Arial" w:eastAsia="Arial" w:hAnsi="Arial"/>
                <w:sz w:val="13"/>
                <w:szCs w:val="13"/>
                <w:b w:val="1"/>
                <w:bCs w:val="1"/>
                <w:color w:val="00A1DE"/>
              </w:rPr>
              <w:t>Acquired on Vesting</w:t>
            </w:r>
          </w:p>
        </w:tc>
        <w:tc>
          <w:tcPr>
            <w:tcW w:w="13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960" w:type="dxa"/>
            <w:vAlign w:val="bottom"/>
            <w:shd w:val="clear" w:color="auto" w:fill="DBDBDB"/>
          </w:tcPr>
          <w:p>
            <w:pPr>
              <w:spacing w:after="0"/>
              <w:rPr>
                <w:sz w:val="5"/>
                <w:szCs w:val="5"/>
                <w:color w:val="auto"/>
              </w:rPr>
            </w:pPr>
          </w:p>
        </w:tc>
        <w:tc>
          <w:tcPr>
            <w:tcW w:w="1760" w:type="dxa"/>
            <w:vAlign w:val="bottom"/>
            <w:vMerge w:val="continue"/>
            <w:shd w:val="clear" w:color="auto" w:fill="DBDBDB"/>
          </w:tcPr>
          <w:p>
            <w:pPr>
              <w:spacing w:after="0"/>
              <w:rPr>
                <w:sz w:val="5"/>
                <w:szCs w:val="5"/>
                <w:color w:val="auto"/>
              </w:rPr>
            </w:pPr>
          </w:p>
        </w:tc>
        <w:tc>
          <w:tcPr>
            <w:tcW w:w="1340" w:type="dxa"/>
            <w:vAlign w:val="bottom"/>
            <w:gridSpan w:val="2"/>
            <w:vMerge w:val="continue"/>
            <w:shd w:val="clear" w:color="auto" w:fill="DBDBDB"/>
          </w:tcPr>
          <w:p>
            <w:pPr>
              <w:spacing w:after="0"/>
              <w:rPr>
                <w:sz w:val="5"/>
                <w:szCs w:val="5"/>
                <w:color w:val="auto"/>
              </w:rPr>
            </w:pPr>
          </w:p>
        </w:tc>
        <w:tc>
          <w:tcPr>
            <w:tcW w:w="1520" w:type="dxa"/>
            <w:vAlign w:val="bottom"/>
            <w:gridSpan w:val="2"/>
            <w:vMerge w:val="continue"/>
            <w:shd w:val="clear" w:color="auto" w:fill="DBDBDB"/>
          </w:tcPr>
          <w:p>
            <w:pPr>
              <w:spacing w:after="0"/>
              <w:rPr>
                <w:sz w:val="5"/>
                <w:szCs w:val="5"/>
                <w:color w:val="auto"/>
              </w:rPr>
            </w:pPr>
          </w:p>
        </w:tc>
        <w:tc>
          <w:tcPr>
            <w:tcW w:w="1360" w:type="dxa"/>
            <w:vAlign w:val="bottom"/>
            <w:vMerge w:val="restart"/>
            <w:shd w:val="clear" w:color="auto" w:fill="DBDBDB"/>
          </w:tcPr>
          <w:p>
            <w:pPr>
              <w:jc w:val="right"/>
              <w:ind w:right="253"/>
              <w:spacing w:after="0"/>
              <w:rPr>
                <w:sz w:val="20"/>
                <w:szCs w:val="20"/>
                <w:color w:val="auto"/>
              </w:rPr>
            </w:pPr>
            <w:r>
              <w:rPr>
                <w:rFonts w:ascii="Arial" w:cs="Arial" w:eastAsia="Arial" w:hAnsi="Arial"/>
                <w:sz w:val="13"/>
                <w:szCs w:val="13"/>
                <w:b w:val="1"/>
                <w:bCs w:val="1"/>
                <w:color w:val="00A1DE"/>
              </w:rPr>
              <w:t>Vesting ($)</w:t>
            </w:r>
            <w:r>
              <w:rPr>
                <w:rFonts w:ascii="Arial" w:cs="Arial" w:eastAsia="Arial" w:hAnsi="Arial"/>
                <w:sz w:val="17"/>
                <w:szCs w:val="17"/>
                <w:b w:val="1"/>
                <w:bCs w:val="1"/>
                <w:color w:val="00A1DE"/>
                <w:vertAlign w:val="superscript"/>
              </w:rPr>
              <w:t>1</w:t>
            </w:r>
          </w:p>
        </w:tc>
        <w:tc>
          <w:tcPr>
            <w:tcW w:w="0" w:type="dxa"/>
            <w:vAlign w:val="bottom"/>
          </w:tcPr>
          <w:p>
            <w:pPr>
              <w:spacing w:after="0"/>
              <w:rPr>
                <w:sz w:val="1"/>
                <w:szCs w:val="1"/>
                <w:color w:val="auto"/>
              </w:rPr>
            </w:pPr>
          </w:p>
        </w:tc>
      </w:tr>
      <w:tr>
        <w:trPr>
          <w:trHeight w:val="138"/>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3"/>
                <w:szCs w:val="13"/>
                <w:b w:val="1"/>
                <w:bCs w:val="1"/>
                <w:color w:val="00A1DE"/>
              </w:rPr>
              <w:t>Name</w:t>
            </w:r>
          </w:p>
        </w:tc>
        <w:tc>
          <w:tcPr>
            <w:tcW w:w="1760" w:type="dxa"/>
            <w:vAlign w:val="bottom"/>
            <w:vMerge w:val="restart"/>
            <w:shd w:val="clear" w:color="auto" w:fill="DBDBDB"/>
          </w:tcPr>
          <w:p>
            <w:pPr>
              <w:jc w:val="right"/>
              <w:ind w:right="75"/>
              <w:spacing w:after="0"/>
              <w:rPr>
                <w:sz w:val="20"/>
                <w:szCs w:val="20"/>
                <w:color w:val="auto"/>
              </w:rPr>
            </w:pPr>
            <w:r>
              <w:rPr>
                <w:rFonts w:ascii="Arial" w:cs="Arial" w:eastAsia="Arial" w:hAnsi="Arial"/>
                <w:sz w:val="13"/>
                <w:szCs w:val="13"/>
                <w:b w:val="1"/>
                <w:bCs w:val="1"/>
                <w:color w:val="00A1DE"/>
              </w:rPr>
              <w:t>Acquired on Exercise (#)</w:t>
            </w:r>
          </w:p>
        </w:tc>
        <w:tc>
          <w:tcPr>
            <w:tcW w:w="1340" w:type="dxa"/>
            <w:vAlign w:val="bottom"/>
            <w:gridSpan w:val="2"/>
            <w:vMerge w:val="restart"/>
            <w:shd w:val="clear" w:color="auto" w:fill="DBDBDB"/>
          </w:tcPr>
          <w:p>
            <w:pPr>
              <w:jc w:val="center"/>
              <w:ind w:right="100"/>
              <w:spacing w:after="0"/>
              <w:rPr>
                <w:sz w:val="20"/>
                <w:szCs w:val="20"/>
                <w:color w:val="auto"/>
              </w:rPr>
            </w:pPr>
            <w:r>
              <w:rPr>
                <w:rFonts w:ascii="Arial" w:cs="Arial" w:eastAsia="Arial" w:hAnsi="Arial"/>
                <w:sz w:val="13"/>
                <w:szCs w:val="13"/>
                <w:b w:val="1"/>
                <w:bCs w:val="1"/>
                <w:color w:val="00A1DE"/>
              </w:rPr>
              <w:t>Exercise ($)</w:t>
            </w:r>
          </w:p>
        </w:tc>
        <w:tc>
          <w:tcPr>
            <w:tcW w:w="1140" w:type="dxa"/>
            <w:vAlign w:val="bottom"/>
            <w:vMerge w:val="restart"/>
            <w:shd w:val="clear" w:color="auto" w:fill="DBDBDB"/>
          </w:tcPr>
          <w:p>
            <w:pPr>
              <w:jc w:val="center"/>
              <w:ind w:left="313"/>
              <w:spacing w:after="0"/>
              <w:rPr>
                <w:sz w:val="20"/>
                <w:szCs w:val="20"/>
                <w:color w:val="auto"/>
              </w:rPr>
            </w:pPr>
            <w:r>
              <w:rPr>
                <w:rFonts w:ascii="Arial" w:cs="Arial" w:eastAsia="Arial" w:hAnsi="Arial"/>
                <w:sz w:val="13"/>
                <w:szCs w:val="13"/>
                <w:b w:val="1"/>
                <w:bCs w:val="1"/>
                <w:color w:val="00A1DE"/>
              </w:rPr>
              <w:t>(#)</w:t>
            </w:r>
          </w:p>
        </w:tc>
        <w:tc>
          <w:tcPr>
            <w:tcW w:w="380" w:type="dxa"/>
            <w:vAlign w:val="bottom"/>
            <w:shd w:val="clear" w:color="auto" w:fill="DBDBDB"/>
          </w:tcPr>
          <w:p>
            <w:pPr>
              <w:spacing w:after="0"/>
              <w:rPr>
                <w:sz w:val="12"/>
                <w:szCs w:val="12"/>
                <w:color w:val="auto"/>
              </w:rPr>
            </w:pPr>
          </w:p>
        </w:tc>
        <w:tc>
          <w:tcPr>
            <w:tcW w:w="13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960" w:type="dxa"/>
            <w:vAlign w:val="bottom"/>
            <w:tcBorders>
              <w:bottom w:val="single" w:sz="8" w:color="DBDBDB"/>
            </w:tcBorders>
            <w:vMerge w:val="continue"/>
            <w:shd w:val="clear" w:color="auto" w:fill="DBDBDB"/>
          </w:tcPr>
          <w:p>
            <w:pPr>
              <w:spacing w:after="0"/>
              <w:rPr>
                <w:sz w:val="4"/>
                <w:szCs w:val="4"/>
                <w:color w:val="auto"/>
              </w:rPr>
            </w:pPr>
          </w:p>
        </w:tc>
        <w:tc>
          <w:tcPr>
            <w:tcW w:w="1760" w:type="dxa"/>
            <w:vAlign w:val="bottom"/>
            <w:tcBorders>
              <w:bottom w:val="single" w:sz="8" w:color="DBDBDB"/>
            </w:tcBorders>
            <w:vMerge w:val="continue"/>
            <w:shd w:val="clear" w:color="auto" w:fill="DBDBDB"/>
          </w:tcPr>
          <w:p>
            <w:pPr>
              <w:spacing w:after="0"/>
              <w:rPr>
                <w:sz w:val="4"/>
                <w:szCs w:val="4"/>
                <w:color w:val="auto"/>
              </w:rPr>
            </w:pPr>
          </w:p>
        </w:tc>
        <w:tc>
          <w:tcPr>
            <w:tcW w:w="1340" w:type="dxa"/>
            <w:vAlign w:val="bottom"/>
            <w:tcBorders>
              <w:bottom w:val="single" w:sz="8" w:color="DBDBDB"/>
            </w:tcBorders>
            <w:gridSpan w:val="2"/>
            <w:vMerge w:val="continue"/>
            <w:shd w:val="clear" w:color="auto" w:fill="DBDBDB"/>
          </w:tcPr>
          <w:p>
            <w:pPr>
              <w:spacing w:after="0"/>
              <w:rPr>
                <w:sz w:val="4"/>
                <w:szCs w:val="4"/>
                <w:color w:val="auto"/>
              </w:rPr>
            </w:pPr>
          </w:p>
        </w:tc>
        <w:tc>
          <w:tcPr>
            <w:tcW w:w="1140" w:type="dxa"/>
            <w:vAlign w:val="bottom"/>
            <w:tcBorders>
              <w:bottom w:val="single" w:sz="8" w:color="DBDBDB"/>
            </w:tcBorders>
            <w:vMerge w:val="continue"/>
            <w:shd w:val="clear" w:color="auto" w:fill="DBDBDB"/>
          </w:tcPr>
          <w:p>
            <w:pPr>
              <w:spacing w:after="0"/>
              <w:rPr>
                <w:sz w:val="4"/>
                <w:szCs w:val="4"/>
                <w:color w:val="auto"/>
              </w:rPr>
            </w:pPr>
          </w:p>
        </w:tc>
        <w:tc>
          <w:tcPr>
            <w:tcW w:w="380" w:type="dxa"/>
            <w:vAlign w:val="bottom"/>
            <w:tcBorders>
              <w:bottom w:val="single" w:sz="8" w:color="DBDBDB"/>
            </w:tcBorders>
            <w:shd w:val="clear" w:color="auto" w:fill="DBDBDB"/>
          </w:tcPr>
          <w:p>
            <w:pPr>
              <w:spacing w:after="0"/>
              <w:rPr>
                <w:sz w:val="4"/>
                <w:szCs w:val="4"/>
                <w:color w:val="auto"/>
              </w:rPr>
            </w:pPr>
          </w:p>
        </w:tc>
        <w:tc>
          <w:tcPr>
            <w:tcW w:w="1360" w:type="dxa"/>
            <w:vAlign w:val="bottom"/>
            <w:tcBorders>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960" w:type="dxa"/>
            <w:vAlign w:val="bottom"/>
            <w:vMerge w:val="restart"/>
          </w:tcPr>
          <w:p>
            <w:pPr>
              <w:ind w:left="20"/>
              <w:spacing w:after="0"/>
              <w:rPr>
                <w:sz w:val="20"/>
                <w:szCs w:val="20"/>
                <w:color w:val="auto"/>
              </w:rPr>
            </w:pPr>
            <w:r>
              <w:rPr>
                <w:rFonts w:ascii="Arial" w:cs="Arial" w:eastAsia="Arial" w:hAnsi="Arial"/>
                <w:sz w:val="13"/>
                <w:szCs w:val="13"/>
                <w:color w:val="auto"/>
              </w:rPr>
              <w:t>Mr. Ricks</w:t>
            </w:r>
          </w:p>
        </w:tc>
        <w:tc>
          <w:tcPr>
            <w:tcW w:w="1760" w:type="dxa"/>
            <w:vAlign w:val="bottom"/>
            <w:vMerge w:val="restart"/>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w:t>
            </w:r>
          </w:p>
        </w:tc>
        <w:tc>
          <w:tcPr>
            <w:tcW w:w="5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75,387</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2</w:t>
            </w:r>
          </w:p>
        </w:tc>
        <w:tc>
          <w:tcPr>
            <w:tcW w:w="1360" w:type="dxa"/>
            <w:vAlign w:val="bottom"/>
          </w:tcPr>
          <w:p>
            <w:pPr>
              <w:jc w:val="right"/>
              <w:spacing w:after="0"/>
              <w:rPr>
                <w:sz w:val="20"/>
                <w:szCs w:val="20"/>
                <w:color w:val="auto"/>
              </w:rPr>
            </w:pPr>
            <w:r>
              <w:rPr>
                <w:rFonts w:ascii="Arial" w:cs="Arial" w:eastAsia="Arial" w:hAnsi="Arial"/>
                <w:sz w:val="13"/>
                <w:szCs w:val="13"/>
                <w:color w:val="auto"/>
              </w:rPr>
              <w:t>$15,678,234</w:t>
            </w:r>
          </w:p>
        </w:tc>
        <w:tc>
          <w:tcPr>
            <w:tcW w:w="0" w:type="dxa"/>
            <w:vAlign w:val="bottom"/>
          </w:tcPr>
          <w:p>
            <w:pPr>
              <w:spacing w:after="0"/>
              <w:rPr>
                <w:sz w:val="1"/>
                <w:szCs w:val="1"/>
                <w:color w:val="auto"/>
              </w:rPr>
            </w:pPr>
          </w:p>
        </w:tc>
      </w:tr>
      <w:tr>
        <w:trPr>
          <w:trHeight w:val="108"/>
        </w:trPr>
        <w:tc>
          <w:tcPr>
            <w:tcW w:w="29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3"/>
                <w:szCs w:val="13"/>
                <w:color w:val="auto"/>
              </w:rPr>
              <w:t>123,088</w:t>
            </w:r>
          </w:p>
        </w:tc>
        <w:tc>
          <w:tcPr>
            <w:tcW w:w="380" w:type="dxa"/>
            <w:vAlign w:val="bottom"/>
            <w:vMerge w:val="restart"/>
          </w:tcPr>
          <w:p>
            <w:pPr>
              <w:jc w:val="right"/>
              <w:ind w:right="271"/>
              <w:spacing w:after="0"/>
              <w:rPr>
                <w:sz w:val="20"/>
                <w:szCs w:val="20"/>
                <w:color w:val="auto"/>
              </w:rPr>
            </w:pPr>
            <w:r>
              <w:rPr>
                <w:rFonts w:ascii="Arial" w:cs="Arial" w:eastAsia="Arial" w:hAnsi="Arial"/>
                <w:sz w:val="10"/>
                <w:szCs w:val="10"/>
                <w:color w:val="auto"/>
                <w:w w:val="71"/>
              </w:rPr>
              <w:t>3</w:t>
            </w: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$29,943,618</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vMerge w:val="restart"/>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1760" w:type="dxa"/>
            <w:vAlign w:val="bottom"/>
            <w:vMerge w:val="restart"/>
            <w:shd w:val="clear" w:color="auto" w:fill="E6E6E6"/>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580" w:type="dxa"/>
            <w:vAlign w:val="bottom"/>
            <w:shd w:val="clear" w:color="auto" w:fill="E6E6E6"/>
          </w:tcPr>
          <w:p>
            <w:pPr>
              <w:spacing w:after="0"/>
              <w:rPr>
                <w:sz w:val="19"/>
                <w:szCs w:val="19"/>
                <w:color w:val="auto"/>
              </w:rPr>
            </w:pPr>
          </w:p>
        </w:tc>
        <w:tc>
          <w:tcPr>
            <w:tcW w:w="1140" w:type="dxa"/>
            <w:vAlign w:val="bottom"/>
            <w:shd w:val="clear" w:color="auto" w:fill="E6E6E6"/>
          </w:tcPr>
          <w:p>
            <w:pPr>
              <w:jc w:val="right"/>
              <w:ind w:right="13"/>
              <w:spacing w:after="0"/>
              <w:rPr>
                <w:sz w:val="20"/>
                <w:szCs w:val="20"/>
                <w:color w:val="auto"/>
              </w:rPr>
            </w:pPr>
            <w:r>
              <w:rPr>
                <w:rFonts w:ascii="Arial" w:cs="Arial" w:eastAsia="Arial" w:hAnsi="Arial"/>
                <w:sz w:val="13"/>
                <w:szCs w:val="13"/>
                <w:color w:val="auto"/>
              </w:rPr>
              <w:t>5,450</w:t>
            </w:r>
          </w:p>
        </w:tc>
        <w:tc>
          <w:tcPr>
            <w:tcW w:w="380" w:type="dxa"/>
            <w:vAlign w:val="bottom"/>
            <w:shd w:val="clear" w:color="auto" w:fill="E6E6E6"/>
          </w:tcPr>
          <w:p>
            <w:pPr>
              <w:jc w:val="right"/>
              <w:ind w:right="271"/>
              <w:spacing w:after="0"/>
              <w:rPr>
                <w:sz w:val="20"/>
                <w:szCs w:val="20"/>
                <w:color w:val="auto"/>
              </w:rPr>
            </w:pPr>
            <w:r>
              <w:rPr>
                <w:rFonts w:ascii="Arial" w:cs="Arial" w:eastAsia="Arial" w:hAnsi="Arial"/>
                <w:sz w:val="10"/>
                <w:szCs w:val="10"/>
                <w:color w:val="auto"/>
                <w:w w:val="71"/>
              </w:rPr>
              <w:t>3</w:t>
            </w:r>
          </w:p>
        </w:tc>
        <w:tc>
          <w:tcPr>
            <w:tcW w:w="13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$1,325,822</w:t>
            </w:r>
          </w:p>
        </w:tc>
        <w:tc>
          <w:tcPr>
            <w:tcW w:w="0" w:type="dxa"/>
            <w:vAlign w:val="bottom"/>
          </w:tcPr>
          <w:p>
            <w:pPr>
              <w:spacing w:after="0"/>
              <w:rPr>
                <w:sz w:val="1"/>
                <w:szCs w:val="1"/>
                <w:color w:val="auto"/>
              </w:rPr>
            </w:pPr>
          </w:p>
        </w:tc>
      </w:tr>
      <w:tr>
        <w:trPr>
          <w:trHeight w:val="108"/>
        </w:trPr>
        <w:tc>
          <w:tcPr>
            <w:tcW w:w="2960" w:type="dxa"/>
            <w:vAlign w:val="bottom"/>
            <w:vMerge w:val="continue"/>
            <w:shd w:val="clear" w:color="auto" w:fill="E6E6E6"/>
          </w:tcPr>
          <w:p>
            <w:pPr>
              <w:spacing w:after="0"/>
              <w:rPr>
                <w:sz w:val="9"/>
                <w:szCs w:val="9"/>
                <w:color w:val="auto"/>
              </w:rPr>
            </w:pPr>
          </w:p>
        </w:tc>
        <w:tc>
          <w:tcPr>
            <w:tcW w:w="1760" w:type="dxa"/>
            <w:vAlign w:val="bottom"/>
            <w:vMerge w:val="continue"/>
            <w:shd w:val="clear" w:color="auto" w:fill="E6E6E6"/>
          </w:tcPr>
          <w:p>
            <w:pPr>
              <w:spacing w:after="0"/>
              <w:rPr>
                <w:sz w:val="9"/>
                <w:szCs w:val="9"/>
                <w:color w:val="auto"/>
              </w:rPr>
            </w:pPr>
          </w:p>
        </w:tc>
        <w:tc>
          <w:tcPr>
            <w:tcW w:w="760" w:type="dxa"/>
            <w:vAlign w:val="bottom"/>
            <w:vMerge w:val="continue"/>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1140" w:type="dxa"/>
            <w:vAlign w:val="bottom"/>
            <w:vMerge w:val="restart"/>
            <w:shd w:val="clear" w:color="auto" w:fill="E6E6E6"/>
          </w:tcPr>
          <w:p>
            <w:pPr>
              <w:jc w:val="right"/>
              <w:ind w:right="13"/>
              <w:spacing w:after="0"/>
              <w:rPr>
                <w:sz w:val="20"/>
                <w:szCs w:val="20"/>
                <w:color w:val="auto"/>
              </w:rPr>
            </w:pPr>
            <w:r>
              <w:rPr>
                <w:rFonts w:ascii="Arial" w:cs="Arial" w:eastAsia="Arial" w:hAnsi="Arial"/>
                <w:sz w:val="13"/>
                <w:szCs w:val="13"/>
                <w:color w:val="auto"/>
              </w:rPr>
              <w:t>4,779</w:t>
            </w:r>
          </w:p>
        </w:tc>
        <w:tc>
          <w:tcPr>
            <w:tcW w:w="380" w:type="dxa"/>
            <w:vAlign w:val="bottom"/>
            <w:vMerge w:val="restart"/>
            <w:shd w:val="clear" w:color="auto" w:fill="E6E6E6"/>
          </w:tcPr>
          <w:p>
            <w:pPr>
              <w:jc w:val="right"/>
              <w:ind w:right="271"/>
              <w:spacing w:after="0"/>
              <w:rPr>
                <w:sz w:val="20"/>
                <w:szCs w:val="20"/>
                <w:color w:val="auto"/>
              </w:rPr>
            </w:pPr>
            <w:r>
              <w:rPr>
                <w:rFonts w:ascii="Arial" w:cs="Arial" w:eastAsia="Arial" w:hAnsi="Arial"/>
                <w:sz w:val="10"/>
                <w:szCs w:val="10"/>
                <w:color w:val="auto"/>
                <w:w w:val="71"/>
              </w:rPr>
              <w:t>4</w:t>
            </w:r>
          </w:p>
        </w:tc>
        <w:tc>
          <w:tcPr>
            <w:tcW w:w="136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$1,162,587</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E6E6E6"/>
            </w:tcBorders>
            <w:shd w:val="clear" w:color="auto" w:fill="E6E6E6"/>
          </w:tcPr>
          <w:p>
            <w:pPr>
              <w:spacing w:after="0"/>
              <w:rPr>
                <w:sz w:val="13"/>
                <w:szCs w:val="13"/>
                <w:color w:val="auto"/>
              </w:rPr>
            </w:pPr>
          </w:p>
        </w:tc>
        <w:tc>
          <w:tcPr>
            <w:tcW w:w="1760" w:type="dxa"/>
            <w:vAlign w:val="bottom"/>
            <w:tcBorders>
              <w:bottom w:val="single" w:sz="8" w:color="E6E6E6"/>
            </w:tcBorders>
            <w:shd w:val="clear" w:color="auto" w:fill="E6E6E6"/>
          </w:tcPr>
          <w:p>
            <w:pPr>
              <w:spacing w:after="0"/>
              <w:rPr>
                <w:sz w:val="13"/>
                <w:szCs w:val="13"/>
                <w:color w:val="auto"/>
              </w:rPr>
            </w:pPr>
          </w:p>
        </w:tc>
        <w:tc>
          <w:tcPr>
            <w:tcW w:w="760" w:type="dxa"/>
            <w:vAlign w:val="bottom"/>
            <w:tcBorders>
              <w:bottom w:val="single" w:sz="8" w:color="E6E6E6"/>
            </w:tcBorders>
            <w:shd w:val="clear" w:color="auto" w:fill="E6E6E6"/>
          </w:tcPr>
          <w:p>
            <w:pPr>
              <w:spacing w:after="0"/>
              <w:rPr>
                <w:sz w:val="13"/>
                <w:szCs w:val="13"/>
                <w:color w:val="auto"/>
              </w:rPr>
            </w:pPr>
          </w:p>
        </w:tc>
        <w:tc>
          <w:tcPr>
            <w:tcW w:w="580" w:type="dxa"/>
            <w:vAlign w:val="bottom"/>
            <w:tcBorders>
              <w:bottom w:val="single" w:sz="8" w:color="E6E6E6"/>
            </w:tcBorders>
            <w:shd w:val="clear" w:color="auto" w:fill="E6E6E6"/>
          </w:tcPr>
          <w:p>
            <w:pPr>
              <w:spacing w:after="0"/>
              <w:rPr>
                <w:sz w:val="13"/>
                <w:szCs w:val="13"/>
                <w:color w:val="auto"/>
              </w:rPr>
            </w:pPr>
          </w:p>
        </w:tc>
        <w:tc>
          <w:tcPr>
            <w:tcW w:w="1140" w:type="dxa"/>
            <w:vAlign w:val="bottom"/>
            <w:tcBorders>
              <w:bottom w:val="single" w:sz="8" w:color="E6E6E6"/>
            </w:tcBorders>
            <w:vMerge w:val="continue"/>
            <w:shd w:val="clear" w:color="auto" w:fill="E6E6E6"/>
          </w:tcPr>
          <w:p>
            <w:pPr>
              <w:spacing w:after="0"/>
              <w:rPr>
                <w:sz w:val="13"/>
                <w:szCs w:val="13"/>
                <w:color w:val="auto"/>
              </w:rPr>
            </w:pPr>
          </w:p>
        </w:tc>
        <w:tc>
          <w:tcPr>
            <w:tcW w:w="380" w:type="dxa"/>
            <w:vAlign w:val="bottom"/>
            <w:tcBorders>
              <w:bottom w:val="single" w:sz="8" w:color="E6E6E6"/>
            </w:tcBorders>
            <w:vMerge w:val="continue"/>
            <w:shd w:val="clear" w:color="auto" w:fill="E6E6E6"/>
          </w:tcPr>
          <w:p>
            <w:pPr>
              <w:spacing w:after="0"/>
              <w:rPr>
                <w:sz w:val="13"/>
                <w:szCs w:val="13"/>
                <w:color w:val="auto"/>
              </w:rPr>
            </w:pPr>
          </w:p>
        </w:tc>
        <w:tc>
          <w:tcPr>
            <w:tcW w:w="1360" w:type="dxa"/>
            <w:vAlign w:val="bottom"/>
            <w:tcBorders>
              <w:bottom w:val="single" w:sz="8" w:color="E6E6E6"/>
            </w:tcBorders>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760" w:type="dxa"/>
            <w:vAlign w:val="bottom"/>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5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41,029</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3</w:t>
            </w:r>
          </w:p>
        </w:tc>
        <w:tc>
          <w:tcPr>
            <w:tcW w:w="1360" w:type="dxa"/>
            <w:vAlign w:val="bottom"/>
          </w:tcPr>
          <w:p>
            <w:pPr>
              <w:jc w:val="right"/>
              <w:spacing w:after="0"/>
              <w:rPr>
                <w:sz w:val="20"/>
                <w:szCs w:val="20"/>
                <w:color w:val="auto"/>
              </w:rPr>
            </w:pPr>
            <w:r>
              <w:rPr>
                <w:rFonts w:ascii="Arial" w:cs="Arial" w:eastAsia="Arial" w:hAnsi="Arial"/>
                <w:sz w:val="13"/>
                <w:szCs w:val="13"/>
                <w:color w:val="auto"/>
              </w:rPr>
              <w:t>$9,981,125</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Mr. Van Naarden</w:t>
            </w:r>
          </w:p>
        </w:tc>
        <w:tc>
          <w:tcPr>
            <w:tcW w:w="1760" w:type="dxa"/>
            <w:vAlign w:val="bottom"/>
            <w:tcBorders>
              <w:bottom w:val="single" w:sz="8" w:color="E6E6E6"/>
            </w:tcBorders>
            <w:shd w:val="clear" w:color="auto" w:fill="E6E6E6"/>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580" w:type="dxa"/>
            <w:vAlign w:val="bottom"/>
            <w:tcBorders>
              <w:bottom w:val="single" w:sz="8" w:color="E6E6E6"/>
            </w:tcBorders>
            <w:shd w:val="clear" w:color="auto" w:fill="E6E6E6"/>
          </w:tcPr>
          <w:p>
            <w:pPr>
              <w:spacing w:after="0"/>
              <w:rPr>
                <w:sz w:val="20"/>
                <w:szCs w:val="20"/>
                <w:color w:val="auto"/>
              </w:rPr>
            </w:pPr>
          </w:p>
        </w:tc>
        <w:tc>
          <w:tcPr>
            <w:tcW w:w="1140" w:type="dxa"/>
            <w:vAlign w:val="bottom"/>
            <w:tcBorders>
              <w:bottom w:val="single" w:sz="8" w:color="E6E6E6"/>
            </w:tcBorders>
            <w:shd w:val="clear" w:color="auto" w:fill="E6E6E6"/>
          </w:tcPr>
          <w:p>
            <w:pPr>
              <w:jc w:val="right"/>
              <w:ind w:right="13"/>
              <w:spacing w:after="0"/>
              <w:rPr>
                <w:sz w:val="20"/>
                <w:szCs w:val="20"/>
                <w:color w:val="auto"/>
              </w:rPr>
            </w:pPr>
            <w:r>
              <w:rPr>
                <w:rFonts w:ascii="Arial" w:cs="Arial" w:eastAsia="Arial" w:hAnsi="Arial"/>
                <w:sz w:val="13"/>
                <w:szCs w:val="13"/>
                <w:color w:val="auto"/>
              </w:rPr>
              <w:t>7,929</w:t>
            </w:r>
          </w:p>
        </w:tc>
        <w:tc>
          <w:tcPr>
            <w:tcW w:w="380" w:type="dxa"/>
            <w:vAlign w:val="bottom"/>
            <w:tcBorders>
              <w:bottom w:val="single" w:sz="8" w:color="E6E6E6"/>
            </w:tcBorders>
            <w:shd w:val="clear" w:color="auto" w:fill="E6E6E6"/>
          </w:tcPr>
          <w:p>
            <w:pPr>
              <w:jc w:val="right"/>
              <w:ind w:right="271"/>
              <w:spacing w:after="0"/>
              <w:rPr>
                <w:sz w:val="20"/>
                <w:szCs w:val="20"/>
                <w:color w:val="auto"/>
              </w:rPr>
            </w:pPr>
            <w:r>
              <w:rPr>
                <w:rFonts w:ascii="Arial" w:cs="Arial" w:eastAsia="Arial" w:hAnsi="Arial"/>
                <w:sz w:val="10"/>
                <w:szCs w:val="10"/>
                <w:color w:val="auto"/>
                <w:w w:val="71"/>
              </w:rPr>
              <w:t>5</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$1,624,573</w:t>
            </w:r>
          </w:p>
        </w:tc>
        <w:tc>
          <w:tcPr>
            <w:tcW w:w="0" w:type="dxa"/>
            <w:vAlign w:val="bottom"/>
          </w:tcPr>
          <w:p>
            <w:pPr>
              <w:spacing w:after="0"/>
              <w:rPr>
                <w:sz w:val="1"/>
                <w:szCs w:val="1"/>
                <w:color w:val="auto"/>
              </w:rPr>
            </w:pPr>
          </w:p>
        </w:tc>
      </w:tr>
      <w:tr>
        <w:trPr>
          <w:trHeight w:val="248"/>
        </w:trPr>
        <w:tc>
          <w:tcPr>
            <w:tcW w:w="2960" w:type="dxa"/>
            <w:vAlign w:val="bottom"/>
          </w:tcPr>
          <w:p>
            <w:pPr>
              <w:ind w:left="20"/>
              <w:spacing w:after="0"/>
              <w:rPr>
                <w:sz w:val="20"/>
                <w:szCs w:val="20"/>
                <w:color w:val="auto"/>
              </w:rPr>
            </w:pPr>
            <w:r>
              <w:rPr>
                <w:rFonts w:ascii="Arial" w:cs="Arial" w:eastAsia="Arial" w:hAnsi="Arial"/>
                <w:sz w:val="13"/>
                <w:szCs w:val="13"/>
                <w:color w:val="auto"/>
              </w:rPr>
              <w:t>Mr. Rau</w:t>
            </w:r>
            <w:r>
              <w:rPr>
                <w:rFonts w:ascii="Arial" w:cs="Arial" w:eastAsia="Arial" w:hAnsi="Arial"/>
                <w:sz w:val="17"/>
                <w:szCs w:val="17"/>
                <w:color w:val="auto"/>
                <w:vertAlign w:val="superscript"/>
              </w:rPr>
              <w:t>6</w:t>
            </w:r>
          </w:p>
        </w:tc>
        <w:tc>
          <w:tcPr>
            <w:tcW w:w="1760" w:type="dxa"/>
            <w:vAlign w:val="bottom"/>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38"/>
        </w:trPr>
        <w:tc>
          <w:tcPr>
            <w:tcW w:w="296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Smiley</w:t>
            </w:r>
          </w:p>
        </w:tc>
        <w:tc>
          <w:tcPr>
            <w:tcW w:w="1760" w:type="dxa"/>
            <w:vAlign w:val="bottom"/>
            <w:shd w:val="clear" w:color="auto" w:fill="E6E6E6"/>
          </w:tcPr>
          <w:p>
            <w:pPr>
              <w:jc w:val="right"/>
              <w:ind w:right="655"/>
              <w:spacing w:after="0"/>
              <w:rPr>
                <w:sz w:val="20"/>
                <w:szCs w:val="20"/>
                <w:color w:val="auto"/>
              </w:rPr>
            </w:pPr>
            <w:r>
              <w:rPr>
                <w:rFonts w:ascii="Arial" w:cs="Arial" w:eastAsia="Arial" w:hAnsi="Arial"/>
                <w:sz w:val="13"/>
                <w:szCs w:val="13"/>
                <w:color w:val="auto"/>
              </w:rPr>
              <w:t>0</w:t>
            </w:r>
          </w:p>
        </w:tc>
        <w:tc>
          <w:tcPr>
            <w:tcW w:w="7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580" w:type="dxa"/>
            <w:vAlign w:val="bottom"/>
            <w:shd w:val="clear" w:color="auto" w:fill="E6E6E6"/>
          </w:tcPr>
          <w:p>
            <w:pPr>
              <w:spacing w:after="0"/>
              <w:rPr>
                <w:sz w:val="20"/>
                <w:szCs w:val="20"/>
                <w:color w:val="auto"/>
              </w:rPr>
            </w:pPr>
          </w:p>
        </w:tc>
        <w:tc>
          <w:tcPr>
            <w:tcW w:w="1140" w:type="dxa"/>
            <w:vAlign w:val="bottom"/>
            <w:shd w:val="clear" w:color="auto" w:fill="E6E6E6"/>
          </w:tcPr>
          <w:p>
            <w:pPr>
              <w:jc w:val="right"/>
              <w:ind w:right="13"/>
              <w:spacing w:after="0"/>
              <w:rPr>
                <w:sz w:val="20"/>
                <w:szCs w:val="20"/>
                <w:color w:val="auto"/>
              </w:rPr>
            </w:pPr>
            <w:r>
              <w:rPr>
                <w:rFonts w:ascii="Arial" w:cs="Arial" w:eastAsia="Arial" w:hAnsi="Arial"/>
                <w:sz w:val="13"/>
                <w:szCs w:val="13"/>
                <w:color w:val="auto"/>
              </w:rPr>
              <w:t>19,266</w:t>
            </w:r>
          </w:p>
        </w:tc>
        <w:tc>
          <w:tcPr>
            <w:tcW w:w="380" w:type="dxa"/>
            <w:vAlign w:val="bottom"/>
            <w:shd w:val="clear" w:color="auto" w:fill="E6E6E6"/>
          </w:tcPr>
          <w:p>
            <w:pPr>
              <w:jc w:val="right"/>
              <w:ind w:right="271"/>
              <w:spacing w:after="0"/>
              <w:rPr>
                <w:sz w:val="20"/>
                <w:szCs w:val="20"/>
                <w:color w:val="auto"/>
              </w:rPr>
            </w:pPr>
            <w:r>
              <w:rPr>
                <w:rFonts w:ascii="Arial" w:cs="Arial" w:eastAsia="Arial" w:hAnsi="Arial"/>
                <w:sz w:val="10"/>
                <w:szCs w:val="10"/>
                <w:color w:val="auto"/>
                <w:w w:val="71"/>
              </w:rPr>
              <w:t>2</w:t>
            </w:r>
          </w:p>
        </w:tc>
        <w:tc>
          <w:tcPr>
            <w:tcW w:w="13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$4,006,750</w:t>
            </w:r>
          </w:p>
        </w:tc>
        <w:tc>
          <w:tcPr>
            <w:tcW w:w="0" w:type="dxa"/>
            <w:vAlign w:val="bottom"/>
          </w:tcPr>
          <w:p>
            <w:pPr>
              <w:spacing w:after="0"/>
              <w:rPr>
                <w:sz w:val="1"/>
                <w:szCs w:val="1"/>
                <w:color w:val="auto"/>
              </w:rPr>
            </w:pPr>
          </w:p>
        </w:tc>
      </w:tr>
      <w:tr>
        <w:trPr>
          <w:trHeight w:val="28"/>
        </w:trPr>
        <w:tc>
          <w:tcPr>
            <w:tcW w:w="2960" w:type="dxa"/>
            <w:vAlign w:val="bottom"/>
            <w:shd w:val="clear" w:color="auto" w:fill="E6E6E6"/>
          </w:tcPr>
          <w:p>
            <w:pPr>
              <w:spacing w:after="0"/>
              <w:rPr>
                <w:sz w:val="2"/>
                <w:szCs w:val="2"/>
                <w:color w:val="auto"/>
              </w:rPr>
            </w:pPr>
          </w:p>
        </w:tc>
        <w:tc>
          <w:tcPr>
            <w:tcW w:w="1760" w:type="dxa"/>
            <w:vAlign w:val="bottom"/>
            <w:shd w:val="clear" w:color="auto" w:fill="E6E6E6"/>
          </w:tcPr>
          <w:p>
            <w:pPr>
              <w:spacing w:after="0"/>
              <w:rPr>
                <w:sz w:val="2"/>
                <w:szCs w:val="2"/>
                <w:color w:val="auto"/>
              </w:rPr>
            </w:pPr>
          </w:p>
        </w:tc>
        <w:tc>
          <w:tcPr>
            <w:tcW w:w="760" w:type="dxa"/>
            <w:vAlign w:val="bottom"/>
            <w:shd w:val="clear" w:color="auto" w:fill="E6E6E6"/>
          </w:tcPr>
          <w:p>
            <w:pPr>
              <w:spacing w:after="0"/>
              <w:rPr>
                <w:sz w:val="2"/>
                <w:szCs w:val="2"/>
                <w:color w:val="auto"/>
              </w:rPr>
            </w:pPr>
          </w:p>
        </w:tc>
        <w:tc>
          <w:tcPr>
            <w:tcW w:w="580" w:type="dxa"/>
            <w:vAlign w:val="bottom"/>
            <w:shd w:val="clear" w:color="auto" w:fill="E6E6E6"/>
          </w:tcPr>
          <w:p>
            <w:pPr>
              <w:spacing w:after="0"/>
              <w:rPr>
                <w:sz w:val="2"/>
                <w:szCs w:val="2"/>
                <w:color w:val="auto"/>
              </w:rPr>
            </w:pPr>
          </w:p>
        </w:tc>
        <w:tc>
          <w:tcPr>
            <w:tcW w:w="1140" w:type="dxa"/>
            <w:vAlign w:val="bottom"/>
            <w:shd w:val="clear" w:color="auto" w:fill="E6E6E6"/>
          </w:tcPr>
          <w:p>
            <w:pPr>
              <w:spacing w:after="0"/>
              <w:rPr>
                <w:sz w:val="2"/>
                <w:szCs w:val="2"/>
                <w:color w:val="auto"/>
              </w:rPr>
            </w:pPr>
          </w:p>
        </w:tc>
        <w:tc>
          <w:tcPr>
            <w:tcW w:w="380" w:type="dxa"/>
            <w:vAlign w:val="bottom"/>
            <w:shd w:val="clear" w:color="auto" w:fill="E6E6E6"/>
          </w:tcPr>
          <w:p>
            <w:pPr>
              <w:spacing w:after="0"/>
              <w:rPr>
                <w:sz w:val="2"/>
                <w:szCs w:val="2"/>
                <w:color w:val="auto"/>
              </w:rPr>
            </w:pPr>
          </w:p>
        </w:tc>
        <w:tc>
          <w:tcPr>
            <w:tcW w:w="136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0" w:hanging="92"/>
        <w:spacing w:after="0"/>
        <w:tabs>
          <w:tab w:leader="none" w:pos="100" w:val="left"/>
        </w:tabs>
        <w:numPr>
          <w:ilvl w:val="0"/>
          <w:numId w:val="91"/>
        </w:numPr>
        <w:rPr>
          <w:rFonts w:ascii="Arial" w:cs="Arial" w:eastAsia="Arial" w:hAnsi="Arial"/>
          <w:sz w:val="18"/>
          <w:szCs w:val="18"/>
          <w:color w:val="auto"/>
          <w:vertAlign w:val="superscript"/>
        </w:rPr>
      </w:pPr>
      <w:r>
        <w:rPr>
          <w:rFonts w:ascii="Arial" w:cs="Arial" w:eastAsia="Arial" w:hAnsi="Arial"/>
          <w:sz w:val="13"/>
          <w:szCs w:val="13"/>
          <w:color w:val="auto"/>
        </w:rPr>
        <w:t>Amounts reflect the market value of Lilly stock on the day value is realized.</w:t>
      </w:r>
    </w:p>
    <w:p>
      <w:pPr>
        <w:ind w:left="100" w:hanging="92"/>
        <w:spacing w:after="0" w:line="187" w:lineRule="auto"/>
        <w:tabs>
          <w:tab w:leader="none" w:pos="100" w:val="left"/>
        </w:tabs>
        <w:numPr>
          <w:ilvl w:val="0"/>
          <w:numId w:val="92"/>
        </w:numPr>
        <w:rPr>
          <w:rFonts w:ascii="Arial" w:cs="Arial" w:eastAsia="Arial" w:hAnsi="Arial"/>
          <w:sz w:val="18"/>
          <w:szCs w:val="18"/>
          <w:color w:val="auto"/>
          <w:vertAlign w:val="superscript"/>
        </w:rPr>
      </w:pPr>
      <w:r>
        <w:rPr>
          <w:rFonts w:ascii="Arial" w:cs="Arial" w:eastAsia="Arial" w:hAnsi="Arial"/>
          <w:sz w:val="13"/>
          <w:szCs w:val="13"/>
          <w:color w:val="auto"/>
        </w:rPr>
        <w:t>Restricted stock units resulting from the 2018-2020 performance award that vested in February 2021.</w:t>
      </w:r>
    </w:p>
    <w:p>
      <w:pPr>
        <w:spacing w:after="0" w:line="1" w:lineRule="exact"/>
        <w:rPr>
          <w:sz w:val="20"/>
          <w:szCs w:val="20"/>
          <w:color w:val="auto"/>
        </w:rPr>
      </w:pPr>
    </w:p>
    <w:p>
      <w:pPr>
        <w:ind w:firstLine="8"/>
        <w:spacing w:after="0" w:line="230" w:lineRule="auto"/>
        <w:tabs>
          <w:tab w:leader="none" w:pos="86" w:val="left"/>
        </w:tabs>
        <w:numPr>
          <w:ilvl w:val="0"/>
          <w:numId w:val="93"/>
        </w:numPr>
        <w:rPr>
          <w:rFonts w:ascii="Arial" w:cs="Arial" w:eastAsia="Arial" w:hAnsi="Arial"/>
          <w:sz w:val="18"/>
          <w:szCs w:val="18"/>
          <w:color w:val="auto"/>
          <w:vertAlign w:val="superscript"/>
        </w:rPr>
      </w:pPr>
      <w:r>
        <w:rPr>
          <w:rFonts w:ascii="Arial" w:cs="Arial" w:eastAsia="Arial" w:hAnsi="Arial"/>
          <w:sz w:val="13"/>
          <w:szCs w:val="13"/>
          <w:color w:val="auto"/>
        </w:rPr>
        <w:t>Payout of the 2019-2021 shareholder value award at 150 percent of target, adjusted by Lilly’s three-year cumulative TSR (145.7 percent) relative to its peer companies’ median cumulative TSR of 24.6 percent, resulting in a maximum TSR modifier of 20 percent and a final payout of 180 percent of target. Since Ms. Ashkenazi was not an executive officer when the 2019-2021 shareholder value award was granted, her award was not subject to the TSR modifier. As a result, her payout multiple was 150 percent of target.</w:t>
      </w:r>
    </w:p>
    <w:p>
      <w:pPr>
        <w:spacing w:after="0" w:line="1" w:lineRule="exact"/>
        <w:rPr>
          <w:rFonts w:ascii="Arial" w:cs="Arial" w:eastAsia="Arial" w:hAnsi="Arial"/>
          <w:sz w:val="18"/>
          <w:szCs w:val="18"/>
          <w:color w:val="auto"/>
          <w:vertAlign w:val="superscript"/>
        </w:rPr>
      </w:pPr>
    </w:p>
    <w:p>
      <w:pPr>
        <w:ind w:right="60"/>
        <w:spacing w:after="0" w:line="225"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4</w:t>
      </w:r>
      <w:r>
        <w:rPr>
          <w:rFonts w:ascii="Arial" w:cs="Arial" w:eastAsia="Arial" w:hAnsi="Arial"/>
          <w:sz w:val="13"/>
          <w:szCs w:val="13"/>
          <w:color w:val="auto"/>
        </w:rPr>
        <w:t xml:space="preserve"> Payout of the 2020-2022 performance award at 175% of target for Ms. Ashkenazi. She was not an executive officer in 2020 at the time of grant; therefore, no additional 13-month service-vesting period applied.</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5</w:t>
      </w:r>
      <w:r>
        <w:rPr>
          <w:rFonts w:ascii="Arial" w:cs="Arial" w:eastAsia="Arial" w:hAnsi="Arial"/>
          <w:sz w:val="13"/>
          <w:szCs w:val="13"/>
          <w:color w:val="auto"/>
        </w:rPr>
        <w:t xml:space="preserve"> This grant was made in 2020 before Mr. Van Naarden became an executive officer.</w:t>
      </w: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6</w:t>
      </w:r>
      <w:r>
        <w:rPr>
          <w:rFonts w:ascii="Arial" w:cs="Arial" w:eastAsia="Arial" w:hAnsi="Arial"/>
          <w:sz w:val="13"/>
          <w:szCs w:val="13"/>
          <w:color w:val="auto"/>
        </w:rPr>
        <w:t xml:space="preserve"> Mr. Rau joined Lilly in 2021 and had no option exercise or stock awards vest during 2021.</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provide retirement income to eligible U.S. employees, including executive officers, through the following plans:</w:t>
      </w:r>
    </w:p>
    <w:p>
      <w:pPr>
        <w:spacing w:after="0" w:line="113" w:lineRule="exact"/>
        <w:rPr>
          <w:sz w:val="20"/>
          <w:szCs w:val="20"/>
          <w:color w:val="auto"/>
        </w:rPr>
      </w:pPr>
    </w:p>
    <w:p>
      <w:pPr>
        <w:ind w:left="340" w:right="120" w:hanging="332"/>
        <w:spacing w:after="0" w:line="250" w:lineRule="auto"/>
        <w:tabs>
          <w:tab w:leader="none" w:pos="3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"All Other Compensation" column in the Summary Compensation Table for information about company contributions under the 401(k) Plan for the named executive officers.</w:t>
      </w:r>
    </w:p>
    <w:p>
      <w:pPr>
        <w:spacing w:after="0" w:line="94" w:lineRule="exact"/>
        <w:rPr>
          <w:rFonts w:ascii="Arial" w:cs="Arial" w:eastAsia="Arial" w:hAnsi="Arial"/>
          <w:sz w:val="16"/>
          <w:szCs w:val="16"/>
          <w:color w:val="auto"/>
        </w:rPr>
      </w:pPr>
    </w:p>
    <w:p>
      <w:pPr>
        <w:ind w:left="340" w:right="360" w:hanging="332"/>
        <w:spacing w:after="0" w:line="260" w:lineRule="auto"/>
        <w:tabs>
          <w:tab w:leader="none" w:pos="3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Retirement Plan, a tax-qualified defined benefit plan that provides monthly benefits to retirees. See the Pension Benefits in 2021 table below for additional information about the value of these pension benefits.</w:t>
      </w:r>
    </w:p>
    <w:p>
      <w:pPr>
        <w:spacing w:after="0" w:line="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Sections 401 and 415 of the Internal Revenue Code generally limit the amount of annual pension that can be paid from a tax-qualified plan ($230,000 in 2021 and $245,000 in 2022) as well as the amount of annual earnings that can be used to calculate a pension benefit ($290,000 in 2021 and $305,000 in 2022). However, since 1975 the company has maintained a nonqualified pension plan that pays eligible retirees the difference between the amount payable under the Retirement Plan and the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787" w:right="339" w:bottom="1440" w:gutter="0" w:footer="0" w:header="0"/>
        </w:sectPr>
      </w:pPr>
    </w:p>
    <w:bookmarkStart w:id="64" w:name="page65"/>
    <w:bookmarkEnd w:id="64"/>
    <w:p>
      <w:pPr>
        <w:ind w:right="80"/>
        <w:spacing w:after="0" w:line="251" w:lineRule="auto"/>
        <w:rPr>
          <w:sz w:val="20"/>
          <w:szCs w:val="20"/>
          <w:color w:val="auto"/>
        </w:rPr>
      </w:pPr>
      <w:r>
        <w:rPr>
          <w:rFonts w:ascii="Arial" w:cs="Arial" w:eastAsia="Arial" w:hAnsi="Arial"/>
          <w:sz w:val="16"/>
          <w:szCs w:val="16"/>
          <w:color w:val="auto"/>
        </w:rPr>
        <w:t>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"Nonqualified Deferred Compensation in 2021" table.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benefits that the named executive officers have accrued under the Retirement Plan and the nonqualified pension plan.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Benefits in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00" w:type="dxa"/>
            <w:vAlign w:val="bottom"/>
            <w:shd w:val="clear" w:color="auto" w:fill="DBDBDB"/>
          </w:tcPr>
          <w:p>
            <w:pPr>
              <w:spacing w:after="0"/>
              <w:rPr>
                <w:sz w:val="24"/>
                <w:szCs w:val="24"/>
                <w:color w:val="auto"/>
              </w:rPr>
            </w:pPr>
          </w:p>
        </w:tc>
        <w:tc>
          <w:tcPr>
            <w:tcW w:w="1860" w:type="dxa"/>
            <w:vAlign w:val="bottom"/>
            <w:shd w:val="clear" w:color="auto" w:fill="DBDBDB"/>
          </w:tcPr>
          <w:p>
            <w:pPr>
              <w:spacing w:after="0"/>
              <w:rPr>
                <w:sz w:val="24"/>
                <w:szCs w:val="24"/>
                <w:color w:val="auto"/>
              </w:rPr>
            </w:pPr>
          </w:p>
        </w:tc>
        <w:tc>
          <w:tcPr>
            <w:tcW w:w="19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Number of Years of Credited</w:t>
            </w:r>
          </w:p>
        </w:tc>
        <w:tc>
          <w:tcPr>
            <w:tcW w:w="1920" w:type="dxa"/>
            <w:vAlign w:val="bottom"/>
            <w:shd w:val="clear" w:color="auto" w:fill="DBDBDB"/>
          </w:tcPr>
          <w:p>
            <w:pPr>
              <w:jc w:val="right"/>
              <w:ind w:right="332"/>
              <w:spacing w:after="0"/>
              <w:rPr>
                <w:sz w:val="20"/>
                <w:szCs w:val="20"/>
                <w:color w:val="auto"/>
              </w:rPr>
            </w:pPr>
            <w:r>
              <w:rPr>
                <w:rFonts w:ascii="Arial" w:cs="Arial" w:eastAsia="Arial" w:hAnsi="Arial"/>
                <w:sz w:val="14"/>
                <w:szCs w:val="14"/>
                <w:b w:val="1"/>
                <w:bCs w:val="1"/>
                <w:color w:val="1CA8E1"/>
              </w:rPr>
              <w:t>Present Value of</w:t>
            </w:r>
          </w:p>
        </w:tc>
        <w:tc>
          <w:tcPr>
            <w:tcW w:w="1480" w:type="dxa"/>
            <w:vAlign w:val="bottom"/>
            <w:vMerge w:val="restart"/>
            <w:shd w:val="clear" w:color="auto" w:fill="DBDBDB"/>
          </w:tcPr>
          <w:p>
            <w:pPr>
              <w:jc w:val="right"/>
              <w:ind w:right="73"/>
              <w:spacing w:after="0"/>
              <w:rPr>
                <w:sz w:val="20"/>
                <w:szCs w:val="20"/>
                <w:color w:val="auto"/>
              </w:rPr>
            </w:pPr>
            <w:r>
              <w:rPr>
                <w:rFonts w:ascii="Arial" w:cs="Arial" w:eastAsia="Arial" w:hAnsi="Arial"/>
                <w:sz w:val="14"/>
                <w:szCs w:val="14"/>
                <w:b w:val="1"/>
                <w:bCs w:val="1"/>
                <w:color w:val="1CA8E1"/>
              </w:rPr>
              <w:t>Payments During</w:t>
            </w:r>
          </w:p>
        </w:tc>
        <w:tc>
          <w:tcPr>
            <w:tcW w:w="0" w:type="dxa"/>
            <w:vAlign w:val="bottom"/>
          </w:tcPr>
          <w:p>
            <w:pPr>
              <w:spacing w:after="0"/>
              <w:rPr>
                <w:sz w:val="1"/>
                <w:szCs w:val="1"/>
                <w:color w:val="auto"/>
              </w:rPr>
            </w:pPr>
          </w:p>
        </w:tc>
      </w:tr>
      <w:tr>
        <w:trPr>
          <w:trHeight w:val="149"/>
        </w:trPr>
        <w:tc>
          <w:tcPr>
            <w:tcW w:w="170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1860" w:type="dxa"/>
            <w:vAlign w:val="bottom"/>
            <w:vMerge w:val="restart"/>
            <w:shd w:val="clear" w:color="auto" w:fill="DBDBDB"/>
          </w:tcPr>
          <w:p>
            <w:pPr>
              <w:ind w:left="780"/>
              <w:spacing w:after="0"/>
              <w:rPr>
                <w:sz w:val="20"/>
                <w:szCs w:val="20"/>
                <w:color w:val="auto"/>
              </w:rPr>
            </w:pPr>
            <w:r>
              <w:rPr>
                <w:rFonts w:ascii="Arial" w:cs="Arial" w:eastAsia="Arial" w:hAnsi="Arial"/>
                <w:sz w:val="14"/>
                <w:szCs w:val="14"/>
                <w:b w:val="1"/>
                <w:bCs w:val="1"/>
                <w:color w:val="1CA8E1"/>
              </w:rPr>
              <w:t>Plan</w:t>
            </w:r>
          </w:p>
        </w:tc>
        <w:tc>
          <w:tcPr>
            <w:tcW w:w="1980" w:type="dxa"/>
            <w:vAlign w:val="bottom"/>
            <w:vMerge w:val="continue"/>
            <w:shd w:val="clear" w:color="auto" w:fill="DBDBDB"/>
          </w:tcPr>
          <w:p>
            <w:pPr>
              <w:spacing w:after="0"/>
              <w:rPr>
                <w:sz w:val="12"/>
                <w:szCs w:val="12"/>
                <w:color w:val="auto"/>
              </w:rPr>
            </w:pPr>
          </w:p>
        </w:tc>
        <w:tc>
          <w:tcPr>
            <w:tcW w:w="1920" w:type="dxa"/>
            <w:vAlign w:val="bottom"/>
            <w:shd w:val="clear" w:color="auto" w:fill="DBDBDB"/>
          </w:tcPr>
          <w:p>
            <w:pPr>
              <w:jc w:val="right"/>
              <w:ind w:right="12"/>
              <w:spacing w:after="0" w:line="149" w:lineRule="exact"/>
              <w:rPr>
                <w:sz w:val="20"/>
                <w:szCs w:val="20"/>
                <w:color w:val="auto"/>
              </w:rPr>
            </w:pPr>
            <w:r>
              <w:rPr>
                <w:rFonts w:ascii="Arial" w:cs="Arial" w:eastAsia="Arial" w:hAnsi="Arial"/>
                <w:sz w:val="14"/>
                <w:szCs w:val="14"/>
                <w:b w:val="1"/>
                <w:bCs w:val="1"/>
                <w:color w:val="1CA8E1"/>
              </w:rPr>
              <w:t xml:space="preserve">Accumulated Benefit ($) </w:t>
            </w:r>
            <w:r>
              <w:rPr>
                <w:rFonts w:ascii="Arial" w:cs="Arial" w:eastAsia="Arial" w:hAnsi="Arial"/>
                <w:sz w:val="17"/>
                <w:szCs w:val="17"/>
                <w:b w:val="1"/>
                <w:bCs w:val="1"/>
                <w:color w:val="1CA8E1"/>
                <w:vertAlign w:val="superscript"/>
              </w:rPr>
              <w:t>1</w:t>
            </w:r>
          </w:p>
        </w:tc>
        <w:tc>
          <w:tcPr>
            <w:tcW w:w="148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shd w:val="clear" w:color="auto" w:fill="DBDBDB"/>
          </w:tcPr>
          <w:p>
            <w:pPr>
              <w:spacing w:after="0"/>
              <w:rPr>
                <w:sz w:val="9"/>
                <w:szCs w:val="9"/>
                <w:color w:val="auto"/>
              </w:rPr>
            </w:pPr>
          </w:p>
        </w:tc>
        <w:tc>
          <w:tcPr>
            <w:tcW w:w="1860" w:type="dxa"/>
            <w:vAlign w:val="bottom"/>
            <w:vMerge w:val="continue"/>
            <w:shd w:val="clear" w:color="auto" w:fill="DBDBDB"/>
          </w:tcPr>
          <w:p>
            <w:pPr>
              <w:spacing w:after="0"/>
              <w:rPr>
                <w:sz w:val="9"/>
                <w:szCs w:val="9"/>
                <w:color w:val="auto"/>
              </w:rPr>
            </w:pPr>
          </w:p>
        </w:tc>
        <w:tc>
          <w:tcPr>
            <w:tcW w:w="1980" w:type="dxa"/>
            <w:vAlign w:val="bottom"/>
            <w:shd w:val="clear" w:color="auto" w:fill="DBDBDB"/>
          </w:tcPr>
          <w:p>
            <w:pPr>
              <w:jc w:val="center"/>
              <w:spacing w:after="0" w:line="108" w:lineRule="exact"/>
              <w:rPr>
                <w:sz w:val="20"/>
                <w:szCs w:val="20"/>
                <w:color w:val="auto"/>
              </w:rPr>
            </w:pPr>
            <w:r>
              <w:rPr>
                <w:rFonts w:ascii="Arial" w:cs="Arial" w:eastAsia="Arial" w:hAnsi="Arial"/>
                <w:sz w:val="12"/>
                <w:szCs w:val="12"/>
                <w:b w:val="1"/>
                <w:bCs w:val="1"/>
                <w:color w:val="1CA8E1"/>
              </w:rPr>
              <w:t>Service</w:t>
            </w:r>
          </w:p>
        </w:tc>
        <w:tc>
          <w:tcPr>
            <w:tcW w:w="1920" w:type="dxa"/>
            <w:vAlign w:val="bottom"/>
            <w:shd w:val="clear" w:color="auto" w:fill="DBDBDB"/>
          </w:tcPr>
          <w:p>
            <w:pPr>
              <w:spacing w:after="0"/>
              <w:rPr>
                <w:sz w:val="9"/>
                <w:szCs w:val="9"/>
                <w:color w:val="auto"/>
              </w:rPr>
            </w:pPr>
          </w:p>
        </w:tc>
        <w:tc>
          <w:tcPr>
            <w:tcW w:w="1480" w:type="dxa"/>
            <w:vAlign w:val="bottom"/>
            <w:shd w:val="clear" w:color="auto" w:fill="DBDBDB"/>
          </w:tcPr>
          <w:p>
            <w:pPr>
              <w:jc w:val="right"/>
              <w:ind w:right="13"/>
              <w:spacing w:after="0" w:line="108" w:lineRule="exact"/>
              <w:rPr>
                <w:sz w:val="20"/>
                <w:szCs w:val="20"/>
                <w:color w:val="auto"/>
              </w:rPr>
            </w:pPr>
            <w:r>
              <w:rPr>
                <w:rFonts w:ascii="Arial" w:cs="Arial" w:eastAsia="Arial" w:hAnsi="Arial"/>
                <w:sz w:val="12"/>
                <w:szCs w:val="12"/>
                <w:b w:val="1"/>
                <w:bCs w:val="1"/>
                <w:color w:val="1CA8E1"/>
              </w:rPr>
              <w:t>Last Fiscal Year ($)</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color w:val="auto"/>
              </w:rPr>
              <w:t>Mr. Ricks</w:t>
            </w:r>
          </w:p>
        </w:tc>
        <w:tc>
          <w:tcPr>
            <w:tcW w:w="1860" w:type="dxa"/>
            <w:vAlign w:val="bottom"/>
          </w:tcPr>
          <w:p>
            <w:pPr>
              <w:ind w:left="20"/>
              <w:spacing w:after="0"/>
              <w:rPr>
                <w:sz w:val="20"/>
                <w:szCs w:val="20"/>
                <w:color w:val="auto"/>
              </w:rPr>
            </w:pPr>
            <w:r>
              <w:rPr>
                <w:rFonts w:ascii="Arial" w:cs="Arial" w:eastAsia="Arial" w:hAnsi="Arial"/>
                <w:sz w:val="13"/>
                <w:szCs w:val="13"/>
                <w:color w:val="auto"/>
              </w:rPr>
              <w:t>retirement plan (pre-2010)</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$827,458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$455,777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3"/>
                <w:szCs w:val="13"/>
                <w:color w:val="auto"/>
              </w:rPr>
              <w:t>nonqualified plan (pre-2010)</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$11,555,253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$6,246,306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$19,084,794</w:t>
            </w:r>
          </w:p>
        </w:tc>
        <w:tc>
          <w:tcPr>
            <w:tcW w:w="148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(pre-2010)</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82"/>
              </w:rPr>
              <w:t>9</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$473,739</w:t>
            </w:r>
          </w:p>
        </w:tc>
        <w:tc>
          <w:tcPr>
            <w:tcW w:w="14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6E6E6"/>
          </w:tcPr>
          <w:p>
            <w:pPr>
              <w:spacing w:after="0"/>
              <w:rPr>
                <w:sz w:val="18"/>
                <w:szCs w:val="18"/>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$396,301</w:t>
            </w:r>
          </w:p>
        </w:tc>
        <w:tc>
          <w:tcPr>
            <w:tcW w:w="14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6E6E6"/>
          </w:tcPr>
          <w:p>
            <w:pPr>
              <w:spacing w:after="0"/>
              <w:rPr>
                <w:sz w:val="18"/>
                <w:szCs w:val="18"/>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82"/>
              </w:rPr>
              <w:t>9</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$1,015,918</w:t>
            </w:r>
          </w:p>
        </w:tc>
        <w:tc>
          <w:tcPr>
            <w:tcW w:w="14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6E6E6"/>
          </w:tcPr>
          <w:p>
            <w:pPr>
              <w:spacing w:after="0"/>
              <w:rPr>
                <w:sz w:val="18"/>
                <w:szCs w:val="18"/>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$856,088</w:t>
            </w:r>
          </w:p>
        </w:tc>
        <w:tc>
          <w:tcPr>
            <w:tcW w:w="14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Borders>
              <w:bottom w:val="single" w:sz="8" w:color="E6E6E6"/>
            </w:tcBorders>
            <w:shd w:val="clear" w:color="auto" w:fill="E6E6E6"/>
          </w:tcPr>
          <w:p>
            <w:pPr>
              <w:spacing w:after="0"/>
              <w:rPr>
                <w:sz w:val="19"/>
                <w:szCs w:val="19"/>
                <w:color w:val="auto"/>
              </w:rPr>
            </w:pPr>
          </w:p>
        </w:tc>
        <w:tc>
          <w:tcPr>
            <w:tcW w:w="1860" w:type="dxa"/>
            <w:vAlign w:val="bottom"/>
            <w:tcBorders>
              <w:bottom w:val="single" w:sz="8" w:color="E6E6E6"/>
            </w:tcBorders>
            <w:shd w:val="clear" w:color="auto" w:fill="E6E6E6"/>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tcBorders>
              <w:bottom w:val="single" w:sz="8" w:color="E6E6E6"/>
            </w:tcBorders>
            <w:shd w:val="clear" w:color="auto" w:fill="E6E6E6"/>
          </w:tcPr>
          <w:p>
            <w:pPr>
              <w:spacing w:after="0"/>
              <w:rPr>
                <w:sz w:val="19"/>
                <w:szCs w:val="19"/>
                <w:color w:val="auto"/>
              </w:rPr>
            </w:pPr>
          </w:p>
        </w:tc>
        <w:tc>
          <w:tcPr>
            <w:tcW w:w="1920" w:type="dxa"/>
            <w:vAlign w:val="bottom"/>
            <w:tcBorders>
              <w:bottom w:val="single" w:sz="8" w:color="E6E6E6"/>
            </w:tcBorders>
            <w:shd w:val="clear" w:color="auto" w:fill="E6E6E6"/>
          </w:tcPr>
          <w:p>
            <w:pPr>
              <w:jc w:val="right"/>
              <w:ind w:right="452"/>
              <w:spacing w:after="0"/>
              <w:rPr>
                <w:sz w:val="20"/>
                <w:szCs w:val="20"/>
                <w:color w:val="auto"/>
              </w:rPr>
            </w:pPr>
            <w:r>
              <w:rPr>
                <w:rFonts w:ascii="Arial" w:cs="Arial" w:eastAsia="Arial" w:hAnsi="Arial"/>
                <w:sz w:val="13"/>
                <w:szCs w:val="13"/>
                <w:color w:val="auto"/>
              </w:rPr>
              <w:t>$2,742,046</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860" w:type="dxa"/>
            <w:vAlign w:val="bottom"/>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$294,986</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82"/>
              </w:rPr>
              <w:t>9</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$1,676,195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$1,971,181</w:t>
            </w:r>
          </w:p>
        </w:tc>
        <w:tc>
          <w:tcPr>
            <w:tcW w:w="148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Van Naarden</w:t>
            </w: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9"/>
              </w:rPr>
              <w:t>0.3</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$7,555</w:t>
            </w:r>
          </w:p>
        </w:tc>
        <w:tc>
          <w:tcPr>
            <w:tcW w:w="14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E6E6E6"/>
          </w:tcPr>
          <w:p>
            <w:pPr>
              <w:spacing w:after="0"/>
              <w:rPr>
                <w:sz w:val="23"/>
                <w:szCs w:val="23"/>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9"/>
              </w:rPr>
              <w:t>0.3</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$9,354</w:t>
            </w:r>
          </w:p>
        </w:tc>
        <w:tc>
          <w:tcPr>
            <w:tcW w:w="14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E6E6E6"/>
            </w:tcBorders>
            <w:shd w:val="clear" w:color="auto" w:fill="E6E6E6"/>
          </w:tcPr>
          <w:p>
            <w:pPr>
              <w:spacing w:after="0"/>
              <w:rPr>
                <w:sz w:val="19"/>
                <w:szCs w:val="19"/>
                <w:color w:val="auto"/>
              </w:rPr>
            </w:pPr>
          </w:p>
        </w:tc>
        <w:tc>
          <w:tcPr>
            <w:tcW w:w="1860" w:type="dxa"/>
            <w:vAlign w:val="bottom"/>
            <w:tcBorders>
              <w:bottom w:val="single" w:sz="8" w:color="E6E6E6"/>
            </w:tcBorders>
            <w:shd w:val="clear" w:color="auto" w:fill="E6E6E6"/>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tcBorders>
              <w:bottom w:val="single" w:sz="8" w:color="E6E6E6"/>
            </w:tcBorders>
            <w:shd w:val="clear" w:color="auto" w:fill="E6E6E6"/>
          </w:tcPr>
          <w:p>
            <w:pPr>
              <w:spacing w:after="0"/>
              <w:rPr>
                <w:sz w:val="19"/>
                <w:szCs w:val="19"/>
                <w:color w:val="auto"/>
              </w:rPr>
            </w:pPr>
          </w:p>
        </w:tc>
        <w:tc>
          <w:tcPr>
            <w:tcW w:w="1920" w:type="dxa"/>
            <w:vAlign w:val="bottom"/>
            <w:tcBorders>
              <w:bottom w:val="single" w:sz="8" w:color="E6E6E6"/>
            </w:tcBorders>
            <w:shd w:val="clear" w:color="auto" w:fill="E6E6E6"/>
          </w:tcPr>
          <w:p>
            <w:pPr>
              <w:jc w:val="right"/>
              <w:ind w:right="452"/>
              <w:spacing w:after="0"/>
              <w:rPr>
                <w:sz w:val="20"/>
                <w:szCs w:val="20"/>
                <w:color w:val="auto"/>
              </w:rPr>
            </w:pPr>
            <w:r>
              <w:rPr>
                <w:rFonts w:ascii="Arial" w:cs="Arial" w:eastAsia="Arial" w:hAnsi="Arial"/>
                <w:sz w:val="13"/>
                <w:szCs w:val="13"/>
                <w:color w:val="auto"/>
              </w:rPr>
              <w:t>$16,909</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3"/>
                <w:szCs w:val="13"/>
                <w:color w:val="auto"/>
              </w:rPr>
              <w:t>Mr. Rau</w:t>
            </w:r>
          </w:p>
        </w:tc>
        <w:tc>
          <w:tcPr>
            <w:tcW w:w="1860" w:type="dxa"/>
            <w:vAlign w:val="bottom"/>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$30,790</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$13,729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860" w:type="dxa"/>
            <w:vAlign w:val="bottom"/>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tcPr>
          <w:p>
            <w:pPr>
              <w:spacing w:after="0"/>
              <w:rPr>
                <w:sz w:val="23"/>
                <w:szCs w:val="23"/>
                <w:color w:val="auto"/>
              </w:rPr>
            </w:pPr>
          </w:p>
        </w:tc>
        <w:tc>
          <w:tcPr>
            <w:tcW w:w="1920" w:type="dxa"/>
            <w:vAlign w:val="bottom"/>
          </w:tcPr>
          <w:p>
            <w:pPr>
              <w:jc w:val="right"/>
              <w:ind w:right="452"/>
              <w:spacing w:after="0"/>
              <w:rPr>
                <w:sz w:val="20"/>
                <w:szCs w:val="20"/>
                <w:color w:val="auto"/>
              </w:rPr>
            </w:pPr>
            <w:r>
              <w:rPr>
                <w:rFonts w:ascii="Arial" w:cs="Arial" w:eastAsia="Arial" w:hAnsi="Arial"/>
                <w:sz w:val="13"/>
                <w:szCs w:val="13"/>
                <w:color w:val="auto"/>
              </w:rPr>
              <w:t>$44,519</w:t>
            </w:r>
          </w:p>
        </w:tc>
        <w:tc>
          <w:tcPr>
            <w:tcW w:w="148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Smiley</w:t>
            </w: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(pre-2010)</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14</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$877,998</w:t>
            </w:r>
          </w:p>
        </w:tc>
        <w:tc>
          <w:tcPr>
            <w:tcW w:w="14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E6E6E6"/>
          </w:tcPr>
          <w:p>
            <w:pPr>
              <w:spacing w:after="0"/>
              <w:rPr>
                <w:sz w:val="23"/>
                <w:szCs w:val="23"/>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$408,343</w:t>
            </w:r>
          </w:p>
        </w:tc>
        <w:tc>
          <w:tcPr>
            <w:tcW w:w="14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E6E6E6"/>
          </w:tcPr>
          <w:p>
            <w:pPr>
              <w:spacing w:after="0"/>
              <w:rPr>
                <w:sz w:val="23"/>
                <w:szCs w:val="23"/>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retirement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14</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$4,002,852</w:t>
            </w:r>
          </w:p>
        </w:tc>
        <w:tc>
          <w:tcPr>
            <w:tcW w:w="14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E6E6E6"/>
          </w:tcPr>
          <w:p>
            <w:pPr>
              <w:spacing w:after="0"/>
              <w:rPr>
                <w:sz w:val="23"/>
                <w:szCs w:val="23"/>
                <w:color w:val="auto"/>
              </w:rPr>
            </w:pPr>
          </w:p>
        </w:tc>
        <w:tc>
          <w:tcPr>
            <w:tcW w:w="186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plan (post-2009)</w:t>
            </w:r>
          </w:p>
        </w:tc>
        <w:tc>
          <w:tcPr>
            <w:tcW w:w="1980" w:type="dxa"/>
            <w:vAlign w:val="bottom"/>
            <w:shd w:val="clear" w:color="auto" w:fill="E6E6E6"/>
          </w:tcPr>
          <w:p>
            <w:pPr>
              <w:jc w:val="center"/>
              <w:spacing w:after="0"/>
              <w:rPr>
                <w:sz w:val="20"/>
                <w:szCs w:val="20"/>
                <w:color w:val="auto"/>
              </w:rPr>
            </w:pPr>
            <w:r>
              <w:rPr>
                <w:rFonts w:ascii="Arial" w:cs="Arial" w:eastAsia="Arial" w:hAnsi="Arial"/>
                <w:sz w:val="13"/>
                <w:szCs w:val="13"/>
                <w:color w:val="auto"/>
                <w:w w:val="96"/>
              </w:rPr>
              <w:t>12</w:t>
            </w: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$1,832,029</w:t>
            </w:r>
          </w:p>
        </w:tc>
        <w:tc>
          <w:tcPr>
            <w:tcW w:w="14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E6E6E6"/>
          </w:tcPr>
          <w:p>
            <w:pPr>
              <w:spacing w:after="0"/>
              <w:rPr>
                <w:sz w:val="23"/>
                <w:szCs w:val="23"/>
                <w:color w:val="auto"/>
              </w:rPr>
            </w:pPr>
          </w:p>
        </w:tc>
        <w:tc>
          <w:tcPr>
            <w:tcW w:w="1860" w:type="dxa"/>
            <w:vAlign w:val="bottom"/>
            <w:shd w:val="clear" w:color="auto" w:fill="E6E6E6"/>
          </w:tcPr>
          <w:p>
            <w:pPr>
              <w:ind w:left="1580"/>
              <w:spacing w:after="0"/>
              <w:rPr>
                <w:sz w:val="20"/>
                <w:szCs w:val="20"/>
                <w:color w:val="auto"/>
              </w:rPr>
            </w:pPr>
            <w:r>
              <w:rPr>
                <w:rFonts w:ascii="Arial" w:cs="Arial" w:eastAsia="Arial" w:hAnsi="Arial"/>
                <w:sz w:val="13"/>
                <w:szCs w:val="13"/>
                <w:color w:val="auto"/>
              </w:rPr>
              <w:t>total</w:t>
            </w:r>
          </w:p>
        </w:tc>
        <w:tc>
          <w:tcPr>
            <w:tcW w:w="1980" w:type="dxa"/>
            <w:vAlign w:val="bottom"/>
            <w:shd w:val="clear" w:color="auto" w:fill="E6E6E6"/>
          </w:tcPr>
          <w:p>
            <w:pPr>
              <w:spacing w:after="0"/>
              <w:rPr>
                <w:sz w:val="23"/>
                <w:szCs w:val="23"/>
                <w:color w:val="auto"/>
              </w:rPr>
            </w:pPr>
          </w:p>
        </w:tc>
        <w:tc>
          <w:tcPr>
            <w:tcW w:w="1920" w:type="dxa"/>
            <w:vAlign w:val="bottom"/>
            <w:shd w:val="clear" w:color="auto" w:fill="E6E6E6"/>
          </w:tcPr>
          <w:p>
            <w:pPr>
              <w:jc w:val="right"/>
              <w:ind w:right="452"/>
              <w:spacing w:after="0"/>
              <w:rPr>
                <w:sz w:val="20"/>
                <w:szCs w:val="20"/>
                <w:color w:val="auto"/>
              </w:rPr>
            </w:pPr>
            <w:r>
              <w:rPr>
                <w:rFonts w:ascii="Arial" w:cs="Arial" w:eastAsia="Arial" w:hAnsi="Arial"/>
                <w:sz w:val="13"/>
                <w:szCs w:val="13"/>
                <w:color w:val="auto"/>
              </w:rPr>
              <w:t>$7,121,222</w:t>
            </w:r>
          </w:p>
        </w:tc>
        <w:tc>
          <w:tcPr>
            <w:tcW w:w="14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
        </w:trPr>
        <w:tc>
          <w:tcPr>
            <w:tcW w:w="1700" w:type="dxa"/>
            <w:vAlign w:val="bottom"/>
            <w:shd w:val="clear" w:color="auto" w:fill="E6E6E6"/>
          </w:tcPr>
          <w:p>
            <w:pPr>
              <w:spacing w:after="0"/>
              <w:rPr>
                <w:sz w:val="2"/>
                <w:szCs w:val="2"/>
                <w:color w:val="auto"/>
              </w:rPr>
            </w:pPr>
          </w:p>
        </w:tc>
        <w:tc>
          <w:tcPr>
            <w:tcW w:w="1860" w:type="dxa"/>
            <w:vAlign w:val="bottom"/>
            <w:shd w:val="clear" w:color="auto" w:fill="E6E6E6"/>
          </w:tcPr>
          <w:p>
            <w:pPr>
              <w:spacing w:after="0"/>
              <w:rPr>
                <w:sz w:val="2"/>
                <w:szCs w:val="2"/>
                <w:color w:val="auto"/>
              </w:rPr>
            </w:pPr>
          </w:p>
        </w:tc>
        <w:tc>
          <w:tcPr>
            <w:tcW w:w="1980" w:type="dxa"/>
            <w:vAlign w:val="bottom"/>
            <w:shd w:val="clear" w:color="auto" w:fill="E6E6E6"/>
          </w:tcPr>
          <w:p>
            <w:pPr>
              <w:spacing w:after="0"/>
              <w:rPr>
                <w:sz w:val="2"/>
                <w:szCs w:val="2"/>
                <w:color w:val="auto"/>
              </w:rPr>
            </w:pPr>
          </w:p>
        </w:tc>
        <w:tc>
          <w:tcPr>
            <w:tcW w:w="1920" w:type="dxa"/>
            <w:vAlign w:val="bottom"/>
            <w:shd w:val="clear" w:color="auto" w:fill="E6E6E6"/>
          </w:tcPr>
          <w:p>
            <w:pPr>
              <w:spacing w:after="0"/>
              <w:rPr>
                <w:sz w:val="2"/>
                <w:szCs w:val="2"/>
                <w:color w:val="auto"/>
              </w:rPr>
            </w:pPr>
          </w:p>
        </w:tc>
        <w:tc>
          <w:tcPr>
            <w:tcW w:w="148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0" w:hanging="92"/>
        <w:spacing w:after="0"/>
        <w:tabs>
          <w:tab w:leader="none" w:pos="100" w:val="left"/>
        </w:tabs>
        <w:numPr>
          <w:ilvl w:val="0"/>
          <w:numId w:val="95"/>
        </w:numPr>
        <w:rPr>
          <w:rFonts w:ascii="Arial" w:cs="Arial" w:eastAsia="Arial" w:hAnsi="Arial"/>
          <w:sz w:val="18"/>
          <w:szCs w:val="18"/>
          <w:color w:val="auto"/>
          <w:vertAlign w:val="superscript"/>
        </w:rPr>
      </w:pPr>
      <w:r>
        <w:rPr>
          <w:rFonts w:ascii="Arial" w:cs="Arial" w:eastAsia="Arial" w:hAnsi="Arial"/>
          <w:sz w:val="13"/>
          <w:szCs w:val="13"/>
          <w:color w:val="auto"/>
        </w:rPr>
        <w:t>The following standard actuarial assumptions were used to calculate the present value of each individual’s accumulated pension benefit:</w:t>
      </w:r>
    </w:p>
    <w:p>
      <w:pPr>
        <w:sectPr>
          <w:pgSz w:w="11900" w:h="16838" w:orient="portrait"/>
          <w:cols w:equalWidth="0" w:num="1">
            <w:col w:w="11200"/>
          </w:cols>
          <w:pgMar w:left="320" w:top="843" w:right="379" w:bottom="1440" w:gutter="0" w:footer="0" w:header="0"/>
        </w:sectPr>
      </w:pP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1CA8E1"/>
        </w:rPr>
        <w:t>Discount rate:</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1CA8E1"/>
        </w:rPr>
        <w:t>Mortality (post-retirement decrement only):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1CA8E1"/>
        </w:rPr>
        <w:t>Pre-2010 joint and survivor benefit (% of pension):</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1CA8E1"/>
        </w:rPr>
        <w:t>Post-2009 benefit payment form: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3.11 percent for the qualified plan and 2.91 percent for nonqualified plan</w:t>
      </w:r>
    </w:p>
    <w:p>
      <w:pPr>
        <w:spacing w:after="0" w:line="107" w:lineRule="exact"/>
        <w:rPr>
          <w:sz w:val="20"/>
          <w:szCs w:val="20"/>
          <w:color w:val="auto"/>
        </w:rPr>
      </w:pPr>
    </w:p>
    <w:p>
      <w:pPr>
        <w:ind w:right="2380"/>
        <w:spacing w:after="0" w:line="482" w:lineRule="auto"/>
        <w:rPr>
          <w:sz w:val="20"/>
          <w:szCs w:val="20"/>
          <w:color w:val="auto"/>
        </w:rPr>
      </w:pPr>
      <w:r>
        <w:rPr>
          <w:rFonts w:ascii="Arial" w:cs="Arial" w:eastAsia="Arial" w:hAnsi="Arial"/>
          <w:sz w:val="13"/>
          <w:szCs w:val="13"/>
          <w:color w:val="auto"/>
        </w:rPr>
        <w:t>Private 2012 white collar table with generational projection using Scale MP-2021 50 percent until age 62; 25 percent thereafter Life annuity</w:t>
      </w:r>
    </w:p>
    <w:p>
      <w:pPr>
        <w:spacing w:after="0" w:line="252" w:lineRule="exact"/>
        <w:rPr>
          <w:sz w:val="20"/>
          <w:szCs w:val="20"/>
          <w:color w:val="auto"/>
        </w:rPr>
      </w:pPr>
    </w:p>
    <w:p>
      <w:pPr>
        <w:sectPr>
          <w:pgSz w:w="11900" w:h="16838" w:orient="portrait"/>
          <w:cols w:equalWidth="0" w:num="2">
            <w:col w:w="3940" w:space="80"/>
            <w:col w:w="7180"/>
          </w:cols>
          <w:pgMar w:left="320" w:top="843" w:right="379" w:bottom="1440" w:gutter="0" w:footer="0" w:header="0"/>
          <w:type w:val="continuous"/>
        </w:sectPr>
      </w:pPr>
    </w:p>
    <w:p>
      <w:pPr>
        <w:spacing w:after="0" w:line="253" w:lineRule="auto"/>
        <w:rPr>
          <w:sz w:val="20"/>
          <w:szCs w:val="20"/>
          <w:color w:val="auto"/>
        </w:rPr>
      </w:pPr>
      <w:r>
        <w:rPr>
          <w:rFonts w:ascii="Arial" w:cs="Arial" w:eastAsia="Arial" w:hAnsi="Arial"/>
          <w:sz w:val="16"/>
          <w:szCs w:val="16"/>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ten calendar years of service (final average earnings).</w:t>
      </w:r>
    </w:p>
    <w:p>
      <w:pPr>
        <w:spacing w:after="0" w:line="92"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b w:val="1"/>
          <w:bCs w:val="1"/>
          <w:color w:val="1CA8E1"/>
        </w:rPr>
        <w:t xml:space="preserve">Post-2009 Plan Information: </w:t>
      </w:r>
      <w:r>
        <w:rPr>
          <w:rFonts w:ascii="Arial" w:cs="Arial" w:eastAsia="Arial" w:hAnsi="Arial"/>
          <w:sz w:val="16"/>
          <w:szCs w:val="16"/>
          <w:color w:val="000000"/>
        </w:rPr>
        <w:t>Following amendment of our Retirement Plan formulas, employees first hired on or after February 1, 2008, have accrued</w:t>
      </w:r>
      <w:r>
        <w:rPr>
          <w:rFonts w:ascii="Arial" w:cs="Arial" w:eastAsia="Arial" w:hAnsi="Arial"/>
          <w:sz w:val="14"/>
          <w:szCs w:val="14"/>
          <w:b w:val="1"/>
          <w:bCs w:val="1"/>
          <w:color w:val="1CA8E1"/>
        </w:rPr>
        <w:t xml:space="preserve"> </w:t>
      </w:r>
      <w:r>
        <w:rPr>
          <w:rFonts w:ascii="Arial" w:cs="Arial" w:eastAsia="Arial" w:hAnsi="Arial"/>
          <w:sz w:val="16"/>
          <w:szCs w:val="16"/>
          <w:color w:val="000000"/>
        </w:rPr>
        <w:t>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 average earnings multiplied by years of service. Early retirement benefits under this plan formula are reduced six percent for each year under age 65. Transition benefits were afforded to employees with</w:t>
      </w:r>
    </w:p>
    <w:p>
      <w:pPr>
        <w:spacing w:after="0" w:line="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Ms. Ashkenazi, and Mr. Smiley are in this transition group.</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00"/>
          </w:cols>
          <w:pgMar w:left="320" w:top="843" w:right="379" w:bottom="1440" w:gutter="0" w:footer="0" w:header="0"/>
          <w:type w:val="continuous"/>
        </w:sectPr>
      </w:pPr>
    </w:p>
    <w:bookmarkStart w:id="65" w:name="page66"/>
    <w:bookmarkEnd w:id="65"/>
    <w:p>
      <w:pPr>
        <w:ind w:right="40"/>
        <w:spacing w:after="0" w:line="249" w:lineRule="auto"/>
        <w:rPr>
          <w:sz w:val="20"/>
          <w:szCs w:val="20"/>
          <w:color w:val="auto"/>
        </w:rPr>
      </w:pPr>
      <w:r>
        <w:rPr>
          <w:rFonts w:ascii="Arial" w:cs="Arial" w:eastAsia="Arial" w:hAnsi="Arial"/>
          <w:sz w:val="14"/>
          <w:szCs w:val="14"/>
          <w:b w:val="1"/>
          <w:bCs w:val="1"/>
          <w:color w:val="1CA8E1"/>
        </w:rPr>
        <w:t xml:space="preserve">Pre-2010 Plan Information: </w:t>
      </w:r>
      <w:r>
        <w:rPr>
          <w:rFonts w:ascii="Arial" w:cs="Arial" w:eastAsia="Arial" w:hAnsi="Arial"/>
          <w:sz w:val="16"/>
          <w:szCs w:val="16"/>
          <w:color w:val="000000"/>
        </w:rPr>
        <w:t>Employees hired prior to February 1, 2008 accrued benefits under both plan formulas. For these employees, benefits that accrued</w:t>
      </w:r>
      <w:r>
        <w:rPr>
          <w:rFonts w:ascii="Arial" w:cs="Arial" w:eastAsia="Arial" w:hAnsi="Arial"/>
          <w:sz w:val="14"/>
          <w:szCs w:val="14"/>
          <w:b w:val="1"/>
          <w:bCs w:val="1"/>
          <w:color w:val="1CA8E1"/>
        </w:rPr>
        <w:t xml:space="preserve"> </w:t>
      </w:r>
      <w:r>
        <w:rPr>
          <w:rFonts w:ascii="Arial" w:cs="Arial" w:eastAsia="Arial" w:hAnsi="Arial"/>
          <w:sz w:val="16"/>
          <w:szCs w:val="16"/>
          <w:color w:val="000000"/>
        </w:rPr>
        <w:t>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at December 31, 2009. Full retirement benefits are earned by employees with 90 or more points (the sum of his or her age plus years of service). Employees electing early retirement receive reduced benefits as described below:</w:t>
      </w:r>
    </w:p>
    <w:p>
      <w:pPr>
        <w:spacing w:after="0" w:line="44"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benefit for employees with between 80 and 90 points is reduced by three percent for each year before the earlier of 90 points or age 62.</w:t>
      </w:r>
    </w:p>
    <w:p>
      <w:pPr>
        <w:spacing w:after="0" w:line="113" w:lineRule="exact"/>
        <w:rPr>
          <w:rFonts w:ascii="Arial" w:cs="Arial" w:eastAsia="Arial" w:hAnsi="Arial"/>
          <w:sz w:val="16"/>
          <w:szCs w:val="16"/>
          <w:color w:val="auto"/>
        </w:rPr>
      </w:pPr>
    </w:p>
    <w:p>
      <w:pPr>
        <w:ind w:left="340" w:right="460" w:hanging="332"/>
        <w:spacing w:after="0" w:line="260" w:lineRule="auto"/>
        <w:tabs>
          <w:tab w:leader="none" w:pos="30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benefit for employees who have fewer than 80 points, but who reached age 55 and have at least ten years of service, is reduced as described above and is further reduced by six percent for each year before the earlier of 80 points or age 65.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 in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Executive</w:t>
            </w:r>
          </w:p>
        </w:tc>
        <w:tc>
          <w:tcPr>
            <w:tcW w:w="13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Registrant</w:t>
            </w:r>
          </w:p>
        </w:tc>
        <w:tc>
          <w:tcPr>
            <w:tcW w:w="1220" w:type="dxa"/>
            <w:vAlign w:val="bottom"/>
            <w:shd w:val="clear" w:color="auto" w:fill="DBDBDB"/>
          </w:tcPr>
          <w:p>
            <w:pPr>
              <w:spacing w:after="0"/>
              <w:rPr>
                <w:sz w:val="19"/>
                <w:szCs w:val="19"/>
                <w:color w:val="auto"/>
              </w:rPr>
            </w:pPr>
          </w:p>
        </w:tc>
        <w:tc>
          <w:tcPr>
            <w:tcW w:w="12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00A1DE"/>
              </w:rPr>
              <w:t>Aggregate</w:t>
            </w:r>
          </w:p>
        </w:tc>
        <w:tc>
          <w:tcPr>
            <w:tcW w:w="1260" w:type="dxa"/>
            <w:vAlign w:val="bottom"/>
            <w:vMerge w:val="restart"/>
            <w:shd w:val="clear" w:color="auto" w:fill="DBDBDB"/>
          </w:tcPr>
          <w:p>
            <w:pPr>
              <w:jc w:val="right"/>
              <w:ind w:right="252"/>
              <w:spacing w:after="0"/>
              <w:rPr>
                <w:sz w:val="20"/>
                <w:szCs w:val="20"/>
                <w:color w:val="auto"/>
              </w:rPr>
            </w:pPr>
            <w:r>
              <w:rPr>
                <w:rFonts w:ascii="Arial" w:cs="Arial" w:eastAsia="Arial" w:hAnsi="Arial"/>
                <w:sz w:val="14"/>
                <w:szCs w:val="14"/>
                <w:b w:val="1"/>
                <w:bCs w:val="1"/>
                <w:color w:val="00A1DE"/>
              </w:rPr>
              <w:t>Aggregate</w:t>
            </w:r>
          </w:p>
        </w:tc>
        <w:tc>
          <w:tcPr>
            <w:tcW w:w="0" w:type="dxa"/>
            <w:vAlign w:val="bottom"/>
          </w:tcPr>
          <w:p>
            <w:pPr>
              <w:spacing w:after="0"/>
              <w:rPr>
                <w:sz w:val="1"/>
                <w:szCs w:val="1"/>
                <w:color w:val="auto"/>
              </w:rPr>
            </w:pPr>
          </w:p>
        </w:tc>
      </w:tr>
      <w:tr>
        <w:trPr>
          <w:trHeight w:val="108"/>
        </w:trPr>
        <w:tc>
          <w:tcPr>
            <w:tcW w:w="980" w:type="dxa"/>
            <w:vAlign w:val="bottom"/>
            <w:shd w:val="clear" w:color="auto" w:fill="DBDBDB"/>
          </w:tcPr>
          <w:p>
            <w:pPr>
              <w:spacing w:after="0"/>
              <w:rPr>
                <w:sz w:val="9"/>
                <w:szCs w:val="9"/>
                <w:color w:val="auto"/>
              </w:rPr>
            </w:pPr>
          </w:p>
        </w:tc>
        <w:tc>
          <w:tcPr>
            <w:tcW w:w="1540" w:type="dxa"/>
            <w:vAlign w:val="bottom"/>
            <w:shd w:val="clear" w:color="auto" w:fill="DBDBDB"/>
          </w:tcPr>
          <w:p>
            <w:pPr>
              <w:spacing w:after="0"/>
              <w:rPr>
                <w:sz w:val="9"/>
                <w:szCs w:val="9"/>
                <w:color w:val="auto"/>
              </w:rPr>
            </w:pPr>
          </w:p>
        </w:tc>
        <w:tc>
          <w:tcPr>
            <w:tcW w:w="1280" w:type="dxa"/>
            <w:vAlign w:val="bottom"/>
            <w:vMerge w:val="continue"/>
            <w:shd w:val="clear" w:color="auto" w:fill="DBDBDB"/>
          </w:tcPr>
          <w:p>
            <w:pPr>
              <w:spacing w:after="0"/>
              <w:rPr>
                <w:sz w:val="9"/>
                <w:szCs w:val="9"/>
                <w:color w:val="auto"/>
              </w:rPr>
            </w:pPr>
          </w:p>
        </w:tc>
        <w:tc>
          <w:tcPr>
            <w:tcW w:w="1320" w:type="dxa"/>
            <w:vAlign w:val="bottom"/>
            <w:vMerge w:val="continue"/>
            <w:shd w:val="clear" w:color="auto" w:fill="DBDBDB"/>
          </w:tcPr>
          <w:p>
            <w:pPr>
              <w:spacing w:after="0"/>
              <w:rPr>
                <w:sz w:val="9"/>
                <w:szCs w:val="9"/>
                <w:color w:val="auto"/>
              </w:rPr>
            </w:pPr>
          </w:p>
        </w:tc>
        <w:tc>
          <w:tcPr>
            <w:tcW w:w="12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Aggregate</w:t>
            </w: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Withdrawals/</w:t>
            </w:r>
          </w:p>
        </w:tc>
        <w:tc>
          <w:tcPr>
            <w:tcW w:w="12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80" w:type="dxa"/>
            <w:vAlign w:val="bottom"/>
            <w:shd w:val="clear" w:color="auto" w:fill="DBDBDB"/>
          </w:tcPr>
          <w:p>
            <w:pPr>
              <w:spacing w:after="0"/>
              <w:rPr>
                <w:sz w:val="4"/>
                <w:szCs w:val="4"/>
                <w:color w:val="auto"/>
              </w:rPr>
            </w:pPr>
          </w:p>
        </w:tc>
        <w:tc>
          <w:tcPr>
            <w:tcW w:w="1540" w:type="dxa"/>
            <w:vAlign w:val="bottom"/>
            <w:shd w:val="clear" w:color="auto" w:fill="DBDBDB"/>
          </w:tcPr>
          <w:p>
            <w:pPr>
              <w:spacing w:after="0"/>
              <w:rPr>
                <w:sz w:val="4"/>
                <w:szCs w:val="4"/>
                <w:color w:val="auto"/>
              </w:rPr>
            </w:pP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Contributions in</w:t>
            </w:r>
          </w:p>
        </w:tc>
        <w:tc>
          <w:tcPr>
            <w:tcW w:w="13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Contributions in</w:t>
            </w:r>
          </w:p>
        </w:tc>
        <w:tc>
          <w:tcPr>
            <w:tcW w:w="1220" w:type="dxa"/>
            <w:vAlign w:val="bottom"/>
            <w:vMerge w:val="continue"/>
            <w:shd w:val="clear" w:color="auto" w:fill="DBDBDB"/>
          </w:tcPr>
          <w:p>
            <w:pPr>
              <w:spacing w:after="0"/>
              <w:rPr>
                <w:sz w:val="4"/>
                <w:szCs w:val="4"/>
                <w:color w:val="auto"/>
              </w:rPr>
            </w:pPr>
          </w:p>
        </w:tc>
        <w:tc>
          <w:tcPr>
            <w:tcW w:w="1280" w:type="dxa"/>
            <w:vAlign w:val="bottom"/>
            <w:vMerge w:val="continue"/>
            <w:shd w:val="clear" w:color="auto" w:fill="DBDBDB"/>
          </w:tcPr>
          <w:p>
            <w:pPr>
              <w:spacing w:after="0"/>
              <w:rPr>
                <w:sz w:val="4"/>
                <w:szCs w:val="4"/>
                <w:color w:val="auto"/>
              </w:rPr>
            </w:pPr>
          </w:p>
        </w:tc>
        <w:tc>
          <w:tcPr>
            <w:tcW w:w="1260" w:type="dxa"/>
            <w:vAlign w:val="bottom"/>
            <w:vMerge w:val="restart"/>
            <w:shd w:val="clear" w:color="auto" w:fill="DBDBDB"/>
          </w:tcPr>
          <w:p>
            <w:pPr>
              <w:jc w:val="right"/>
              <w:ind w:right="72"/>
              <w:spacing w:after="0"/>
              <w:rPr>
                <w:sz w:val="20"/>
                <w:szCs w:val="20"/>
                <w:color w:val="auto"/>
              </w:rPr>
            </w:pPr>
            <w:r>
              <w:rPr>
                <w:rFonts w:ascii="Arial" w:cs="Arial" w:eastAsia="Arial" w:hAnsi="Arial"/>
                <w:sz w:val="14"/>
                <w:szCs w:val="14"/>
                <w:b w:val="1"/>
                <w:bCs w:val="1"/>
                <w:color w:val="00A1DE"/>
              </w:rPr>
              <w:t>Balance at Last</w:t>
            </w:r>
          </w:p>
        </w:tc>
        <w:tc>
          <w:tcPr>
            <w:tcW w:w="0" w:type="dxa"/>
            <w:vAlign w:val="bottom"/>
          </w:tcPr>
          <w:p>
            <w:pPr>
              <w:spacing w:after="0"/>
              <w:rPr>
                <w:sz w:val="1"/>
                <w:szCs w:val="1"/>
                <w:color w:val="auto"/>
              </w:rPr>
            </w:pPr>
          </w:p>
        </w:tc>
      </w:tr>
      <w:tr>
        <w:trPr>
          <w:trHeight w:val="108"/>
        </w:trPr>
        <w:tc>
          <w:tcPr>
            <w:tcW w:w="980" w:type="dxa"/>
            <w:vAlign w:val="bottom"/>
            <w:shd w:val="clear" w:color="auto" w:fill="DBDBDB"/>
          </w:tcPr>
          <w:p>
            <w:pPr>
              <w:spacing w:after="0"/>
              <w:rPr>
                <w:sz w:val="9"/>
                <w:szCs w:val="9"/>
                <w:color w:val="auto"/>
              </w:rPr>
            </w:pPr>
          </w:p>
        </w:tc>
        <w:tc>
          <w:tcPr>
            <w:tcW w:w="1540" w:type="dxa"/>
            <w:vAlign w:val="bottom"/>
            <w:shd w:val="clear" w:color="auto" w:fill="DBDBDB"/>
          </w:tcPr>
          <w:p>
            <w:pPr>
              <w:spacing w:after="0"/>
              <w:rPr>
                <w:sz w:val="9"/>
                <w:szCs w:val="9"/>
                <w:color w:val="auto"/>
              </w:rPr>
            </w:pPr>
          </w:p>
        </w:tc>
        <w:tc>
          <w:tcPr>
            <w:tcW w:w="1280" w:type="dxa"/>
            <w:vAlign w:val="bottom"/>
            <w:vMerge w:val="continue"/>
            <w:shd w:val="clear" w:color="auto" w:fill="DBDBDB"/>
          </w:tcPr>
          <w:p>
            <w:pPr>
              <w:spacing w:after="0"/>
              <w:rPr>
                <w:sz w:val="9"/>
                <w:szCs w:val="9"/>
                <w:color w:val="auto"/>
              </w:rPr>
            </w:pPr>
          </w:p>
        </w:tc>
        <w:tc>
          <w:tcPr>
            <w:tcW w:w="1320" w:type="dxa"/>
            <w:vAlign w:val="bottom"/>
            <w:vMerge w:val="continue"/>
            <w:shd w:val="clear" w:color="auto" w:fill="DBDBDB"/>
          </w:tcPr>
          <w:p>
            <w:pPr>
              <w:spacing w:after="0"/>
              <w:rPr>
                <w:sz w:val="9"/>
                <w:szCs w:val="9"/>
                <w:color w:val="auto"/>
              </w:rPr>
            </w:pPr>
          </w:p>
        </w:tc>
        <w:tc>
          <w:tcPr>
            <w:tcW w:w="12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Earnings in</w:t>
            </w:r>
          </w:p>
        </w:tc>
        <w:tc>
          <w:tcPr>
            <w:tcW w:w="1280" w:type="dxa"/>
            <w:vAlign w:val="bottom"/>
            <w:vMerge w:val="restart"/>
            <w:shd w:val="clear" w:color="auto" w:fill="DBDBDB"/>
          </w:tcPr>
          <w:p>
            <w:pPr>
              <w:jc w:val="right"/>
              <w:ind w:right="52"/>
              <w:spacing w:after="0"/>
              <w:rPr>
                <w:sz w:val="20"/>
                <w:szCs w:val="20"/>
                <w:color w:val="auto"/>
              </w:rPr>
            </w:pPr>
            <w:r>
              <w:rPr>
                <w:rFonts w:ascii="Arial" w:cs="Arial" w:eastAsia="Arial" w:hAnsi="Arial"/>
                <w:sz w:val="14"/>
                <w:szCs w:val="14"/>
                <w:b w:val="1"/>
                <w:bCs w:val="1"/>
                <w:color w:val="00A1DE"/>
              </w:rPr>
              <w:t>Distributions in</w:t>
            </w:r>
          </w:p>
        </w:tc>
        <w:tc>
          <w:tcPr>
            <w:tcW w:w="12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80" w:type="dxa"/>
            <w:vAlign w:val="bottom"/>
            <w:shd w:val="clear" w:color="auto" w:fill="DBDBDB"/>
          </w:tcPr>
          <w:p>
            <w:pPr>
              <w:spacing w:after="0"/>
              <w:rPr>
                <w:sz w:val="4"/>
                <w:szCs w:val="4"/>
                <w:color w:val="auto"/>
              </w:rPr>
            </w:pPr>
          </w:p>
        </w:tc>
        <w:tc>
          <w:tcPr>
            <w:tcW w:w="1540" w:type="dxa"/>
            <w:vAlign w:val="bottom"/>
            <w:shd w:val="clear" w:color="auto" w:fill="DBDBDB"/>
          </w:tcPr>
          <w:p>
            <w:pPr>
              <w:spacing w:after="0"/>
              <w:rPr>
                <w:sz w:val="4"/>
                <w:szCs w:val="4"/>
                <w:color w:val="auto"/>
              </w:rPr>
            </w:pP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Last Fiscal Year</w:t>
            </w:r>
          </w:p>
        </w:tc>
        <w:tc>
          <w:tcPr>
            <w:tcW w:w="132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00A1DE"/>
              </w:rPr>
              <w:t>Last Fiscal Year</w:t>
            </w:r>
          </w:p>
        </w:tc>
        <w:tc>
          <w:tcPr>
            <w:tcW w:w="1220" w:type="dxa"/>
            <w:vAlign w:val="bottom"/>
            <w:vMerge w:val="continue"/>
            <w:shd w:val="clear" w:color="auto" w:fill="DBDBDB"/>
          </w:tcPr>
          <w:p>
            <w:pPr>
              <w:spacing w:after="0"/>
              <w:rPr>
                <w:sz w:val="4"/>
                <w:szCs w:val="4"/>
                <w:color w:val="auto"/>
              </w:rPr>
            </w:pPr>
          </w:p>
        </w:tc>
        <w:tc>
          <w:tcPr>
            <w:tcW w:w="1280" w:type="dxa"/>
            <w:vAlign w:val="bottom"/>
            <w:vMerge w:val="continue"/>
            <w:shd w:val="clear" w:color="auto" w:fill="DBDBDB"/>
          </w:tcPr>
          <w:p>
            <w:pPr>
              <w:spacing w:after="0"/>
              <w:rPr>
                <w:sz w:val="4"/>
                <w:szCs w:val="4"/>
                <w:color w:val="auto"/>
              </w:rPr>
            </w:pPr>
          </w:p>
        </w:tc>
        <w:tc>
          <w:tcPr>
            <w:tcW w:w="1260" w:type="dxa"/>
            <w:vAlign w:val="bottom"/>
            <w:vMerge w:val="restart"/>
            <w:shd w:val="clear" w:color="auto" w:fill="DBDBDB"/>
          </w:tcPr>
          <w:p>
            <w:pPr>
              <w:jc w:val="right"/>
              <w:ind w:right="72"/>
              <w:spacing w:after="0"/>
              <w:rPr>
                <w:sz w:val="20"/>
                <w:szCs w:val="20"/>
                <w:color w:val="auto"/>
              </w:rPr>
            </w:pPr>
            <w:r>
              <w:rPr>
                <w:rFonts w:ascii="Arial" w:cs="Arial" w:eastAsia="Arial" w:hAnsi="Arial"/>
                <w:sz w:val="14"/>
                <w:szCs w:val="14"/>
                <w:b w:val="1"/>
                <w:bCs w:val="1"/>
                <w:color w:val="00A1DE"/>
              </w:rPr>
              <w:t>Fiscal Year End</w:t>
            </w:r>
          </w:p>
        </w:tc>
        <w:tc>
          <w:tcPr>
            <w:tcW w:w="0" w:type="dxa"/>
            <w:vAlign w:val="bottom"/>
          </w:tcPr>
          <w:p>
            <w:pPr>
              <w:spacing w:after="0"/>
              <w:rPr>
                <w:sz w:val="1"/>
                <w:szCs w:val="1"/>
                <w:color w:val="auto"/>
              </w:rPr>
            </w:pPr>
          </w:p>
        </w:tc>
      </w:tr>
      <w:tr>
        <w:trPr>
          <w:trHeight w:val="148"/>
        </w:trPr>
        <w:tc>
          <w:tcPr>
            <w:tcW w:w="980" w:type="dxa"/>
            <w:vAlign w:val="bottom"/>
            <w:shd w:val="clear" w:color="auto" w:fill="DBDBDB"/>
          </w:tcPr>
          <w:p>
            <w:pPr>
              <w:spacing w:after="0"/>
              <w:rPr>
                <w:sz w:val="12"/>
                <w:szCs w:val="12"/>
                <w:color w:val="auto"/>
              </w:rPr>
            </w:pPr>
          </w:p>
        </w:tc>
        <w:tc>
          <w:tcPr>
            <w:tcW w:w="1540" w:type="dxa"/>
            <w:vAlign w:val="bottom"/>
            <w:shd w:val="clear" w:color="auto" w:fill="DBDBDB"/>
          </w:tcPr>
          <w:p>
            <w:pPr>
              <w:spacing w:after="0"/>
              <w:rPr>
                <w:sz w:val="12"/>
                <w:szCs w:val="12"/>
                <w:color w:val="auto"/>
              </w:rPr>
            </w:pPr>
          </w:p>
        </w:tc>
        <w:tc>
          <w:tcPr>
            <w:tcW w:w="1280" w:type="dxa"/>
            <w:vAlign w:val="bottom"/>
            <w:vMerge w:val="continue"/>
            <w:shd w:val="clear" w:color="auto" w:fill="DBDBDB"/>
          </w:tcPr>
          <w:p>
            <w:pPr>
              <w:spacing w:after="0"/>
              <w:rPr>
                <w:sz w:val="12"/>
                <w:szCs w:val="12"/>
                <w:color w:val="auto"/>
              </w:rPr>
            </w:pPr>
          </w:p>
        </w:tc>
        <w:tc>
          <w:tcPr>
            <w:tcW w:w="1320" w:type="dxa"/>
            <w:vAlign w:val="bottom"/>
            <w:vMerge w:val="continue"/>
            <w:shd w:val="clear" w:color="auto" w:fill="DBDBDB"/>
          </w:tcPr>
          <w:p>
            <w:pPr>
              <w:spacing w:after="0"/>
              <w:rPr>
                <w:sz w:val="12"/>
                <w:szCs w:val="12"/>
                <w:color w:val="auto"/>
              </w:rPr>
            </w:pPr>
          </w:p>
        </w:tc>
        <w:tc>
          <w:tcPr>
            <w:tcW w:w="1220" w:type="dxa"/>
            <w:vAlign w:val="bottom"/>
            <w:shd w:val="clear" w:color="auto" w:fill="DBDBDB"/>
          </w:tcPr>
          <w:p>
            <w:pPr>
              <w:jc w:val="center"/>
              <w:spacing w:after="0" w:line="148" w:lineRule="exact"/>
              <w:rPr>
                <w:sz w:val="20"/>
                <w:szCs w:val="20"/>
                <w:color w:val="auto"/>
              </w:rPr>
            </w:pPr>
            <w:r>
              <w:rPr>
                <w:rFonts w:ascii="Arial" w:cs="Arial" w:eastAsia="Arial" w:hAnsi="Arial"/>
                <w:sz w:val="14"/>
                <w:szCs w:val="14"/>
                <w:b w:val="1"/>
                <w:bCs w:val="1"/>
                <w:color w:val="00A1DE"/>
              </w:rPr>
              <w:t>Last Fiscal Year</w:t>
            </w:r>
          </w:p>
        </w:tc>
        <w:tc>
          <w:tcPr>
            <w:tcW w:w="1280" w:type="dxa"/>
            <w:vAlign w:val="bottom"/>
            <w:shd w:val="clear" w:color="auto" w:fill="DBDBDB"/>
          </w:tcPr>
          <w:p>
            <w:pPr>
              <w:jc w:val="right"/>
              <w:ind w:right="32"/>
              <w:spacing w:after="0" w:line="148" w:lineRule="exact"/>
              <w:rPr>
                <w:sz w:val="20"/>
                <w:szCs w:val="20"/>
                <w:color w:val="auto"/>
              </w:rPr>
            </w:pPr>
            <w:r>
              <w:rPr>
                <w:rFonts w:ascii="Arial" w:cs="Arial" w:eastAsia="Arial" w:hAnsi="Arial"/>
                <w:sz w:val="14"/>
                <w:szCs w:val="14"/>
                <w:b w:val="1"/>
                <w:bCs w:val="1"/>
                <w:color w:val="00A1DE"/>
              </w:rPr>
              <w:t>Last Fiscal Year</w:t>
            </w:r>
          </w:p>
        </w:tc>
        <w:tc>
          <w:tcPr>
            <w:tcW w:w="12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p>
        </w:tc>
        <w:tc>
          <w:tcPr>
            <w:tcW w:w="1540" w:type="dxa"/>
            <w:vAlign w:val="bottom"/>
            <w:tcBorders>
              <w:bottom w:val="single" w:sz="8" w:color="DBDBDB"/>
            </w:tcBorders>
            <w:shd w:val="clear" w:color="auto" w:fill="DBDBDB"/>
          </w:tcPr>
          <w:p>
            <w:pPr>
              <w:ind w:left="620"/>
              <w:spacing w:after="0"/>
              <w:rPr>
                <w:sz w:val="20"/>
                <w:szCs w:val="20"/>
                <w:color w:val="auto"/>
              </w:rPr>
            </w:pPr>
            <w:r>
              <w:rPr>
                <w:rFonts w:ascii="Arial" w:cs="Arial" w:eastAsia="Arial" w:hAnsi="Arial"/>
                <w:sz w:val="14"/>
                <w:szCs w:val="14"/>
                <w:b w:val="1"/>
                <w:bCs w:val="1"/>
                <w:color w:val="00A1DE"/>
              </w:rPr>
              <w:t>Plan</w:t>
            </w:r>
          </w:p>
        </w:tc>
        <w:tc>
          <w:tcPr>
            <w:tcW w:w="1280" w:type="dxa"/>
            <w:vAlign w:val="bottom"/>
            <w:tcBorders>
              <w:bottom w:val="single" w:sz="8" w:color="DBDBDB"/>
            </w:tcBorders>
            <w:shd w:val="clear" w:color="auto" w:fill="DBDBDB"/>
          </w:tcPr>
          <w:p>
            <w:pPr>
              <w:jc w:val="right"/>
              <w:ind w:right="452"/>
              <w:spacing w:after="0" w:line="162" w:lineRule="exact"/>
              <w:rPr>
                <w:sz w:val="20"/>
                <w:szCs w:val="20"/>
                <w:color w:val="auto"/>
              </w:rPr>
            </w:pPr>
            <w:r>
              <w:rPr>
                <w:rFonts w:ascii="Arial" w:cs="Arial" w:eastAsia="Arial" w:hAnsi="Arial"/>
                <w:sz w:val="14"/>
                <w:szCs w:val="14"/>
                <w:b w:val="1"/>
                <w:bCs w:val="1"/>
                <w:color w:val="00A1DE"/>
              </w:rPr>
              <w:t>($)</w:t>
            </w:r>
            <w:r>
              <w:rPr>
                <w:rFonts w:ascii="Arial" w:cs="Arial" w:eastAsia="Arial" w:hAnsi="Arial"/>
                <w:sz w:val="18"/>
                <w:szCs w:val="18"/>
                <w:b w:val="1"/>
                <w:bCs w:val="1"/>
                <w:color w:val="00A1DE"/>
                <w:vertAlign w:val="superscript"/>
              </w:rPr>
              <w:t>1</w:t>
            </w:r>
          </w:p>
        </w:tc>
        <w:tc>
          <w:tcPr>
            <w:tcW w:w="1320" w:type="dxa"/>
            <w:vAlign w:val="bottom"/>
            <w:tcBorders>
              <w:bottom w:val="single" w:sz="8" w:color="DBDBDB"/>
            </w:tcBorders>
            <w:shd w:val="clear" w:color="auto" w:fill="DBDBDB"/>
          </w:tcPr>
          <w:p>
            <w:pPr>
              <w:jc w:val="right"/>
              <w:ind w:right="472"/>
              <w:spacing w:after="0" w:line="162" w:lineRule="exact"/>
              <w:rPr>
                <w:sz w:val="20"/>
                <w:szCs w:val="20"/>
                <w:color w:val="auto"/>
              </w:rPr>
            </w:pPr>
            <w:r>
              <w:rPr>
                <w:rFonts w:ascii="Arial" w:cs="Arial" w:eastAsia="Arial" w:hAnsi="Arial"/>
                <w:sz w:val="14"/>
                <w:szCs w:val="14"/>
                <w:b w:val="1"/>
                <w:bCs w:val="1"/>
                <w:color w:val="00A1DE"/>
              </w:rPr>
              <w:t>($)</w:t>
            </w:r>
            <w:r>
              <w:rPr>
                <w:rFonts w:ascii="Arial" w:cs="Arial" w:eastAsia="Arial" w:hAnsi="Arial"/>
                <w:sz w:val="18"/>
                <w:szCs w:val="18"/>
                <w:b w:val="1"/>
                <w:bCs w:val="1"/>
                <w:color w:val="00A1DE"/>
                <w:vertAlign w:val="superscript"/>
              </w:rPr>
              <w:t>2</w:t>
            </w:r>
          </w:p>
        </w:tc>
        <w:tc>
          <w:tcPr>
            <w:tcW w:w="12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00A1DE"/>
              </w:rPr>
              <w:t>($)</w:t>
            </w:r>
          </w:p>
        </w:tc>
        <w:tc>
          <w:tcPr>
            <w:tcW w:w="12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00A1DE"/>
              </w:rPr>
              <w:t>($)</w:t>
            </w:r>
          </w:p>
        </w:tc>
        <w:tc>
          <w:tcPr>
            <w:tcW w:w="1260" w:type="dxa"/>
            <w:vAlign w:val="bottom"/>
            <w:tcBorders>
              <w:bottom w:val="single" w:sz="8" w:color="DBDBDB"/>
            </w:tcBorders>
            <w:shd w:val="clear" w:color="auto" w:fill="DBDBDB"/>
          </w:tcPr>
          <w:p>
            <w:pPr>
              <w:jc w:val="right"/>
              <w:ind w:right="472"/>
              <w:spacing w:after="0" w:line="162" w:lineRule="exact"/>
              <w:rPr>
                <w:sz w:val="20"/>
                <w:szCs w:val="20"/>
                <w:color w:val="auto"/>
              </w:rPr>
            </w:pPr>
            <w:r>
              <w:rPr>
                <w:rFonts w:ascii="Arial" w:cs="Arial" w:eastAsia="Arial" w:hAnsi="Arial"/>
                <w:sz w:val="14"/>
                <w:szCs w:val="14"/>
                <w:b w:val="1"/>
                <w:bCs w:val="1"/>
                <w:color w:val="00A1DE"/>
              </w:rPr>
              <w:t>($)</w:t>
            </w:r>
            <w:r>
              <w:rPr>
                <w:rFonts w:ascii="Arial" w:cs="Arial" w:eastAsia="Arial" w:hAnsi="Arial"/>
                <w:sz w:val="18"/>
                <w:szCs w:val="18"/>
                <w:b w:val="1"/>
                <w:bCs w:val="1"/>
                <w:color w:val="00A1DE"/>
                <w:vertAlign w:val="superscript"/>
              </w:rPr>
              <w:t>3</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3"/>
                <w:szCs w:val="13"/>
                <w:color w:val="auto"/>
              </w:rPr>
              <w:t>Mr. Ricks</w:t>
            </w:r>
          </w:p>
        </w:tc>
        <w:tc>
          <w:tcPr>
            <w:tcW w:w="1540" w:type="dxa"/>
            <w:vAlign w:val="bottom"/>
          </w:tcPr>
          <w:p>
            <w:pPr>
              <w:ind w:left="20"/>
              <w:spacing w:after="0"/>
              <w:rPr>
                <w:sz w:val="20"/>
                <w:szCs w:val="20"/>
                <w:color w:val="auto"/>
              </w:rPr>
            </w:pPr>
            <w:r>
              <w:rPr>
                <w:rFonts w:ascii="Arial" w:cs="Arial" w:eastAsia="Arial" w:hAnsi="Arial"/>
                <w:sz w:val="13"/>
                <w:szCs w:val="13"/>
                <w:color w:val="auto"/>
              </w:rPr>
              <w:t>nonqualified savings</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$72,600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$72,600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$1,140,638</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$3,131,383</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$0</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540" w:type="dxa"/>
            <w:vAlign w:val="bottom"/>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$72,600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$72,600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$1,140,638</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$3,131,383</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0" w:type="dxa"/>
            <w:vAlign w:val="bottom"/>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savings</w:t>
            </w:r>
          </w:p>
        </w:tc>
        <w:tc>
          <w:tcPr>
            <w:tcW w:w="128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$33,626</w:t>
            </w:r>
          </w:p>
        </w:tc>
        <w:tc>
          <w:tcPr>
            <w:tcW w:w="1320" w:type="dxa"/>
            <w:vAlign w:val="bottom"/>
            <w:shd w:val="clear" w:color="auto" w:fill="E6E6E6"/>
          </w:tcPr>
          <w:p>
            <w:pPr>
              <w:jc w:val="right"/>
              <w:ind w:right="52"/>
              <w:spacing w:after="0"/>
              <w:rPr>
                <w:sz w:val="20"/>
                <w:szCs w:val="20"/>
                <w:color w:val="auto"/>
              </w:rPr>
            </w:pPr>
            <w:r>
              <w:rPr>
                <w:rFonts w:ascii="Arial" w:cs="Arial" w:eastAsia="Arial" w:hAnsi="Arial"/>
                <w:sz w:val="13"/>
                <w:szCs w:val="13"/>
                <w:color w:val="auto"/>
              </w:rPr>
              <w:t>$33,626</w:t>
            </w:r>
          </w:p>
        </w:tc>
        <w:tc>
          <w:tcPr>
            <w:tcW w:w="1220" w:type="dxa"/>
            <w:vAlign w:val="bottom"/>
            <w:shd w:val="clear" w:color="auto" w:fill="E6E6E6"/>
          </w:tcPr>
          <w:p>
            <w:pPr>
              <w:jc w:val="right"/>
              <w:ind w:right="252"/>
              <w:spacing w:after="0"/>
              <w:rPr>
                <w:sz w:val="20"/>
                <w:szCs w:val="20"/>
                <w:color w:val="auto"/>
              </w:rPr>
            </w:pPr>
            <w:r>
              <w:rPr>
                <w:rFonts w:ascii="Arial" w:cs="Arial" w:eastAsia="Arial" w:hAnsi="Arial"/>
                <w:sz w:val="13"/>
                <w:szCs w:val="13"/>
                <w:color w:val="auto"/>
              </w:rPr>
              <w:t>$20,659</w:t>
            </w:r>
          </w:p>
        </w:tc>
        <w:tc>
          <w:tcPr>
            <w:tcW w:w="1280" w:type="dxa"/>
            <w:vAlign w:val="bottom"/>
            <w:shd w:val="clear" w:color="auto" w:fill="E6E6E6"/>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92"/>
              <w:spacing w:after="0"/>
              <w:rPr>
                <w:sz w:val="20"/>
                <w:szCs w:val="20"/>
                <w:color w:val="auto"/>
              </w:rPr>
            </w:pPr>
            <w:r>
              <w:rPr>
                <w:rFonts w:ascii="Arial" w:cs="Arial" w:eastAsia="Arial" w:hAnsi="Arial"/>
                <w:sz w:val="13"/>
                <w:szCs w:val="13"/>
                <w:color w:val="auto"/>
              </w:rPr>
              <w:t>$212,556</w:t>
            </w:r>
          </w:p>
        </w:tc>
        <w:tc>
          <w:tcPr>
            <w:tcW w:w="0" w:type="dxa"/>
            <w:vAlign w:val="bottom"/>
          </w:tcPr>
          <w:p>
            <w:pPr>
              <w:spacing w:after="0"/>
              <w:rPr>
                <w:sz w:val="1"/>
                <w:szCs w:val="1"/>
                <w:color w:val="auto"/>
              </w:rPr>
            </w:pPr>
          </w:p>
        </w:tc>
      </w:tr>
      <w:tr>
        <w:trPr>
          <w:trHeight w:val="256"/>
        </w:trPr>
        <w:tc>
          <w:tcPr>
            <w:tcW w:w="980" w:type="dxa"/>
            <w:vAlign w:val="bottom"/>
            <w:shd w:val="clear" w:color="auto" w:fill="E6E6E6"/>
          </w:tcPr>
          <w:p>
            <w:pPr>
              <w:spacing w:after="0"/>
              <w:rPr>
                <w:sz w:val="22"/>
                <w:szCs w:val="22"/>
                <w:color w:val="auto"/>
              </w:rPr>
            </w:pP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$0</w:t>
            </w:r>
          </w:p>
        </w:tc>
        <w:tc>
          <w:tcPr>
            <w:tcW w:w="1320" w:type="dxa"/>
            <w:vAlign w:val="bottom"/>
            <w:shd w:val="clear" w:color="auto" w:fill="E6E6E6"/>
          </w:tcPr>
          <w:p>
            <w:pPr>
              <w:jc w:val="right"/>
              <w:ind w:right="52"/>
              <w:spacing w:after="0"/>
              <w:rPr>
                <w:sz w:val="20"/>
                <w:szCs w:val="20"/>
                <w:color w:val="auto"/>
              </w:rPr>
            </w:pPr>
            <w:r>
              <w:rPr>
                <w:rFonts w:ascii="Arial" w:cs="Arial" w:eastAsia="Arial" w:hAnsi="Arial"/>
                <w:sz w:val="13"/>
                <w:szCs w:val="13"/>
                <w:color w:val="auto"/>
              </w:rPr>
              <w:t>$0</w:t>
            </w:r>
          </w:p>
        </w:tc>
        <w:tc>
          <w:tcPr>
            <w:tcW w:w="1220" w:type="dxa"/>
            <w:vAlign w:val="bottom"/>
            <w:shd w:val="clear" w:color="auto" w:fill="E6E6E6"/>
          </w:tcPr>
          <w:p>
            <w:pPr>
              <w:jc w:val="right"/>
              <w:ind w:right="252"/>
              <w:spacing w:after="0"/>
              <w:rPr>
                <w:sz w:val="20"/>
                <w:szCs w:val="20"/>
                <w:color w:val="auto"/>
              </w:rPr>
            </w:pPr>
            <w:r>
              <w:rPr>
                <w:rFonts w:ascii="Arial" w:cs="Arial" w:eastAsia="Arial" w:hAnsi="Arial"/>
                <w:sz w:val="13"/>
                <w:szCs w:val="13"/>
                <w:color w:val="auto"/>
              </w:rPr>
              <w:t>$0</w:t>
            </w:r>
          </w:p>
        </w:tc>
        <w:tc>
          <w:tcPr>
            <w:tcW w:w="1280" w:type="dxa"/>
            <w:vAlign w:val="bottom"/>
            <w:shd w:val="clear" w:color="auto" w:fill="E6E6E6"/>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9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4"/>
        </w:trPr>
        <w:tc>
          <w:tcPr>
            <w:tcW w:w="980" w:type="dxa"/>
            <w:vAlign w:val="bottom"/>
            <w:tcBorders>
              <w:bottom w:val="single" w:sz="8" w:color="E6E6E6"/>
            </w:tcBorders>
            <w:shd w:val="clear" w:color="auto" w:fill="E6E6E6"/>
          </w:tcPr>
          <w:p>
            <w:pPr>
              <w:spacing w:after="0"/>
              <w:rPr>
                <w:sz w:val="22"/>
                <w:szCs w:val="22"/>
                <w:color w:val="auto"/>
              </w:rPr>
            </w:pPr>
          </w:p>
        </w:tc>
        <w:tc>
          <w:tcPr>
            <w:tcW w:w="1540" w:type="dxa"/>
            <w:vAlign w:val="bottom"/>
            <w:tcBorders>
              <w:bottom w:val="single" w:sz="8" w:color="E6E6E6"/>
            </w:tcBorders>
            <w:shd w:val="clear" w:color="auto" w:fill="E6E6E6"/>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E6E6E6"/>
            </w:tcBorders>
            <w:shd w:val="clear" w:color="auto" w:fill="E6E6E6"/>
          </w:tcPr>
          <w:p>
            <w:pPr>
              <w:jc w:val="right"/>
              <w:ind w:right="232"/>
              <w:spacing w:after="0"/>
              <w:rPr>
                <w:sz w:val="20"/>
                <w:szCs w:val="20"/>
                <w:color w:val="auto"/>
              </w:rPr>
            </w:pPr>
            <w:r>
              <w:rPr>
                <w:rFonts w:ascii="Arial" w:cs="Arial" w:eastAsia="Arial" w:hAnsi="Arial"/>
                <w:sz w:val="13"/>
                <w:szCs w:val="13"/>
                <w:color w:val="auto"/>
              </w:rPr>
              <w:t>$33,626</w:t>
            </w:r>
          </w:p>
        </w:tc>
        <w:tc>
          <w:tcPr>
            <w:tcW w:w="1320" w:type="dxa"/>
            <w:vAlign w:val="bottom"/>
            <w:tcBorders>
              <w:bottom w:val="single" w:sz="8" w:color="E6E6E6"/>
            </w:tcBorders>
            <w:shd w:val="clear" w:color="auto" w:fill="E6E6E6"/>
          </w:tcPr>
          <w:p>
            <w:pPr>
              <w:jc w:val="right"/>
              <w:ind w:right="52"/>
              <w:spacing w:after="0"/>
              <w:rPr>
                <w:sz w:val="20"/>
                <w:szCs w:val="20"/>
                <w:color w:val="auto"/>
              </w:rPr>
            </w:pPr>
            <w:r>
              <w:rPr>
                <w:rFonts w:ascii="Arial" w:cs="Arial" w:eastAsia="Arial" w:hAnsi="Arial"/>
                <w:sz w:val="13"/>
                <w:szCs w:val="13"/>
                <w:color w:val="auto"/>
              </w:rPr>
              <w:t>$33,626</w:t>
            </w:r>
          </w:p>
        </w:tc>
        <w:tc>
          <w:tcPr>
            <w:tcW w:w="1220" w:type="dxa"/>
            <w:vAlign w:val="bottom"/>
            <w:tcBorders>
              <w:bottom w:val="single" w:sz="8" w:color="E6E6E6"/>
            </w:tcBorders>
            <w:shd w:val="clear" w:color="auto" w:fill="E6E6E6"/>
          </w:tcPr>
          <w:p>
            <w:pPr>
              <w:jc w:val="right"/>
              <w:ind w:right="252"/>
              <w:spacing w:after="0"/>
              <w:rPr>
                <w:sz w:val="20"/>
                <w:szCs w:val="20"/>
                <w:color w:val="auto"/>
              </w:rPr>
            </w:pPr>
            <w:r>
              <w:rPr>
                <w:rFonts w:ascii="Arial" w:cs="Arial" w:eastAsia="Arial" w:hAnsi="Arial"/>
                <w:sz w:val="13"/>
                <w:szCs w:val="13"/>
                <w:color w:val="auto"/>
              </w:rPr>
              <w:t>$20,659</w:t>
            </w:r>
          </w:p>
        </w:tc>
        <w:tc>
          <w:tcPr>
            <w:tcW w:w="1280" w:type="dxa"/>
            <w:vAlign w:val="bottom"/>
            <w:tcBorders>
              <w:bottom w:val="single" w:sz="8" w:color="E6E6E6"/>
            </w:tcBorders>
            <w:shd w:val="clear" w:color="auto" w:fill="E6E6E6"/>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Borders>
              <w:bottom w:val="single" w:sz="8" w:color="E6E6E6"/>
            </w:tcBorders>
            <w:shd w:val="clear" w:color="auto" w:fill="E6E6E6"/>
          </w:tcPr>
          <w:p>
            <w:pPr>
              <w:jc w:val="right"/>
              <w:ind w:right="292"/>
              <w:spacing w:after="0"/>
              <w:rPr>
                <w:sz w:val="20"/>
                <w:szCs w:val="20"/>
                <w:color w:val="auto"/>
              </w:rPr>
            </w:pPr>
            <w:r>
              <w:rPr>
                <w:rFonts w:ascii="Arial" w:cs="Arial" w:eastAsia="Arial" w:hAnsi="Arial"/>
                <w:sz w:val="13"/>
                <w:szCs w:val="13"/>
                <w:color w:val="auto"/>
              </w:rPr>
              <w:t>$212,556</w:t>
            </w: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Dr. Skovronsky nonqualified savings</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$42,600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$42,600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$174,864</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$920,647</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$0</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1540" w:type="dxa"/>
            <w:vAlign w:val="bottom"/>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tcPr>
          <w:p>
            <w:pPr>
              <w:jc w:val="right"/>
              <w:ind w:right="232"/>
              <w:spacing w:after="0"/>
              <w:rPr>
                <w:sz w:val="20"/>
                <w:szCs w:val="20"/>
                <w:color w:val="auto"/>
              </w:rPr>
            </w:pPr>
            <w:r>
              <w:rPr>
                <w:rFonts w:ascii="Arial" w:cs="Arial" w:eastAsia="Arial" w:hAnsi="Arial"/>
                <w:sz w:val="13"/>
                <w:szCs w:val="13"/>
                <w:color w:val="auto"/>
              </w:rPr>
              <w:t>$42,600</w:t>
            </w:r>
          </w:p>
        </w:tc>
        <w:tc>
          <w:tcPr>
            <w:tcW w:w="1320" w:type="dxa"/>
            <w:vAlign w:val="bottom"/>
          </w:tcPr>
          <w:p>
            <w:pPr>
              <w:jc w:val="right"/>
              <w:ind w:right="52"/>
              <w:spacing w:after="0"/>
              <w:rPr>
                <w:sz w:val="20"/>
                <w:szCs w:val="20"/>
                <w:color w:val="auto"/>
              </w:rPr>
            </w:pPr>
            <w:r>
              <w:rPr>
                <w:rFonts w:ascii="Arial" w:cs="Arial" w:eastAsia="Arial" w:hAnsi="Arial"/>
                <w:sz w:val="13"/>
                <w:szCs w:val="13"/>
                <w:color w:val="auto"/>
              </w:rPr>
              <w:t>$42,600</w:t>
            </w:r>
          </w:p>
        </w:tc>
        <w:tc>
          <w:tcPr>
            <w:tcW w:w="1220" w:type="dxa"/>
            <w:vAlign w:val="bottom"/>
          </w:tcPr>
          <w:p>
            <w:pPr>
              <w:jc w:val="right"/>
              <w:ind w:right="252"/>
              <w:spacing w:after="0"/>
              <w:rPr>
                <w:sz w:val="20"/>
                <w:szCs w:val="20"/>
                <w:color w:val="auto"/>
              </w:rPr>
            </w:pPr>
            <w:r>
              <w:rPr>
                <w:rFonts w:ascii="Arial" w:cs="Arial" w:eastAsia="Arial" w:hAnsi="Arial"/>
                <w:sz w:val="13"/>
                <w:szCs w:val="13"/>
                <w:color w:val="auto"/>
              </w:rPr>
              <w:t>$174,864</w:t>
            </w:r>
          </w:p>
        </w:tc>
        <w:tc>
          <w:tcPr>
            <w:tcW w:w="1280" w:type="dxa"/>
            <w:vAlign w:val="bottom"/>
          </w:tcPr>
          <w:p>
            <w:pPr>
              <w:jc w:val="right"/>
              <w:ind w:right="52"/>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92"/>
              <w:spacing w:after="0"/>
              <w:rPr>
                <w:sz w:val="20"/>
                <w:szCs w:val="20"/>
                <w:color w:val="auto"/>
              </w:rPr>
            </w:pPr>
            <w:r>
              <w:rPr>
                <w:rFonts w:ascii="Arial" w:cs="Arial" w:eastAsia="Arial" w:hAnsi="Arial"/>
                <w:sz w:val="13"/>
                <w:szCs w:val="13"/>
                <w:color w:val="auto"/>
              </w:rPr>
              <w:t>$920,647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Van</w:t>
            </w:r>
          </w:p>
        </w:tc>
        <w:tc>
          <w:tcPr>
            <w:tcW w:w="1540" w:type="dxa"/>
            <w:vAlign w:val="bottom"/>
            <w:shd w:val="clear" w:color="auto" w:fill="E6E6E6"/>
          </w:tcPr>
          <w:p>
            <w:pPr>
              <w:spacing w:after="0"/>
              <w:rPr>
                <w:sz w:val="16"/>
                <w:szCs w:val="16"/>
                <w:color w:val="auto"/>
              </w:rPr>
            </w:pPr>
          </w:p>
        </w:tc>
        <w:tc>
          <w:tcPr>
            <w:tcW w:w="1280" w:type="dxa"/>
            <w:vAlign w:val="bottom"/>
            <w:shd w:val="clear" w:color="auto" w:fill="E6E6E6"/>
          </w:tcPr>
          <w:p>
            <w:pPr>
              <w:spacing w:after="0"/>
              <w:rPr>
                <w:sz w:val="16"/>
                <w:szCs w:val="16"/>
                <w:color w:val="auto"/>
              </w:rPr>
            </w:pPr>
          </w:p>
        </w:tc>
        <w:tc>
          <w:tcPr>
            <w:tcW w:w="1320" w:type="dxa"/>
            <w:vAlign w:val="bottom"/>
            <w:shd w:val="clear" w:color="auto" w:fill="E6E6E6"/>
          </w:tcPr>
          <w:p>
            <w:pPr>
              <w:spacing w:after="0"/>
              <w:rPr>
                <w:sz w:val="16"/>
                <w:szCs w:val="16"/>
                <w:color w:val="auto"/>
              </w:rPr>
            </w:pPr>
          </w:p>
        </w:tc>
        <w:tc>
          <w:tcPr>
            <w:tcW w:w="1220" w:type="dxa"/>
            <w:vAlign w:val="bottom"/>
            <w:shd w:val="clear" w:color="auto" w:fill="E6E6E6"/>
          </w:tcPr>
          <w:p>
            <w:pPr>
              <w:spacing w:after="0"/>
              <w:rPr>
                <w:sz w:val="16"/>
                <w:szCs w:val="16"/>
                <w:color w:val="auto"/>
              </w:rPr>
            </w:pPr>
          </w:p>
        </w:tc>
        <w:tc>
          <w:tcPr>
            <w:tcW w:w="1280" w:type="dxa"/>
            <w:vAlign w:val="bottom"/>
            <w:shd w:val="clear" w:color="auto" w:fill="E6E6E6"/>
          </w:tcPr>
          <w:p>
            <w:pPr>
              <w:spacing w:after="0"/>
              <w:rPr>
                <w:sz w:val="16"/>
                <w:szCs w:val="16"/>
                <w:color w:val="auto"/>
              </w:rPr>
            </w:pPr>
          </w:p>
        </w:tc>
        <w:tc>
          <w:tcPr>
            <w:tcW w:w="12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6E6E6"/>
          </w:tcPr>
          <w:p>
            <w:pPr>
              <w:ind w:left="20"/>
              <w:spacing w:after="0"/>
              <w:rPr>
                <w:sz w:val="20"/>
                <w:szCs w:val="20"/>
                <w:color w:val="auto"/>
              </w:rPr>
            </w:pPr>
            <w:r>
              <w:rPr>
                <w:rFonts w:ascii="Arial" w:cs="Arial" w:eastAsia="Arial" w:hAnsi="Arial"/>
                <w:sz w:val="13"/>
                <w:szCs w:val="13"/>
                <w:color w:val="auto"/>
              </w:rPr>
              <w:t>Naarden</w:t>
            </w: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savings</w:t>
            </w:r>
          </w:p>
        </w:tc>
        <w:tc>
          <w:tcPr>
            <w:tcW w:w="1280" w:type="dxa"/>
            <w:vAlign w:val="bottom"/>
            <w:shd w:val="clear" w:color="auto" w:fill="E6E6E6"/>
          </w:tcPr>
          <w:p>
            <w:pPr>
              <w:jc w:val="right"/>
              <w:ind w:right="172"/>
              <w:spacing w:after="0"/>
              <w:rPr>
                <w:sz w:val="20"/>
                <w:szCs w:val="20"/>
                <w:color w:val="auto"/>
              </w:rPr>
            </w:pPr>
            <w:r>
              <w:rPr>
                <w:rFonts w:ascii="Arial" w:cs="Arial" w:eastAsia="Arial" w:hAnsi="Arial"/>
                <w:sz w:val="13"/>
                <w:szCs w:val="13"/>
                <w:color w:val="auto"/>
              </w:rPr>
              <w:t>$12,462</w:t>
            </w:r>
          </w:p>
        </w:tc>
        <w:tc>
          <w:tcPr>
            <w:tcW w:w="13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$12,462</w:t>
            </w:r>
          </w:p>
        </w:tc>
        <w:tc>
          <w:tcPr>
            <w:tcW w:w="1220" w:type="dxa"/>
            <w:vAlign w:val="bottom"/>
            <w:shd w:val="clear" w:color="auto" w:fill="E6E6E6"/>
          </w:tcPr>
          <w:p>
            <w:pPr>
              <w:jc w:val="right"/>
              <w:ind w:right="192"/>
              <w:spacing w:after="0"/>
              <w:rPr>
                <w:sz w:val="20"/>
                <w:szCs w:val="20"/>
                <w:color w:val="auto"/>
              </w:rPr>
            </w:pPr>
            <w:r>
              <w:rPr>
                <w:rFonts w:ascii="Arial" w:cs="Arial" w:eastAsia="Arial" w:hAnsi="Arial"/>
                <w:sz w:val="13"/>
                <w:szCs w:val="13"/>
                <w:color w:val="auto"/>
              </w:rPr>
              <w:t>$544</w:t>
            </w:r>
          </w:p>
        </w:tc>
        <w:tc>
          <w:tcPr>
            <w:tcW w:w="12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$25,467</w:t>
            </w:r>
          </w:p>
        </w:tc>
        <w:tc>
          <w:tcPr>
            <w:tcW w:w="0" w:type="dxa"/>
            <w:vAlign w:val="bottom"/>
          </w:tcPr>
          <w:p>
            <w:pPr>
              <w:spacing w:after="0"/>
              <w:rPr>
                <w:sz w:val="1"/>
                <w:szCs w:val="1"/>
                <w:color w:val="auto"/>
              </w:rPr>
            </w:pPr>
          </w:p>
        </w:tc>
      </w:tr>
      <w:tr>
        <w:trPr>
          <w:trHeight w:val="257"/>
        </w:trPr>
        <w:tc>
          <w:tcPr>
            <w:tcW w:w="980" w:type="dxa"/>
            <w:vAlign w:val="bottom"/>
            <w:shd w:val="clear" w:color="auto" w:fill="E6E6E6"/>
          </w:tcPr>
          <w:p>
            <w:pPr>
              <w:spacing w:after="0"/>
              <w:rPr>
                <w:sz w:val="22"/>
                <w:szCs w:val="22"/>
                <w:color w:val="auto"/>
              </w:rPr>
            </w:pP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E6E6E6"/>
          </w:tcPr>
          <w:p>
            <w:pPr>
              <w:jc w:val="right"/>
              <w:ind w:right="172"/>
              <w:spacing w:after="0"/>
              <w:rPr>
                <w:sz w:val="20"/>
                <w:szCs w:val="20"/>
                <w:color w:val="auto"/>
              </w:rPr>
            </w:pPr>
            <w:r>
              <w:rPr>
                <w:rFonts w:ascii="Arial" w:cs="Arial" w:eastAsia="Arial" w:hAnsi="Arial"/>
                <w:sz w:val="13"/>
                <w:szCs w:val="13"/>
                <w:color w:val="auto"/>
              </w:rPr>
              <w:t>$0</w:t>
            </w:r>
          </w:p>
        </w:tc>
        <w:tc>
          <w:tcPr>
            <w:tcW w:w="13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20" w:type="dxa"/>
            <w:vAlign w:val="bottom"/>
            <w:shd w:val="clear" w:color="auto" w:fill="E6E6E6"/>
          </w:tcPr>
          <w:p>
            <w:pPr>
              <w:jc w:val="right"/>
              <w:ind w:right="192"/>
              <w:spacing w:after="0"/>
              <w:rPr>
                <w:sz w:val="20"/>
                <w:szCs w:val="20"/>
                <w:color w:val="auto"/>
              </w:rPr>
            </w:pPr>
            <w:r>
              <w:rPr>
                <w:rFonts w:ascii="Arial" w:cs="Arial" w:eastAsia="Arial" w:hAnsi="Arial"/>
                <w:sz w:val="13"/>
                <w:szCs w:val="13"/>
                <w:color w:val="auto"/>
              </w:rPr>
              <w:t>$0</w:t>
            </w:r>
          </w:p>
        </w:tc>
        <w:tc>
          <w:tcPr>
            <w:tcW w:w="12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64"/>
        </w:trPr>
        <w:tc>
          <w:tcPr>
            <w:tcW w:w="980" w:type="dxa"/>
            <w:vAlign w:val="bottom"/>
            <w:tcBorders>
              <w:bottom w:val="single" w:sz="8" w:color="E6E6E6"/>
            </w:tcBorders>
            <w:shd w:val="clear" w:color="auto" w:fill="E6E6E6"/>
          </w:tcPr>
          <w:p>
            <w:pPr>
              <w:spacing w:after="0"/>
              <w:rPr>
                <w:sz w:val="22"/>
                <w:szCs w:val="22"/>
                <w:color w:val="auto"/>
              </w:rPr>
            </w:pPr>
          </w:p>
        </w:tc>
        <w:tc>
          <w:tcPr>
            <w:tcW w:w="1540" w:type="dxa"/>
            <w:vAlign w:val="bottom"/>
            <w:tcBorders>
              <w:bottom w:val="single" w:sz="8" w:color="E6E6E6"/>
            </w:tcBorders>
            <w:shd w:val="clear" w:color="auto" w:fill="E6E6E6"/>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tcBorders>
              <w:bottom w:val="single" w:sz="8" w:color="E6E6E6"/>
            </w:tcBorders>
            <w:shd w:val="clear" w:color="auto" w:fill="E6E6E6"/>
          </w:tcPr>
          <w:p>
            <w:pPr>
              <w:jc w:val="right"/>
              <w:ind w:right="172"/>
              <w:spacing w:after="0"/>
              <w:rPr>
                <w:sz w:val="20"/>
                <w:szCs w:val="20"/>
                <w:color w:val="auto"/>
              </w:rPr>
            </w:pPr>
            <w:r>
              <w:rPr>
                <w:rFonts w:ascii="Arial" w:cs="Arial" w:eastAsia="Arial" w:hAnsi="Arial"/>
                <w:sz w:val="13"/>
                <w:szCs w:val="13"/>
                <w:color w:val="auto"/>
              </w:rPr>
              <w:t>$12,462</w:t>
            </w:r>
          </w:p>
        </w:tc>
        <w:tc>
          <w:tcPr>
            <w:tcW w:w="13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$12,462</w:t>
            </w:r>
          </w:p>
        </w:tc>
        <w:tc>
          <w:tcPr>
            <w:tcW w:w="12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3"/>
                <w:szCs w:val="13"/>
                <w:color w:val="auto"/>
              </w:rPr>
              <w:t>$544</w:t>
            </w:r>
          </w:p>
        </w:tc>
        <w:tc>
          <w:tcPr>
            <w:tcW w:w="1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tcBorders>
              <w:bottom w:val="single" w:sz="8" w:color="E6E6E6"/>
            </w:tcBorders>
            <w:shd w:val="clear" w:color="auto" w:fill="E6E6E6"/>
          </w:tcPr>
          <w:p>
            <w:pPr>
              <w:jc w:val="right"/>
              <w:ind w:right="232"/>
              <w:spacing w:after="0"/>
              <w:rPr>
                <w:sz w:val="20"/>
                <w:szCs w:val="20"/>
                <w:color w:val="auto"/>
              </w:rPr>
            </w:pPr>
            <w:r>
              <w:rPr>
                <w:rFonts w:ascii="Arial" w:cs="Arial" w:eastAsia="Arial" w:hAnsi="Arial"/>
                <w:sz w:val="13"/>
                <w:szCs w:val="13"/>
                <w:color w:val="auto"/>
              </w:rPr>
              <w:t>$25,467</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3"/>
                <w:szCs w:val="13"/>
                <w:color w:val="auto"/>
              </w:rPr>
              <w:t>Mr. Rau</w:t>
            </w:r>
          </w:p>
        </w:tc>
        <w:tc>
          <w:tcPr>
            <w:tcW w:w="1540" w:type="dxa"/>
            <w:vAlign w:val="bottom"/>
          </w:tcPr>
          <w:p>
            <w:pPr>
              <w:ind w:left="20"/>
              <w:spacing w:after="0"/>
              <w:rPr>
                <w:sz w:val="20"/>
                <w:szCs w:val="20"/>
                <w:color w:val="auto"/>
              </w:rPr>
            </w:pPr>
            <w:r>
              <w:rPr>
                <w:rFonts w:ascii="Arial" w:cs="Arial" w:eastAsia="Arial" w:hAnsi="Arial"/>
                <w:sz w:val="13"/>
                <w:szCs w:val="13"/>
                <w:color w:val="auto"/>
              </w:rPr>
              <w:t>nonqualified savings</w:t>
            </w:r>
          </w:p>
        </w:tc>
        <w:tc>
          <w:tcPr>
            <w:tcW w:w="1280" w:type="dxa"/>
            <w:vAlign w:val="bottom"/>
          </w:tcPr>
          <w:p>
            <w:pPr>
              <w:jc w:val="right"/>
              <w:ind w:right="172"/>
              <w:spacing w:after="0"/>
              <w:rPr>
                <w:sz w:val="20"/>
                <w:szCs w:val="20"/>
                <w:color w:val="auto"/>
              </w:rPr>
            </w:pPr>
            <w:r>
              <w:rPr>
                <w:rFonts w:ascii="Arial" w:cs="Arial" w:eastAsia="Arial" w:hAnsi="Arial"/>
                <w:sz w:val="13"/>
                <w:szCs w:val="13"/>
                <w:color w:val="auto"/>
              </w:rPr>
              <w:t>$7,339</w:t>
            </w:r>
          </w:p>
        </w:tc>
        <w:tc>
          <w:tcPr>
            <w:tcW w:w="1320" w:type="dxa"/>
            <w:vAlign w:val="bottom"/>
          </w:tcPr>
          <w:p>
            <w:pPr>
              <w:jc w:val="right"/>
              <w:spacing w:after="0"/>
              <w:rPr>
                <w:sz w:val="20"/>
                <w:szCs w:val="20"/>
                <w:color w:val="auto"/>
              </w:rPr>
            </w:pPr>
            <w:r>
              <w:rPr>
                <w:rFonts w:ascii="Arial" w:cs="Arial" w:eastAsia="Arial" w:hAnsi="Arial"/>
                <w:sz w:val="13"/>
                <w:szCs w:val="13"/>
                <w:color w:val="auto"/>
              </w:rPr>
              <w:t>$7,339</w:t>
            </w:r>
          </w:p>
        </w:tc>
        <w:tc>
          <w:tcPr>
            <w:tcW w:w="1220" w:type="dxa"/>
            <w:vAlign w:val="bottom"/>
          </w:tcPr>
          <w:p>
            <w:pPr>
              <w:jc w:val="right"/>
              <w:ind w:right="192"/>
              <w:spacing w:after="0"/>
              <w:rPr>
                <w:sz w:val="20"/>
                <w:szCs w:val="20"/>
                <w:color w:val="auto"/>
              </w:rPr>
            </w:pPr>
            <w:r>
              <w:rPr>
                <w:rFonts w:ascii="Arial" w:cs="Arial" w:eastAsia="Arial" w:hAnsi="Arial"/>
                <w:sz w:val="13"/>
                <w:szCs w:val="13"/>
                <w:color w:val="auto"/>
              </w:rPr>
              <w:t>$229</w:t>
            </w:r>
          </w:p>
        </w:tc>
        <w:tc>
          <w:tcPr>
            <w:tcW w:w="128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32"/>
              <w:spacing w:after="0"/>
              <w:rPr>
                <w:sz w:val="20"/>
                <w:szCs w:val="20"/>
                <w:color w:val="auto"/>
              </w:rPr>
            </w:pPr>
            <w:r>
              <w:rPr>
                <w:rFonts w:ascii="Arial" w:cs="Arial" w:eastAsia="Arial" w:hAnsi="Arial"/>
                <w:sz w:val="13"/>
                <w:szCs w:val="13"/>
                <w:color w:val="auto"/>
              </w:rPr>
              <w:t>$14,906</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154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tcPr>
          <w:p>
            <w:pPr>
              <w:jc w:val="right"/>
              <w:ind w:right="172"/>
              <w:spacing w:after="0"/>
              <w:rPr>
                <w:sz w:val="20"/>
                <w:szCs w:val="20"/>
                <w:color w:val="auto"/>
              </w:rPr>
            </w:pPr>
            <w:r>
              <w:rPr>
                <w:rFonts w:ascii="Arial" w:cs="Arial" w:eastAsia="Arial" w:hAnsi="Arial"/>
                <w:sz w:val="13"/>
                <w:szCs w:val="13"/>
                <w:color w:val="auto"/>
              </w:rPr>
              <w:t>$0</w:t>
            </w:r>
          </w:p>
        </w:tc>
        <w:tc>
          <w:tcPr>
            <w:tcW w:w="1320" w:type="dxa"/>
            <w:vAlign w:val="bottom"/>
          </w:tcPr>
          <w:p>
            <w:pPr>
              <w:jc w:val="right"/>
              <w:spacing w:after="0"/>
              <w:rPr>
                <w:sz w:val="20"/>
                <w:szCs w:val="20"/>
                <w:color w:val="auto"/>
              </w:rPr>
            </w:pPr>
            <w:r>
              <w:rPr>
                <w:rFonts w:ascii="Arial" w:cs="Arial" w:eastAsia="Arial" w:hAnsi="Arial"/>
                <w:sz w:val="13"/>
                <w:szCs w:val="13"/>
                <w:color w:val="auto"/>
              </w:rPr>
              <w:t>$0</w:t>
            </w:r>
          </w:p>
        </w:tc>
        <w:tc>
          <w:tcPr>
            <w:tcW w:w="1220" w:type="dxa"/>
            <w:vAlign w:val="bottom"/>
          </w:tcPr>
          <w:p>
            <w:pPr>
              <w:jc w:val="right"/>
              <w:ind w:right="192"/>
              <w:spacing w:after="0"/>
              <w:rPr>
                <w:sz w:val="20"/>
                <w:szCs w:val="20"/>
                <w:color w:val="auto"/>
              </w:rPr>
            </w:pPr>
            <w:r>
              <w:rPr>
                <w:rFonts w:ascii="Arial" w:cs="Arial" w:eastAsia="Arial" w:hAnsi="Arial"/>
                <w:sz w:val="13"/>
                <w:szCs w:val="13"/>
                <w:color w:val="auto"/>
              </w:rPr>
              <w:t>$0</w:t>
            </w:r>
          </w:p>
        </w:tc>
        <w:tc>
          <w:tcPr>
            <w:tcW w:w="128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3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540" w:type="dxa"/>
            <w:vAlign w:val="bottom"/>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tcPr>
          <w:p>
            <w:pPr>
              <w:jc w:val="right"/>
              <w:ind w:right="172"/>
              <w:spacing w:after="0"/>
              <w:rPr>
                <w:sz w:val="20"/>
                <w:szCs w:val="20"/>
                <w:color w:val="auto"/>
              </w:rPr>
            </w:pPr>
            <w:r>
              <w:rPr>
                <w:rFonts w:ascii="Arial" w:cs="Arial" w:eastAsia="Arial" w:hAnsi="Arial"/>
                <w:sz w:val="13"/>
                <w:szCs w:val="13"/>
                <w:color w:val="auto"/>
              </w:rPr>
              <w:t>$7,339</w:t>
            </w:r>
          </w:p>
        </w:tc>
        <w:tc>
          <w:tcPr>
            <w:tcW w:w="1320" w:type="dxa"/>
            <w:vAlign w:val="bottom"/>
          </w:tcPr>
          <w:p>
            <w:pPr>
              <w:jc w:val="right"/>
              <w:spacing w:after="0"/>
              <w:rPr>
                <w:sz w:val="20"/>
                <w:szCs w:val="20"/>
                <w:color w:val="auto"/>
              </w:rPr>
            </w:pPr>
            <w:r>
              <w:rPr>
                <w:rFonts w:ascii="Arial" w:cs="Arial" w:eastAsia="Arial" w:hAnsi="Arial"/>
                <w:sz w:val="13"/>
                <w:szCs w:val="13"/>
                <w:color w:val="auto"/>
              </w:rPr>
              <w:t>$7,339</w:t>
            </w:r>
          </w:p>
        </w:tc>
        <w:tc>
          <w:tcPr>
            <w:tcW w:w="1220" w:type="dxa"/>
            <w:vAlign w:val="bottom"/>
          </w:tcPr>
          <w:p>
            <w:pPr>
              <w:jc w:val="right"/>
              <w:ind w:right="192"/>
              <w:spacing w:after="0"/>
              <w:rPr>
                <w:sz w:val="20"/>
                <w:szCs w:val="20"/>
                <w:color w:val="auto"/>
              </w:rPr>
            </w:pPr>
            <w:r>
              <w:rPr>
                <w:rFonts w:ascii="Arial" w:cs="Arial" w:eastAsia="Arial" w:hAnsi="Arial"/>
                <w:sz w:val="13"/>
                <w:szCs w:val="13"/>
                <w:color w:val="auto"/>
              </w:rPr>
              <w:t>$229</w:t>
            </w:r>
          </w:p>
        </w:tc>
        <w:tc>
          <w:tcPr>
            <w:tcW w:w="128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232"/>
              <w:spacing w:after="0"/>
              <w:rPr>
                <w:sz w:val="20"/>
                <w:szCs w:val="20"/>
                <w:color w:val="auto"/>
              </w:rPr>
            </w:pPr>
            <w:r>
              <w:rPr>
                <w:rFonts w:ascii="Arial" w:cs="Arial" w:eastAsia="Arial" w:hAnsi="Arial"/>
                <w:sz w:val="13"/>
                <w:szCs w:val="13"/>
                <w:color w:val="auto"/>
              </w:rPr>
              <w:t>$14,906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0" w:type="dxa"/>
            <w:vAlign w:val="bottom"/>
            <w:shd w:val="clear" w:color="auto" w:fill="E6E6E6"/>
          </w:tcPr>
          <w:p>
            <w:pPr>
              <w:ind w:left="20"/>
              <w:spacing w:after="0"/>
              <w:rPr>
                <w:sz w:val="20"/>
                <w:szCs w:val="20"/>
                <w:color w:val="auto"/>
              </w:rPr>
            </w:pPr>
            <w:r>
              <w:rPr>
                <w:rFonts w:ascii="Arial" w:cs="Arial" w:eastAsia="Arial" w:hAnsi="Arial"/>
                <w:sz w:val="13"/>
                <w:szCs w:val="13"/>
                <w:color w:val="auto"/>
              </w:rPr>
              <w:t>Mr. Smiley</w:t>
            </w: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nonqualified savings</w:t>
            </w:r>
          </w:p>
        </w:tc>
        <w:tc>
          <w:tcPr>
            <w:tcW w:w="1280" w:type="dxa"/>
            <w:vAlign w:val="bottom"/>
            <w:shd w:val="clear" w:color="auto" w:fill="E6E6E6"/>
          </w:tcPr>
          <w:p>
            <w:pPr>
              <w:jc w:val="right"/>
              <w:ind w:right="172"/>
              <w:spacing w:after="0"/>
              <w:rPr>
                <w:sz w:val="20"/>
                <w:szCs w:val="20"/>
                <w:color w:val="auto"/>
              </w:rPr>
            </w:pPr>
            <w:r>
              <w:rPr>
                <w:rFonts w:ascii="Arial" w:cs="Arial" w:eastAsia="Arial" w:hAnsi="Arial"/>
                <w:sz w:val="13"/>
                <w:szCs w:val="13"/>
                <w:color w:val="auto"/>
              </w:rPr>
              <w:t>$0</w:t>
            </w:r>
          </w:p>
        </w:tc>
        <w:tc>
          <w:tcPr>
            <w:tcW w:w="13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20" w:type="dxa"/>
            <w:vAlign w:val="bottom"/>
            <w:shd w:val="clear" w:color="auto" w:fill="E6E6E6"/>
          </w:tcPr>
          <w:p>
            <w:pPr>
              <w:jc w:val="right"/>
              <w:ind w:right="192"/>
              <w:spacing w:after="0"/>
              <w:rPr>
                <w:sz w:val="20"/>
                <w:szCs w:val="20"/>
                <w:color w:val="auto"/>
              </w:rPr>
            </w:pPr>
            <w:r>
              <w:rPr>
                <w:rFonts w:ascii="Arial" w:cs="Arial" w:eastAsia="Arial" w:hAnsi="Arial"/>
                <w:sz w:val="13"/>
                <w:szCs w:val="13"/>
                <w:color w:val="auto"/>
              </w:rPr>
              <w:t>$189,951</w:t>
            </w:r>
          </w:p>
        </w:tc>
        <w:tc>
          <w:tcPr>
            <w:tcW w:w="12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$802,988</w:t>
            </w:r>
          </w:p>
        </w:tc>
        <w:tc>
          <w:tcPr>
            <w:tcW w:w="0" w:type="dxa"/>
            <w:vAlign w:val="bottom"/>
          </w:tcPr>
          <w:p>
            <w:pPr>
              <w:spacing w:after="0"/>
              <w:rPr>
                <w:sz w:val="1"/>
                <w:szCs w:val="1"/>
                <w:color w:val="auto"/>
              </w:rPr>
            </w:pPr>
          </w:p>
        </w:tc>
      </w:tr>
      <w:tr>
        <w:trPr>
          <w:trHeight w:val="257"/>
        </w:trPr>
        <w:tc>
          <w:tcPr>
            <w:tcW w:w="980" w:type="dxa"/>
            <w:vAlign w:val="bottom"/>
            <w:shd w:val="clear" w:color="auto" w:fill="E6E6E6"/>
          </w:tcPr>
          <w:p>
            <w:pPr>
              <w:spacing w:after="0"/>
              <w:rPr>
                <w:sz w:val="22"/>
                <w:szCs w:val="22"/>
                <w:color w:val="auto"/>
              </w:rPr>
            </w:pPr>
          </w:p>
        </w:tc>
        <w:tc>
          <w:tcPr>
            <w:tcW w:w="1540" w:type="dxa"/>
            <w:vAlign w:val="bottom"/>
            <w:shd w:val="clear" w:color="auto" w:fill="E6E6E6"/>
          </w:tcPr>
          <w:p>
            <w:pPr>
              <w:ind w:left="20"/>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E6E6E6"/>
          </w:tcPr>
          <w:p>
            <w:pPr>
              <w:jc w:val="right"/>
              <w:ind w:right="172"/>
              <w:spacing w:after="0"/>
              <w:rPr>
                <w:sz w:val="20"/>
                <w:szCs w:val="20"/>
                <w:color w:val="auto"/>
              </w:rPr>
            </w:pPr>
            <w:r>
              <w:rPr>
                <w:rFonts w:ascii="Arial" w:cs="Arial" w:eastAsia="Arial" w:hAnsi="Arial"/>
                <w:sz w:val="13"/>
                <w:szCs w:val="13"/>
                <w:color w:val="auto"/>
              </w:rPr>
              <w:t>$0</w:t>
            </w:r>
          </w:p>
        </w:tc>
        <w:tc>
          <w:tcPr>
            <w:tcW w:w="13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20" w:type="dxa"/>
            <w:vAlign w:val="bottom"/>
            <w:shd w:val="clear" w:color="auto" w:fill="E6E6E6"/>
          </w:tcPr>
          <w:p>
            <w:pPr>
              <w:jc w:val="right"/>
              <w:ind w:right="192"/>
              <w:spacing w:after="0"/>
              <w:rPr>
                <w:sz w:val="20"/>
                <w:szCs w:val="20"/>
                <w:color w:val="auto"/>
              </w:rPr>
            </w:pPr>
            <w:r>
              <w:rPr>
                <w:rFonts w:ascii="Arial" w:cs="Arial" w:eastAsia="Arial" w:hAnsi="Arial"/>
                <w:sz w:val="13"/>
                <w:szCs w:val="13"/>
                <w:color w:val="auto"/>
              </w:rPr>
              <w:t>$0</w:t>
            </w:r>
          </w:p>
        </w:tc>
        <w:tc>
          <w:tcPr>
            <w:tcW w:w="12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56"/>
        </w:trPr>
        <w:tc>
          <w:tcPr>
            <w:tcW w:w="980" w:type="dxa"/>
            <w:vAlign w:val="bottom"/>
            <w:shd w:val="clear" w:color="auto" w:fill="E6E6E6"/>
          </w:tcPr>
          <w:p>
            <w:pPr>
              <w:spacing w:after="0"/>
              <w:rPr>
                <w:sz w:val="22"/>
                <w:szCs w:val="22"/>
                <w:color w:val="auto"/>
              </w:rPr>
            </w:pPr>
          </w:p>
        </w:tc>
        <w:tc>
          <w:tcPr>
            <w:tcW w:w="1540" w:type="dxa"/>
            <w:vAlign w:val="bottom"/>
            <w:shd w:val="clear" w:color="auto" w:fill="E6E6E6"/>
          </w:tcPr>
          <w:p>
            <w:pPr>
              <w:ind w:left="1260"/>
              <w:spacing w:after="0"/>
              <w:rPr>
                <w:sz w:val="20"/>
                <w:szCs w:val="20"/>
                <w:color w:val="auto"/>
              </w:rPr>
            </w:pPr>
            <w:r>
              <w:rPr>
                <w:rFonts w:ascii="Arial" w:cs="Arial" w:eastAsia="Arial" w:hAnsi="Arial"/>
                <w:sz w:val="13"/>
                <w:szCs w:val="13"/>
                <w:color w:val="auto"/>
              </w:rPr>
              <w:t>total</w:t>
            </w:r>
          </w:p>
        </w:tc>
        <w:tc>
          <w:tcPr>
            <w:tcW w:w="1280" w:type="dxa"/>
            <w:vAlign w:val="bottom"/>
            <w:shd w:val="clear" w:color="auto" w:fill="E6E6E6"/>
          </w:tcPr>
          <w:p>
            <w:pPr>
              <w:jc w:val="right"/>
              <w:ind w:right="172"/>
              <w:spacing w:after="0"/>
              <w:rPr>
                <w:sz w:val="20"/>
                <w:szCs w:val="20"/>
                <w:color w:val="auto"/>
              </w:rPr>
            </w:pPr>
            <w:r>
              <w:rPr>
                <w:rFonts w:ascii="Arial" w:cs="Arial" w:eastAsia="Arial" w:hAnsi="Arial"/>
                <w:sz w:val="13"/>
                <w:szCs w:val="13"/>
                <w:color w:val="auto"/>
              </w:rPr>
              <w:t>$0</w:t>
            </w:r>
          </w:p>
        </w:tc>
        <w:tc>
          <w:tcPr>
            <w:tcW w:w="13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20" w:type="dxa"/>
            <w:vAlign w:val="bottom"/>
            <w:shd w:val="clear" w:color="auto" w:fill="E6E6E6"/>
          </w:tcPr>
          <w:p>
            <w:pPr>
              <w:jc w:val="right"/>
              <w:ind w:right="192"/>
              <w:spacing w:after="0"/>
              <w:rPr>
                <w:sz w:val="20"/>
                <w:szCs w:val="20"/>
                <w:color w:val="auto"/>
              </w:rPr>
            </w:pPr>
            <w:r>
              <w:rPr>
                <w:rFonts w:ascii="Arial" w:cs="Arial" w:eastAsia="Arial" w:hAnsi="Arial"/>
                <w:sz w:val="13"/>
                <w:szCs w:val="13"/>
                <w:color w:val="auto"/>
              </w:rPr>
              <w:t>$189,951</w:t>
            </w:r>
          </w:p>
        </w:tc>
        <w:tc>
          <w:tcPr>
            <w:tcW w:w="12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232"/>
              <w:spacing w:after="0"/>
              <w:rPr>
                <w:sz w:val="20"/>
                <w:szCs w:val="20"/>
                <w:color w:val="auto"/>
              </w:rPr>
            </w:pPr>
            <w:r>
              <w:rPr>
                <w:rFonts w:ascii="Arial" w:cs="Arial" w:eastAsia="Arial" w:hAnsi="Arial"/>
                <w:sz w:val="13"/>
                <w:szCs w:val="13"/>
                <w:color w:val="auto"/>
              </w:rPr>
              <w:t>$802,988</w:t>
            </w:r>
          </w:p>
        </w:tc>
        <w:tc>
          <w:tcPr>
            <w:tcW w:w="0" w:type="dxa"/>
            <w:vAlign w:val="bottom"/>
          </w:tcPr>
          <w:p>
            <w:pPr>
              <w:spacing w:after="0"/>
              <w:rPr>
                <w:sz w:val="1"/>
                <w:szCs w:val="1"/>
                <w:color w:val="auto"/>
              </w:rPr>
            </w:pPr>
          </w:p>
        </w:tc>
      </w:tr>
      <w:tr>
        <w:trPr>
          <w:trHeight w:val="28"/>
        </w:trPr>
        <w:tc>
          <w:tcPr>
            <w:tcW w:w="980" w:type="dxa"/>
            <w:vAlign w:val="bottom"/>
            <w:shd w:val="clear" w:color="auto" w:fill="E6E6E6"/>
          </w:tcPr>
          <w:p>
            <w:pPr>
              <w:spacing w:after="0"/>
              <w:rPr>
                <w:sz w:val="2"/>
                <w:szCs w:val="2"/>
                <w:color w:val="auto"/>
              </w:rPr>
            </w:pPr>
          </w:p>
        </w:tc>
        <w:tc>
          <w:tcPr>
            <w:tcW w:w="1540" w:type="dxa"/>
            <w:vAlign w:val="bottom"/>
            <w:shd w:val="clear" w:color="auto" w:fill="E6E6E6"/>
          </w:tcPr>
          <w:p>
            <w:pPr>
              <w:spacing w:after="0"/>
              <w:rPr>
                <w:sz w:val="2"/>
                <w:szCs w:val="2"/>
                <w:color w:val="auto"/>
              </w:rPr>
            </w:pPr>
          </w:p>
        </w:tc>
        <w:tc>
          <w:tcPr>
            <w:tcW w:w="1280" w:type="dxa"/>
            <w:vAlign w:val="bottom"/>
            <w:shd w:val="clear" w:color="auto" w:fill="E6E6E6"/>
          </w:tcPr>
          <w:p>
            <w:pPr>
              <w:spacing w:after="0"/>
              <w:rPr>
                <w:sz w:val="2"/>
                <w:szCs w:val="2"/>
                <w:color w:val="auto"/>
              </w:rPr>
            </w:pPr>
          </w:p>
        </w:tc>
        <w:tc>
          <w:tcPr>
            <w:tcW w:w="1320" w:type="dxa"/>
            <w:vAlign w:val="bottom"/>
            <w:shd w:val="clear" w:color="auto" w:fill="E6E6E6"/>
          </w:tcPr>
          <w:p>
            <w:pPr>
              <w:spacing w:after="0"/>
              <w:rPr>
                <w:sz w:val="2"/>
                <w:szCs w:val="2"/>
                <w:color w:val="auto"/>
              </w:rPr>
            </w:pPr>
          </w:p>
        </w:tc>
        <w:tc>
          <w:tcPr>
            <w:tcW w:w="1220" w:type="dxa"/>
            <w:vAlign w:val="bottom"/>
            <w:shd w:val="clear" w:color="auto" w:fill="E6E6E6"/>
          </w:tcPr>
          <w:p>
            <w:pPr>
              <w:spacing w:after="0"/>
              <w:rPr>
                <w:sz w:val="2"/>
                <w:szCs w:val="2"/>
                <w:color w:val="auto"/>
              </w:rPr>
            </w:pPr>
          </w:p>
        </w:tc>
        <w:tc>
          <w:tcPr>
            <w:tcW w:w="1280" w:type="dxa"/>
            <w:vAlign w:val="bottom"/>
            <w:shd w:val="clear" w:color="auto" w:fill="E6E6E6"/>
          </w:tcPr>
          <w:p>
            <w:pPr>
              <w:spacing w:after="0"/>
              <w:rPr>
                <w:sz w:val="2"/>
                <w:szCs w:val="2"/>
                <w:color w:val="auto"/>
              </w:rPr>
            </w:pPr>
          </w:p>
        </w:tc>
        <w:tc>
          <w:tcPr>
            <w:tcW w:w="1260" w:type="dxa"/>
            <w:vAlign w:val="bottom"/>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8"/>
        <w:spacing w:after="0" w:line="218" w:lineRule="auto"/>
        <w:tabs>
          <w:tab w:leader="none" w:pos="86" w:val="left"/>
        </w:tabs>
        <w:numPr>
          <w:ilvl w:val="0"/>
          <w:numId w:val="97"/>
        </w:numPr>
        <w:rPr>
          <w:rFonts w:ascii="Arial" w:cs="Arial" w:eastAsia="Arial" w:hAnsi="Arial"/>
          <w:sz w:val="18"/>
          <w:szCs w:val="18"/>
          <w:color w:val="auto"/>
          <w:vertAlign w:val="superscript"/>
        </w:rPr>
      </w:pPr>
      <w:r>
        <w:rPr>
          <w:rFonts w:ascii="Arial" w:cs="Arial" w:eastAsia="Arial" w:hAnsi="Arial"/>
          <w:sz w:val="13"/>
          <w:szCs w:val="13"/>
          <w:color w:val="auto"/>
        </w:rPr>
        <w:t>The amounts in this column are also included in the Summary Compensation Table in the "Salary" column (nonqualified savings) or the "Non-Equity Incentive Plan Compensation" column (deferred compensation).</w:t>
      </w:r>
    </w:p>
    <w:p>
      <w:pPr>
        <w:spacing w:after="0" w:line="198"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The amounts in this column are also included in the Summary Compensation Table in the "All Other Compensation" column as a portion of the savings plan match.</w:t>
      </w: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Of the totals in this column, the following amounts have previously been reported in the Summary Compensation Table for this year and for previous years:</w:t>
      </w:r>
    </w:p>
    <w:p>
      <w:pPr>
        <w:spacing w:after="0" w:line="102" w:lineRule="exact"/>
        <w:rPr>
          <w:sz w:val="20"/>
          <w:szCs w:val="20"/>
          <w:color w:val="auto"/>
        </w:rPr>
      </w:pPr>
    </w:p>
    <w:tbl>
      <w:tblPr>
        <w:tblLayout w:type="fixed"/>
        <w:tblInd w:w="900" w:type="dxa"/>
        <w:tblCellMar>
          <w:top w:w="0" w:type="dxa"/>
          <w:left w:w="0" w:type="dxa"/>
          <w:bottom w:w="0" w:type="dxa"/>
          <w:right w:w="0" w:type="dxa"/>
        </w:tblCellMar>
      </w:tblPr>
      <w:tr>
        <w:trPr>
          <w:trHeight w:val="257"/>
        </w:trPr>
        <w:tc>
          <w:tcPr>
            <w:tcW w:w="15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00A1DE"/>
              </w:rPr>
              <w:t>Name</w:t>
            </w:r>
          </w:p>
        </w:tc>
        <w:tc>
          <w:tcPr>
            <w:tcW w:w="1320" w:type="dxa"/>
            <w:vAlign w:val="bottom"/>
            <w:shd w:val="clear" w:color="auto" w:fill="DBDBDB"/>
          </w:tcPr>
          <w:p>
            <w:pPr>
              <w:jc w:val="right"/>
              <w:ind w:right="192"/>
              <w:spacing w:after="0"/>
              <w:rPr>
                <w:sz w:val="20"/>
                <w:szCs w:val="20"/>
                <w:color w:val="auto"/>
              </w:rPr>
            </w:pPr>
            <w:r>
              <w:rPr>
                <w:rFonts w:ascii="Arial" w:cs="Arial" w:eastAsia="Arial" w:hAnsi="Arial"/>
                <w:sz w:val="14"/>
                <w:szCs w:val="14"/>
                <w:b w:val="1"/>
                <w:bCs w:val="1"/>
                <w:color w:val="00A1DE"/>
              </w:rPr>
              <w:t>2021 ($)</w:t>
            </w:r>
          </w:p>
        </w:tc>
        <w:tc>
          <w:tcPr>
            <w:tcW w:w="1820" w:type="dxa"/>
            <w:vAlign w:val="bottom"/>
            <w:shd w:val="clear" w:color="auto" w:fill="DBDBDB"/>
          </w:tcPr>
          <w:p>
            <w:pPr>
              <w:jc w:val="right"/>
              <w:ind w:right="252"/>
              <w:spacing w:after="0"/>
              <w:rPr>
                <w:sz w:val="20"/>
                <w:szCs w:val="20"/>
                <w:color w:val="auto"/>
              </w:rPr>
            </w:pPr>
            <w:r>
              <w:rPr>
                <w:rFonts w:ascii="Arial" w:cs="Arial" w:eastAsia="Arial" w:hAnsi="Arial"/>
                <w:sz w:val="14"/>
                <w:szCs w:val="14"/>
                <w:b w:val="1"/>
                <w:bCs w:val="1"/>
                <w:color w:val="00A1DE"/>
              </w:rPr>
              <w:t>Previous Years ($)</w:t>
            </w:r>
          </w:p>
        </w:tc>
        <w:tc>
          <w:tcPr>
            <w:tcW w:w="1160" w:type="dxa"/>
            <w:vAlign w:val="bottom"/>
            <w:shd w:val="clear" w:color="auto" w:fill="DBDBDB"/>
          </w:tcPr>
          <w:p>
            <w:pPr>
              <w:jc w:val="right"/>
              <w:ind w:right="332"/>
              <w:spacing w:after="0"/>
              <w:rPr>
                <w:sz w:val="20"/>
                <w:szCs w:val="20"/>
                <w:color w:val="auto"/>
              </w:rPr>
            </w:pPr>
            <w:r>
              <w:rPr>
                <w:rFonts w:ascii="Arial" w:cs="Arial" w:eastAsia="Arial" w:hAnsi="Arial"/>
                <w:sz w:val="14"/>
                <w:szCs w:val="14"/>
                <w:b w:val="1"/>
                <w:bCs w:val="1"/>
                <w:color w:val="00A1DE"/>
              </w:rPr>
              <w:t>Total ($)</w:t>
            </w:r>
          </w:p>
        </w:tc>
      </w:tr>
      <w:tr>
        <w:trPr>
          <w:trHeight w:val="229"/>
        </w:trPr>
        <w:tc>
          <w:tcPr>
            <w:tcW w:w="1540" w:type="dxa"/>
            <w:vAlign w:val="bottom"/>
          </w:tcPr>
          <w:p>
            <w:pPr>
              <w:ind w:left="20"/>
              <w:spacing w:after="0"/>
              <w:rPr>
                <w:sz w:val="20"/>
                <w:szCs w:val="20"/>
                <w:color w:val="auto"/>
              </w:rPr>
            </w:pPr>
            <w:r>
              <w:rPr>
                <w:rFonts w:ascii="Arial" w:cs="Arial" w:eastAsia="Arial" w:hAnsi="Arial"/>
                <w:sz w:val="13"/>
                <w:szCs w:val="13"/>
                <w:color w:val="auto"/>
              </w:rPr>
              <w:t>Mr. Ricks</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$145,200</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$547,415</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$692,615</w:t>
            </w:r>
          </w:p>
        </w:tc>
      </w:tr>
      <w:tr>
        <w:trPr>
          <w:trHeight w:val="256"/>
        </w:trPr>
        <w:tc>
          <w:tcPr>
            <w:tcW w:w="1540" w:type="dxa"/>
            <w:vAlign w:val="bottom"/>
          </w:tcPr>
          <w:p>
            <w:pPr>
              <w:ind w:left="20"/>
              <w:spacing w:after="0"/>
              <w:rPr>
                <w:sz w:val="20"/>
                <w:szCs w:val="20"/>
                <w:color w:val="auto"/>
              </w:rPr>
            </w:pPr>
            <w:r>
              <w:rPr>
                <w:rFonts w:ascii="Arial" w:cs="Arial" w:eastAsia="Arial" w:hAnsi="Arial"/>
                <w:sz w:val="13"/>
                <w:szCs w:val="13"/>
                <w:color w:val="auto"/>
              </w:rPr>
              <w:t>Ms. Ashkenazi</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$67,252</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$67,252</w:t>
            </w:r>
          </w:p>
        </w:tc>
      </w:tr>
      <w:tr>
        <w:trPr>
          <w:trHeight w:val="257"/>
        </w:trPr>
        <w:tc>
          <w:tcPr>
            <w:tcW w:w="1540" w:type="dxa"/>
            <w:vAlign w:val="bottom"/>
          </w:tcPr>
          <w:p>
            <w:pPr>
              <w:ind w:left="20"/>
              <w:spacing w:after="0"/>
              <w:rPr>
                <w:sz w:val="20"/>
                <w:szCs w:val="20"/>
                <w:color w:val="auto"/>
              </w:rPr>
            </w:pPr>
            <w:r>
              <w:rPr>
                <w:rFonts w:ascii="Arial" w:cs="Arial" w:eastAsia="Arial" w:hAnsi="Arial"/>
                <w:sz w:val="13"/>
                <w:szCs w:val="13"/>
                <w:color w:val="auto"/>
              </w:rPr>
              <w:t>Dr. Skovronsky</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$85,200</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$224,777</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$309,977</w:t>
            </w:r>
          </w:p>
        </w:tc>
      </w:tr>
      <w:tr>
        <w:trPr>
          <w:trHeight w:val="256"/>
        </w:trPr>
        <w:tc>
          <w:tcPr>
            <w:tcW w:w="1540" w:type="dxa"/>
            <w:vAlign w:val="bottom"/>
          </w:tcPr>
          <w:p>
            <w:pPr>
              <w:ind w:left="20"/>
              <w:spacing w:after="0"/>
              <w:rPr>
                <w:sz w:val="20"/>
                <w:szCs w:val="20"/>
                <w:color w:val="auto"/>
              </w:rPr>
            </w:pPr>
            <w:r>
              <w:rPr>
                <w:rFonts w:ascii="Arial" w:cs="Arial" w:eastAsia="Arial" w:hAnsi="Arial"/>
                <w:sz w:val="13"/>
                <w:szCs w:val="13"/>
                <w:color w:val="auto"/>
              </w:rPr>
              <w:t>Mr. Van Naarden</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$24,923</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$24,923</w:t>
            </w:r>
          </w:p>
        </w:tc>
      </w:tr>
      <w:tr>
        <w:trPr>
          <w:trHeight w:val="257"/>
        </w:trPr>
        <w:tc>
          <w:tcPr>
            <w:tcW w:w="1540" w:type="dxa"/>
            <w:vAlign w:val="bottom"/>
          </w:tcPr>
          <w:p>
            <w:pPr>
              <w:ind w:left="20"/>
              <w:spacing w:after="0"/>
              <w:rPr>
                <w:sz w:val="20"/>
                <w:szCs w:val="20"/>
                <w:color w:val="auto"/>
              </w:rPr>
            </w:pPr>
            <w:r>
              <w:rPr>
                <w:rFonts w:ascii="Arial" w:cs="Arial" w:eastAsia="Arial" w:hAnsi="Arial"/>
                <w:sz w:val="13"/>
                <w:szCs w:val="13"/>
                <w:color w:val="auto"/>
              </w:rPr>
              <w:t>Mr. Rau</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$14,677</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$14,677</w:t>
            </w:r>
          </w:p>
        </w:tc>
      </w:tr>
      <w:tr>
        <w:trPr>
          <w:trHeight w:val="256"/>
        </w:trPr>
        <w:tc>
          <w:tcPr>
            <w:tcW w:w="1540" w:type="dxa"/>
            <w:vAlign w:val="bottom"/>
          </w:tcPr>
          <w:p>
            <w:pPr>
              <w:ind w:left="20"/>
              <w:spacing w:after="0"/>
              <w:rPr>
                <w:sz w:val="20"/>
                <w:szCs w:val="20"/>
                <w:color w:val="auto"/>
              </w:rPr>
            </w:pPr>
            <w:r>
              <w:rPr>
                <w:rFonts w:ascii="Arial" w:cs="Arial" w:eastAsia="Arial" w:hAnsi="Arial"/>
                <w:sz w:val="13"/>
                <w:szCs w:val="13"/>
                <w:color w:val="auto"/>
              </w:rPr>
              <w:t>Mr. Smiley</w:t>
            </w:r>
          </w:p>
        </w:tc>
        <w:tc>
          <w:tcPr>
            <w:tcW w:w="1320" w:type="dxa"/>
            <w:vAlign w:val="bottom"/>
          </w:tcPr>
          <w:p>
            <w:pPr>
              <w:jc w:val="right"/>
              <w:ind w:right="172"/>
              <w:spacing w:after="0"/>
              <w:rPr>
                <w:sz w:val="20"/>
                <w:szCs w:val="20"/>
                <w:color w:val="auto"/>
              </w:rPr>
            </w:pPr>
            <w:r>
              <w:rPr>
                <w:rFonts w:ascii="Arial" w:cs="Arial" w:eastAsia="Arial" w:hAnsi="Arial"/>
                <w:sz w:val="13"/>
                <w:szCs w:val="13"/>
                <w:color w:val="auto"/>
              </w:rPr>
              <w:t>$0</w:t>
            </w:r>
          </w:p>
        </w:tc>
        <w:tc>
          <w:tcPr>
            <w:tcW w:w="1820" w:type="dxa"/>
            <w:vAlign w:val="bottom"/>
          </w:tcPr>
          <w:p>
            <w:pPr>
              <w:jc w:val="right"/>
              <w:ind w:right="132"/>
              <w:spacing w:after="0"/>
              <w:rPr>
                <w:sz w:val="20"/>
                <w:szCs w:val="20"/>
                <w:color w:val="auto"/>
              </w:rPr>
            </w:pPr>
            <w:r>
              <w:rPr>
                <w:rFonts w:ascii="Arial" w:cs="Arial" w:eastAsia="Arial" w:hAnsi="Arial"/>
                <w:sz w:val="13"/>
                <w:szCs w:val="13"/>
                <w:color w:val="auto"/>
              </w:rPr>
              <w:t>$228,777</w:t>
            </w:r>
          </w:p>
        </w:tc>
        <w:tc>
          <w:tcPr>
            <w:tcW w:w="1160" w:type="dxa"/>
            <w:vAlign w:val="bottom"/>
          </w:tcPr>
          <w:p>
            <w:pPr>
              <w:jc w:val="right"/>
              <w:ind w:right="272"/>
              <w:spacing w:after="0"/>
              <w:rPr>
                <w:sz w:val="20"/>
                <w:szCs w:val="20"/>
                <w:color w:val="auto"/>
              </w:rPr>
            </w:pPr>
            <w:r>
              <w:rPr>
                <w:rFonts w:ascii="Arial" w:cs="Arial" w:eastAsia="Arial" w:hAnsi="Arial"/>
                <w:sz w:val="13"/>
                <w:szCs w:val="13"/>
                <w:color w:val="auto"/>
              </w:rPr>
              <w:t>$228,777</w:t>
            </w:r>
          </w:p>
        </w:tc>
      </w:tr>
    </w:tbl>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Nonqualified Deferred Compensation in 2021 table above shows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w:t>
      </w:r>
    </w:p>
    <w:p>
      <w:pPr>
        <w:sectPr>
          <w:pgSz w:w="11900" w:h="16838" w:orient="portrait"/>
          <w:cols w:equalWidth="0" w:num="1">
            <w:col w:w="11220"/>
          </w:cols>
          <w:pgMar w:left="320" w:top="896"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20"/>
          </w:cols>
          <w:pgMar w:left="320" w:top="896" w:right="359" w:bottom="1440" w:gutter="0" w:footer="0" w:header="0"/>
          <w:type w:val="continuous"/>
        </w:sectPr>
      </w:pPr>
    </w:p>
    <w:bookmarkStart w:id="66" w:name="page67"/>
    <w:bookmarkEnd w:id="66"/>
    <w:p>
      <w:pPr>
        <w:ind w:right="60"/>
        <w:spacing w:after="0" w:line="250" w:lineRule="auto"/>
        <w:rPr>
          <w:sz w:val="20"/>
          <w:szCs w:val="20"/>
          <w:color w:val="auto"/>
        </w:rPr>
      </w:pPr>
      <w:r>
        <w:rPr>
          <w:rFonts w:ascii="Arial" w:cs="Arial" w:eastAsia="Arial" w:hAnsi="Arial"/>
          <w:sz w:val="16"/>
          <w:szCs w:val="16"/>
          <w:color w:val="auto"/>
        </w:rPr>
        <w:t>credited with interest at 120 percent of the applicable federal long-term rate as established the preceding December by the U.S. Treasury Department under Section 1274(d) of the Internal Revenue Code with monthly compounding, which was 1.6 percent for 2021 and is 2.3 percent for 2022. Participants may elect to receive the funds in a lump sum or in up to 10 annual installments following termination of employment but may not make withdrawals while employed by the company, except in the event of hardship as approved by the Compensation Committee. All deferral elections and associated distribution schedules are irrevocable. Both plans are unfunded and subject to forfeiture in the event of company bankruptcy.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upon Termination or Change in Control (as of December 31, 2021)</w:t>
      </w:r>
    </w:p>
    <w:p>
      <w:pPr>
        <w:spacing w:after="0" w:line="8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following table describes the potential payments and benefits under the company’s compensation and benefit plans and arrangements to which the named executive officers would be eligible upon qualifying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Compensation Committee.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80" w:type="dxa"/>
            <w:vAlign w:val="bottom"/>
            <w:shd w:val="clear" w:color="auto" w:fill="DBDBDB"/>
          </w:tcPr>
          <w:p>
            <w:pPr>
              <w:spacing w:after="0"/>
              <w:rPr>
                <w:sz w:val="24"/>
                <w:szCs w:val="24"/>
                <w:color w:val="auto"/>
              </w:rPr>
            </w:pPr>
          </w:p>
        </w:tc>
        <w:tc>
          <w:tcPr>
            <w:tcW w:w="3600" w:type="dxa"/>
            <w:vAlign w:val="bottom"/>
            <w:shd w:val="clear" w:color="auto" w:fill="DBDBDB"/>
          </w:tcPr>
          <w:p>
            <w:pPr>
              <w:spacing w:after="0"/>
              <w:rPr>
                <w:sz w:val="24"/>
                <w:szCs w:val="24"/>
                <w:color w:val="auto"/>
              </w:rPr>
            </w:pPr>
          </w:p>
        </w:tc>
        <w:tc>
          <w:tcPr>
            <w:tcW w:w="1240" w:type="dxa"/>
            <w:vAlign w:val="bottom"/>
            <w:shd w:val="clear" w:color="auto" w:fill="DBDBDB"/>
          </w:tcPr>
          <w:p>
            <w:pPr>
              <w:spacing w:after="0"/>
              <w:rPr>
                <w:sz w:val="24"/>
                <w:szCs w:val="24"/>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Continuation of</w:t>
            </w: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Acceleration and</w:t>
            </w:r>
          </w:p>
        </w:tc>
        <w:tc>
          <w:tcPr>
            <w:tcW w:w="10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 w:type="dxa"/>
            <w:vAlign w:val="bottom"/>
            <w:shd w:val="clear" w:color="auto" w:fill="DBDBDB"/>
          </w:tcPr>
          <w:p>
            <w:pPr>
              <w:spacing w:after="0"/>
              <w:rPr>
                <w:sz w:val="4"/>
                <w:szCs w:val="4"/>
                <w:color w:val="auto"/>
              </w:rPr>
            </w:pPr>
          </w:p>
        </w:tc>
        <w:tc>
          <w:tcPr>
            <w:tcW w:w="3600" w:type="dxa"/>
            <w:vAlign w:val="bottom"/>
            <w:shd w:val="clear" w:color="auto" w:fill="DBDBDB"/>
          </w:tcPr>
          <w:p>
            <w:pPr>
              <w:spacing w:after="0"/>
              <w:rPr>
                <w:sz w:val="4"/>
                <w:szCs w:val="4"/>
                <w:color w:val="auto"/>
              </w:rPr>
            </w:pPr>
          </w:p>
        </w:tc>
        <w:tc>
          <w:tcPr>
            <w:tcW w:w="1240" w:type="dxa"/>
            <w:vAlign w:val="bottom"/>
            <w:vMerge w:val="restart"/>
            <w:shd w:val="clear" w:color="auto" w:fill="DBDBDB"/>
          </w:tcPr>
          <w:p>
            <w:pPr>
              <w:jc w:val="center"/>
              <w:ind w:left="51"/>
              <w:spacing w:after="0"/>
              <w:rPr>
                <w:sz w:val="20"/>
                <w:szCs w:val="20"/>
                <w:color w:val="auto"/>
              </w:rPr>
            </w:pPr>
            <w:r>
              <w:rPr>
                <w:rFonts w:ascii="Arial" w:cs="Arial" w:eastAsia="Arial" w:hAnsi="Arial"/>
                <w:sz w:val="14"/>
                <w:szCs w:val="14"/>
                <w:b w:val="1"/>
                <w:bCs w:val="1"/>
                <w:color w:val="1CA8E1"/>
              </w:rPr>
              <w:t>Cash</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Medical / Welfare</w:t>
            </w:r>
          </w:p>
        </w:tc>
        <w:tc>
          <w:tcPr>
            <w:tcW w:w="1500" w:type="dxa"/>
            <w:vAlign w:val="bottom"/>
            <w:vMerge w:val="continue"/>
            <w:shd w:val="clear" w:color="auto" w:fill="DBDBDB"/>
          </w:tcPr>
          <w:p>
            <w:pPr>
              <w:spacing w:after="0"/>
              <w:rPr>
                <w:sz w:val="4"/>
                <w:szCs w:val="4"/>
                <w:color w:val="auto"/>
              </w:rPr>
            </w:pPr>
          </w:p>
        </w:tc>
        <w:tc>
          <w:tcPr>
            <w:tcW w:w="106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DBDBDB"/>
          </w:tcPr>
          <w:p>
            <w:pPr>
              <w:spacing w:after="0"/>
              <w:rPr>
                <w:sz w:val="9"/>
                <w:szCs w:val="9"/>
                <w:color w:val="auto"/>
              </w:rPr>
            </w:pPr>
          </w:p>
        </w:tc>
        <w:tc>
          <w:tcPr>
            <w:tcW w:w="3600" w:type="dxa"/>
            <w:vAlign w:val="bottom"/>
            <w:shd w:val="clear" w:color="auto" w:fill="DBDBDB"/>
          </w:tcPr>
          <w:p>
            <w:pPr>
              <w:spacing w:after="0"/>
              <w:rPr>
                <w:sz w:val="9"/>
                <w:szCs w:val="9"/>
                <w:color w:val="auto"/>
              </w:rPr>
            </w:pPr>
          </w:p>
        </w:tc>
        <w:tc>
          <w:tcPr>
            <w:tcW w:w="1240" w:type="dxa"/>
            <w:vAlign w:val="bottom"/>
            <w:vMerge w:val="continue"/>
            <w:shd w:val="clear" w:color="auto" w:fill="DBDBDB"/>
          </w:tcPr>
          <w:p>
            <w:pPr>
              <w:spacing w:after="0"/>
              <w:rPr>
                <w:sz w:val="9"/>
                <w:szCs w:val="9"/>
                <w:color w:val="auto"/>
              </w:rPr>
            </w:pPr>
          </w:p>
        </w:tc>
        <w:tc>
          <w:tcPr>
            <w:tcW w:w="1260" w:type="dxa"/>
            <w:vAlign w:val="bottom"/>
            <w:vMerge w:val="continue"/>
            <w:shd w:val="clear" w:color="auto" w:fill="DBDBDB"/>
          </w:tcPr>
          <w:p>
            <w:pPr>
              <w:spacing w:after="0"/>
              <w:rPr>
                <w:sz w:val="9"/>
                <w:szCs w:val="9"/>
                <w:color w:val="auto"/>
              </w:rPr>
            </w:pPr>
          </w:p>
        </w:tc>
        <w:tc>
          <w:tcPr>
            <w:tcW w:w="150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Continuation of</w:t>
            </w:r>
          </w:p>
        </w:tc>
        <w:tc>
          <w:tcPr>
            <w:tcW w:w="106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w w:val="95"/>
              </w:rPr>
              <w:t>Total</w:t>
            </w:r>
          </w:p>
        </w:tc>
        <w:tc>
          <w:tcPr>
            <w:tcW w:w="0" w:type="dxa"/>
            <w:vAlign w:val="bottom"/>
          </w:tcPr>
          <w:p>
            <w:pPr>
              <w:spacing w:after="0"/>
              <w:rPr>
                <w:sz w:val="1"/>
                <w:szCs w:val="1"/>
                <w:color w:val="auto"/>
              </w:rPr>
            </w:pPr>
          </w:p>
        </w:tc>
      </w:tr>
      <w:tr>
        <w:trPr>
          <w:trHeight w:val="54"/>
        </w:trPr>
        <w:tc>
          <w:tcPr>
            <w:tcW w:w="280" w:type="dxa"/>
            <w:vAlign w:val="bottom"/>
            <w:shd w:val="clear" w:color="auto" w:fill="DBDBDB"/>
          </w:tcPr>
          <w:p>
            <w:pPr>
              <w:spacing w:after="0"/>
              <w:rPr>
                <w:sz w:val="4"/>
                <w:szCs w:val="4"/>
                <w:color w:val="auto"/>
              </w:rPr>
            </w:pPr>
          </w:p>
        </w:tc>
        <w:tc>
          <w:tcPr>
            <w:tcW w:w="3600" w:type="dxa"/>
            <w:vAlign w:val="bottom"/>
            <w:shd w:val="clear" w:color="auto" w:fill="DBDBDB"/>
          </w:tcPr>
          <w:p>
            <w:pPr>
              <w:spacing w:after="0"/>
              <w:rPr>
                <w:sz w:val="4"/>
                <w:szCs w:val="4"/>
                <w:color w:val="auto"/>
              </w:rPr>
            </w:pPr>
          </w:p>
        </w:tc>
        <w:tc>
          <w:tcPr>
            <w:tcW w:w="1240" w:type="dxa"/>
            <w:vAlign w:val="bottom"/>
            <w:vMerge w:val="restart"/>
            <w:shd w:val="clear" w:color="auto" w:fill="DBDBDB"/>
          </w:tcPr>
          <w:p>
            <w:pPr>
              <w:jc w:val="center"/>
              <w:ind w:left="51"/>
              <w:spacing w:after="0"/>
              <w:rPr>
                <w:sz w:val="20"/>
                <w:szCs w:val="20"/>
                <w:color w:val="auto"/>
              </w:rPr>
            </w:pPr>
            <w:r>
              <w:rPr>
                <w:rFonts w:ascii="Arial" w:cs="Arial" w:eastAsia="Arial" w:hAnsi="Arial"/>
                <w:sz w:val="14"/>
                <w:szCs w:val="14"/>
                <w:b w:val="1"/>
                <w:bCs w:val="1"/>
                <w:color w:val="1CA8E1"/>
              </w:rPr>
              <w:t>Severance</w:t>
            </w:r>
          </w:p>
        </w:tc>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4"/>
                <w:szCs w:val="14"/>
                <w:b w:val="1"/>
                <w:bCs w:val="1"/>
                <w:color w:val="1CA8E1"/>
              </w:rPr>
              <w:t>Benefits (present</w:t>
            </w:r>
          </w:p>
        </w:tc>
        <w:tc>
          <w:tcPr>
            <w:tcW w:w="1500" w:type="dxa"/>
            <w:vAlign w:val="bottom"/>
            <w:vMerge w:val="continue"/>
            <w:shd w:val="clear" w:color="auto" w:fill="DBDBDB"/>
          </w:tcPr>
          <w:p>
            <w:pPr>
              <w:spacing w:after="0"/>
              <w:rPr>
                <w:sz w:val="4"/>
                <w:szCs w:val="4"/>
                <w:color w:val="auto"/>
              </w:rPr>
            </w:pPr>
          </w:p>
        </w:tc>
        <w:tc>
          <w:tcPr>
            <w:tcW w:w="106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DBDBDB"/>
          </w:tcPr>
          <w:p>
            <w:pPr>
              <w:spacing w:after="0"/>
              <w:rPr>
                <w:sz w:val="12"/>
                <w:szCs w:val="12"/>
                <w:color w:val="auto"/>
              </w:rPr>
            </w:pPr>
          </w:p>
        </w:tc>
        <w:tc>
          <w:tcPr>
            <w:tcW w:w="3600" w:type="dxa"/>
            <w:vAlign w:val="bottom"/>
            <w:shd w:val="clear" w:color="auto" w:fill="DBDBDB"/>
          </w:tcPr>
          <w:p>
            <w:pPr>
              <w:spacing w:after="0"/>
              <w:rPr>
                <w:sz w:val="12"/>
                <w:szCs w:val="12"/>
                <w:color w:val="auto"/>
              </w:rPr>
            </w:pPr>
          </w:p>
        </w:tc>
        <w:tc>
          <w:tcPr>
            <w:tcW w:w="1240" w:type="dxa"/>
            <w:vAlign w:val="bottom"/>
            <w:vMerge w:val="continue"/>
            <w:shd w:val="clear" w:color="auto" w:fill="DBDBDB"/>
          </w:tcPr>
          <w:p>
            <w:pPr>
              <w:spacing w:after="0"/>
              <w:rPr>
                <w:sz w:val="12"/>
                <w:szCs w:val="12"/>
                <w:color w:val="auto"/>
              </w:rPr>
            </w:pPr>
          </w:p>
        </w:tc>
        <w:tc>
          <w:tcPr>
            <w:tcW w:w="1260" w:type="dxa"/>
            <w:vAlign w:val="bottom"/>
            <w:vMerge w:val="continue"/>
            <w:shd w:val="clear" w:color="auto" w:fill="DBDBDB"/>
          </w:tcPr>
          <w:p>
            <w:pPr>
              <w:spacing w:after="0"/>
              <w:rPr>
                <w:sz w:val="12"/>
                <w:szCs w:val="12"/>
                <w:color w:val="auto"/>
              </w:rPr>
            </w:pPr>
          </w:p>
        </w:tc>
        <w:tc>
          <w:tcPr>
            <w:tcW w:w="1500" w:type="dxa"/>
            <w:vAlign w:val="bottom"/>
            <w:shd w:val="clear" w:color="auto" w:fill="DBDBDB"/>
          </w:tcPr>
          <w:p>
            <w:pPr>
              <w:jc w:val="center"/>
              <w:spacing w:after="0" w:line="148" w:lineRule="exact"/>
              <w:rPr>
                <w:sz w:val="20"/>
                <w:szCs w:val="20"/>
                <w:color w:val="auto"/>
              </w:rPr>
            </w:pPr>
            <w:r>
              <w:rPr>
                <w:rFonts w:ascii="Arial" w:cs="Arial" w:eastAsia="Arial" w:hAnsi="Arial"/>
                <w:sz w:val="14"/>
                <w:szCs w:val="14"/>
                <w:b w:val="1"/>
                <w:bCs w:val="1"/>
                <w:color w:val="1CA8E1"/>
              </w:rPr>
              <w:t>Equity Awards as of</w:t>
            </w:r>
          </w:p>
        </w:tc>
        <w:tc>
          <w:tcPr>
            <w:tcW w:w="1060" w:type="dxa"/>
            <w:vAlign w:val="bottom"/>
            <w:shd w:val="clear" w:color="auto" w:fill="DBDBDB"/>
          </w:tcPr>
          <w:p>
            <w:pPr>
              <w:jc w:val="center"/>
              <w:spacing w:after="0" w:line="148" w:lineRule="exact"/>
              <w:rPr>
                <w:sz w:val="20"/>
                <w:szCs w:val="20"/>
                <w:color w:val="auto"/>
              </w:rPr>
            </w:pPr>
            <w:r>
              <w:rPr>
                <w:rFonts w:ascii="Arial" w:cs="Arial" w:eastAsia="Arial" w:hAnsi="Arial"/>
                <w:sz w:val="14"/>
                <w:szCs w:val="14"/>
                <w:b w:val="1"/>
                <w:bCs w:val="1"/>
                <w:color w:val="1CA8E1"/>
                <w:w w:val="99"/>
              </w:rPr>
              <w:t>Termination</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b w:val="1"/>
                <w:bCs w:val="1"/>
                <w:color w:val="1CA8E1"/>
              </w:rPr>
              <w:t>Name</w:t>
            </w:r>
          </w:p>
        </w:tc>
        <w:tc>
          <w:tcPr>
            <w:tcW w:w="1240" w:type="dxa"/>
            <w:vAlign w:val="bottom"/>
            <w:tcBorders>
              <w:bottom w:val="single" w:sz="8" w:color="DBDBDB"/>
            </w:tcBorders>
            <w:shd w:val="clear" w:color="auto" w:fill="DBDBDB"/>
          </w:tcPr>
          <w:p>
            <w:pPr>
              <w:jc w:val="center"/>
              <w:ind w:left="51"/>
              <w:spacing w:after="0" w:line="162" w:lineRule="exact"/>
              <w:rPr>
                <w:sz w:val="20"/>
                <w:szCs w:val="20"/>
                <w:color w:val="auto"/>
              </w:rPr>
            </w:pPr>
            <w:r>
              <w:rPr>
                <w:rFonts w:ascii="Arial" w:cs="Arial" w:eastAsia="Arial" w:hAnsi="Arial"/>
                <w:sz w:val="14"/>
                <w:szCs w:val="14"/>
                <w:b w:val="1"/>
                <w:bCs w:val="1"/>
                <w:color w:val="1CA8E1"/>
                <w:w w:val="98"/>
              </w:rPr>
              <w:t xml:space="preserve">Payment </w:t>
            </w:r>
            <w:r>
              <w:rPr>
                <w:rFonts w:ascii="Arial" w:cs="Arial" w:eastAsia="Arial" w:hAnsi="Arial"/>
                <w:sz w:val="18"/>
                <w:szCs w:val="18"/>
                <w:b w:val="1"/>
                <w:bCs w:val="1"/>
                <w:color w:val="1CA8E1"/>
                <w:w w:val="98"/>
                <w:vertAlign w:val="superscript"/>
              </w:rPr>
              <w:t>1</w:t>
            </w:r>
          </w:p>
        </w:tc>
        <w:tc>
          <w:tcPr>
            <w:tcW w:w="1260" w:type="dxa"/>
            <w:vAlign w:val="bottom"/>
            <w:tcBorders>
              <w:bottom w:val="single" w:sz="8" w:color="DBDBDB"/>
            </w:tcBorders>
            <w:shd w:val="clear" w:color="auto" w:fill="DBDBDB"/>
          </w:tcPr>
          <w:p>
            <w:pPr>
              <w:jc w:val="center"/>
              <w:spacing w:after="0" w:line="162" w:lineRule="exact"/>
              <w:rPr>
                <w:sz w:val="20"/>
                <w:szCs w:val="20"/>
                <w:color w:val="auto"/>
              </w:rPr>
            </w:pPr>
            <w:r>
              <w:rPr>
                <w:rFonts w:ascii="Arial" w:cs="Arial" w:eastAsia="Arial" w:hAnsi="Arial"/>
                <w:sz w:val="14"/>
                <w:szCs w:val="14"/>
                <w:b w:val="1"/>
                <w:bCs w:val="1"/>
                <w:color w:val="1CA8E1"/>
                <w:w w:val="97"/>
              </w:rPr>
              <w:t xml:space="preserve">value) </w:t>
            </w:r>
            <w:r>
              <w:rPr>
                <w:rFonts w:ascii="Arial" w:cs="Arial" w:eastAsia="Arial" w:hAnsi="Arial"/>
                <w:sz w:val="18"/>
                <w:szCs w:val="18"/>
                <w:b w:val="1"/>
                <w:bCs w:val="1"/>
                <w:color w:val="1CA8E1"/>
                <w:w w:val="97"/>
                <w:vertAlign w:val="superscript"/>
              </w:rPr>
              <w:t>2</w:t>
            </w:r>
          </w:p>
        </w:tc>
        <w:tc>
          <w:tcPr>
            <w:tcW w:w="15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1CA8E1"/>
              </w:rPr>
              <w:t>12/31/2021</w:t>
            </w:r>
          </w:p>
        </w:tc>
        <w:tc>
          <w:tcPr>
            <w:tcW w:w="1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b w:val="1"/>
                <w:bCs w:val="1"/>
                <w:color w:val="1CA8E1"/>
              </w:rPr>
              <w:t>Benefits</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Mr. Ricks</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   Involuntary retirement or termination</w:t>
            </w:r>
          </w:p>
        </w:tc>
        <w:tc>
          <w:tcPr>
            <w:tcW w:w="124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111"/>
              <w:spacing w:after="0"/>
              <w:rPr>
                <w:sz w:val="20"/>
                <w:szCs w:val="20"/>
                <w:color w:val="auto"/>
              </w:rPr>
            </w:pPr>
            <w:r>
              <w:rPr>
                <w:rFonts w:ascii="Arial" w:cs="Arial" w:eastAsia="Arial" w:hAnsi="Arial"/>
                <w:sz w:val="13"/>
                <w:szCs w:val="13"/>
                <w:color w:val="auto"/>
              </w:rPr>
              <w:t>$0</w:t>
            </w:r>
          </w:p>
        </w:tc>
        <w:tc>
          <w:tcPr>
            <w:tcW w:w="1500" w:type="dxa"/>
            <w:vAlign w:val="bottom"/>
          </w:tcPr>
          <w:p>
            <w:pPr>
              <w:jc w:val="right"/>
              <w:ind w:right="331"/>
              <w:spacing w:after="0"/>
              <w:rPr>
                <w:sz w:val="20"/>
                <w:szCs w:val="20"/>
                <w:color w:val="auto"/>
              </w:rPr>
            </w:pPr>
            <w:r>
              <w:rPr>
                <w:rFonts w:ascii="Arial" w:cs="Arial" w:eastAsia="Arial" w:hAnsi="Arial"/>
                <w:sz w:val="13"/>
                <w:szCs w:val="13"/>
                <w:color w:val="auto"/>
              </w:rPr>
              <w:t>$28,724,256</w:t>
            </w:r>
          </w:p>
        </w:tc>
        <w:tc>
          <w:tcPr>
            <w:tcW w:w="1060" w:type="dxa"/>
            <w:vAlign w:val="bottom"/>
          </w:tcPr>
          <w:p>
            <w:pPr>
              <w:jc w:val="right"/>
              <w:spacing w:after="0"/>
              <w:rPr>
                <w:sz w:val="20"/>
                <w:szCs w:val="20"/>
                <w:color w:val="auto"/>
              </w:rPr>
            </w:pPr>
            <w:r>
              <w:rPr>
                <w:rFonts w:ascii="Arial" w:cs="Arial" w:eastAsia="Arial" w:hAnsi="Arial"/>
                <w:sz w:val="13"/>
                <w:szCs w:val="13"/>
                <w:color w:val="auto"/>
              </w:rPr>
              <w:t>$28,724,256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3"/>
                <w:szCs w:val="13"/>
                <w:color w:val="auto"/>
              </w:rPr>
              <w:t>Involuntary or good-reason termination after change in</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control</w:t>
            </w:r>
          </w:p>
        </w:tc>
        <w:tc>
          <w:tcPr>
            <w:tcW w:w="1240" w:type="dxa"/>
            <w:vAlign w:val="bottom"/>
          </w:tcPr>
          <w:p>
            <w:pPr>
              <w:jc w:val="right"/>
              <w:spacing w:after="0"/>
              <w:rPr>
                <w:sz w:val="20"/>
                <w:szCs w:val="20"/>
                <w:color w:val="auto"/>
              </w:rPr>
            </w:pPr>
            <w:r>
              <w:rPr>
                <w:rFonts w:ascii="Arial" w:cs="Arial" w:eastAsia="Arial" w:hAnsi="Arial"/>
                <w:sz w:val="13"/>
                <w:szCs w:val="13"/>
                <w:color w:val="auto"/>
              </w:rPr>
              <w:t>$7,500,000</w:t>
            </w:r>
          </w:p>
        </w:tc>
        <w:tc>
          <w:tcPr>
            <w:tcW w:w="1260" w:type="dxa"/>
            <w:vAlign w:val="bottom"/>
          </w:tcPr>
          <w:p>
            <w:pPr>
              <w:jc w:val="right"/>
              <w:ind w:right="111"/>
              <w:spacing w:after="0"/>
              <w:rPr>
                <w:sz w:val="20"/>
                <w:szCs w:val="20"/>
                <w:color w:val="auto"/>
              </w:rPr>
            </w:pPr>
            <w:r>
              <w:rPr>
                <w:rFonts w:ascii="Arial" w:cs="Arial" w:eastAsia="Arial" w:hAnsi="Arial"/>
                <w:sz w:val="13"/>
                <w:szCs w:val="13"/>
                <w:color w:val="auto"/>
              </w:rPr>
              <w:t>$44,054</w:t>
            </w:r>
          </w:p>
        </w:tc>
        <w:tc>
          <w:tcPr>
            <w:tcW w:w="1500" w:type="dxa"/>
            <w:vAlign w:val="bottom"/>
          </w:tcPr>
          <w:p>
            <w:pPr>
              <w:jc w:val="right"/>
              <w:ind w:right="331"/>
              <w:spacing w:after="0"/>
              <w:rPr>
                <w:sz w:val="20"/>
                <w:szCs w:val="20"/>
                <w:color w:val="auto"/>
              </w:rPr>
            </w:pPr>
            <w:r>
              <w:rPr>
                <w:rFonts w:ascii="Arial" w:cs="Arial" w:eastAsia="Arial" w:hAnsi="Arial"/>
                <w:sz w:val="13"/>
                <w:szCs w:val="13"/>
                <w:color w:val="auto"/>
              </w:rPr>
              <w:t>$83,838,115</w:t>
            </w:r>
          </w:p>
        </w:tc>
        <w:tc>
          <w:tcPr>
            <w:tcW w:w="1060" w:type="dxa"/>
            <w:vAlign w:val="bottom"/>
          </w:tcPr>
          <w:p>
            <w:pPr>
              <w:jc w:val="right"/>
              <w:spacing w:after="0"/>
              <w:rPr>
                <w:sz w:val="20"/>
                <w:szCs w:val="20"/>
                <w:color w:val="auto"/>
              </w:rPr>
            </w:pPr>
            <w:r>
              <w:rPr>
                <w:rFonts w:ascii="Arial" w:cs="Arial" w:eastAsia="Arial" w:hAnsi="Arial"/>
                <w:sz w:val="13"/>
                <w:szCs w:val="13"/>
                <w:color w:val="auto"/>
              </w:rPr>
              <w:t>$91,382,169</w:t>
            </w:r>
          </w:p>
        </w:tc>
        <w:tc>
          <w:tcPr>
            <w:tcW w:w="0" w:type="dxa"/>
            <w:vAlign w:val="bottom"/>
          </w:tcPr>
          <w:p>
            <w:pPr>
              <w:spacing w:after="0"/>
              <w:rPr>
                <w:sz w:val="1"/>
                <w:szCs w:val="1"/>
                <w:color w:val="auto"/>
              </w:rPr>
            </w:pPr>
          </w:p>
        </w:tc>
      </w:tr>
      <w:tr>
        <w:trPr>
          <w:trHeight w:val="28"/>
        </w:trPr>
        <w:tc>
          <w:tcPr>
            <w:tcW w:w="38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gridSpan w:val="2"/>
            <w:shd w:val="clear" w:color="auto" w:fill="E6E6E6"/>
          </w:tcPr>
          <w:p>
            <w:pPr>
              <w:ind w:left="20"/>
              <w:spacing w:after="0"/>
              <w:rPr>
                <w:sz w:val="20"/>
                <w:szCs w:val="20"/>
                <w:color w:val="auto"/>
              </w:rPr>
            </w:pPr>
            <w:r>
              <w:rPr>
                <w:rFonts w:ascii="Arial" w:cs="Arial" w:eastAsia="Arial" w:hAnsi="Arial"/>
                <w:sz w:val="13"/>
                <w:szCs w:val="13"/>
                <w:color w:val="auto"/>
              </w:rPr>
              <w:t>Ms. Ashkenazi</w:t>
            </w:r>
          </w:p>
        </w:tc>
        <w:tc>
          <w:tcPr>
            <w:tcW w:w="124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150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0" w:type="dxa"/>
            <w:vAlign w:val="bottom"/>
            <w:shd w:val="clear" w:color="auto" w:fill="E6E6E6"/>
          </w:tcPr>
          <w:p>
            <w:pPr>
              <w:ind w:left="20"/>
              <w:spacing w:after="0"/>
              <w:rPr>
                <w:sz w:val="20"/>
                <w:szCs w:val="20"/>
                <w:color w:val="auto"/>
              </w:rPr>
            </w:pPr>
            <w:r>
              <w:rPr>
                <w:rFonts w:ascii="Arial" w:cs="Arial" w:eastAsia="Arial" w:hAnsi="Arial"/>
                <w:sz w:val="13"/>
                <w:szCs w:val="13"/>
                <w:color w:val="auto"/>
              </w:rPr>
              <w:t>•</w:t>
            </w:r>
          </w:p>
        </w:tc>
        <w:tc>
          <w:tcPr>
            <w:tcW w:w="3600" w:type="dxa"/>
            <w:vAlign w:val="bottom"/>
            <w:shd w:val="clear" w:color="auto" w:fill="E6E6E6"/>
          </w:tcPr>
          <w:p>
            <w:pPr>
              <w:ind w:left="20"/>
              <w:spacing w:after="0"/>
              <w:rPr>
                <w:sz w:val="20"/>
                <w:szCs w:val="20"/>
                <w:color w:val="auto"/>
              </w:rPr>
            </w:pPr>
            <w:r>
              <w:rPr>
                <w:rFonts w:ascii="Arial" w:cs="Arial" w:eastAsia="Arial" w:hAnsi="Arial"/>
                <w:sz w:val="13"/>
                <w:szCs w:val="13"/>
                <w:color w:val="auto"/>
              </w:rPr>
              <w:t>Involuntary retirement or termination</w:t>
            </w:r>
          </w:p>
        </w:tc>
        <w:tc>
          <w:tcPr>
            <w:tcW w:w="1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111"/>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6E6E6"/>
          </w:tcPr>
          <w:p>
            <w:pPr>
              <w:jc w:val="right"/>
              <w:ind w:right="331"/>
              <w:spacing w:after="0"/>
              <w:rPr>
                <w:sz w:val="20"/>
                <w:szCs w:val="20"/>
                <w:color w:val="auto"/>
              </w:rPr>
            </w:pPr>
            <w:r>
              <w:rPr>
                <w:rFonts w:ascii="Arial" w:cs="Arial" w:eastAsia="Arial" w:hAnsi="Arial"/>
                <w:sz w:val="13"/>
                <w:szCs w:val="13"/>
                <w:color w:val="auto"/>
              </w:rPr>
              <w:t>$4,496,378</w:t>
            </w:r>
          </w:p>
        </w:tc>
        <w:tc>
          <w:tcPr>
            <w:tcW w:w="10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$4,496,378</w:t>
            </w:r>
          </w:p>
        </w:tc>
        <w:tc>
          <w:tcPr>
            <w:tcW w:w="0" w:type="dxa"/>
            <w:vAlign w:val="bottom"/>
          </w:tcPr>
          <w:p>
            <w:pPr>
              <w:spacing w:after="0"/>
              <w:rPr>
                <w:sz w:val="1"/>
                <w:szCs w:val="1"/>
                <w:color w:val="auto"/>
              </w:rPr>
            </w:pPr>
          </w:p>
        </w:tc>
      </w:tr>
      <w:tr>
        <w:trPr>
          <w:trHeight w:val="216"/>
        </w:trPr>
        <w:tc>
          <w:tcPr>
            <w:tcW w:w="280" w:type="dxa"/>
            <w:vAlign w:val="bottom"/>
            <w:shd w:val="clear" w:color="auto" w:fill="E6E6E6"/>
          </w:tcPr>
          <w:p>
            <w:pPr>
              <w:spacing w:after="0"/>
              <w:rPr>
                <w:sz w:val="18"/>
                <w:szCs w:val="18"/>
                <w:color w:val="auto"/>
              </w:rPr>
            </w:pPr>
          </w:p>
        </w:tc>
        <w:tc>
          <w:tcPr>
            <w:tcW w:w="3600" w:type="dxa"/>
            <w:vAlign w:val="bottom"/>
            <w:shd w:val="clear" w:color="auto" w:fill="E6E6E6"/>
          </w:tcPr>
          <w:p>
            <w:pPr>
              <w:ind w:left="20"/>
              <w:spacing w:after="0"/>
              <w:rPr>
                <w:sz w:val="20"/>
                <w:szCs w:val="20"/>
                <w:color w:val="auto"/>
              </w:rPr>
            </w:pPr>
            <w:r>
              <w:rPr>
                <w:rFonts w:ascii="Arial" w:cs="Arial" w:eastAsia="Arial" w:hAnsi="Arial"/>
                <w:sz w:val="13"/>
                <w:szCs w:val="13"/>
                <w:color w:val="auto"/>
              </w:rPr>
              <w:t>Involuntary or good-reason termination after change in</w:t>
            </w:r>
          </w:p>
        </w:tc>
        <w:tc>
          <w:tcPr>
            <w:tcW w:w="124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15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w:t>
            </w:r>
          </w:p>
        </w:tc>
        <w:tc>
          <w:tcPr>
            <w:tcW w:w="36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control</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$3,600,000</w:t>
            </w:r>
          </w:p>
        </w:tc>
        <w:tc>
          <w:tcPr>
            <w:tcW w:w="1260" w:type="dxa"/>
            <w:vAlign w:val="bottom"/>
            <w:tcBorders>
              <w:bottom w:val="single" w:sz="8" w:color="E6E6E6"/>
            </w:tcBorders>
            <w:shd w:val="clear" w:color="auto" w:fill="E6E6E6"/>
          </w:tcPr>
          <w:p>
            <w:pPr>
              <w:jc w:val="right"/>
              <w:ind w:right="111"/>
              <w:spacing w:after="0"/>
              <w:rPr>
                <w:sz w:val="20"/>
                <w:szCs w:val="20"/>
                <w:color w:val="auto"/>
              </w:rPr>
            </w:pPr>
            <w:r>
              <w:rPr>
                <w:rFonts w:ascii="Arial" w:cs="Arial" w:eastAsia="Arial" w:hAnsi="Arial"/>
                <w:sz w:val="13"/>
                <w:szCs w:val="13"/>
                <w:color w:val="auto"/>
              </w:rPr>
              <w:t>$52,130</w:t>
            </w:r>
          </w:p>
        </w:tc>
        <w:tc>
          <w:tcPr>
            <w:tcW w:w="1500" w:type="dxa"/>
            <w:vAlign w:val="bottom"/>
            <w:tcBorders>
              <w:bottom w:val="single" w:sz="8" w:color="E6E6E6"/>
            </w:tcBorders>
            <w:shd w:val="clear" w:color="auto" w:fill="E6E6E6"/>
          </w:tcPr>
          <w:p>
            <w:pPr>
              <w:jc w:val="right"/>
              <w:ind w:right="331"/>
              <w:spacing w:after="0"/>
              <w:rPr>
                <w:sz w:val="20"/>
                <w:szCs w:val="20"/>
                <w:color w:val="auto"/>
              </w:rPr>
            </w:pPr>
            <w:r>
              <w:rPr>
                <w:rFonts w:ascii="Arial" w:cs="Arial" w:eastAsia="Arial" w:hAnsi="Arial"/>
                <w:sz w:val="13"/>
                <w:szCs w:val="13"/>
                <w:color w:val="auto"/>
              </w:rPr>
              <w:t>$9,766,103</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$13,418,233</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Dr. Skovronsky</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   Involuntary retirement or termination</w:t>
            </w:r>
          </w:p>
        </w:tc>
        <w:tc>
          <w:tcPr>
            <w:tcW w:w="124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111"/>
              <w:spacing w:after="0"/>
              <w:rPr>
                <w:sz w:val="20"/>
                <w:szCs w:val="20"/>
                <w:color w:val="auto"/>
              </w:rPr>
            </w:pPr>
            <w:r>
              <w:rPr>
                <w:rFonts w:ascii="Arial" w:cs="Arial" w:eastAsia="Arial" w:hAnsi="Arial"/>
                <w:sz w:val="13"/>
                <w:szCs w:val="13"/>
                <w:color w:val="auto"/>
              </w:rPr>
              <w:t>$0</w:t>
            </w:r>
          </w:p>
        </w:tc>
        <w:tc>
          <w:tcPr>
            <w:tcW w:w="1500" w:type="dxa"/>
            <w:vAlign w:val="bottom"/>
          </w:tcPr>
          <w:p>
            <w:pPr>
              <w:jc w:val="right"/>
              <w:ind w:right="331"/>
              <w:spacing w:after="0"/>
              <w:rPr>
                <w:sz w:val="20"/>
                <w:szCs w:val="20"/>
                <w:color w:val="auto"/>
              </w:rPr>
            </w:pPr>
            <w:r>
              <w:rPr>
                <w:rFonts w:ascii="Arial" w:cs="Arial" w:eastAsia="Arial" w:hAnsi="Arial"/>
                <w:sz w:val="13"/>
                <w:szCs w:val="13"/>
                <w:color w:val="auto"/>
              </w:rPr>
              <w:t>$9,504,661</w:t>
            </w:r>
          </w:p>
        </w:tc>
        <w:tc>
          <w:tcPr>
            <w:tcW w:w="1060" w:type="dxa"/>
            <w:vAlign w:val="bottom"/>
          </w:tcPr>
          <w:p>
            <w:pPr>
              <w:jc w:val="right"/>
              <w:spacing w:after="0"/>
              <w:rPr>
                <w:sz w:val="20"/>
                <w:szCs w:val="20"/>
                <w:color w:val="auto"/>
              </w:rPr>
            </w:pPr>
            <w:r>
              <w:rPr>
                <w:rFonts w:ascii="Arial" w:cs="Arial" w:eastAsia="Arial" w:hAnsi="Arial"/>
                <w:sz w:val="13"/>
                <w:szCs w:val="13"/>
                <w:color w:val="auto"/>
              </w:rPr>
              <w:t>$9,504,661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3"/>
                <w:szCs w:val="13"/>
                <w:color w:val="auto"/>
              </w:rPr>
              <w:t>Involuntary or good-reason termination after change in</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3600" w:type="dxa"/>
            <w:vAlign w:val="bottom"/>
          </w:tcPr>
          <w:p>
            <w:pPr>
              <w:ind w:left="20"/>
              <w:spacing w:after="0"/>
              <w:rPr>
                <w:sz w:val="20"/>
                <w:szCs w:val="20"/>
                <w:color w:val="auto"/>
              </w:rPr>
            </w:pPr>
            <w:r>
              <w:rPr>
                <w:rFonts w:ascii="Arial" w:cs="Arial" w:eastAsia="Arial" w:hAnsi="Arial"/>
                <w:sz w:val="13"/>
                <w:szCs w:val="13"/>
                <w:color w:val="auto"/>
              </w:rPr>
              <w:t>control</w:t>
            </w:r>
          </w:p>
        </w:tc>
        <w:tc>
          <w:tcPr>
            <w:tcW w:w="1240" w:type="dxa"/>
            <w:vAlign w:val="bottom"/>
          </w:tcPr>
          <w:p>
            <w:pPr>
              <w:jc w:val="right"/>
              <w:spacing w:after="0"/>
              <w:rPr>
                <w:sz w:val="20"/>
                <w:szCs w:val="20"/>
                <w:color w:val="auto"/>
              </w:rPr>
            </w:pPr>
            <w:r>
              <w:rPr>
                <w:rFonts w:ascii="Arial" w:cs="Arial" w:eastAsia="Arial" w:hAnsi="Arial"/>
                <w:sz w:val="13"/>
                <w:szCs w:val="13"/>
                <w:color w:val="auto"/>
              </w:rPr>
              <w:t>$4,000,000</w:t>
            </w:r>
          </w:p>
        </w:tc>
        <w:tc>
          <w:tcPr>
            <w:tcW w:w="1260" w:type="dxa"/>
            <w:vAlign w:val="bottom"/>
          </w:tcPr>
          <w:p>
            <w:pPr>
              <w:jc w:val="right"/>
              <w:ind w:right="111"/>
              <w:spacing w:after="0"/>
              <w:rPr>
                <w:sz w:val="20"/>
                <w:szCs w:val="20"/>
                <w:color w:val="auto"/>
              </w:rPr>
            </w:pPr>
            <w:r>
              <w:rPr>
                <w:rFonts w:ascii="Arial" w:cs="Arial" w:eastAsia="Arial" w:hAnsi="Arial"/>
                <w:sz w:val="13"/>
                <w:szCs w:val="13"/>
                <w:color w:val="auto"/>
              </w:rPr>
              <w:t>$44,242</w:t>
            </w:r>
          </w:p>
        </w:tc>
        <w:tc>
          <w:tcPr>
            <w:tcW w:w="1500" w:type="dxa"/>
            <w:vAlign w:val="bottom"/>
          </w:tcPr>
          <w:p>
            <w:pPr>
              <w:jc w:val="right"/>
              <w:ind w:right="331"/>
              <w:spacing w:after="0"/>
              <w:rPr>
                <w:sz w:val="20"/>
                <w:szCs w:val="20"/>
                <w:color w:val="auto"/>
              </w:rPr>
            </w:pPr>
            <w:r>
              <w:rPr>
                <w:rFonts w:ascii="Arial" w:cs="Arial" w:eastAsia="Arial" w:hAnsi="Arial"/>
                <w:sz w:val="13"/>
                <w:szCs w:val="13"/>
                <w:color w:val="auto"/>
              </w:rPr>
              <w:t>$27,791,074</w:t>
            </w:r>
          </w:p>
        </w:tc>
        <w:tc>
          <w:tcPr>
            <w:tcW w:w="1060" w:type="dxa"/>
            <w:vAlign w:val="bottom"/>
          </w:tcPr>
          <w:p>
            <w:pPr>
              <w:jc w:val="right"/>
              <w:spacing w:after="0"/>
              <w:rPr>
                <w:sz w:val="20"/>
                <w:szCs w:val="20"/>
                <w:color w:val="auto"/>
              </w:rPr>
            </w:pPr>
            <w:r>
              <w:rPr>
                <w:rFonts w:ascii="Arial" w:cs="Arial" w:eastAsia="Arial" w:hAnsi="Arial"/>
                <w:sz w:val="13"/>
                <w:szCs w:val="13"/>
                <w:color w:val="auto"/>
              </w:rPr>
              <w:t>$31,835,316</w:t>
            </w:r>
          </w:p>
        </w:tc>
        <w:tc>
          <w:tcPr>
            <w:tcW w:w="0" w:type="dxa"/>
            <w:vAlign w:val="bottom"/>
          </w:tcPr>
          <w:p>
            <w:pPr>
              <w:spacing w:after="0"/>
              <w:rPr>
                <w:sz w:val="1"/>
                <w:szCs w:val="1"/>
                <w:color w:val="auto"/>
              </w:rPr>
            </w:pPr>
          </w:p>
        </w:tc>
      </w:tr>
      <w:tr>
        <w:trPr>
          <w:trHeight w:val="28"/>
        </w:trPr>
        <w:tc>
          <w:tcPr>
            <w:tcW w:w="38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gridSpan w:val="2"/>
            <w:shd w:val="clear" w:color="auto" w:fill="E6E6E6"/>
          </w:tcPr>
          <w:p>
            <w:pPr>
              <w:ind w:left="20"/>
              <w:spacing w:after="0"/>
              <w:rPr>
                <w:sz w:val="20"/>
                <w:szCs w:val="20"/>
                <w:color w:val="auto"/>
              </w:rPr>
            </w:pPr>
            <w:r>
              <w:rPr>
                <w:rFonts w:ascii="Arial" w:cs="Arial" w:eastAsia="Arial" w:hAnsi="Arial"/>
                <w:sz w:val="13"/>
                <w:szCs w:val="13"/>
                <w:color w:val="auto"/>
              </w:rPr>
              <w:t>Mr. Van Naarden</w:t>
            </w:r>
          </w:p>
        </w:tc>
        <w:tc>
          <w:tcPr>
            <w:tcW w:w="124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150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0" w:type="dxa"/>
            <w:vAlign w:val="bottom"/>
            <w:shd w:val="clear" w:color="auto" w:fill="E6E6E6"/>
          </w:tcPr>
          <w:p>
            <w:pPr>
              <w:ind w:left="20"/>
              <w:spacing w:after="0"/>
              <w:rPr>
                <w:sz w:val="20"/>
                <w:szCs w:val="20"/>
                <w:color w:val="auto"/>
              </w:rPr>
            </w:pPr>
            <w:r>
              <w:rPr>
                <w:rFonts w:ascii="Arial" w:cs="Arial" w:eastAsia="Arial" w:hAnsi="Arial"/>
                <w:sz w:val="13"/>
                <w:szCs w:val="13"/>
                <w:color w:val="auto"/>
              </w:rPr>
              <w:t>•</w:t>
            </w:r>
          </w:p>
        </w:tc>
        <w:tc>
          <w:tcPr>
            <w:tcW w:w="3600" w:type="dxa"/>
            <w:vAlign w:val="bottom"/>
            <w:shd w:val="clear" w:color="auto" w:fill="E6E6E6"/>
          </w:tcPr>
          <w:p>
            <w:pPr>
              <w:ind w:left="20"/>
              <w:spacing w:after="0"/>
              <w:rPr>
                <w:sz w:val="20"/>
                <w:szCs w:val="20"/>
                <w:color w:val="auto"/>
              </w:rPr>
            </w:pPr>
            <w:r>
              <w:rPr>
                <w:rFonts w:ascii="Arial" w:cs="Arial" w:eastAsia="Arial" w:hAnsi="Arial"/>
                <w:sz w:val="13"/>
                <w:szCs w:val="13"/>
                <w:color w:val="auto"/>
              </w:rPr>
              <w:t>Involuntary retirement or termination</w:t>
            </w:r>
          </w:p>
        </w:tc>
        <w:tc>
          <w:tcPr>
            <w:tcW w:w="1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$0</w:t>
            </w:r>
          </w:p>
        </w:tc>
        <w:tc>
          <w:tcPr>
            <w:tcW w:w="1260" w:type="dxa"/>
            <w:vAlign w:val="bottom"/>
            <w:shd w:val="clear" w:color="auto" w:fill="E6E6E6"/>
          </w:tcPr>
          <w:p>
            <w:pPr>
              <w:jc w:val="right"/>
              <w:ind w:right="111"/>
              <w:spacing w:after="0"/>
              <w:rPr>
                <w:sz w:val="20"/>
                <w:szCs w:val="20"/>
                <w:color w:val="auto"/>
              </w:rPr>
            </w:pPr>
            <w:r>
              <w:rPr>
                <w:rFonts w:ascii="Arial" w:cs="Arial" w:eastAsia="Arial" w:hAnsi="Arial"/>
                <w:sz w:val="13"/>
                <w:szCs w:val="13"/>
                <w:color w:val="auto"/>
              </w:rPr>
              <w:t>$0</w:t>
            </w:r>
          </w:p>
        </w:tc>
        <w:tc>
          <w:tcPr>
            <w:tcW w:w="1500" w:type="dxa"/>
            <w:vAlign w:val="bottom"/>
            <w:shd w:val="clear" w:color="auto" w:fill="E6E6E6"/>
          </w:tcPr>
          <w:p>
            <w:pPr>
              <w:jc w:val="right"/>
              <w:ind w:right="331"/>
              <w:spacing w:after="0"/>
              <w:rPr>
                <w:sz w:val="20"/>
                <w:szCs w:val="20"/>
                <w:color w:val="auto"/>
              </w:rPr>
            </w:pPr>
            <w:r>
              <w:rPr>
                <w:rFonts w:ascii="Arial" w:cs="Arial" w:eastAsia="Arial" w:hAnsi="Arial"/>
                <w:sz w:val="13"/>
                <w:szCs w:val="13"/>
                <w:color w:val="auto"/>
              </w:rPr>
              <w:t>$3,277,074</w:t>
            </w:r>
          </w:p>
        </w:tc>
        <w:tc>
          <w:tcPr>
            <w:tcW w:w="10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$3,277,074</w:t>
            </w:r>
          </w:p>
        </w:tc>
        <w:tc>
          <w:tcPr>
            <w:tcW w:w="0" w:type="dxa"/>
            <w:vAlign w:val="bottom"/>
          </w:tcPr>
          <w:p>
            <w:pPr>
              <w:spacing w:after="0"/>
              <w:rPr>
                <w:sz w:val="1"/>
                <w:szCs w:val="1"/>
                <w:color w:val="auto"/>
              </w:rPr>
            </w:pPr>
          </w:p>
        </w:tc>
      </w:tr>
      <w:tr>
        <w:trPr>
          <w:trHeight w:val="216"/>
        </w:trPr>
        <w:tc>
          <w:tcPr>
            <w:tcW w:w="280" w:type="dxa"/>
            <w:vAlign w:val="bottom"/>
            <w:shd w:val="clear" w:color="auto" w:fill="E6E6E6"/>
          </w:tcPr>
          <w:p>
            <w:pPr>
              <w:spacing w:after="0"/>
              <w:rPr>
                <w:sz w:val="18"/>
                <w:szCs w:val="18"/>
                <w:color w:val="auto"/>
              </w:rPr>
            </w:pPr>
          </w:p>
        </w:tc>
        <w:tc>
          <w:tcPr>
            <w:tcW w:w="3600" w:type="dxa"/>
            <w:vAlign w:val="bottom"/>
            <w:shd w:val="clear" w:color="auto" w:fill="E6E6E6"/>
          </w:tcPr>
          <w:p>
            <w:pPr>
              <w:ind w:left="20"/>
              <w:spacing w:after="0"/>
              <w:rPr>
                <w:sz w:val="20"/>
                <w:szCs w:val="20"/>
                <w:color w:val="auto"/>
              </w:rPr>
            </w:pPr>
            <w:r>
              <w:rPr>
                <w:rFonts w:ascii="Arial" w:cs="Arial" w:eastAsia="Arial" w:hAnsi="Arial"/>
                <w:sz w:val="13"/>
                <w:szCs w:val="13"/>
                <w:color w:val="auto"/>
              </w:rPr>
              <w:t>Involuntary or good-reason termination after change in</w:t>
            </w:r>
          </w:p>
        </w:tc>
        <w:tc>
          <w:tcPr>
            <w:tcW w:w="124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15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w:t>
            </w:r>
          </w:p>
        </w:tc>
        <w:tc>
          <w:tcPr>
            <w:tcW w:w="360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control</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$2,430,000</w:t>
            </w:r>
          </w:p>
        </w:tc>
        <w:tc>
          <w:tcPr>
            <w:tcW w:w="1260" w:type="dxa"/>
            <w:vAlign w:val="bottom"/>
            <w:tcBorders>
              <w:bottom w:val="single" w:sz="8" w:color="E6E6E6"/>
            </w:tcBorders>
            <w:shd w:val="clear" w:color="auto" w:fill="E6E6E6"/>
          </w:tcPr>
          <w:p>
            <w:pPr>
              <w:jc w:val="right"/>
              <w:ind w:right="111"/>
              <w:spacing w:after="0"/>
              <w:rPr>
                <w:sz w:val="20"/>
                <w:szCs w:val="20"/>
                <w:color w:val="auto"/>
              </w:rPr>
            </w:pPr>
            <w:r>
              <w:rPr>
                <w:rFonts w:ascii="Arial" w:cs="Arial" w:eastAsia="Arial" w:hAnsi="Arial"/>
                <w:sz w:val="13"/>
                <w:szCs w:val="13"/>
                <w:color w:val="auto"/>
              </w:rPr>
              <w:t>$51,818</w:t>
            </w:r>
          </w:p>
        </w:tc>
        <w:tc>
          <w:tcPr>
            <w:tcW w:w="1500" w:type="dxa"/>
            <w:vAlign w:val="bottom"/>
            <w:tcBorders>
              <w:bottom w:val="single" w:sz="8" w:color="E6E6E6"/>
            </w:tcBorders>
            <w:shd w:val="clear" w:color="auto" w:fill="E6E6E6"/>
          </w:tcPr>
          <w:p>
            <w:pPr>
              <w:jc w:val="right"/>
              <w:ind w:right="331"/>
              <w:spacing w:after="0"/>
              <w:rPr>
                <w:sz w:val="20"/>
                <w:szCs w:val="20"/>
                <w:color w:val="auto"/>
              </w:rPr>
            </w:pPr>
            <w:r>
              <w:rPr>
                <w:rFonts w:ascii="Arial" w:cs="Arial" w:eastAsia="Arial" w:hAnsi="Arial"/>
                <w:sz w:val="13"/>
                <w:szCs w:val="13"/>
                <w:color w:val="auto"/>
              </w:rPr>
              <w:t>$5,717,146</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3"/>
                <w:szCs w:val="13"/>
                <w:color w:val="auto"/>
              </w:rPr>
              <w:t>$8,198,964</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Mr. Rau</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80" w:type="dxa"/>
            <w:vAlign w:val="bottom"/>
            <w:gridSpan w:val="2"/>
          </w:tcPr>
          <w:p>
            <w:pPr>
              <w:ind w:left="20"/>
              <w:spacing w:after="0"/>
              <w:rPr>
                <w:sz w:val="20"/>
                <w:szCs w:val="20"/>
                <w:color w:val="auto"/>
              </w:rPr>
            </w:pPr>
            <w:r>
              <w:rPr>
                <w:rFonts w:ascii="Arial" w:cs="Arial" w:eastAsia="Arial" w:hAnsi="Arial"/>
                <w:sz w:val="13"/>
                <w:szCs w:val="13"/>
                <w:color w:val="auto"/>
              </w:rPr>
              <w:t>•   Involuntary retirement or termination</w:t>
            </w:r>
          </w:p>
        </w:tc>
        <w:tc>
          <w:tcPr>
            <w:tcW w:w="1240" w:type="dxa"/>
            <w:vAlign w:val="bottom"/>
          </w:tcPr>
          <w:p>
            <w:pPr>
              <w:jc w:val="right"/>
              <w:spacing w:after="0"/>
              <w:rPr>
                <w:sz w:val="20"/>
                <w:szCs w:val="20"/>
                <w:color w:val="auto"/>
              </w:rPr>
            </w:pPr>
            <w:r>
              <w:rPr>
                <w:rFonts w:ascii="Arial" w:cs="Arial" w:eastAsia="Arial" w:hAnsi="Arial"/>
                <w:sz w:val="13"/>
                <w:szCs w:val="13"/>
                <w:color w:val="auto"/>
              </w:rPr>
              <w:t>$0</w:t>
            </w:r>
          </w:p>
        </w:tc>
        <w:tc>
          <w:tcPr>
            <w:tcW w:w="1260" w:type="dxa"/>
            <w:vAlign w:val="bottom"/>
          </w:tcPr>
          <w:p>
            <w:pPr>
              <w:jc w:val="right"/>
              <w:ind w:right="111"/>
              <w:spacing w:after="0"/>
              <w:rPr>
                <w:sz w:val="20"/>
                <w:szCs w:val="20"/>
                <w:color w:val="auto"/>
              </w:rPr>
            </w:pPr>
            <w:r>
              <w:rPr>
                <w:rFonts w:ascii="Arial" w:cs="Arial" w:eastAsia="Arial" w:hAnsi="Arial"/>
                <w:sz w:val="13"/>
                <w:szCs w:val="13"/>
                <w:color w:val="auto"/>
              </w:rPr>
              <w:t>$0</w:t>
            </w:r>
          </w:p>
        </w:tc>
        <w:tc>
          <w:tcPr>
            <w:tcW w:w="1500" w:type="dxa"/>
            <w:vAlign w:val="bottom"/>
          </w:tcPr>
          <w:p>
            <w:pPr>
              <w:jc w:val="right"/>
              <w:ind w:right="331"/>
              <w:spacing w:after="0"/>
              <w:rPr>
                <w:sz w:val="20"/>
                <w:szCs w:val="20"/>
                <w:color w:val="auto"/>
              </w:rPr>
            </w:pPr>
            <w:r>
              <w:rPr>
                <w:rFonts w:ascii="Arial" w:cs="Arial" w:eastAsia="Arial" w:hAnsi="Arial"/>
                <w:sz w:val="13"/>
                <w:szCs w:val="13"/>
                <w:color w:val="auto"/>
              </w:rPr>
              <w:t>$5,568,595</w:t>
            </w:r>
          </w:p>
        </w:tc>
        <w:tc>
          <w:tcPr>
            <w:tcW w:w="1060" w:type="dxa"/>
            <w:vAlign w:val="bottom"/>
          </w:tcPr>
          <w:p>
            <w:pPr>
              <w:jc w:val="right"/>
              <w:spacing w:after="0"/>
              <w:rPr>
                <w:sz w:val="20"/>
                <w:szCs w:val="20"/>
                <w:color w:val="auto"/>
              </w:rPr>
            </w:pPr>
            <w:r>
              <w:rPr>
                <w:rFonts w:ascii="Arial" w:cs="Arial" w:eastAsia="Arial" w:hAnsi="Arial"/>
                <w:sz w:val="13"/>
                <w:szCs w:val="13"/>
                <w:color w:val="auto"/>
              </w:rPr>
              <w:t>$5,568,595</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00" w:hanging="274"/>
        <w:spacing w:after="0"/>
        <w:tabs>
          <w:tab w:leader="none" w:pos="3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Involuntary or good-reason termination after change in</w:t>
      </w:r>
    </w:p>
    <w:p>
      <w:pPr>
        <w:spacing w:after="0" w:line="1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260" w:type="dxa"/>
            <w:vAlign w:val="bottom"/>
          </w:tcPr>
          <w:p>
            <w:pPr>
              <w:spacing w:after="0"/>
              <w:rPr>
                <w:sz w:val="20"/>
                <w:szCs w:val="20"/>
                <w:color w:val="auto"/>
              </w:rPr>
            </w:pPr>
            <w:r>
              <w:rPr>
                <w:rFonts w:ascii="Arial" w:cs="Arial" w:eastAsia="Arial" w:hAnsi="Arial"/>
                <w:sz w:val="13"/>
                <w:szCs w:val="13"/>
                <w:color w:val="auto"/>
              </w:rPr>
              <w:t>control</w:t>
            </w:r>
          </w:p>
        </w:tc>
        <w:tc>
          <w:tcPr>
            <w:tcW w:w="2840" w:type="dxa"/>
            <w:vAlign w:val="bottom"/>
          </w:tcPr>
          <w:p>
            <w:pPr>
              <w:jc w:val="right"/>
              <w:ind w:right="233"/>
              <w:spacing w:after="0"/>
              <w:rPr>
                <w:sz w:val="20"/>
                <w:szCs w:val="20"/>
                <w:color w:val="auto"/>
              </w:rPr>
            </w:pPr>
            <w:r>
              <w:rPr>
                <w:rFonts w:ascii="Arial" w:cs="Arial" w:eastAsia="Arial" w:hAnsi="Arial"/>
                <w:sz w:val="13"/>
                <w:szCs w:val="13"/>
                <w:color w:val="auto"/>
              </w:rPr>
              <w:t>$2,412,000</w:t>
            </w:r>
          </w:p>
        </w:tc>
        <w:tc>
          <w:tcPr>
            <w:tcW w:w="1100" w:type="dxa"/>
            <w:vAlign w:val="bottom"/>
          </w:tcPr>
          <w:p>
            <w:pPr>
              <w:jc w:val="right"/>
              <w:ind w:right="233"/>
              <w:spacing w:after="0"/>
              <w:rPr>
                <w:sz w:val="20"/>
                <w:szCs w:val="20"/>
                <w:color w:val="auto"/>
              </w:rPr>
            </w:pPr>
            <w:r>
              <w:rPr>
                <w:rFonts w:ascii="Arial" w:cs="Arial" w:eastAsia="Arial" w:hAnsi="Arial"/>
                <w:sz w:val="13"/>
                <w:szCs w:val="13"/>
                <w:color w:val="auto"/>
              </w:rPr>
              <w:t>$39,340</w:t>
            </w:r>
          </w:p>
        </w:tc>
        <w:tc>
          <w:tcPr>
            <w:tcW w:w="1360" w:type="dxa"/>
            <w:vAlign w:val="bottom"/>
          </w:tcPr>
          <w:p>
            <w:pPr>
              <w:jc w:val="right"/>
              <w:ind w:right="313"/>
              <w:spacing w:after="0"/>
              <w:rPr>
                <w:sz w:val="20"/>
                <w:szCs w:val="20"/>
                <w:color w:val="auto"/>
              </w:rPr>
            </w:pPr>
            <w:r>
              <w:rPr>
                <w:rFonts w:ascii="Arial" w:cs="Arial" w:eastAsia="Arial" w:hAnsi="Arial"/>
                <w:sz w:val="13"/>
                <w:szCs w:val="13"/>
                <w:color w:val="auto"/>
              </w:rPr>
              <w:t>$5,568,595</w:t>
            </w:r>
          </w:p>
        </w:tc>
        <w:tc>
          <w:tcPr>
            <w:tcW w:w="1060" w:type="dxa"/>
            <w:vAlign w:val="bottom"/>
          </w:tcPr>
          <w:p>
            <w:pPr>
              <w:jc w:val="right"/>
              <w:spacing w:after="0"/>
              <w:rPr>
                <w:sz w:val="20"/>
                <w:szCs w:val="20"/>
                <w:color w:val="auto"/>
              </w:rPr>
            </w:pPr>
            <w:r>
              <w:rPr>
                <w:rFonts w:ascii="Arial" w:cs="Arial" w:eastAsia="Arial" w:hAnsi="Arial"/>
                <w:sz w:val="13"/>
                <w:szCs w:val="13"/>
                <w:color w:val="auto"/>
              </w:rPr>
              <w:t>$8,019,935</w:t>
            </w:r>
          </w:p>
        </w:tc>
      </w:tr>
    </w:tbl>
    <w:p>
      <w:pPr>
        <w:spacing w:after="0" w:line="119" w:lineRule="exact"/>
        <w:rPr>
          <w:sz w:val="20"/>
          <w:szCs w:val="20"/>
          <w:color w:val="auto"/>
        </w:rPr>
      </w:pPr>
    </w:p>
    <w:p>
      <w:pPr>
        <w:ind w:left="100" w:hanging="92"/>
        <w:spacing w:after="0"/>
        <w:tabs>
          <w:tab w:leader="none" w:pos="100" w:val="left"/>
        </w:tabs>
        <w:numPr>
          <w:ilvl w:val="0"/>
          <w:numId w:val="99"/>
        </w:numPr>
        <w:rPr>
          <w:rFonts w:ascii="Arial" w:cs="Arial" w:eastAsia="Arial" w:hAnsi="Arial"/>
          <w:sz w:val="18"/>
          <w:szCs w:val="18"/>
          <w:color w:val="auto"/>
          <w:vertAlign w:val="superscript"/>
        </w:rPr>
      </w:pPr>
      <w:r>
        <w:rPr>
          <w:rFonts w:ascii="Arial" w:cs="Arial" w:eastAsia="Arial" w:hAnsi="Arial"/>
          <w:sz w:val="13"/>
          <w:szCs w:val="13"/>
          <w:color w:val="auto"/>
        </w:rPr>
        <w:t>See "Change-in-Control Severance Pay Plan—Cash Severance Payment" below.</w:t>
      </w:r>
    </w:p>
    <w:p>
      <w:pPr>
        <w:ind w:left="100" w:hanging="92"/>
        <w:spacing w:after="0" w:line="200" w:lineRule="auto"/>
        <w:tabs>
          <w:tab w:leader="none" w:pos="100" w:val="left"/>
        </w:tabs>
        <w:numPr>
          <w:ilvl w:val="0"/>
          <w:numId w:val="100"/>
        </w:numPr>
        <w:rPr>
          <w:rFonts w:ascii="Arial" w:cs="Arial" w:eastAsia="Arial" w:hAnsi="Arial"/>
          <w:sz w:val="18"/>
          <w:szCs w:val="18"/>
          <w:color w:val="auto"/>
          <w:vertAlign w:val="superscript"/>
        </w:rPr>
      </w:pPr>
      <w:r>
        <w:rPr>
          <w:rFonts w:ascii="Arial" w:cs="Arial" w:eastAsia="Arial" w:hAnsi="Arial"/>
          <w:sz w:val="13"/>
          <w:szCs w:val="13"/>
          <w:color w:val="auto"/>
        </w:rPr>
        <w:t>See "Accrued Pay and Regular Retirement Benefits" and "Change-in-Control Severance Pay Plan—Continuation of medical and welfare benefits" below.</w:t>
      </w:r>
    </w:p>
    <w:p>
      <w:pPr>
        <w:spacing w:after="0" w:line="110"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b w:val="1"/>
          <w:bCs w:val="1"/>
          <w:color w:val="1CA8E1"/>
        </w:rPr>
        <w:t xml:space="preserve">Accrued Pay and Regular Retirement Benefits: </w:t>
      </w:r>
      <w:r>
        <w:rPr>
          <w:rFonts w:ascii="Arial" w:cs="Arial" w:eastAsia="Arial" w:hAnsi="Arial"/>
          <w:sz w:val="16"/>
          <w:szCs w:val="16"/>
          <w:color w:val="000000"/>
        </w:rPr>
        <w:t>The amounts shown in the table above do not include certain payments and benefits to the extent they are</w:t>
      </w:r>
      <w:r>
        <w:rPr>
          <w:rFonts w:ascii="Arial" w:cs="Arial" w:eastAsia="Arial" w:hAnsi="Arial"/>
          <w:sz w:val="14"/>
          <w:szCs w:val="14"/>
          <w:b w:val="1"/>
          <w:bCs w:val="1"/>
          <w:color w:val="1CA8E1"/>
        </w:rPr>
        <w:t xml:space="preserve"> </w:t>
      </w:r>
      <w:r>
        <w:rPr>
          <w:rFonts w:ascii="Arial" w:cs="Arial" w:eastAsia="Arial" w:hAnsi="Arial"/>
          <w:sz w:val="16"/>
          <w:szCs w:val="16"/>
          <w:color w:val="000000"/>
        </w:rPr>
        <w:t>provided on a non-discriminatory basis to salaried employees generally upon termination of employment. These include:</w:t>
      </w:r>
    </w:p>
    <w:p>
      <w:pPr>
        <w:spacing w:after="0" w:line="32" w:lineRule="exact"/>
        <w:rPr>
          <w:sz w:val="20"/>
          <w:szCs w:val="20"/>
          <w:color w:val="auto"/>
        </w:rPr>
      </w:pPr>
    </w:p>
    <w:p>
      <w:pPr>
        <w:ind w:left="340" w:right="860" w:hanging="332"/>
        <w:spacing w:after="0" w:line="260"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accrued salary, vacation pay, and, if applicable, equity payouts prorated for time worked in the performance period and adjusted for company performance</w:t>
      </w:r>
    </w:p>
    <w:p>
      <w:pPr>
        <w:spacing w:after="0" w:line="87" w:lineRule="exact"/>
        <w:rPr>
          <w:rFonts w:ascii="Arial" w:cs="Arial" w:eastAsia="Arial" w:hAnsi="Arial"/>
          <w:sz w:val="16"/>
          <w:szCs w:val="16"/>
          <w:color w:val="auto"/>
        </w:rPr>
      </w:pPr>
    </w:p>
    <w:p>
      <w:pPr>
        <w:ind w:left="300" w:hanging="292"/>
        <w:spacing w:after="0"/>
        <w:tabs>
          <w:tab w:leader="none" w:pos="3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regular pension benefits under the Retirement Plan and the nonqualified pension plan. See "Retirement Benefits" above</w:t>
      </w:r>
    </w:p>
    <w:p>
      <w:pPr>
        <w:spacing w:after="0" w:line="113" w:lineRule="exact"/>
        <w:rPr>
          <w:rFonts w:ascii="Arial" w:cs="Arial" w:eastAsia="Arial" w:hAnsi="Arial"/>
          <w:sz w:val="16"/>
          <w:szCs w:val="16"/>
          <w:color w:val="auto"/>
        </w:rPr>
      </w:pPr>
    </w:p>
    <w:p>
      <w:pPr>
        <w:ind w:left="340" w:right="980" w:hanging="332"/>
        <w:spacing w:after="0" w:line="260"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welfare benefits provided to eligible U.S. retirees, including retiree medical and dental insurance. The amounts shown in the table above as "Continuation of Medical/Welfare Benefits" are explained below; and</w:t>
      </w:r>
    </w:p>
    <w:p>
      <w:pPr>
        <w:spacing w:after="0" w:line="87" w:lineRule="exact"/>
        <w:rPr>
          <w:rFonts w:ascii="Arial" w:cs="Arial" w:eastAsia="Arial" w:hAnsi="Arial"/>
          <w:sz w:val="16"/>
          <w:szCs w:val="16"/>
          <w:color w:val="auto"/>
        </w:rPr>
      </w:pPr>
    </w:p>
    <w:p>
      <w:pPr>
        <w:ind w:left="340" w:right="20" w:hanging="332"/>
        <w:spacing w:after="0" w:line="260" w:lineRule="auto"/>
        <w:tabs>
          <w:tab w:leader="none" w:pos="3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distributions of plan balances under the 401(k) Plan, the nonqualified savings plan, and the Deferred Compensation Plan. See the narrative following the Nonqualified Deferred Compensation in 2020 table for information about these plans.</w:t>
      </w:r>
    </w:p>
    <w:p>
      <w:pPr>
        <w:spacing w:after="0" w:line="86"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1CA8E1"/>
        </w:rPr>
        <w:t xml:space="preserve">Death and Disability: </w:t>
      </w:r>
      <w:r>
        <w:rPr>
          <w:rFonts w:ascii="Arial" w:cs="Arial" w:eastAsia="Arial" w:hAnsi="Arial"/>
          <w:sz w:val="16"/>
          <w:szCs w:val="16"/>
          <w:color w:val="000000"/>
        </w:rPr>
        <w:t>A termination of employment due to death or disability does not entitle named executive officers to any payments or benefits that are not</w:t>
      </w:r>
      <w:r>
        <w:rPr>
          <w:rFonts w:ascii="Arial" w:cs="Arial" w:eastAsia="Arial" w:hAnsi="Arial"/>
          <w:sz w:val="14"/>
          <w:szCs w:val="14"/>
          <w:b w:val="1"/>
          <w:bCs w:val="1"/>
          <w:color w:val="1CA8E1"/>
        </w:rPr>
        <w:t xml:space="preserve"> </w:t>
      </w:r>
      <w:r>
        <w:rPr>
          <w:rFonts w:ascii="Arial" w:cs="Arial" w:eastAsia="Arial" w:hAnsi="Arial"/>
          <w:sz w:val="16"/>
          <w:szCs w:val="16"/>
          <w:color w:val="000000"/>
        </w:rPr>
        <w:t>available to U.S. employees generally.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1CA8E1"/>
        </w:rPr>
        <w:t xml:space="preserve">Termination for Cause: </w:t>
      </w:r>
      <w:r>
        <w:rPr>
          <w:rFonts w:ascii="Arial" w:cs="Arial" w:eastAsia="Arial" w:hAnsi="Arial"/>
          <w:sz w:val="16"/>
          <w:szCs w:val="16"/>
          <w:color w:val="000000"/>
        </w:rPr>
        <w:t>Executives terminated for cause receive no severance or enhanced benefits and forfeit any unvested equity grants.</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b w:val="1"/>
          <w:bCs w:val="1"/>
          <w:color w:val="1CA8E1"/>
        </w:rPr>
        <w:t xml:space="preserve">Change-in-Control Severance Pay Plan: </w:t>
      </w:r>
      <w:r>
        <w:rPr>
          <w:rFonts w:ascii="Arial" w:cs="Arial" w:eastAsia="Arial" w:hAnsi="Arial"/>
          <w:sz w:val="16"/>
          <w:szCs w:val="16"/>
          <w:color w:val="000000"/>
        </w:rPr>
        <w:t>As described in the CD&amp;A under "Other Compensation Practices and Information— Severance Benefits," the</w:t>
      </w:r>
      <w:r>
        <w:rPr>
          <w:rFonts w:ascii="Arial" w:cs="Arial" w:eastAsia="Arial" w:hAnsi="Arial"/>
          <w:sz w:val="14"/>
          <w:szCs w:val="14"/>
          <w:b w:val="1"/>
          <w:bCs w:val="1"/>
          <w:color w:val="1CA8E1"/>
        </w:rPr>
        <w:t xml:space="preserve"> </w:t>
      </w:r>
      <w:r>
        <w:rPr>
          <w:rFonts w:ascii="Arial" w:cs="Arial" w:eastAsia="Arial" w:hAnsi="Arial"/>
          <w:sz w:val="16"/>
          <w:szCs w:val="16"/>
          <w:color w:val="000000"/>
        </w:rPr>
        <w:t>company maintains a change-in-control severance pay plan for nearly all employees, including the named executive officers. The change-in-control plan for executive officers defines a change in control specifically, but</w:t>
      </w:r>
    </w:p>
    <w:p>
      <w:pPr>
        <w:sectPr>
          <w:pgSz w:w="11900" w:h="16838" w:orient="portrait"/>
          <w:cols w:equalWidth="0" w:num="1">
            <w:col w:w="11220"/>
          </w:cols>
          <w:pgMar w:left="320" w:top="843"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843"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auto"/>
        </w:rPr>
        <w:t>generally the terms include the occurrence of one of the following: (i) acquisition by any person of 20 percent or more of the company’s stock;</w:t>
      </w:r>
    </w:p>
    <w:p>
      <w:pPr>
        <w:spacing w:after="0" w:line="5" w:lineRule="exact"/>
        <w:rPr>
          <w:sz w:val="20"/>
          <w:szCs w:val="20"/>
          <w:color w:val="auto"/>
        </w:rPr>
      </w:pPr>
    </w:p>
    <w:p>
      <w:pPr>
        <w:ind w:right="100" w:firstLine="8"/>
        <w:spacing w:after="0" w:line="251" w:lineRule="auto"/>
        <w:tabs>
          <w:tab w:leader="none" w:pos="22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The amounts shown in the table for "involuntary or good-reason termination after change in control" are based on the following assumptions and plan provisions:</w:t>
      </w:r>
    </w:p>
    <w:p>
      <w:pPr>
        <w:spacing w:after="0" w:line="20" w:lineRule="exact"/>
        <w:rPr>
          <w:sz w:val="20"/>
          <w:szCs w:val="20"/>
          <w:color w:val="auto"/>
        </w:rPr>
      </w:pPr>
    </w:p>
    <w:p>
      <w:pPr>
        <w:ind w:left="340" w:right="120" w:hanging="332"/>
        <w:spacing w:after="0" w:line="259" w:lineRule="auto"/>
        <w:tabs>
          <w:tab w:leader="none" w:pos="316" w:val="left"/>
        </w:tabs>
        <w:numPr>
          <w:ilvl w:val="0"/>
          <w:numId w:val="103"/>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Covered terminations. </w:t>
      </w:r>
      <w:r>
        <w:rPr>
          <w:rFonts w:ascii="Arial" w:cs="Arial" w:eastAsia="Arial" w:hAnsi="Arial"/>
          <w:sz w:val="16"/>
          <w:szCs w:val="16"/>
          <w:color w:val="000000"/>
        </w:rPr>
        <w:t>The table assumes a termination of employment that is eligible for severance under the terms of the plan, based on the named</w:t>
      </w:r>
      <w:r>
        <w:rPr>
          <w:rFonts w:ascii="Arial" w:cs="Arial" w:eastAsia="Arial" w:hAnsi="Arial"/>
          <w:sz w:val="16"/>
          <w:szCs w:val="16"/>
          <w:b w:val="1"/>
          <w:bCs w:val="1"/>
          <w:color w:val="EE2724"/>
        </w:rPr>
        <w:t xml:space="preserve"> </w:t>
      </w:r>
      <w:r>
        <w:rPr>
          <w:rFonts w:ascii="Arial" w:cs="Arial" w:eastAsia="Arial" w:hAnsi="Arial"/>
          <w:sz w:val="16"/>
          <w:szCs w:val="16"/>
          <w:color w:val="000000"/>
        </w:rPr>
        <w:t>executive officer’s compensation, benefits, age, and service credit at December 31, 2021. Eligible terminations include an involuntary termination for reasons other than "cause" or a voluntary termination by the executive for "good reason," each as defined in the plan, within two years following the change in control.</w:t>
      </w:r>
    </w:p>
    <w:p>
      <w:pPr>
        <w:spacing w:after="0" w:line="35" w:lineRule="exact"/>
        <w:rPr>
          <w:rFonts w:ascii="Arial" w:cs="Arial" w:eastAsia="Arial" w:hAnsi="Arial"/>
          <w:sz w:val="16"/>
          <w:szCs w:val="16"/>
          <w:b w:val="1"/>
          <w:bCs w:val="1"/>
          <w:color w:val="EE2724"/>
        </w:rPr>
      </w:pPr>
    </w:p>
    <w:p>
      <w:pPr>
        <w:ind w:left="660" w:right="140" w:hanging="166"/>
        <w:spacing w:after="0" w:line="250" w:lineRule="auto"/>
        <w:tabs>
          <w:tab w:leader="none" w:pos="62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94" w:lineRule="exact"/>
        <w:rPr>
          <w:rFonts w:ascii="Arial" w:cs="Arial" w:eastAsia="Arial" w:hAnsi="Arial"/>
          <w:sz w:val="16"/>
          <w:szCs w:val="16"/>
          <w:color w:val="auto"/>
        </w:rPr>
      </w:pPr>
    </w:p>
    <w:p>
      <w:pPr>
        <w:ind w:left="660" w:hanging="166"/>
        <w:spacing w:after="0" w:line="247" w:lineRule="auto"/>
        <w:tabs>
          <w:tab w:leader="none" w:pos="62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w:t>
      </w:r>
    </w:p>
    <w:p>
      <w:pPr>
        <w:spacing w:after="0" w:line="84" w:lineRule="exact"/>
        <w:rPr>
          <w:rFonts w:ascii="Arial" w:cs="Arial" w:eastAsia="Arial" w:hAnsi="Arial"/>
          <w:sz w:val="16"/>
          <w:szCs w:val="16"/>
          <w:color w:val="auto"/>
        </w:rPr>
      </w:pPr>
    </w:p>
    <w:p>
      <w:pPr>
        <w:ind w:left="340" w:hanging="332"/>
        <w:spacing w:after="0" w:line="281" w:lineRule="auto"/>
        <w:tabs>
          <w:tab w:leader="none" w:pos="316" w:val="left"/>
        </w:tabs>
        <w:numPr>
          <w:ilvl w:val="0"/>
          <w:numId w:val="103"/>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Cash severance payment. </w:t>
      </w:r>
      <w:r>
        <w:rPr>
          <w:rFonts w:ascii="Arial" w:cs="Arial" w:eastAsia="Arial" w:hAnsi="Arial"/>
          <w:sz w:val="16"/>
          <w:szCs w:val="16"/>
          <w:color w:val="000000"/>
        </w:rPr>
        <w:t>The cash severance payment amounts, in general, to two times the executive officer's annual base salary plus two times the</w:t>
      </w:r>
      <w:r>
        <w:rPr>
          <w:rFonts w:ascii="Arial" w:cs="Arial" w:eastAsia="Arial" w:hAnsi="Arial"/>
          <w:sz w:val="16"/>
          <w:szCs w:val="16"/>
          <w:b w:val="1"/>
          <w:bCs w:val="1"/>
          <w:color w:val="EE2724"/>
        </w:rPr>
        <w:t xml:space="preserve"> </w:t>
      </w:r>
      <w:r>
        <w:rPr>
          <w:rFonts w:ascii="Arial" w:cs="Arial" w:eastAsia="Arial" w:hAnsi="Arial"/>
          <w:sz w:val="16"/>
          <w:szCs w:val="16"/>
          <w:color w:val="000000"/>
        </w:rPr>
        <w:t>executive officer’s bonus target for that year under the Bonus Plan.</w:t>
      </w:r>
    </w:p>
    <w:p>
      <w:pPr>
        <w:spacing w:after="0" w:line="1" w:lineRule="exact"/>
        <w:rPr>
          <w:rFonts w:ascii="Arial" w:cs="Arial" w:eastAsia="Arial" w:hAnsi="Arial"/>
          <w:sz w:val="16"/>
          <w:szCs w:val="16"/>
          <w:b w:val="1"/>
          <w:bCs w:val="1"/>
          <w:color w:val="EE2724"/>
        </w:rPr>
      </w:pPr>
    </w:p>
    <w:p>
      <w:pPr>
        <w:ind w:left="340" w:right="20" w:hanging="332"/>
        <w:spacing w:after="0" w:line="259" w:lineRule="auto"/>
        <w:tabs>
          <w:tab w:leader="none" w:pos="316" w:val="left"/>
        </w:tabs>
        <w:numPr>
          <w:ilvl w:val="0"/>
          <w:numId w:val="103"/>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Continuation of medical and welfare benefits. </w:t>
      </w:r>
      <w:r>
        <w:rPr>
          <w:rFonts w:ascii="Arial" w:cs="Arial" w:eastAsia="Arial" w:hAnsi="Arial"/>
          <w:sz w:val="16"/>
          <w:szCs w:val="16"/>
          <w:color w:val="000000"/>
        </w:rPr>
        <w:t>This amount represents the present value of the change-in-control plan’s provision, following a covered</w:t>
      </w:r>
      <w:r>
        <w:rPr>
          <w:rFonts w:ascii="Arial" w:cs="Arial" w:eastAsia="Arial" w:hAnsi="Arial"/>
          <w:sz w:val="16"/>
          <w:szCs w:val="16"/>
          <w:b w:val="1"/>
          <w:bCs w:val="1"/>
          <w:color w:val="EE2724"/>
        </w:rPr>
        <w:t xml:space="preserve"> </w:t>
      </w:r>
      <w:r>
        <w:rPr>
          <w:rFonts w:ascii="Arial" w:cs="Arial" w:eastAsia="Arial" w:hAnsi="Arial"/>
          <w:sz w:val="16"/>
          <w:szCs w:val="16"/>
          <w:color w:val="000000"/>
        </w:rPr>
        <w:t>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w:t>
      </w:r>
    </w:p>
    <w:p>
      <w:pPr>
        <w:spacing w:after="0" w:line="15" w:lineRule="exact"/>
        <w:rPr>
          <w:rFonts w:ascii="Arial" w:cs="Arial" w:eastAsia="Arial" w:hAnsi="Arial"/>
          <w:sz w:val="16"/>
          <w:szCs w:val="16"/>
          <w:b w:val="1"/>
          <w:bCs w:val="1"/>
          <w:color w:val="EE2724"/>
        </w:rPr>
      </w:pPr>
    </w:p>
    <w:p>
      <w:pPr>
        <w:ind w:left="340" w:hanging="332"/>
        <w:spacing w:after="0" w:line="256" w:lineRule="auto"/>
        <w:tabs>
          <w:tab w:leader="none" w:pos="316" w:val="left"/>
        </w:tabs>
        <w:numPr>
          <w:ilvl w:val="0"/>
          <w:numId w:val="103"/>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Acceleration of equity awards. </w:t>
      </w:r>
      <w:r>
        <w:rPr>
          <w:rFonts w:ascii="Arial" w:cs="Arial" w:eastAsia="Arial" w:hAnsi="Arial"/>
          <w:sz w:val="16"/>
          <w:szCs w:val="16"/>
          <w:color w:val="000000"/>
        </w:rPr>
        <w:t>Upon a covered termination, any unvested equity awards would convert into restricted stock units of the new company,</w:t>
      </w:r>
      <w:r>
        <w:rPr>
          <w:rFonts w:ascii="Arial" w:cs="Arial" w:eastAsia="Arial" w:hAnsi="Arial"/>
          <w:sz w:val="16"/>
          <w:szCs w:val="16"/>
          <w:b w:val="1"/>
          <w:bCs w:val="1"/>
          <w:color w:val="EE2724"/>
        </w:rPr>
        <w:t xml:space="preserve"> </w:t>
      </w:r>
      <w:r>
        <w:rPr>
          <w:rFonts w:ascii="Arial" w:cs="Arial" w:eastAsia="Arial" w:hAnsi="Arial"/>
          <w:sz w:val="16"/>
          <w:szCs w:val="16"/>
          <w:color w:val="000000"/>
        </w:rPr>
        <w:t>with the number of shares earned under the awards based on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 The amount in this column represents the value of the acceleration of unvested equity grants had a qualifying termination occurred on December 31, 2021.</w:t>
      </w:r>
    </w:p>
    <w:p>
      <w:pPr>
        <w:spacing w:after="0" w:line="17" w:lineRule="exact"/>
        <w:rPr>
          <w:rFonts w:ascii="Arial" w:cs="Arial" w:eastAsia="Arial" w:hAnsi="Arial"/>
          <w:sz w:val="16"/>
          <w:szCs w:val="16"/>
          <w:b w:val="1"/>
          <w:bCs w:val="1"/>
          <w:color w:val="EE2724"/>
        </w:rPr>
      </w:pPr>
    </w:p>
    <w:p>
      <w:pPr>
        <w:ind w:left="340" w:right="220" w:hanging="332"/>
        <w:spacing w:after="0" w:line="266" w:lineRule="auto"/>
        <w:tabs>
          <w:tab w:leader="none" w:pos="316" w:val="left"/>
        </w:tabs>
        <w:numPr>
          <w:ilvl w:val="0"/>
          <w:numId w:val="103"/>
        </w:numPr>
        <w:rPr>
          <w:rFonts w:ascii="Arial" w:cs="Arial" w:eastAsia="Arial" w:hAnsi="Arial"/>
          <w:sz w:val="16"/>
          <w:szCs w:val="16"/>
          <w:b w:val="1"/>
          <w:bCs w:val="1"/>
          <w:color w:val="EE2724"/>
        </w:rPr>
      </w:pPr>
      <w:r>
        <w:rPr>
          <w:rFonts w:ascii="Arial" w:cs="Arial" w:eastAsia="Arial" w:hAnsi="Arial"/>
          <w:sz w:val="16"/>
          <w:szCs w:val="16"/>
          <w:b w:val="1"/>
          <w:bCs w:val="1"/>
          <w:color w:val="EE2724"/>
        </w:rPr>
        <w:t xml:space="preserve">Excise taxes. </w:t>
      </w:r>
      <w:r>
        <w:rPr>
          <w:rFonts w:ascii="Arial" w:cs="Arial" w:eastAsia="Arial" w:hAnsi="Arial"/>
          <w:sz w:val="16"/>
          <w:szCs w:val="16"/>
          <w:color w:val="000000"/>
        </w:rPr>
        <w:t>Upon a change in control, employees may be subject to certain excise taxes under Section 280G of the Internal Revenue Code. The</w:t>
      </w:r>
      <w:r>
        <w:rPr>
          <w:rFonts w:ascii="Arial" w:cs="Arial" w:eastAsia="Arial" w:hAnsi="Arial"/>
          <w:sz w:val="16"/>
          <w:szCs w:val="16"/>
          <w:b w:val="1"/>
          <w:bCs w:val="1"/>
          <w:color w:val="EE2724"/>
        </w:rPr>
        <w:t xml:space="preserve"> </w:t>
      </w:r>
      <w:r>
        <w:rPr>
          <w:rFonts w:ascii="Arial" w:cs="Arial" w:eastAsia="Arial" w:hAnsi="Arial"/>
          <w:sz w:val="16"/>
          <w:szCs w:val="16"/>
          <w:color w:val="000000"/>
        </w:rPr>
        <w:t>company does not reimburse the affected employees for those excise taxes or any income taxes payable by the employee. To reduce the employee's exposure to potential excise taxes, the employee’s change-in-control benefit will be decreased to maximize the after-tax benefit to the individual.</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b w:val="1"/>
          <w:bCs w:val="1"/>
          <w:color w:val="1CA8E1"/>
        </w:rPr>
        <w:t xml:space="preserve">Payments upon Change in Control Alone: </w:t>
      </w:r>
      <w:r>
        <w:rPr>
          <w:rFonts w:ascii="Arial" w:cs="Arial" w:eastAsia="Arial" w:hAnsi="Arial"/>
          <w:sz w:val="16"/>
          <w:szCs w:val="16"/>
          <w:color w:val="000000"/>
        </w:rPr>
        <w:t>The change-in-control plan is a "double trigger" plan, meaning payments are made only if the employee suffers a</w:t>
      </w:r>
      <w:r>
        <w:rPr>
          <w:rFonts w:ascii="Arial" w:cs="Arial" w:eastAsia="Arial" w:hAnsi="Arial"/>
          <w:sz w:val="14"/>
          <w:szCs w:val="14"/>
          <w:b w:val="1"/>
          <w:bCs w:val="1"/>
          <w:color w:val="1CA8E1"/>
        </w:rPr>
        <w:t xml:space="preserve"> </w:t>
      </w:r>
      <w:r>
        <w:rPr>
          <w:rFonts w:ascii="Arial" w:cs="Arial" w:eastAsia="Arial" w:hAnsi="Arial"/>
          <w:sz w:val="16"/>
          <w:szCs w:val="16"/>
          <w:color w:val="000000"/>
        </w:rPr>
        <w:t>covered termination of employment within two years following the change in control, or in the case of equity awards, if the successor entity does not assume, substitute, or otherwise replace the awards.</w:t>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1CA8E1"/>
        </w:rPr>
        <w:t>Agreement with Former Chief Financial Officer</w:t>
      </w:r>
    </w:p>
    <w:p>
      <w:pPr>
        <w:spacing w:after="0" w:line="8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connection with Mr. Smiley’s resignation, he and the Company entered into a Separation Agreement (the Separation Agreement), which provided that Mr. Smiley immediately resign from his position as senior vice president and chief financial officer of the Company, as well as forfeit or forego compensatory arrangements totaling $20,133,375 (using Lilly's closing share price at the time of such forfeiture or the intended grant date value for such awards that had been previously approved but not yet granted prior to Mr. Smiley's resignation, as applicable), including all of his earned 2020 cash bonus (which would have otherwise been $1,102,317 based on company performance), his target 2021 bonus of $1,000,000, 25 percent of his earned 2018-2020 shareholder value award (representing a forfeiture of $3,100,954 in value based on Lilly's closing share price at the time of such forfeiture), and all other outstanding and previously approved but not yet granted equity incentive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897" w:right="339" w:bottom="1440" w:gutter="0" w:footer="0" w:header="0"/>
        </w:sectPr>
      </w:pPr>
    </w:p>
    <w:bookmarkStart w:id="68" w:name="page69"/>
    <w:bookmarkEnd w:id="68"/>
    <w:p>
      <w:pPr>
        <w:ind w:right="100"/>
        <w:spacing w:after="0" w:line="251" w:lineRule="auto"/>
        <w:rPr>
          <w:sz w:val="20"/>
          <w:szCs w:val="20"/>
          <w:color w:val="auto"/>
        </w:rPr>
      </w:pPr>
      <w:r>
        <w:rPr>
          <w:rFonts w:ascii="Arial" w:cs="Arial" w:eastAsia="Arial" w:hAnsi="Arial"/>
          <w:sz w:val="16"/>
          <w:szCs w:val="16"/>
          <w:color w:val="auto"/>
        </w:rPr>
        <w:t>awards totaling $14,930.104. Mr. Smiley also agreed to remain available to the company’s chief executive officer and his successor as chief financial officer through July 2021 to facilitate the transition of his responsibilities, at reduced cash compensation of $9,000 every two weeks. The Separation Agreement includes customary provisions regarding confidentiality and a release of claims against the company, as well as a 24-month non-solicitation agreement and an 18-month non-competition agreement.</w:t>
      </w:r>
    </w:p>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CEO Pay Ratio</w:t>
      </w:r>
    </w:p>
    <w:p>
      <w:pPr>
        <w:spacing w:after="0" w:line="91"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Lilly’s compensation and benefits philosophy across the organization is to encourage and reward all employees who contribute to our success. We strive to ensure that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spacing w:after="0" w:line="9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Below is the 2021 annual total compensation of our CEO and our median employee and the ratio of the annual total compensation of our CEO to that of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71120</wp:posOffset>
            </wp:positionV>
            <wp:extent cx="332613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6130" cy="163195"/>
                    </a:xfrm>
                    <a:prstGeom prst="rect">
                      <a:avLst/>
                    </a:prstGeom>
                    <a:noFill/>
                  </pic:spPr>
                </pic:pic>
              </a:graphicData>
            </a:graphic>
          </wp:anchor>
        </w:drawing>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CEO Pay Ratio:</w:t>
      </w:r>
    </w:p>
    <w:p>
      <w:pPr>
        <w:spacing w:after="0" w:line="12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600" w:type="dxa"/>
            <w:vAlign w:val="bottom"/>
          </w:tcPr>
          <w:p>
            <w:pPr>
              <w:spacing w:after="0"/>
              <w:rPr>
                <w:sz w:val="20"/>
                <w:szCs w:val="20"/>
                <w:color w:val="auto"/>
              </w:rPr>
            </w:pPr>
            <w:r>
              <w:rPr>
                <w:rFonts w:ascii="Arial" w:cs="Arial" w:eastAsia="Arial" w:hAnsi="Arial"/>
                <w:sz w:val="13"/>
                <w:szCs w:val="13"/>
                <w:color w:val="auto"/>
              </w:rPr>
              <w:t>CEO Annual Total Compensation*</w:t>
            </w:r>
          </w:p>
        </w:tc>
        <w:tc>
          <w:tcPr>
            <w:tcW w:w="1600" w:type="dxa"/>
            <w:vAlign w:val="bottom"/>
          </w:tcPr>
          <w:p>
            <w:pPr>
              <w:jc w:val="right"/>
              <w:spacing w:after="0"/>
              <w:rPr>
                <w:sz w:val="20"/>
                <w:szCs w:val="20"/>
                <w:color w:val="auto"/>
              </w:rPr>
            </w:pPr>
            <w:r>
              <w:rPr>
                <w:rFonts w:ascii="Arial" w:cs="Arial" w:eastAsia="Arial" w:hAnsi="Arial"/>
                <w:sz w:val="13"/>
                <w:szCs w:val="13"/>
                <w:color w:val="auto"/>
              </w:rPr>
              <w:t>$21,509,985</w:t>
            </w:r>
          </w:p>
        </w:tc>
      </w:tr>
      <w:tr>
        <w:trPr>
          <w:trHeight w:val="257"/>
        </w:trPr>
        <w:tc>
          <w:tcPr>
            <w:tcW w:w="3600" w:type="dxa"/>
            <w:vAlign w:val="bottom"/>
          </w:tcPr>
          <w:p>
            <w:pPr>
              <w:spacing w:after="0"/>
              <w:rPr>
                <w:sz w:val="20"/>
                <w:szCs w:val="20"/>
                <w:color w:val="auto"/>
              </w:rPr>
            </w:pPr>
            <w:r>
              <w:rPr>
                <w:rFonts w:ascii="Arial" w:cs="Arial" w:eastAsia="Arial" w:hAnsi="Arial"/>
                <w:sz w:val="13"/>
                <w:szCs w:val="13"/>
                <w:color w:val="auto"/>
              </w:rPr>
              <w:t>Median Employee Annual Total Compensation</w:t>
            </w:r>
          </w:p>
        </w:tc>
        <w:tc>
          <w:tcPr>
            <w:tcW w:w="1600" w:type="dxa"/>
            <w:vAlign w:val="bottom"/>
          </w:tcPr>
          <w:p>
            <w:pPr>
              <w:jc w:val="right"/>
              <w:spacing w:after="0"/>
              <w:rPr>
                <w:sz w:val="20"/>
                <w:szCs w:val="20"/>
                <w:color w:val="auto"/>
              </w:rPr>
            </w:pPr>
            <w:r>
              <w:rPr>
                <w:rFonts w:ascii="Arial" w:cs="Arial" w:eastAsia="Arial" w:hAnsi="Arial"/>
                <w:sz w:val="13"/>
                <w:szCs w:val="13"/>
                <w:color w:val="auto"/>
              </w:rPr>
              <w:t>$97,130</w:t>
            </w:r>
          </w:p>
        </w:tc>
      </w:tr>
      <w:tr>
        <w:trPr>
          <w:trHeight w:val="257"/>
        </w:trPr>
        <w:tc>
          <w:tcPr>
            <w:tcW w:w="3600" w:type="dxa"/>
            <w:vAlign w:val="bottom"/>
          </w:tcPr>
          <w:p>
            <w:pPr>
              <w:spacing w:after="0"/>
              <w:rPr>
                <w:sz w:val="20"/>
                <w:szCs w:val="20"/>
                <w:color w:val="auto"/>
              </w:rPr>
            </w:pPr>
            <w:r>
              <w:rPr>
                <w:rFonts w:ascii="Arial" w:cs="Arial" w:eastAsia="Arial" w:hAnsi="Arial"/>
                <w:sz w:val="13"/>
                <w:szCs w:val="13"/>
                <w:color w:val="auto"/>
              </w:rPr>
              <w:t>CEO to Median Employee Pay Ratio</w:t>
            </w:r>
          </w:p>
        </w:tc>
        <w:tc>
          <w:tcPr>
            <w:tcW w:w="1600" w:type="dxa"/>
            <w:vAlign w:val="bottom"/>
          </w:tcPr>
          <w:p>
            <w:pPr>
              <w:jc w:val="right"/>
              <w:spacing w:after="0"/>
              <w:rPr>
                <w:sz w:val="20"/>
                <w:szCs w:val="20"/>
                <w:color w:val="auto"/>
              </w:rPr>
            </w:pPr>
            <w:r>
              <w:rPr>
                <w:rFonts w:ascii="Arial" w:cs="Arial" w:eastAsia="Arial" w:hAnsi="Arial"/>
                <w:sz w:val="13"/>
                <w:szCs w:val="13"/>
                <w:color w:val="auto"/>
              </w:rPr>
              <w:t>221:1</w:t>
            </w:r>
          </w:p>
        </w:tc>
      </w:tr>
    </w:tbl>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annual total compensation is the "Summary Compensation Table" amount.</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w:t>
      </w:r>
    </w:p>
    <w:p>
      <w:pPr>
        <w:spacing w:after="0" w:line="83" w:lineRule="exact"/>
        <w:rPr>
          <w:sz w:val="20"/>
          <w:szCs w:val="20"/>
          <w:color w:val="auto"/>
        </w:rPr>
      </w:pPr>
    </w:p>
    <w:p>
      <w:pPr>
        <w:ind w:left="180" w:right="180" w:hanging="172"/>
        <w:spacing w:after="0" w:line="253" w:lineRule="auto"/>
        <w:tabs>
          <w:tab w:leader="none" w:pos="14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Measurement Date: We identified the median employee using our employee population on October 31, 2021. On this date, Lilly employed approximately 37,100 people, with approximately 16,100 members of our workforce located in the U.S. and approximately 21,000 members of our workforce located outside of the U.S.</w:t>
      </w:r>
    </w:p>
    <w:p>
      <w:pPr>
        <w:spacing w:after="0" w:line="93" w:lineRule="exact"/>
        <w:rPr>
          <w:rFonts w:ascii="Arial" w:cs="Arial" w:eastAsia="Arial" w:hAnsi="Arial"/>
          <w:sz w:val="16"/>
          <w:szCs w:val="16"/>
          <w:color w:val="auto"/>
        </w:rPr>
      </w:pPr>
    </w:p>
    <w:p>
      <w:pPr>
        <w:ind w:left="180" w:hanging="172"/>
        <w:spacing w:after="0" w:line="251" w:lineRule="auto"/>
        <w:tabs>
          <w:tab w:leader="none" w:pos="14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Identification of Median Employee: In a manner consistent with SEC rules, we identified the median employee by use of a "consistently applied compensation measure," or CACM. Specifically, we identified the median employee by looking at annual base pay, bonus opportunity at target, and the grant date value for standard equity awards. We did not adjust the compensation paid to part-time employees to calculate what they would have been paid on a full-time basis.</w:t>
      </w:r>
    </w:p>
    <w:p>
      <w:pPr>
        <w:spacing w:after="0" w:line="94" w:lineRule="exact"/>
        <w:rPr>
          <w:rFonts w:ascii="Arial" w:cs="Arial" w:eastAsia="Arial" w:hAnsi="Arial"/>
          <w:sz w:val="16"/>
          <w:szCs w:val="16"/>
          <w:color w:val="auto"/>
        </w:rPr>
      </w:pPr>
    </w:p>
    <w:p>
      <w:pPr>
        <w:ind w:left="140" w:hanging="132"/>
        <w:spacing w:after="0"/>
        <w:tabs>
          <w:tab w:leader="none" w:pos="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 Minimis Exception: Lilly has employees in 70 countries. In identifying the median employee, we excluded 386 workers in the following 10 countries,</w:t>
      </w:r>
    </w:p>
    <w:p>
      <w:pPr>
        <w:spacing w:after="0" w:line="5" w:lineRule="exact"/>
        <w:rPr>
          <w:rFonts w:ascii="Arial" w:cs="Arial" w:eastAsia="Arial" w:hAnsi="Arial"/>
          <w:sz w:val="16"/>
          <w:szCs w:val="16"/>
          <w:color w:val="auto"/>
        </w:rPr>
      </w:pPr>
    </w:p>
    <w:p>
      <w:pPr>
        <w:ind w:left="180" w:right="160"/>
        <w:spacing w:after="0" w:line="253" w:lineRule="auto"/>
        <w:rPr>
          <w:rFonts w:ascii="Arial" w:cs="Arial" w:eastAsia="Arial" w:hAnsi="Arial"/>
          <w:sz w:val="16"/>
          <w:szCs w:val="16"/>
          <w:color w:val="auto"/>
        </w:rPr>
      </w:pPr>
      <w:r>
        <w:rPr>
          <w:rFonts w:ascii="Arial" w:cs="Arial" w:eastAsia="Arial" w:hAnsi="Arial"/>
          <w:sz w:val="16"/>
          <w:szCs w:val="16"/>
          <w:color w:val="auto"/>
        </w:rPr>
        <w:t>which represent approximately one percent of our workforce: Bahrain, Ecuador, Egypt, Greece, Indonesia, Kuwait, Pakistan, Panama, Qatar, and United Arab Emirates. We excluded these employees because they are affiliated with joint ventures or third-party distributors, and Lilly does not set their compensation philosophy.</w:t>
      </w:r>
    </w:p>
    <w:p>
      <w:pPr>
        <w:spacing w:after="0" w:line="93" w:lineRule="exact"/>
        <w:rPr>
          <w:rFonts w:ascii="Arial" w:cs="Arial" w:eastAsia="Arial" w:hAnsi="Arial"/>
          <w:sz w:val="16"/>
          <w:szCs w:val="16"/>
          <w:color w:val="auto"/>
        </w:rPr>
      </w:pPr>
    </w:p>
    <w:p>
      <w:pPr>
        <w:ind w:left="180" w:right="340" w:hanging="172"/>
        <w:spacing w:after="0" w:line="253" w:lineRule="auto"/>
        <w:tabs>
          <w:tab w:leader="none" w:pos="14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Calculated CEO Pay Ratio: After applying our CACM and excluding the employees listed above, we identified the median employee. Once the median employee was identified, we calculated the median employee’s total annual compensation in accordance with the requirements of the Summary Compensation Table.</w:t>
      </w: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Audit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3. Ratification of the Appointment of the Independent Auditor</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Oversight of the Independent Auditor</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The Audit Committee is responsible for the appointment, compensation, retention, and oversight of the independent auditor and oversees the process for reviewing and evaluating the lead audit partner. Further information regarding the committee's oversight of the independent auditor can be found in the Audit Committee charter,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93"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connection with the decision regarding whether to reappoint the independent auditor each year (subject to shareholder ratification), the committee assesses the independent auditor's performance. This assessment examines three primary criteria: (1) the independent auditor's qualifications and experience; (2) the communication and interactions with the auditor over the course of the year; and (3) the auditor's independence, objectivity, and professional skepticism. These criteria are assessed against an internal and an external scorecard and are discussed with management during a private session as well as in executive session. The committee also periodically considers whether a rotation of the company's independent auditor is advisable.</w:t>
      </w:r>
    </w:p>
    <w:p>
      <w:pPr>
        <w:spacing w:after="0" w:line="9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Ernst &amp; Young LLP (EY) has served as the independent auditor for the company since 1940. Based on the Audit Committee’s assessment of EY's performance during 2021, the Audit Committee believes that the continued retention of EY to serve as the company's independent auditor is in the best interests of the company and its shareholders and has therefore reappointed EY as the company’s independent auditor for 2022. In addition to this year's favorable assessment of EY's performance, we recognize that there are several benefits of retaining a longer-tenured independent auditor. EY has gained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320" w:top="843" w:right="359" w:bottom="1440" w:gutter="0" w:footer="0" w:header="0"/>
        </w:sectPr>
      </w:pPr>
    </w:p>
    <w:bookmarkStart w:id="69" w:name="page70"/>
    <w:bookmarkEnd w:id="69"/>
    <w:p>
      <w:pPr>
        <w:ind w:right="20"/>
        <w:spacing w:after="0" w:line="253" w:lineRule="auto"/>
        <w:rPr>
          <w:sz w:val="20"/>
          <w:szCs w:val="20"/>
          <w:color w:val="auto"/>
        </w:rPr>
      </w:pPr>
      <w:r>
        <w:rPr>
          <w:rFonts w:ascii="Arial" w:cs="Arial" w:eastAsia="Arial" w:hAnsi="Arial"/>
          <w:sz w:val="16"/>
          <w:szCs w:val="16"/>
          <w:color w:val="auto"/>
        </w:rPr>
        <w:t>institutional knowledge and expertise regarding the company's global operations, accounting policies and practices, and internal controls over financial reporting. Audit and other fees are also competitive with peer companies because of EY's familiarity with the company and its operations. In accordance with the bylaws, this appointment is being submitted to the shareholders for ratification.</w:t>
      </w:r>
    </w:p>
    <w:p>
      <w:pPr>
        <w:spacing w:after="0" w:line="9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Representatives of EY are expected to participate in the Annual Meeting and will be available to respond to questions. Those representatives will have the opportunity to make a statement if they wish to do so.</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ratifying the appointment of EY as the independent auditor for 2022.</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Audit Committee Report</w:t>
      </w:r>
    </w:p>
    <w:p>
      <w:pPr>
        <w:spacing w:after="0" w:line="9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2021,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9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independent auditor reports directly to the Audit Committee, which has sole authority to appoint and to replace the independent auditor (subject to shareholder ratification).</w:t>
      </w:r>
    </w:p>
    <w:p>
      <w:pPr>
        <w:spacing w:after="0" w:line="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9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95"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2021, for filing with the SEC. The Audit Committee has also appointed EY as the company’s independent auditor, subject to shareholder ratification, for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Jamere Jackson,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Ralph Alvarez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L. Eskew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Gabrielle Sulzberger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Jackson P. Tai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Karen Walker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Services Performed by the Independent Auditor</w:t>
      </w:r>
    </w:p>
    <w:p>
      <w:pPr>
        <w:spacing w:after="0" w:line="8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67" w:lineRule="exact"/>
        <w:rPr>
          <w:sz w:val="20"/>
          <w:szCs w:val="20"/>
          <w:color w:val="auto"/>
        </w:rPr>
      </w:pPr>
    </w:p>
    <w:p>
      <w:pPr>
        <w:ind w:left="340" w:hanging="170"/>
        <w:spacing w:after="0" w:line="259" w:lineRule="auto"/>
        <w:tabs>
          <w:tab w:leader="none" w:pos="316" w:val="left"/>
        </w:tabs>
        <w:numPr>
          <w:ilvl w:val="0"/>
          <w:numId w:val="10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Audit services: </w:t>
      </w:r>
      <w:r>
        <w:rPr>
          <w:rFonts w:ascii="Arial" w:cs="Arial" w:eastAsia="Arial" w:hAnsi="Arial"/>
          <w:sz w:val="16"/>
          <w:szCs w:val="16"/>
          <w:color w:val="000000"/>
        </w:rPr>
        <w:t>The Audit Committee approves the annual audit services engagement and, if necessary, any changes in terms, conditions, and fees</w:t>
      </w:r>
      <w:r>
        <w:rPr>
          <w:rFonts w:ascii="Arial" w:cs="Arial" w:eastAsia="Arial" w:hAnsi="Arial"/>
          <w:sz w:val="16"/>
          <w:szCs w:val="16"/>
          <w:b w:val="1"/>
          <w:bCs w:val="1"/>
          <w:color w:val="00A1DE"/>
        </w:rPr>
        <w:t xml:space="preserve"> </w:t>
      </w:r>
      <w:r>
        <w:rPr>
          <w:rFonts w:ascii="Arial" w:cs="Arial" w:eastAsia="Arial" w:hAnsi="Arial"/>
          <w:sz w:val="16"/>
          <w:szCs w:val="16"/>
          <w:color w:val="000000"/>
        </w:rPr>
        <w:t>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69" w:lineRule="exact"/>
        <w:rPr>
          <w:rFonts w:ascii="Arial" w:cs="Arial" w:eastAsia="Arial" w:hAnsi="Arial"/>
          <w:sz w:val="16"/>
          <w:szCs w:val="16"/>
          <w:b w:val="1"/>
          <w:bCs w:val="1"/>
          <w:color w:val="00A1DE"/>
        </w:rPr>
      </w:pPr>
    </w:p>
    <w:p>
      <w:pPr>
        <w:ind w:left="340" w:right="20" w:hanging="170"/>
        <w:spacing w:after="0" w:line="286" w:lineRule="auto"/>
        <w:tabs>
          <w:tab w:leader="none" w:pos="316" w:val="left"/>
        </w:tabs>
        <w:numPr>
          <w:ilvl w:val="0"/>
          <w:numId w:val="105"/>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Audit-related services: </w:t>
      </w:r>
      <w:r>
        <w:rPr>
          <w:rFonts w:ascii="Arial" w:cs="Arial" w:eastAsia="Arial" w:hAnsi="Arial"/>
          <w:sz w:val="16"/>
          <w:szCs w:val="16"/>
          <w:color w:val="000000"/>
        </w:rPr>
        <w:t>Audit-related services are assurance and related services that are reasonably related to the performance of the audit or reviews</w:t>
      </w:r>
      <w:r>
        <w:rPr>
          <w:rFonts w:ascii="Arial" w:cs="Arial" w:eastAsia="Arial" w:hAnsi="Arial"/>
          <w:sz w:val="16"/>
          <w:szCs w:val="16"/>
          <w:b w:val="1"/>
          <w:bCs w:val="1"/>
          <w:color w:val="00A1DE"/>
        </w:rPr>
        <w:t xml:space="preserve"> </w:t>
      </w:r>
      <w:r>
        <w:rPr>
          <w:rFonts w:ascii="Arial" w:cs="Arial" w:eastAsia="Arial" w:hAnsi="Arial"/>
          <w:sz w:val="16"/>
          <w:szCs w:val="16"/>
          <w:color w:val="000000"/>
        </w:rPr>
        <w:t>of the financial statements, and that are traditionally performed by the independent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843"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16"/>
          <w:szCs w:val="16"/>
          <w:color w:val="auto"/>
        </w:rPr>
        <w:t>auditor. The Audit Committee believes that the provision of these services does not impair the independence of the auditor.</w:t>
      </w:r>
    </w:p>
    <w:p>
      <w:pPr>
        <w:spacing w:after="0" w:line="93" w:lineRule="exact"/>
        <w:rPr>
          <w:sz w:val="20"/>
          <w:szCs w:val="20"/>
          <w:color w:val="auto"/>
        </w:rPr>
      </w:pPr>
    </w:p>
    <w:p>
      <w:pPr>
        <w:ind w:left="340" w:right="60" w:hanging="170"/>
        <w:spacing w:after="0" w:line="286" w:lineRule="auto"/>
        <w:tabs>
          <w:tab w:leader="none" w:pos="316" w:val="left"/>
        </w:tabs>
        <w:numPr>
          <w:ilvl w:val="0"/>
          <w:numId w:val="106"/>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Tax services: </w:t>
      </w:r>
      <w:r>
        <w:rPr>
          <w:rFonts w:ascii="Arial" w:cs="Arial" w:eastAsia="Arial" w:hAnsi="Arial"/>
          <w:sz w:val="16"/>
          <w:szCs w:val="16"/>
          <w:color w:val="000000"/>
        </w:rPr>
        <w:t>The Audit Committee believes that, in appropriate cases, the independent auditor can provide tax compliance services, tax planning, and</w:t>
      </w:r>
      <w:r>
        <w:rPr>
          <w:rFonts w:ascii="Arial" w:cs="Arial" w:eastAsia="Arial" w:hAnsi="Arial"/>
          <w:sz w:val="16"/>
          <w:szCs w:val="16"/>
          <w:b w:val="1"/>
          <w:bCs w:val="1"/>
          <w:color w:val="00A1DE"/>
        </w:rPr>
        <w:t xml:space="preserve"> </w:t>
      </w:r>
      <w:r>
        <w:rPr>
          <w:rFonts w:ascii="Arial" w:cs="Arial" w:eastAsia="Arial" w:hAnsi="Arial"/>
          <w:sz w:val="16"/>
          <w:szCs w:val="16"/>
          <w:color w:val="000000"/>
        </w:rPr>
        <w:t>tax advice without impairing the auditor’s independence.</w:t>
      </w:r>
    </w:p>
    <w:p>
      <w:pPr>
        <w:spacing w:after="0" w:line="47" w:lineRule="exact"/>
        <w:rPr>
          <w:rFonts w:ascii="Arial" w:cs="Arial" w:eastAsia="Arial" w:hAnsi="Arial"/>
          <w:sz w:val="16"/>
          <w:szCs w:val="16"/>
          <w:b w:val="1"/>
          <w:bCs w:val="1"/>
          <w:color w:val="00A1DE"/>
        </w:rPr>
      </w:pPr>
    </w:p>
    <w:p>
      <w:pPr>
        <w:ind w:left="340" w:right="280" w:hanging="170"/>
        <w:spacing w:after="0" w:line="259" w:lineRule="auto"/>
        <w:tabs>
          <w:tab w:leader="none" w:pos="316" w:val="left"/>
        </w:tabs>
        <w:numPr>
          <w:ilvl w:val="0"/>
          <w:numId w:val="106"/>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Other services: </w:t>
      </w:r>
      <w:r>
        <w:rPr>
          <w:rFonts w:ascii="Arial" w:cs="Arial" w:eastAsia="Arial" w:hAnsi="Arial"/>
          <w:sz w:val="16"/>
          <w:szCs w:val="16"/>
          <w:color w:val="000000"/>
        </w:rPr>
        <w:t>The Audit Committee may approve other services to be provided by the independent auditor if (i) the services are permissible under</w:t>
      </w:r>
      <w:r>
        <w:rPr>
          <w:rFonts w:ascii="Arial" w:cs="Arial" w:eastAsia="Arial" w:hAnsi="Arial"/>
          <w:sz w:val="16"/>
          <w:szCs w:val="16"/>
          <w:b w:val="1"/>
          <w:bCs w:val="1"/>
          <w:color w:val="00A1DE"/>
        </w:rPr>
        <w:t xml:space="preserve"> </w:t>
      </w:r>
      <w:r>
        <w:rPr>
          <w:rFonts w:ascii="Arial" w:cs="Arial" w:eastAsia="Arial" w:hAnsi="Arial"/>
          <w:sz w:val="16"/>
          <w:szCs w:val="16"/>
          <w:color w:val="000000"/>
        </w:rPr>
        <w:t>SEC and PCAOB rules, (ii) the Audit Committee believes the provision of the services would not impair the independence of the auditor, and</w:t>
      </w:r>
    </w:p>
    <w:p>
      <w:pPr>
        <w:ind w:left="340"/>
        <w:spacing w:after="0"/>
        <w:rPr>
          <w:rFonts w:ascii="Arial" w:cs="Arial" w:eastAsia="Arial" w:hAnsi="Arial"/>
          <w:sz w:val="16"/>
          <w:szCs w:val="16"/>
          <w:b w:val="1"/>
          <w:bCs w:val="1"/>
          <w:color w:val="00A1DE"/>
        </w:rPr>
      </w:pPr>
      <w:r>
        <w:rPr>
          <w:rFonts w:ascii="Arial" w:cs="Arial" w:eastAsia="Arial" w:hAnsi="Arial"/>
          <w:sz w:val="16"/>
          <w:szCs w:val="16"/>
          <w:color w:val="auto"/>
        </w:rPr>
        <w:t>(iii) management believes that the auditor is the best choice to provide the services.</w:t>
      </w:r>
    </w:p>
    <w:p>
      <w:pPr>
        <w:spacing w:after="0" w:line="93" w:lineRule="exact"/>
        <w:rPr>
          <w:rFonts w:ascii="Arial" w:cs="Arial" w:eastAsia="Arial" w:hAnsi="Arial"/>
          <w:sz w:val="16"/>
          <w:szCs w:val="16"/>
          <w:b w:val="1"/>
          <w:bCs w:val="1"/>
          <w:color w:val="00A1DE"/>
        </w:rPr>
      </w:pPr>
    </w:p>
    <w:p>
      <w:pPr>
        <w:ind w:left="340" w:right="40" w:hanging="170"/>
        <w:spacing w:after="0" w:line="256" w:lineRule="auto"/>
        <w:tabs>
          <w:tab w:leader="none" w:pos="316" w:val="left"/>
        </w:tabs>
        <w:numPr>
          <w:ilvl w:val="0"/>
          <w:numId w:val="106"/>
        </w:numPr>
        <w:rPr>
          <w:rFonts w:ascii="Arial" w:cs="Arial" w:eastAsia="Arial" w:hAnsi="Arial"/>
          <w:sz w:val="16"/>
          <w:szCs w:val="16"/>
          <w:b w:val="1"/>
          <w:bCs w:val="1"/>
          <w:color w:val="00A1DE"/>
        </w:rPr>
      </w:pPr>
      <w:r>
        <w:rPr>
          <w:rFonts w:ascii="Arial" w:cs="Arial" w:eastAsia="Arial" w:hAnsi="Arial"/>
          <w:sz w:val="16"/>
          <w:szCs w:val="16"/>
          <w:b w:val="1"/>
          <w:bCs w:val="1"/>
          <w:color w:val="00A1DE"/>
        </w:rPr>
        <w:t xml:space="preserve">Approval process: </w:t>
      </w:r>
      <w:r>
        <w:rPr>
          <w:rFonts w:ascii="Arial" w:cs="Arial" w:eastAsia="Arial" w:hAnsi="Arial"/>
          <w:sz w:val="16"/>
          <w:szCs w:val="16"/>
          <w:color w:val="000000"/>
        </w:rPr>
        <w:t>At the beginning of each audit year, management requests pre-approval from the Audit Committee of the annual audit, statutory</w:t>
      </w:r>
      <w:r>
        <w:rPr>
          <w:rFonts w:ascii="Arial" w:cs="Arial" w:eastAsia="Arial" w:hAnsi="Arial"/>
          <w:sz w:val="16"/>
          <w:szCs w:val="16"/>
          <w:b w:val="1"/>
          <w:bCs w:val="1"/>
          <w:color w:val="00A1DE"/>
        </w:rPr>
        <w:t xml:space="preserve"> </w:t>
      </w:r>
      <w:r>
        <w:rPr>
          <w:rFonts w:ascii="Arial" w:cs="Arial" w:eastAsia="Arial" w:hAnsi="Arial"/>
          <w:sz w:val="16"/>
          <w:szCs w:val="16"/>
          <w:color w:val="000000"/>
        </w:rPr>
        <w:t>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3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audit year, management provides the committee with a summary of the actual fees incurred for the completed audit year.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 Fees</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shows the fees incurred for services rendered on a worldwide basis by EY in 2021 and 2020. All such services were pre-approved by the Audit Committee in accordance with the pre-approval policy.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40" w:type="dxa"/>
            <w:vAlign w:val="bottom"/>
            <w:shd w:val="clear" w:color="auto" w:fill="DBDBDB"/>
          </w:tcPr>
          <w:p>
            <w:pPr>
              <w:spacing w:after="0"/>
              <w:rPr>
                <w:sz w:val="15"/>
                <w:szCs w:val="15"/>
                <w:color w:val="auto"/>
              </w:rPr>
            </w:pPr>
          </w:p>
        </w:tc>
        <w:tc>
          <w:tcPr>
            <w:tcW w:w="6880" w:type="dxa"/>
            <w:vAlign w:val="bottom"/>
            <w:shd w:val="clear" w:color="auto" w:fill="DBDBDB"/>
          </w:tcPr>
          <w:p>
            <w:pPr>
              <w:spacing w:after="0"/>
              <w:rPr>
                <w:sz w:val="15"/>
                <w:szCs w:val="15"/>
                <w:color w:val="auto"/>
              </w:rPr>
            </w:pPr>
          </w:p>
        </w:tc>
        <w:tc>
          <w:tcPr>
            <w:tcW w:w="1380" w:type="dxa"/>
            <w:vAlign w:val="bottom"/>
            <w:shd w:val="clear" w:color="auto" w:fill="DBDBDB"/>
          </w:tcPr>
          <w:p>
            <w:pPr>
              <w:jc w:val="center"/>
              <w:ind w:right="71"/>
              <w:spacing w:after="0"/>
              <w:rPr>
                <w:sz w:val="20"/>
                <w:szCs w:val="20"/>
                <w:color w:val="auto"/>
              </w:rPr>
            </w:pPr>
            <w:r>
              <w:rPr>
                <w:rFonts w:ascii="Arial" w:cs="Arial" w:eastAsia="Arial" w:hAnsi="Arial"/>
                <w:sz w:val="14"/>
                <w:szCs w:val="14"/>
                <w:b w:val="1"/>
                <w:bCs w:val="1"/>
                <w:color w:val="1CA8E1"/>
              </w:rPr>
              <w:t>2021</w:t>
            </w:r>
          </w:p>
        </w:tc>
        <w:tc>
          <w:tcPr>
            <w:tcW w:w="152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1CA8E1"/>
              </w:rPr>
              <w:t>2020</w:t>
            </w:r>
          </w:p>
        </w:tc>
      </w:tr>
      <w:tr>
        <w:trPr>
          <w:trHeight w:val="202"/>
        </w:trPr>
        <w:tc>
          <w:tcPr>
            <w:tcW w:w="1440" w:type="dxa"/>
            <w:vAlign w:val="bottom"/>
            <w:shd w:val="clear" w:color="auto" w:fill="DBDBDB"/>
          </w:tcPr>
          <w:p>
            <w:pPr>
              <w:spacing w:after="0"/>
              <w:rPr>
                <w:sz w:val="17"/>
                <w:szCs w:val="17"/>
                <w:color w:val="auto"/>
              </w:rPr>
            </w:pPr>
          </w:p>
        </w:tc>
        <w:tc>
          <w:tcPr>
            <w:tcW w:w="6880" w:type="dxa"/>
            <w:vAlign w:val="bottom"/>
            <w:shd w:val="clear" w:color="auto" w:fill="DBDBDB"/>
          </w:tcPr>
          <w:p>
            <w:pPr>
              <w:spacing w:after="0"/>
              <w:rPr>
                <w:sz w:val="17"/>
                <w:szCs w:val="17"/>
                <w:color w:val="auto"/>
              </w:rPr>
            </w:pPr>
          </w:p>
        </w:tc>
        <w:tc>
          <w:tcPr>
            <w:tcW w:w="1380" w:type="dxa"/>
            <w:vAlign w:val="bottom"/>
            <w:shd w:val="clear" w:color="auto" w:fill="DBDBDB"/>
          </w:tcPr>
          <w:p>
            <w:pPr>
              <w:ind w:left="220"/>
              <w:spacing w:after="0"/>
              <w:rPr>
                <w:sz w:val="20"/>
                <w:szCs w:val="20"/>
                <w:color w:val="auto"/>
              </w:rPr>
            </w:pPr>
            <w:r>
              <w:rPr>
                <w:rFonts w:ascii="Arial" w:cs="Arial" w:eastAsia="Arial" w:hAnsi="Arial"/>
                <w:sz w:val="14"/>
                <w:szCs w:val="14"/>
                <w:b w:val="1"/>
                <w:bCs w:val="1"/>
                <w:color w:val="1CA8E1"/>
              </w:rPr>
              <w:t>($ millions)*</w:t>
            </w:r>
          </w:p>
        </w:tc>
        <w:tc>
          <w:tcPr>
            <w:tcW w:w="1520" w:type="dxa"/>
            <w:vAlign w:val="bottom"/>
            <w:shd w:val="clear" w:color="auto" w:fill="DBDBDB"/>
          </w:tcPr>
          <w:p>
            <w:pPr>
              <w:ind w:left="360"/>
              <w:spacing w:after="0"/>
              <w:rPr>
                <w:sz w:val="20"/>
                <w:szCs w:val="20"/>
                <w:color w:val="auto"/>
              </w:rPr>
            </w:pPr>
            <w:r>
              <w:rPr>
                <w:rFonts w:ascii="Arial" w:cs="Arial" w:eastAsia="Arial" w:hAnsi="Arial"/>
                <w:sz w:val="14"/>
                <w:szCs w:val="14"/>
                <w:b w:val="1"/>
                <w:bCs w:val="1"/>
                <w:color w:val="1CA8E1"/>
              </w:rPr>
              <w:t>($ millions)*</w:t>
            </w:r>
          </w:p>
        </w:tc>
      </w:tr>
      <w:tr>
        <w:trPr>
          <w:trHeight w:val="188"/>
        </w:trPr>
        <w:tc>
          <w:tcPr>
            <w:tcW w:w="1440" w:type="dxa"/>
            <w:vAlign w:val="bottom"/>
          </w:tcPr>
          <w:p>
            <w:pPr>
              <w:ind w:left="20"/>
              <w:spacing w:after="0"/>
              <w:rPr>
                <w:sz w:val="20"/>
                <w:szCs w:val="20"/>
                <w:color w:val="auto"/>
              </w:rPr>
            </w:pPr>
            <w:r>
              <w:rPr>
                <w:rFonts w:ascii="Arial" w:cs="Arial" w:eastAsia="Arial" w:hAnsi="Arial"/>
                <w:sz w:val="13"/>
                <w:szCs w:val="13"/>
                <w:color w:val="auto"/>
              </w:rPr>
              <w:t>Audit Fees</w:t>
            </w:r>
          </w:p>
        </w:tc>
        <w:tc>
          <w:tcPr>
            <w:tcW w:w="6880" w:type="dxa"/>
            <w:vAlign w:val="bottom"/>
          </w:tcPr>
          <w:p>
            <w:pPr>
              <w:ind w:left="280"/>
              <w:spacing w:after="0"/>
              <w:rPr>
                <w:sz w:val="20"/>
                <w:szCs w:val="20"/>
                <w:color w:val="auto"/>
              </w:rPr>
            </w:pPr>
            <w:r>
              <w:rPr>
                <w:rFonts w:ascii="Arial" w:cs="Arial" w:eastAsia="Arial" w:hAnsi="Arial"/>
                <w:sz w:val="13"/>
                <w:szCs w:val="13"/>
                <w:color w:val="auto"/>
              </w:rPr>
              <w:t>Annual audit of consolidated and subsidiary financial statements, including Sarbanes-Oxley 404 attestation</w:t>
            </w:r>
          </w:p>
        </w:tc>
        <w:tc>
          <w:tcPr>
            <w:tcW w:w="1380" w:type="dxa"/>
            <w:vAlign w:val="bottom"/>
          </w:tcPr>
          <w:p>
            <w:pPr>
              <w:jc w:val="center"/>
              <w:ind w:right="91"/>
              <w:spacing w:after="0"/>
              <w:rPr>
                <w:sz w:val="20"/>
                <w:szCs w:val="20"/>
                <w:color w:val="auto"/>
              </w:rPr>
            </w:pPr>
            <w:r>
              <w:rPr>
                <w:rFonts w:ascii="Arial" w:cs="Arial" w:eastAsia="Arial" w:hAnsi="Arial"/>
                <w:sz w:val="13"/>
                <w:szCs w:val="13"/>
                <w:color w:val="auto"/>
              </w:rPr>
              <w:t>$13.9</w:t>
            </w:r>
          </w:p>
        </w:tc>
        <w:tc>
          <w:tcPr>
            <w:tcW w:w="1520" w:type="dxa"/>
            <w:vAlign w:val="bottom"/>
          </w:tcPr>
          <w:p>
            <w:pPr>
              <w:jc w:val="center"/>
              <w:spacing w:after="0"/>
              <w:rPr>
                <w:sz w:val="20"/>
                <w:szCs w:val="20"/>
                <w:color w:val="auto"/>
              </w:rPr>
            </w:pPr>
            <w:r>
              <w:rPr>
                <w:rFonts w:ascii="Arial" w:cs="Arial" w:eastAsia="Arial" w:hAnsi="Arial"/>
                <w:sz w:val="13"/>
                <w:szCs w:val="13"/>
                <w:color w:val="auto"/>
              </w:rPr>
              <w:t>$13.7</w:t>
            </w:r>
          </w:p>
        </w:tc>
      </w:tr>
      <w:tr>
        <w:trPr>
          <w:trHeight w:val="162"/>
        </w:trPr>
        <w:tc>
          <w:tcPr>
            <w:tcW w:w="1440" w:type="dxa"/>
            <w:vAlign w:val="bottom"/>
          </w:tcPr>
          <w:p>
            <w:pPr>
              <w:spacing w:after="0"/>
              <w:rPr>
                <w:sz w:val="14"/>
                <w:szCs w:val="14"/>
                <w:color w:val="auto"/>
              </w:rPr>
            </w:pPr>
          </w:p>
        </w:tc>
        <w:tc>
          <w:tcPr>
            <w:tcW w:w="6880" w:type="dxa"/>
            <w:vAlign w:val="bottom"/>
          </w:tcPr>
          <w:p>
            <w:pPr>
              <w:ind w:left="280"/>
              <w:spacing w:after="0"/>
              <w:rPr>
                <w:sz w:val="20"/>
                <w:szCs w:val="20"/>
                <w:color w:val="auto"/>
              </w:rPr>
            </w:pPr>
            <w:r>
              <w:rPr>
                <w:rFonts w:ascii="Arial" w:cs="Arial" w:eastAsia="Arial" w:hAnsi="Arial"/>
                <w:sz w:val="13"/>
                <w:szCs w:val="13"/>
                <w:color w:val="auto"/>
              </w:rPr>
              <w:t>Reviews of quarterly financial statements</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64"/>
        </w:trPr>
        <w:tc>
          <w:tcPr>
            <w:tcW w:w="1440" w:type="dxa"/>
            <w:vAlign w:val="bottom"/>
          </w:tcPr>
          <w:p>
            <w:pPr>
              <w:ind w:left="20"/>
              <w:spacing w:after="0"/>
              <w:rPr>
                <w:sz w:val="20"/>
                <w:szCs w:val="20"/>
                <w:color w:val="auto"/>
              </w:rPr>
            </w:pPr>
            <w:r>
              <w:rPr>
                <w:rFonts w:ascii="Arial" w:cs="Arial" w:eastAsia="Arial" w:hAnsi="Arial"/>
                <w:sz w:val="13"/>
                <w:szCs w:val="13"/>
                <w:color w:val="auto"/>
              </w:rPr>
              <w:t>Audit-Related Fees</w:t>
            </w:r>
          </w:p>
        </w:tc>
        <w:tc>
          <w:tcPr>
            <w:tcW w:w="6880" w:type="dxa"/>
            <w:vAlign w:val="bottom"/>
          </w:tcPr>
          <w:p>
            <w:pPr>
              <w:ind w:left="280"/>
              <w:spacing w:after="0"/>
              <w:rPr>
                <w:sz w:val="20"/>
                <w:szCs w:val="20"/>
                <w:color w:val="auto"/>
              </w:rPr>
            </w:pPr>
            <w:r>
              <w:rPr>
                <w:rFonts w:ascii="Arial" w:cs="Arial" w:eastAsia="Arial" w:hAnsi="Arial"/>
                <w:sz w:val="13"/>
                <w:szCs w:val="13"/>
                <w:color w:val="auto"/>
              </w:rPr>
              <w:t>Primarily related to assurance and related services reasonably related to the performance of the audit or</w:t>
            </w:r>
          </w:p>
        </w:tc>
        <w:tc>
          <w:tcPr>
            <w:tcW w:w="1380" w:type="dxa"/>
            <w:vAlign w:val="bottom"/>
          </w:tcPr>
          <w:p>
            <w:pPr>
              <w:jc w:val="center"/>
              <w:ind w:right="91"/>
              <w:spacing w:after="0"/>
              <w:rPr>
                <w:sz w:val="20"/>
                <w:szCs w:val="20"/>
                <w:color w:val="auto"/>
              </w:rPr>
            </w:pPr>
            <w:r>
              <w:rPr>
                <w:rFonts w:ascii="Arial" w:cs="Arial" w:eastAsia="Arial" w:hAnsi="Arial"/>
                <w:sz w:val="13"/>
                <w:szCs w:val="13"/>
                <w:color w:val="auto"/>
              </w:rPr>
              <w:t>$0.7</w:t>
            </w:r>
          </w:p>
        </w:tc>
        <w:tc>
          <w:tcPr>
            <w:tcW w:w="1520" w:type="dxa"/>
            <w:vAlign w:val="bottom"/>
          </w:tcPr>
          <w:p>
            <w:pPr>
              <w:jc w:val="center"/>
              <w:spacing w:after="0"/>
              <w:rPr>
                <w:sz w:val="20"/>
                <w:szCs w:val="20"/>
                <w:color w:val="auto"/>
              </w:rPr>
            </w:pPr>
            <w:r>
              <w:rPr>
                <w:rFonts w:ascii="Arial" w:cs="Arial" w:eastAsia="Arial" w:hAnsi="Arial"/>
                <w:sz w:val="13"/>
                <w:szCs w:val="13"/>
                <w:color w:val="auto"/>
              </w:rPr>
              <w:t>$0.9</w:t>
            </w:r>
          </w:p>
        </w:tc>
      </w:tr>
      <w:tr>
        <w:trPr>
          <w:trHeight w:val="162"/>
        </w:trPr>
        <w:tc>
          <w:tcPr>
            <w:tcW w:w="1440" w:type="dxa"/>
            <w:vAlign w:val="bottom"/>
          </w:tcPr>
          <w:p>
            <w:pPr>
              <w:spacing w:after="0"/>
              <w:rPr>
                <w:sz w:val="14"/>
                <w:szCs w:val="14"/>
                <w:color w:val="auto"/>
              </w:rPr>
            </w:pPr>
          </w:p>
        </w:tc>
        <w:tc>
          <w:tcPr>
            <w:tcW w:w="6880" w:type="dxa"/>
            <w:vAlign w:val="bottom"/>
          </w:tcPr>
          <w:p>
            <w:pPr>
              <w:ind w:left="280"/>
              <w:spacing w:after="0"/>
              <w:rPr>
                <w:sz w:val="20"/>
                <w:szCs w:val="20"/>
                <w:color w:val="auto"/>
              </w:rPr>
            </w:pPr>
            <w:r>
              <w:rPr>
                <w:rFonts w:ascii="Arial" w:cs="Arial" w:eastAsia="Arial" w:hAnsi="Arial"/>
                <w:sz w:val="13"/>
                <w:szCs w:val="13"/>
                <w:color w:val="auto"/>
              </w:rPr>
              <w:t>reviews of the financial statements primarily related to employee benefit plan and other ancillary audits, and</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6880" w:type="dxa"/>
            <w:vAlign w:val="bottom"/>
          </w:tcPr>
          <w:p>
            <w:pPr>
              <w:ind w:left="280"/>
              <w:spacing w:after="0"/>
              <w:rPr>
                <w:sz w:val="20"/>
                <w:szCs w:val="20"/>
                <w:color w:val="auto"/>
              </w:rPr>
            </w:pPr>
            <w:r>
              <w:rPr>
                <w:rFonts w:ascii="Arial" w:cs="Arial" w:eastAsia="Arial" w:hAnsi="Arial"/>
                <w:sz w:val="13"/>
                <w:szCs w:val="13"/>
                <w:color w:val="auto"/>
              </w:rPr>
              <w:t>due diligence services on potential acquisitions</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64"/>
        </w:trPr>
        <w:tc>
          <w:tcPr>
            <w:tcW w:w="1440" w:type="dxa"/>
            <w:vAlign w:val="bottom"/>
          </w:tcPr>
          <w:p>
            <w:pPr>
              <w:ind w:left="20"/>
              <w:spacing w:after="0"/>
              <w:rPr>
                <w:sz w:val="20"/>
                <w:szCs w:val="20"/>
                <w:color w:val="auto"/>
              </w:rPr>
            </w:pPr>
            <w:r>
              <w:rPr>
                <w:rFonts w:ascii="Arial" w:cs="Arial" w:eastAsia="Arial" w:hAnsi="Arial"/>
                <w:sz w:val="13"/>
                <w:szCs w:val="13"/>
                <w:color w:val="auto"/>
              </w:rPr>
              <w:t>Tax Fees</w:t>
            </w:r>
          </w:p>
        </w:tc>
        <w:tc>
          <w:tcPr>
            <w:tcW w:w="6880" w:type="dxa"/>
            <w:vAlign w:val="bottom"/>
          </w:tcPr>
          <w:p>
            <w:pPr>
              <w:ind w:left="280"/>
              <w:spacing w:after="0"/>
              <w:rPr>
                <w:sz w:val="20"/>
                <w:szCs w:val="20"/>
                <w:color w:val="auto"/>
              </w:rPr>
            </w:pPr>
            <w:r>
              <w:rPr>
                <w:rFonts w:ascii="Arial" w:cs="Arial" w:eastAsia="Arial" w:hAnsi="Arial"/>
                <w:sz w:val="13"/>
                <w:szCs w:val="13"/>
                <w:color w:val="auto"/>
              </w:rPr>
              <w:t>Tax compliance services, tax planning, tax advice</w:t>
            </w:r>
          </w:p>
        </w:tc>
        <w:tc>
          <w:tcPr>
            <w:tcW w:w="1380" w:type="dxa"/>
            <w:vAlign w:val="bottom"/>
          </w:tcPr>
          <w:p>
            <w:pPr>
              <w:jc w:val="center"/>
              <w:ind w:right="91"/>
              <w:spacing w:after="0"/>
              <w:rPr>
                <w:sz w:val="20"/>
                <w:szCs w:val="20"/>
                <w:color w:val="auto"/>
              </w:rPr>
            </w:pPr>
            <w:r>
              <w:rPr>
                <w:rFonts w:ascii="Arial" w:cs="Arial" w:eastAsia="Arial" w:hAnsi="Arial"/>
                <w:sz w:val="13"/>
                <w:szCs w:val="13"/>
                <w:color w:val="auto"/>
              </w:rPr>
              <w:t>$2.1</w:t>
            </w:r>
          </w:p>
        </w:tc>
        <w:tc>
          <w:tcPr>
            <w:tcW w:w="1520" w:type="dxa"/>
            <w:vAlign w:val="bottom"/>
          </w:tcPr>
          <w:p>
            <w:pPr>
              <w:jc w:val="center"/>
              <w:spacing w:after="0"/>
              <w:rPr>
                <w:sz w:val="20"/>
                <w:szCs w:val="20"/>
                <w:color w:val="auto"/>
              </w:rPr>
            </w:pPr>
            <w:r>
              <w:rPr>
                <w:rFonts w:ascii="Arial" w:cs="Arial" w:eastAsia="Arial" w:hAnsi="Arial"/>
                <w:sz w:val="13"/>
                <w:szCs w:val="13"/>
                <w:color w:val="auto"/>
              </w:rPr>
              <w:t>$2.7</w:t>
            </w:r>
          </w:p>
        </w:tc>
      </w:tr>
      <w:tr>
        <w:trPr>
          <w:trHeight w:val="162"/>
        </w:trPr>
        <w:tc>
          <w:tcPr>
            <w:tcW w:w="1440" w:type="dxa"/>
            <w:vAlign w:val="bottom"/>
          </w:tcPr>
          <w:p>
            <w:pPr>
              <w:spacing w:after="0"/>
              <w:rPr>
                <w:sz w:val="14"/>
                <w:szCs w:val="14"/>
                <w:color w:val="auto"/>
              </w:rPr>
            </w:pPr>
          </w:p>
        </w:tc>
        <w:tc>
          <w:tcPr>
            <w:tcW w:w="6880" w:type="dxa"/>
            <w:vAlign w:val="bottom"/>
          </w:tcPr>
          <w:p>
            <w:pPr>
              <w:ind w:left="280"/>
              <w:spacing w:after="0"/>
              <w:rPr>
                <w:sz w:val="20"/>
                <w:szCs w:val="20"/>
                <w:color w:val="auto"/>
              </w:rPr>
            </w:pPr>
            <w:r>
              <w:rPr>
                <w:rFonts w:ascii="Arial" w:cs="Arial" w:eastAsia="Arial" w:hAnsi="Arial"/>
                <w:sz w:val="13"/>
                <w:szCs w:val="13"/>
                <w:color w:val="auto"/>
              </w:rPr>
              <w:t>Primarily related to consulting and compliance services</w:t>
            </w: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14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6"/>
        </w:trPr>
        <w:tc>
          <w:tcPr>
            <w:tcW w:w="144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3"/>
                <w:szCs w:val="13"/>
                <w:color w:val="auto"/>
              </w:rPr>
              <w:t>Total</w:t>
            </w:r>
          </w:p>
        </w:tc>
        <w:tc>
          <w:tcPr>
            <w:tcW w:w="6880" w:type="dxa"/>
            <w:vAlign w:val="bottom"/>
            <w:tcBorders>
              <w:bottom w:val="single" w:sz="8" w:color="E6E6E6"/>
            </w:tcBorders>
            <w:shd w:val="clear" w:color="auto" w:fill="E6E6E6"/>
          </w:tcPr>
          <w:p>
            <w:pPr>
              <w:spacing w:after="0"/>
              <w:rPr>
                <w:sz w:val="17"/>
                <w:szCs w:val="17"/>
                <w:color w:val="auto"/>
              </w:rPr>
            </w:pPr>
          </w:p>
        </w:tc>
        <w:tc>
          <w:tcPr>
            <w:tcW w:w="1380" w:type="dxa"/>
            <w:vAlign w:val="bottom"/>
            <w:tcBorders>
              <w:bottom w:val="single" w:sz="8" w:color="E6E6E6"/>
            </w:tcBorders>
            <w:shd w:val="clear" w:color="auto" w:fill="E6E6E6"/>
          </w:tcPr>
          <w:p>
            <w:pPr>
              <w:jc w:val="center"/>
              <w:ind w:right="91"/>
              <w:spacing w:after="0"/>
              <w:rPr>
                <w:sz w:val="20"/>
                <w:szCs w:val="20"/>
                <w:color w:val="auto"/>
              </w:rPr>
            </w:pPr>
            <w:r>
              <w:rPr>
                <w:rFonts w:ascii="Arial" w:cs="Arial" w:eastAsia="Arial" w:hAnsi="Arial"/>
                <w:sz w:val="13"/>
                <w:szCs w:val="13"/>
                <w:color w:val="auto"/>
              </w:rPr>
              <w:t>$16.7</w:t>
            </w:r>
          </w:p>
        </w:tc>
        <w:tc>
          <w:tcPr>
            <w:tcW w:w="15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3"/>
                <w:szCs w:val="13"/>
                <w:color w:val="auto"/>
              </w:rPr>
              <w:t>$17.3</w:t>
            </w:r>
          </w:p>
        </w:tc>
      </w:tr>
      <w:tr>
        <w:trPr>
          <w:trHeight w:val="256"/>
        </w:trPr>
        <w:tc>
          <w:tcPr>
            <w:tcW w:w="8320" w:type="dxa"/>
            <w:vAlign w:val="bottom"/>
            <w:gridSpan w:val="2"/>
          </w:tcPr>
          <w:p>
            <w:pPr>
              <w:spacing w:after="0"/>
              <w:rPr>
                <w:sz w:val="20"/>
                <w:szCs w:val="20"/>
                <w:color w:val="auto"/>
              </w:rPr>
            </w:pPr>
            <w:r>
              <w:rPr>
                <w:rFonts w:ascii="Arial" w:cs="Arial" w:eastAsia="Arial" w:hAnsi="Arial"/>
                <w:sz w:val="13"/>
                <w:szCs w:val="13"/>
                <w:color w:val="auto"/>
              </w:rPr>
              <w:t>* Numbers may not add due to rounding</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Management Proposals</w:t>
      </w:r>
    </w:p>
    <w:p>
      <w:pPr>
        <w:spacing w:after="0" w:line="178" w:lineRule="exact"/>
        <w:rPr>
          <w:sz w:val="20"/>
          <w:szCs w:val="20"/>
          <w:color w:val="auto"/>
        </w:rPr>
      </w:pPr>
    </w:p>
    <w:p>
      <w:pPr>
        <w:ind w:right="1220"/>
        <w:spacing w:after="0" w:line="284" w:lineRule="auto"/>
        <w:rPr>
          <w:sz w:val="20"/>
          <w:szCs w:val="20"/>
          <w:color w:val="auto"/>
        </w:rPr>
      </w:pPr>
      <w:r>
        <w:rPr>
          <w:rFonts w:ascii="Arial" w:cs="Arial" w:eastAsia="Arial" w:hAnsi="Arial"/>
          <w:sz w:val="25"/>
          <w:szCs w:val="25"/>
          <w:b w:val="1"/>
          <w:bCs w:val="1"/>
          <w:color w:val="1A3A6C"/>
        </w:rPr>
        <w:t>Item 4. Proposal to Amend the Company’s Articles of Incorporation to Eliminate the Classified Board Structure</w:t>
      </w:r>
    </w:p>
    <w:p>
      <w:pPr>
        <w:ind w:right="20"/>
        <w:spacing w:after="0" w:line="249" w:lineRule="auto"/>
        <w:rPr>
          <w:sz w:val="20"/>
          <w:szCs w:val="20"/>
          <w:color w:val="auto"/>
        </w:rPr>
      </w:pPr>
      <w:r>
        <w:rPr>
          <w:rFonts w:ascii="Arial" w:cs="Arial" w:eastAsia="Arial" w:hAnsi="Arial"/>
          <w:sz w:val="16"/>
          <w:szCs w:val="16"/>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2021,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2025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897" w:right="359" w:bottom="1440" w:gutter="0" w:footer="0" w:header="0"/>
        </w:sectPr>
      </w:pPr>
    </w:p>
    <w:bookmarkStart w:id="71" w:name="page72"/>
    <w:bookmarkEnd w:id="71"/>
    <w:p>
      <w:pPr>
        <w:ind w:right="180"/>
        <w:spacing w:after="0" w:line="260" w:lineRule="auto"/>
        <w:rPr>
          <w:sz w:val="20"/>
          <w:szCs w:val="20"/>
          <w:color w:val="auto"/>
        </w:rPr>
      </w:pPr>
      <w:r>
        <w:rPr>
          <w:rFonts w:ascii="Arial" w:cs="Arial" w:eastAsia="Arial" w:hAnsi="Arial"/>
          <w:sz w:val="16"/>
          <w:szCs w:val="16"/>
          <w:color w:val="auto"/>
        </w:rPr>
        <w:t>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7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w:t>
      </w:r>
    </w:p>
    <w:p>
      <w:pPr>
        <w:spacing w:after="0" w:line="9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After balancing these interests, the board has decided to resubmit this proposal to eliminate the classified board structure.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the Amendments</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8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affirmative vote of at least 80 percent of the outstanding shares of common stock is needed to approve this proposal. Unless such vote is received, the present classification of the board will continue.</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16" w:lineRule="exact"/>
        <w:rPr>
          <w:sz w:val="20"/>
          <w:szCs w:val="20"/>
          <w:color w:val="auto"/>
        </w:rPr>
      </w:pPr>
    </w:p>
    <w:p>
      <w:pPr>
        <w:ind w:right="1680"/>
        <w:spacing w:after="0" w:line="284" w:lineRule="auto"/>
        <w:rPr>
          <w:sz w:val="20"/>
          <w:szCs w:val="20"/>
          <w:color w:val="auto"/>
        </w:rPr>
      </w:pPr>
      <w:r>
        <w:rPr>
          <w:rFonts w:ascii="Arial" w:cs="Arial" w:eastAsia="Arial" w:hAnsi="Arial"/>
          <w:sz w:val="25"/>
          <w:szCs w:val="25"/>
          <w:b w:val="1"/>
          <w:bCs w:val="1"/>
          <w:color w:val="1A3A6C"/>
        </w:rPr>
        <w:t>Item 5. Proposal to Amend the Company’s Articles of Incorporation to Eliminate Supermajority Voting Provisions</w:t>
      </w:r>
    </w:p>
    <w:p>
      <w:pPr>
        <w:ind w:right="260"/>
        <w:spacing w:after="0" w:line="253" w:lineRule="auto"/>
        <w:rPr>
          <w:sz w:val="20"/>
          <w:szCs w:val="20"/>
          <w:color w:val="auto"/>
        </w:rPr>
      </w:pPr>
      <w:r>
        <w:rPr>
          <w:rFonts w:ascii="Arial" w:cs="Arial" w:eastAsia="Arial" w:hAnsi="Arial"/>
          <w:sz w:val="16"/>
          <w:szCs w:val="16"/>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93" w:lineRule="exact"/>
        <w:rPr>
          <w:sz w:val="20"/>
          <w:szCs w:val="20"/>
          <w:color w:val="auto"/>
        </w:rPr>
      </w:pPr>
    </w:p>
    <w:p>
      <w:pPr>
        <w:ind w:left="620" w:hanging="288"/>
        <w:spacing w:after="0"/>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amending certain provisions of the articles of incorporation that relate to the number and terms of office of directors: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company’s classified board structure (as described under Item 4)</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provision that the number of directors shall be specified solely by resolution of the board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removing directors prior to the end of their elected term</w:t>
      </w:r>
    </w:p>
    <w:p>
      <w:pPr>
        <w:spacing w:after="0" w:line="113" w:lineRule="exact"/>
        <w:rPr>
          <w:rFonts w:ascii="Arial" w:cs="Arial" w:eastAsia="Arial" w:hAnsi="Arial"/>
          <w:sz w:val="16"/>
          <w:szCs w:val="16"/>
          <w:color w:val="auto"/>
        </w:rPr>
      </w:pPr>
    </w:p>
    <w:p>
      <w:pPr>
        <w:ind w:left="660" w:right="40" w:hanging="328"/>
        <w:spacing w:after="0" w:line="253" w:lineRule="auto"/>
        <w:tabs>
          <w:tab w:leader="none" w:pos="62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93" w:lineRule="exact"/>
        <w:rPr>
          <w:rFonts w:ascii="Arial" w:cs="Arial" w:eastAsia="Arial" w:hAnsi="Arial"/>
          <w:sz w:val="16"/>
          <w:szCs w:val="16"/>
          <w:color w:val="auto"/>
        </w:rPr>
      </w:pPr>
    </w:p>
    <w:p>
      <w:pPr>
        <w:ind w:left="620" w:hanging="288"/>
        <w:spacing w:after="0"/>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modifying or eliminating any of the above supermajority voting requirements.</w:t>
      </w:r>
    </w:p>
    <w:p>
      <w:pPr>
        <w:spacing w:after="0" w:line="11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2021, the board submitted this management proposal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20"/>
          </w:cols>
          <w:pgMar w:left="320" w:top="843" w:right="359" w:bottom="1440" w:gutter="0" w:footer="0" w:header="0"/>
        </w:sectPr>
      </w:pPr>
    </w:p>
    <w:bookmarkStart w:id="72" w:name="page73"/>
    <w:bookmarkEnd w:id="72"/>
    <w:p>
      <w:pPr>
        <w:ind w:right="60"/>
        <w:spacing w:after="0" w:line="260" w:lineRule="auto"/>
        <w:rPr>
          <w:sz w:val="20"/>
          <w:szCs w:val="20"/>
          <w:color w:val="auto"/>
        </w:rPr>
      </w:pPr>
      <w:r>
        <w:rPr>
          <w:rFonts w:ascii="Arial" w:cs="Arial" w:eastAsia="Arial" w:hAnsi="Arial"/>
          <w:sz w:val="16"/>
          <w:szCs w:val="16"/>
          <w:color w:val="auto"/>
        </w:rPr>
        <w:t>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28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After balancing these interests, the board has decided to resubmit this proposal to eliminate the supermajority voting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Text of Amendments</w:t>
      </w:r>
    </w:p>
    <w:p>
      <w:pPr>
        <w:spacing w:after="0" w:line="8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8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affirmative vote of at least 80 percent of the outstanding shares of common stock is needed to approve this proposal. Unless such vote is received, the supermajority voting requirements will continue to be in effect.</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316" w:lineRule="exact"/>
        <w:rPr>
          <w:sz w:val="20"/>
          <w:szCs w:val="20"/>
          <w:color w:val="auto"/>
        </w:rPr>
      </w:pPr>
    </w:p>
    <w:p>
      <w:pPr>
        <w:ind w:right="100"/>
        <w:spacing w:after="0" w:line="284" w:lineRule="auto"/>
        <w:rPr>
          <w:sz w:val="20"/>
          <w:szCs w:val="20"/>
          <w:color w:val="auto"/>
        </w:rPr>
      </w:pPr>
      <w:r>
        <w:rPr>
          <w:rFonts w:ascii="Arial" w:cs="Arial" w:eastAsia="Arial" w:hAnsi="Arial"/>
          <w:sz w:val="25"/>
          <w:szCs w:val="25"/>
          <w:b w:val="1"/>
          <w:bCs w:val="1"/>
          <w:color w:val="1A3A6C"/>
        </w:rPr>
        <w:t>Item 6. Proposal to Amend the Company's Articles of Incorporation to Give Shareholders the Ability to Amend the Company’s Bylaws</w:t>
      </w:r>
    </w:p>
    <w:p>
      <w:pPr>
        <w:ind w:right="180"/>
        <w:spacing w:after="0" w:line="251" w:lineRule="auto"/>
        <w:rPr>
          <w:sz w:val="20"/>
          <w:szCs w:val="20"/>
          <w:color w:val="auto"/>
        </w:rPr>
      </w:pPr>
      <w:r>
        <w:rPr>
          <w:rFonts w:ascii="Arial" w:cs="Arial" w:eastAsia="Arial" w:hAnsi="Arial"/>
          <w:sz w:val="16"/>
          <w:szCs w:val="16"/>
          <w:color w:val="auto"/>
        </w:rPr>
        <w:t>The company’s articles of incorporation do not allow shareholders to amend the company’s bylaws. This position reflects the default under Indiana law, which reserves the exclusive authority to amend bylaws to the board. The board, after review by the Directors and Corporate Governance Committee, has approved, and recommends that the shareholders approve, amendments to the articles of incorporation to allow shareholders to amend the company’s bylaws. Pursuant to Indiana law, approval of the proposal requires that the votes cast in favor of the proposal exceed the votes cast against the proposal.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Proposal</w:t>
      </w:r>
    </w:p>
    <w:p>
      <w:pPr>
        <w:spacing w:after="0" w:line="8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part of its ongoing review of corporate governance matters, the board, taking into account the input of the Directors and Corporate Governance Committee, considered the advantages and disadvantages of maintaining the Indiana default position that reserves the exclusive right to amend the bylaws to the board. The board considered the potential adverse consequences of maintaining the Indiana default position that does not allow shareholders to amend the bylaws.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shareholder feedback supporting the ability of shareholders to amend the bylaws. The board also considered that even if shareholders have the authority to amend the bylaws, the company has appropriate safeguards to protect the interests of all shareholders and discourage a would-be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00"/>
          </w:cols>
          <w:pgMar w:left="320" w:top="843" w:right="379" w:bottom="1440" w:gutter="0" w:footer="0" w:header="0"/>
        </w:sectPr>
      </w:pPr>
    </w:p>
    <w:bookmarkStart w:id="73" w:name="page74"/>
    <w:bookmarkEnd w:id="73"/>
    <w:p>
      <w:pPr>
        <w:ind w:right="400"/>
        <w:spacing w:after="0" w:line="260" w:lineRule="auto"/>
        <w:rPr>
          <w:sz w:val="20"/>
          <w:szCs w:val="20"/>
          <w:color w:val="auto"/>
        </w:rPr>
      </w:pPr>
      <w:r>
        <w:rPr>
          <w:rFonts w:ascii="Arial" w:cs="Arial" w:eastAsia="Arial" w:hAnsi="Arial"/>
          <w:sz w:val="16"/>
          <w:szCs w:val="16"/>
          <w:color w:val="auto"/>
        </w:rPr>
        <w:t>acquirer from proceeding with a proposal that undervalues the company or is opportunistic. These include other provisions of the company’s articles of incorporation and bylaws, as well as certain provisions of Indiana corporation law.</w:t>
      </w:r>
    </w:p>
    <w:p>
      <w:pPr>
        <w:spacing w:after="0" w:line="8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board also considered that under certain circumstances, allowing the bylaws to be amended by shareholders would not be in the best long-term interests of the company because of the potential risk of abuse by a single shareholder or special interest group of shareholders with no fiduciary duties to other shareholders, and accordingly, the board, which is accountable to all shareholders, may be better positioned to ensure that bylaw amendments are appropriate.</w:t>
      </w:r>
    </w:p>
    <w:p>
      <w:pPr>
        <w:spacing w:after="0" w:line="94"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After balancing these interests, the board has decided to submit this proposal to allow shareholders holding a majority of the company’s issued and outstanding common stock to amend the company’s bylaws.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Proposed amendments to the bylaws:</w:t>
      </w:r>
    </w:p>
    <w:p>
      <w:pPr>
        <w:spacing w:after="0" w:line="8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Article 10 of the company’s articles of incorporation contains the provisions that will be affected if this proposal is adopted. This article, set forth in Appendix C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7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 approve this proposal, the votes cast in favor of this proposal must exceed the votes cast against this proposal. Unless such vote is received, the present prohibitions against shareholders amending the company’s bylaws will continue.</w:t>
      </w:r>
    </w:p>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6</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6"/>
          <w:szCs w:val="16"/>
          <w:color w:val="auto"/>
        </w:rPr>
        <w:t xml:space="preserve"> amending the company’s articles of incorporation to allow shareholders to amend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60"/>
          </w:cols>
          <w:pgMar w:left="320" w:top="843" w:right="419" w:bottom="1440" w:gutter="0" w:footer="0" w:header="0"/>
        </w:sectPr>
      </w:pPr>
    </w:p>
    <w:bookmarkStart w:id="74" w:name="page75"/>
    <w:bookmarkEnd w:id="74"/>
    <w:p>
      <w:pPr>
        <w:spacing w:after="0"/>
        <w:rPr>
          <w:sz w:val="20"/>
          <w:szCs w:val="20"/>
          <w:color w:val="auto"/>
        </w:rPr>
      </w:pPr>
      <w:r>
        <w:rPr>
          <w:rFonts w:ascii="Arial" w:cs="Arial" w:eastAsia="Arial" w:hAnsi="Arial"/>
          <w:sz w:val="32"/>
          <w:szCs w:val="32"/>
          <w:b w:val="1"/>
          <w:bCs w:val="1"/>
          <w:color w:val="EF3729"/>
        </w:rPr>
        <w:t>Shareholder Proposals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7. Proposal to Amend the Bylaws to Require an Independent Board Chair</w:t>
      </w:r>
    </w:p>
    <w:p>
      <w:pPr>
        <w:spacing w:after="0" w:line="82"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Legal &amp; General Investment Management America, Inc. ("LGIM America"), 71 South Wacker Drive, Suite 800, Chicago, Illinois 60606, beneficial owner of 212,515 shares of our common stock as of November 9, 2021, has submitted the following proposal:</w:t>
      </w:r>
    </w:p>
    <w:p>
      <w:pPr>
        <w:spacing w:after="0" w:line="10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RESOLVED, Eli Lilly and Company ("Lilly" or the "Company") shareholders request the Board of Directors adopt as policy (the "Policy"), and amend the bylaws as necessary, to require henceforth that the Chair of the Board of Directors, whenever possible, be an independent member of the board. The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CEO transition.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is responsible for overseeing the actions of management. They are expected to act as a counter-power and constructively challenge the executive directors. Conflicts of interest may arise when one person holds both the Chair and CEO positions. In our view, shareholders, as well as the company, are best served by an independent board Chair who can provide a balance of power between the CEO and the board.</w:t>
      </w:r>
    </w:p>
    <w:p>
      <w:pPr>
        <w:spacing w:after="0" w:line="9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While the CEO's insights and communication can and should be shared with an independently led board, the difference, should the shareholder proposal be implemented, is that those insights will then be subjected to review and oversight by a board led by an independent chair, rather than by a board led by the same person whose insights are being considered. We believe that Lilly's board should adopt best practice governance policies, including having an independent board chair.</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2019 PricewaterhouseCoopers surveyed over 700 directors, 57% of directors who sat on a board with a combined Chair/CEO stated that it was difficult to voice dissent - a 37% higher result than on boards with an independent Chair.</w:t>
      </w:r>
    </w:p>
    <w:p>
      <w:pPr>
        <w:spacing w:after="0" w:line="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Pharmaceutical companies are particularly in need of effective and unconflicted oversight because of the industry's high legal and regulatory risks related to product safety and the industry's commercial practices. Eli Lilly is not immune to litigation and regulatory attention. Only in 2021, the company has been repeatedly cited in a US Senate report on significant insulin price increase; the Mississippi Attorney General launched a lawsuit against Lilly, and others, alleging collusion to keep insulin prices high; and the City of Miami, Florida initiated litigation asserting antitrust and other claims against the company.</w:t>
      </w:r>
    </w:p>
    <w:p>
      <w:pPr>
        <w:spacing w:after="0" w:line="12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The risk of lawsuits, sustained public controversy and regulatory intervention, whether ultimately found to be justified or not, are strong arguments for the need for continuous, effective and unconflicted board oversight of corporate management.</w:t>
      </w:r>
    </w:p>
    <w:p>
      <w:pPr>
        <w:spacing w:after="0" w:line="2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order to ensure that our board can provide rigorous oversight for our Company and management with greater independence and accountability, we urge a vote FOR this shareholder proposal.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in Opposition to the Shareholder Proposal to Amend the Bylaws to Require an Independent Board Chair</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1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implemented, the proposal would lock in a mandatory board leadership structure that eliminates our board’s flexibility to evaluate and adopt what it believes to be the most effective leadership structure for Lilly under the relevant facts and circumstances at any given point in time. Unlike the proponent, the board believes, whether in the present or after the next CEO transition, that there is no “one-size-fits-all” approach to board leadership and recognizes that two of its key responsibilities are to evaluate and implement the leadership structure best suited to achieve the company’s objectives and to promote the long-term interests of its shareholders with due regard for all our stakeholders. In 2021, the board again undertook an assessment of its leadership structure in the context of our business, long-term strategy and industry environment, and developments in corporate governance, and believes that a combined chair and CEO, coupled with a strong lead independent director position, continues to be in the best interest of the company and our shareholders.</w:t>
      </w:r>
    </w:p>
    <w:p>
      <w:pPr>
        <w:spacing w:after="0" w:line="126" w:lineRule="exact"/>
        <w:rPr>
          <w:sz w:val="20"/>
          <w:szCs w:val="20"/>
          <w:color w:val="auto"/>
        </w:rPr>
      </w:pPr>
    </w:p>
    <w:p>
      <w:pPr>
        <w:ind w:right="940"/>
        <w:spacing w:after="0" w:line="284" w:lineRule="auto"/>
        <w:rPr>
          <w:sz w:val="20"/>
          <w:szCs w:val="20"/>
          <w:color w:val="auto"/>
        </w:rPr>
      </w:pPr>
      <w:r>
        <w:rPr>
          <w:rFonts w:ascii="Arial" w:cs="Arial" w:eastAsia="Arial" w:hAnsi="Arial"/>
          <w:sz w:val="17"/>
          <w:szCs w:val="17"/>
          <w:b w:val="1"/>
          <w:bCs w:val="1"/>
          <w:color w:val="auto"/>
        </w:rPr>
        <w:t>Lilly’s board leadership structure is consistent with market practice and our flexible approach was strongly endorsed by Lilly’s shareholders last year.</w:t>
      </w:r>
    </w:p>
    <w:p>
      <w:pPr>
        <w:spacing w:after="0" w:line="24"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auto"/>
        </w:rPr>
        <w:t>There is no singular approach to independent board leadership across S&amp;P 500 companies. Notably, as of December 31, 2021, only 36% of companies in the S&amp;P 500 have independent chairs and, like Lilly, 57% of companies in the S&amp;P 500 instead have lead independent directors,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six of the eight U.S.-incorporated companies from our peer group (see “Compensation Discussion and Analysis—Compensation Committee’s Processes and Analyses— Competitive Pay Assessment” for a list of our peer group companies) </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have a combined board chair and CEO. In addition, Lilly’s shareholders decidedly rejected similar proposals seeking to mandate an independent board chair at both our 2020 and 2021 annual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12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meetings of shareholders, with nearly two-thirds of the votes cast against the proposal, thus endorsing our flexible approach.</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Lilly’s current board leadership structure and corporate governance practices provide effective, independent oversight of management.</w:t>
      </w:r>
    </w:p>
    <w:p>
      <w:pPr>
        <w:spacing w:after="0" w:line="8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Lilly has a strong independent board that operates under sound principles of corporate governance. See “Governance—Highlights of the Company’s Corporate Governance—Leadership Structure; Oversight of Chair, CEO, and Senior Management” for a description of the board’s governance principles. Although the chair and CEO roles are combined, we ensure independent oversight of the company through a counterbalancing governance structure, which we have had since 2006 through either a lead independent director or presiding director. Further bolstering independent oversight, each of our current board members other than the CEO is independent (12 out of 13 directors), and all standing board committees are made up solely of independent directors and led by independent committee chairs.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Lilly’s lead independent director is elected annually by and from among the independent directors of the board. </w:t>
      </w:r>
      <w:r>
        <w:rPr>
          <w:rFonts w:ascii="Arial" w:cs="Arial" w:eastAsia="Arial" w:hAnsi="Arial"/>
          <w:sz w:val="16"/>
          <w:szCs w:val="16"/>
          <w:color w:val="auto"/>
        </w:rPr>
        <w:t>Our strong lead independent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director is empowered with clearly defined responsibilities including:</w:t>
      </w:r>
    </w:p>
    <w:p>
      <w:pPr>
        <w:spacing w:after="0" w:line="59" w:lineRule="exact"/>
        <w:rPr>
          <w:sz w:val="20"/>
          <w:szCs w:val="20"/>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leading the board’s processes for selecting the CEO;</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overseeing the independent directors’ annual performance evaluation of the chair and CEO;</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serving as a liaison between the chair and the independent directors;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presiding at all meetings of the board at which the chair is not present;</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presiding at executive sessions of the independent directors;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calling meetings of the independent directors, as appropriate;</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approving meeting agendas and schedules and reviewing information to be provided to the board;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being available for consultation and direct communication with shareholders, as appropriate;</w:t>
      </w:r>
    </w:p>
    <w:p>
      <w:pPr>
        <w:spacing w:after="0" w:line="99"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together with the chair and the chair of the Directors and Corporate Governance Committee, conducting the annual board assessment process;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together with the Directors and Corporate Governance Committee, leading the director succession planning process; and</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retaining advisors for the independent directors, as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Furthermore, the board has instituted a number of governance best practices to ensure effective independent oversight, including:</w:t>
      </w:r>
    </w:p>
    <w:p>
      <w:pPr>
        <w:spacing w:after="0" w:line="113" w:lineRule="exact"/>
        <w:rPr>
          <w:sz w:val="20"/>
          <w:szCs w:val="20"/>
          <w:color w:val="auto"/>
        </w:rPr>
      </w:pPr>
    </w:p>
    <w:p>
      <w:pPr>
        <w:ind w:left="620" w:hanging="288"/>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executive sessions of the independent directors held after every regular board meeting that are presided over by our lead independent director;</w:t>
      </w:r>
    </w:p>
    <w:p>
      <w:pPr>
        <w:spacing w:after="0" w:line="113" w:lineRule="exact"/>
        <w:rPr>
          <w:rFonts w:ascii="Arial" w:cs="Arial" w:eastAsia="Arial" w:hAnsi="Arial"/>
          <w:sz w:val="16"/>
          <w:szCs w:val="16"/>
          <w:color w:val="auto"/>
        </w:rPr>
      </w:pPr>
    </w:p>
    <w:p>
      <w:pPr>
        <w:ind w:left="660" w:right="260" w:hanging="328"/>
        <w:spacing w:after="0" w:line="260" w:lineRule="auto"/>
        <w:tabs>
          <w:tab w:leader="none" w:pos="62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annual performance evaluation of the chair and CEO conducted by the independent directors, the results of which are reviewed with the CEO and considered by the Compensation Committee and independent directors in establishing the CEO’s compensation for the next year;</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 annual performance evaluation of the lead independent director by the board as part of the annual board assessment process;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independent director access to management whenever deemed necessary by the independent directors; and</w:t>
      </w:r>
    </w:p>
    <w:p>
      <w:pPr>
        <w:spacing w:after="0" w:line="113" w:lineRule="exact"/>
        <w:rPr>
          <w:rFonts w:ascii="Arial" w:cs="Arial" w:eastAsia="Arial" w:hAnsi="Arial"/>
          <w:sz w:val="16"/>
          <w:szCs w:val="16"/>
          <w:color w:val="auto"/>
        </w:rPr>
      </w:pPr>
    </w:p>
    <w:p>
      <w:pPr>
        <w:ind w:left="660" w:right="140" w:hanging="328"/>
        <w:spacing w:after="0" w:line="260" w:lineRule="auto"/>
        <w:tabs>
          <w:tab w:leader="none" w:pos="62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ability of independent directors and all committees to retain their own independent advisors, at the company’s expense, whenever they deem it desirable to do so.</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31" w:lineRule="exact"/>
        <w:rPr>
          <w:sz w:val="20"/>
          <w:szCs w:val="20"/>
          <w:color w:val="auto"/>
        </w:rPr>
      </w:pPr>
    </w:p>
    <w:p>
      <w:pPr>
        <w:ind w:left="100" w:hanging="92"/>
        <w:spacing w:after="0"/>
        <w:tabs>
          <w:tab w:leader="none" w:pos="100" w:val="left"/>
        </w:tabs>
        <w:numPr>
          <w:ilvl w:val="0"/>
          <w:numId w:val="110"/>
        </w:numPr>
        <w:rPr>
          <w:rFonts w:ascii="Arial" w:cs="Arial" w:eastAsia="Arial" w:hAnsi="Arial"/>
          <w:sz w:val="21"/>
          <w:szCs w:val="21"/>
          <w:color w:val="auto"/>
          <w:vertAlign w:val="superscript"/>
        </w:rPr>
      </w:pPr>
      <w:r>
        <w:rPr>
          <w:rFonts w:ascii="Arial" w:cs="Arial" w:eastAsia="Arial" w:hAnsi="Arial"/>
          <w:sz w:val="13"/>
          <w:szCs w:val="13"/>
          <w:color w:val="auto"/>
        </w:rPr>
        <w:t>Source: EY Center for Board Matters, Corporate Governance by the Numbers. December 31, 2021.</w:t>
      </w:r>
    </w:p>
    <w:p>
      <w:pPr>
        <w:ind w:left="100" w:hanging="92"/>
        <w:spacing w:after="0" w:line="214" w:lineRule="auto"/>
        <w:tabs>
          <w:tab w:leader="none" w:pos="100" w:val="left"/>
        </w:tabs>
        <w:numPr>
          <w:ilvl w:val="0"/>
          <w:numId w:val="111"/>
        </w:numPr>
        <w:rPr>
          <w:rFonts w:ascii="Arial" w:cs="Arial" w:eastAsia="Arial" w:hAnsi="Arial"/>
          <w:sz w:val="21"/>
          <w:szCs w:val="21"/>
          <w:color w:val="auto"/>
          <w:vertAlign w:val="superscript"/>
        </w:rPr>
      </w:pPr>
      <w:r>
        <w:rPr>
          <w:rFonts w:ascii="Arial" w:cs="Arial" w:eastAsia="Arial" w:hAnsi="Arial"/>
          <w:sz w:val="13"/>
          <w:szCs w:val="13"/>
          <w:color w:val="auto"/>
        </w:rPr>
        <w:t>Biogen has an independent board chair and Merck’s former CEO and Chair retired as CEO in 2021 and remains on Merck’s board of directors as executive chair.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20"/>
          </w:cols>
          <w:pgMar w:left="320" w:top="843" w:right="359" w:bottom="1440" w:gutter="0" w:footer="0" w:header="0"/>
        </w:sectPr>
      </w:pPr>
    </w:p>
    <w:bookmarkStart w:id="76" w:name="page77"/>
    <w:bookmarkEnd w:id="76"/>
    <w:p>
      <w:pPr>
        <w:ind w:right="300"/>
        <w:spacing w:after="0" w:line="284" w:lineRule="auto"/>
        <w:rPr>
          <w:sz w:val="20"/>
          <w:szCs w:val="20"/>
          <w:color w:val="auto"/>
        </w:rPr>
      </w:pPr>
      <w:r>
        <w:rPr>
          <w:rFonts w:ascii="Arial" w:cs="Arial" w:eastAsia="Arial" w:hAnsi="Arial"/>
          <w:sz w:val="17"/>
          <w:szCs w:val="17"/>
          <w:b w:val="1"/>
          <w:bCs w:val="1"/>
          <w:color w:val="auto"/>
        </w:rPr>
        <w:t>Lilly’s current governance structure provides effective, independent oversight over key matters that are important to our stakeholders, including drug pricing and access.</w:t>
      </w:r>
    </w:p>
    <w:p>
      <w:pPr>
        <w:spacing w:after="0" w:line="2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independent directors are deeply engaged in key matters important to Lilly and our stakeholders, including the oversight over the company’s approach to drug pricing and access. Guided by this active oversight, Lilly already has taken numerous steps to promote drug affordability and access. For example, Lilly introduced two additional lower-priced versions of Humalog in January 2020 and added the Lilly Insulin Value Program to Lilly’s comprehensive suite of insulin affordability solutions in September 2020, which now enables customers with commercial insurance or no insurance to purchase their monthly prescription of all Lilly insulins for $35. In addition, in September 2021, Lilly announced that it would lower the list price of all Lilly’s non-branded insulins, including Insulin Lispro Injection, by an additional 40% in the U.S. That price reduction took effect January 1, 2022, effectively reducing the list price to 2008 levels. These examples, among others, demonstrate Lilly’s commitment to providing effective oversight over drug pricing and access.</w:t>
      </w:r>
    </w:p>
    <w:p>
      <w:pPr>
        <w:spacing w:after="0" w:line="12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color w:val="auto"/>
        </w:rPr>
        <w:t>Our board of directors believes that our shareholders are best served by preserving the flexibility to determine the appropriate leadership structure for the company in light of the circumstances at the relevant time.</w:t>
      </w:r>
    </w:p>
    <w:p>
      <w:pPr>
        <w:spacing w:after="0" w:line="24"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We believe the proposal would unnecessarily restrict the board’s ability to exercise its fiduciary duty to determine the board leadership structure most appropriate for the company given the specific circumstances and leadership needs at any particular point in time. The company’s robust governance framework ensures that board leadership is balanced with independent participation given the extensive involvement and approval authority of the lead independent director and his oversight. Our independent directors also collectively bring to the board vast leadership experience, industry expertise, and other critical skills, and individually have demonstrated the willingness to think and act independently on behalf of shareholders. Therefore, adopting a proposal that would limit the board’s ability to exercise decision-making on the appropriate leadership is not in shareholders’ best interests.</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believe independence is essential to strong corporate governance. The combination of a chair who is also the CEO and a lead independent director assigned specific duties and empowered with robust authority achieves the delivery of multiple balanced inputs to the board. Having one individual serve as both chair and CEO provides the board with deep insights to drive long-term strategy and execution and allows consistent communication throughout the company. This is vital to our innovative research and development business with prolonged product development cycles. Further, the lead independent director, currently a sitting CEO, drives an “outside in” analysis of company decisions and performance, maintains frequent contact with our chair and CEO to ensure a productive partnership between our independent directors and management and leads our independent directors in their important oversight function. This leadership structure has served our shareholders well.</w:t>
      </w:r>
    </w:p>
    <w:p>
      <w:pPr>
        <w:spacing w:after="0" w:line="126"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color w:val="auto"/>
        </w:rPr>
        <w:t>Our current governance structure enables us to be responsive to shareholders’ preferences—for example, this year we are submitting a management proposal to allow shareholders to amend the company’s bylaws.</w:t>
      </w:r>
    </w:p>
    <w:p>
      <w:pPr>
        <w:spacing w:after="0" w:line="2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current governance structure enables us to be responsive and accountable to shareholders. For example, this year we have submitted a management proposal to amend our articles of incorporation to give shareholders the ability to amend the company’s bylaws (see Item 6) with a majority vote standard. In addition, as we have done each of the past four years, we are also resubmitting management proposals to eliminate the classified board structure and supermajority voting requirements (see Items 4 and 5), which reflects our continued commitment to the interests of our shareholders.</w:t>
      </w:r>
    </w:p>
    <w:p>
      <w:pPr>
        <w:spacing w:after="0" w:line="120"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b w:val="1"/>
          <w:bCs w:val="1"/>
          <w:color w:val="auto"/>
        </w:rPr>
        <w:t>Our current governance structure appropriately balances the company’s need for continuity in its leadership with independent and effective oversight.</w:t>
      </w:r>
    </w:p>
    <w:p>
      <w:pPr>
        <w:spacing w:after="0" w:line="2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Lilly’s independent directors have determined that Mr. Ricks is eminently qualified to serve as both chair and CEO, and the board believes that having him fill that combined role, complemented by Mr. Luciano, a strong lead independent director, strikes an appropriate balance between consistent leadership and independent and effective oversight that is optimal for the company and our shareholders. For additional information on the particular qualities of Mr. Ricks and why he is best suited to serve as chair at this time, as well as information on the leadership provided by Mr. Luciano, the lead independent director, please see “Governance—Highlights of the Company’s Corporate Governance—Leadership Structure; Oversight of Chair, CEO, and Senior Management.”</w:t>
      </w:r>
    </w:p>
    <w:p>
      <w:pPr>
        <w:spacing w:after="0" w:line="95"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For these reasons, we believe a policy requiring an independent board chair is not necessary and not in the best interests of the company and its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8. Proposal to Publish an Annual Report Disclosing Lobbying Activities</w:t>
      </w:r>
    </w:p>
    <w:p>
      <w:pPr>
        <w:spacing w:after="0" w:line="96"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SEIU Master Trust, 1800 Massachusetts Ave. NW, Suite 301, Washington, D.C. 20036-1202, beneficial owner of shares of our common stock having a market value in excess of $2000, has submitted the following proposal:</w:t>
      </w:r>
    </w:p>
    <w:p>
      <w:pPr>
        <w:spacing w:after="0" w:line="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Whereas, we believe in full disclosure of Eli Lilly and Company’s (“Lilly’s”) direct and indirect lobbying activities and expenditures to assess whether its lobbying is consistent with its expressed goals and in the best interests of shareholders.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923"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color w:val="auto"/>
        </w:rPr>
        <w:t>Resolved, shareholders of Lilly request the preparation of a report, updated annually, disclosing:</w:t>
      </w:r>
    </w:p>
    <w:p>
      <w:pPr>
        <w:spacing w:after="0" w:line="113"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Company policies and procedures governing lobbying, both direct and indirect, and grassroots lobbying communications.</w:t>
      </w:r>
    </w:p>
    <w:p>
      <w:pPr>
        <w:spacing w:after="0" w:line="113" w:lineRule="exact"/>
        <w:rPr>
          <w:rFonts w:ascii="Arial" w:cs="Arial" w:eastAsia="Arial" w:hAnsi="Arial"/>
          <w:sz w:val="16"/>
          <w:szCs w:val="16"/>
          <w:color w:val="auto"/>
        </w:rPr>
      </w:pPr>
    </w:p>
    <w:p>
      <w:pPr>
        <w:ind w:left="660" w:right="500" w:hanging="328"/>
        <w:spacing w:after="0" w:line="260"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Payments by Lilly used for (a) direct or indirect lobbying or (b) grassroots lobbying communications, in each case including the amount of the payment and the recipient.</w:t>
      </w:r>
    </w:p>
    <w:p>
      <w:pPr>
        <w:spacing w:after="0" w:line="87"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Lilly’s membership in and payments to any tax-exempt organization that writes and endorses model legislation.</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Both “direct and indirect lobbying” and “grassroots lobbying communications” include efforts at the territory, local, state and federal levels.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report shall be presented to the Public Policy and Compliance Committee and posted on Lilly’s website.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80" w:lineRule="exact"/>
        <w:rPr>
          <w:sz w:val="20"/>
          <w:szCs w:val="20"/>
          <w:color w:val="auto"/>
        </w:rPr>
      </w:pPr>
    </w:p>
    <w:p>
      <w:pPr>
        <w:ind w:right="20"/>
        <w:spacing w:after="0" w:line="226" w:lineRule="auto"/>
        <w:rPr>
          <w:sz w:val="20"/>
          <w:szCs w:val="20"/>
          <w:color w:val="auto"/>
        </w:rPr>
      </w:pPr>
      <w:r>
        <w:rPr>
          <w:rFonts w:ascii="Arial" w:cs="Arial" w:eastAsia="Arial" w:hAnsi="Arial"/>
          <w:sz w:val="16"/>
          <w:szCs w:val="16"/>
          <w:color w:val="auto"/>
        </w:rPr>
        <w:t>Drugmakers spend more to lobby Washington than any other industry.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Lilly spent $88,362,000 from 2010 - 2020 on federal lobbying. Lilly lobbies extensively at the state level where disclosure is uneven or absent, with at least 144 lobbyists in 44 states in 2020 (followthemoney.org). Lilly lobbies abroad, spending between €700,000-799,000 on lobbying in Europe.</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Lilly fails to disclose its third-party payments to trade associations and social welfare organizations, or the amounts used for lobbying, to shareholders. Companies can give unlimited amounts to third party groups that spend millions on lobbying and often undisclosed grassroots activity, and these groups may be spending “at least double what’s publicly reported.”</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For example, Pharmaceutical Research and Manufacturers of America (PhRMA) has given millions to controversial “dark money” social welfare groups like the American Action Network.</w:t>
      </w:r>
      <w:r>
        <w:rPr>
          <w:rFonts w:ascii="Arial" w:cs="Arial" w:eastAsia="Arial" w:hAnsi="Arial"/>
          <w:sz w:val="21"/>
          <w:szCs w:val="21"/>
          <w:color w:val="auto"/>
          <w:vertAlign w:val="superscript"/>
        </w:rPr>
        <w:t>3</w:t>
      </w:r>
    </w:p>
    <w:p>
      <w:pPr>
        <w:spacing w:after="0" w:line="34"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Lilly chairs the board of PhRMA and belongs to the U.S. Chamber of Commerce, which together have spent over $2.1 billion on lobbying since 1998, and supports social welfare organizations that lobby, like the Alliance for Patient Access, “which claims to be pro-consumer but consistently advocates against policies to lower drug prices.”</w:t>
      </w:r>
      <w:r>
        <w:rPr>
          <w:rFonts w:ascii="Arial" w:cs="Arial" w:eastAsia="Arial" w:hAnsi="Arial"/>
          <w:sz w:val="21"/>
          <w:szCs w:val="21"/>
          <w:color w:val="auto"/>
          <w:vertAlign w:val="superscript"/>
        </w:rPr>
        <w:t>4</w:t>
      </w:r>
    </w:p>
    <w:p>
      <w:pPr>
        <w:spacing w:after="0" w:line="17" w:lineRule="exact"/>
        <w:rPr>
          <w:sz w:val="20"/>
          <w:szCs w:val="20"/>
          <w:color w:val="auto"/>
        </w:rPr>
      </w:pPr>
    </w:p>
    <w:p>
      <w:pPr>
        <w:jc w:val="both"/>
        <w:ind w:right="360"/>
        <w:spacing w:after="0" w:line="231" w:lineRule="auto"/>
        <w:rPr>
          <w:sz w:val="20"/>
          <w:szCs w:val="20"/>
          <w:color w:val="auto"/>
        </w:rPr>
      </w:pPr>
      <w:r>
        <w:rPr>
          <w:rFonts w:ascii="Arial" w:cs="Arial" w:eastAsia="Arial" w:hAnsi="Arial"/>
          <w:sz w:val="16"/>
          <w:szCs w:val="16"/>
          <w:color w:val="auto"/>
        </w:rPr>
        <w:t>We are concerned Lilly’s lack of disclosure presents reputational risk when its lobbying contradicts company public positions. For example, Lilly states it supports more affordable medicines, yet funds PhRMA’s opposition to lower prescription drug prices.</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And while Lilly opposed Indiana voter restrictions, groups have asked Lilly to cut ties with the American Legislative Exchange Council “because of its voter restriction efforts.”</w:t>
      </w:r>
      <w:r>
        <w:rPr>
          <w:rFonts w:ascii="Arial" w:cs="Arial" w:eastAsia="Arial" w:hAnsi="Arial"/>
          <w:sz w:val="21"/>
          <w:szCs w:val="21"/>
          <w:color w:val="auto"/>
          <w:vertAlign w:val="superscript"/>
        </w:rPr>
        <w:t>6</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in Opposition to the Shareholder Proposal to Publish an Annual Report Disclosing Lobbying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proposal calls for the board to publish an annual report to shareholders disclosing the company’s direct and indirect lobbying activities and expenditures to assess whether its lobbying is consistent with its expressed goals and in the best interest of shareholders.</w:t>
      </w:r>
    </w:p>
    <w:p>
      <w:pPr>
        <w:spacing w:after="0" w:line="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report requested by the proposal is unnecessary because Lilly already provides shareholders with extensive disclosures regarding the company’s direct and indirect lobbying activities and expenditures, and information necessary to assess the consistency of the company’s lobbying activities with its expressed goals through existing disclosures. Given the focus of our stakeholders on this topic, in November 2021, we substantially enhanced our disclosures with respect to Lilly’s direct and indirect lobbying activities, for example, disclosures regarding:</w:t>
      </w:r>
    </w:p>
    <w:p>
      <w:pPr>
        <w:spacing w:after="0" w:line="94" w:lineRule="exact"/>
        <w:rPr>
          <w:sz w:val="20"/>
          <w:szCs w:val="20"/>
          <w:color w:val="auto"/>
        </w:rPr>
      </w:pPr>
    </w:p>
    <w:p>
      <w:pPr>
        <w:ind w:left="620" w:hanging="288"/>
        <w:spacing w:after="0"/>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our board’s oversight of political expenditures and lobbying activities;</w:t>
      </w:r>
    </w:p>
    <w:p>
      <w:pPr>
        <w:spacing w:after="0" w:line="113" w:lineRule="exact"/>
        <w:rPr>
          <w:rFonts w:ascii="Arial" w:cs="Arial" w:eastAsia="Arial" w:hAnsi="Arial"/>
          <w:sz w:val="16"/>
          <w:szCs w:val="16"/>
          <w:color w:val="auto"/>
        </w:rPr>
      </w:pPr>
    </w:p>
    <w:p>
      <w:pPr>
        <w:ind w:left="660" w:right="320" w:hanging="328"/>
        <w:spacing w:after="0" w:line="260" w:lineRule="auto"/>
        <w:tabs>
          <w:tab w:leader="none" w:pos="62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Lilly’s political contributions to candidates for public office (directly from Lilly and through the company’s exclusively employee-led political action committee (the “LillyPAC”));</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recipients of Lilly’s political contributions;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4" w:lineRule="exact"/>
        <w:rPr>
          <w:sz w:val="20"/>
          <w:szCs w:val="20"/>
          <w:color w:val="auto"/>
        </w:rPr>
      </w:pPr>
    </w:p>
    <w:p>
      <w:pPr>
        <w:ind w:left="100" w:hanging="92"/>
        <w:spacing w:after="0"/>
        <w:tabs>
          <w:tab w:leader="none" w:pos="100" w:val="left"/>
        </w:tabs>
        <w:numPr>
          <w:ilvl w:val="0"/>
          <w:numId w:val="114"/>
        </w:numPr>
        <w:rPr>
          <w:rFonts w:ascii="Arial" w:cs="Arial" w:eastAsia="Arial" w:hAnsi="Arial"/>
          <w:sz w:val="21"/>
          <w:szCs w:val="21"/>
          <w:color w:val="auto"/>
          <w:vertAlign w:val="superscript"/>
        </w:rPr>
      </w:pPr>
      <w:r>
        <w:rPr>
          <w:rFonts w:ascii="Arial" w:cs="Arial" w:eastAsia="Arial" w:hAnsi="Arial"/>
          <w:sz w:val="13"/>
          <w:szCs w:val="13"/>
          <w:color w:val="auto"/>
        </w:rPr>
        <w:t>https://www.opensecrets.org/news/2021/04/vaccine-access-pharma-lobbying-fight/.</w:t>
      </w:r>
    </w:p>
    <w:p>
      <w:pPr>
        <w:ind w:left="100" w:hanging="92"/>
        <w:spacing w:after="0" w:line="187" w:lineRule="auto"/>
        <w:tabs>
          <w:tab w:leader="none" w:pos="100" w:val="left"/>
        </w:tabs>
        <w:numPr>
          <w:ilvl w:val="0"/>
          <w:numId w:val="115"/>
        </w:numPr>
        <w:rPr>
          <w:rFonts w:ascii="Arial" w:cs="Arial" w:eastAsia="Arial" w:hAnsi="Arial"/>
          <w:sz w:val="21"/>
          <w:szCs w:val="21"/>
          <w:color w:val="auto"/>
          <w:vertAlign w:val="superscript"/>
        </w:rPr>
      </w:pPr>
      <w:r>
        <w:rPr>
          <w:rFonts w:ascii="Arial" w:cs="Arial" w:eastAsia="Arial" w:hAnsi="Arial"/>
          <w:sz w:val="13"/>
          <w:szCs w:val="13"/>
          <w:color w:val="auto"/>
        </w:rPr>
        <w:t>https://theintercept.com/2019/08/06/business-group-spending-on-lobbying-in-washington-is-at-least-double-whats-publicly-reported/.</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3"/>
          <w:szCs w:val="13"/>
          <w:color w:val="auto"/>
        </w:rPr>
        <w:t xml:space="preserve"> https://www.opensecrets.org/news/2019/ll/big-phanna-bankrolled-conservative-groups-tax-retums-show/.</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4</w:t>
      </w:r>
      <w:r>
        <w:rPr>
          <w:rFonts w:ascii="Arial" w:cs="Arial" w:eastAsia="Arial" w:hAnsi="Arial"/>
          <w:sz w:val="13"/>
          <w:szCs w:val="13"/>
          <w:color w:val="auto"/>
        </w:rPr>
        <w:t xml:space="preserve"> https://prospect.org/power/astroturf-campaign-attacks-discount-drug-program-for-poor/.</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3"/>
          <w:szCs w:val="13"/>
          <w:color w:val="auto"/>
        </w:rPr>
        <w:t xml:space="preserve"> https://www.opensecrets.org/news/2021/09/phannaceutical-industrv-backs-democratic-holdouts-on-drug-pricing-plan/.</w:t>
      </w:r>
    </w:p>
    <w:p>
      <w:pPr>
        <w:ind w:left="100" w:hanging="92"/>
        <w:spacing w:after="0" w:line="188" w:lineRule="auto"/>
        <w:tabs>
          <w:tab w:leader="none" w:pos="100" w:val="left"/>
        </w:tabs>
        <w:numPr>
          <w:ilvl w:val="0"/>
          <w:numId w:val="116"/>
        </w:numPr>
        <w:rPr>
          <w:rFonts w:ascii="Arial" w:cs="Arial" w:eastAsia="Arial" w:hAnsi="Arial"/>
          <w:sz w:val="21"/>
          <w:szCs w:val="21"/>
          <w:color w:val="auto"/>
          <w:vertAlign w:val="superscript"/>
        </w:rPr>
      </w:pPr>
      <w:r>
        <w:rPr>
          <w:rFonts w:ascii="Arial" w:cs="Arial" w:eastAsia="Arial" w:hAnsi="Arial"/>
          <w:sz w:val="13"/>
          <w:szCs w:val="13"/>
          <w:color w:val="auto"/>
        </w:rPr>
        <w:t>https://www.thenation.com/article/politics/alec-corporations-democracv/.</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20"/>
          </w:cols>
          <w:pgMar w:left="320" w:top="843" w:right="359" w:bottom="1440" w:gutter="0" w:footer="0" w:header="0"/>
        </w:sectPr>
      </w:pPr>
    </w:p>
    <w:bookmarkStart w:id="78" w:name="page79"/>
    <w:bookmarkEnd w:id="78"/>
    <w:p>
      <w:pPr>
        <w:ind w:left="620" w:hanging="288"/>
        <w:spacing w:after="0"/>
        <w:tabs>
          <w:tab w:leader="none" w:pos="6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Lilly’s federal and state lobbying activities; and</w:t>
      </w:r>
    </w:p>
    <w:p>
      <w:pPr>
        <w:spacing w:after="0" w:line="113" w:lineRule="exact"/>
        <w:rPr>
          <w:rFonts w:ascii="Arial" w:cs="Arial" w:eastAsia="Arial" w:hAnsi="Arial"/>
          <w:sz w:val="16"/>
          <w:szCs w:val="16"/>
          <w:color w:val="auto"/>
        </w:rPr>
      </w:pPr>
    </w:p>
    <w:p>
      <w:pPr>
        <w:ind w:left="660" w:right="300" w:hanging="328"/>
        <w:spacing w:after="0" w:line="260" w:lineRule="auto"/>
        <w:tabs>
          <w:tab w:leader="none" w:pos="62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Lilly’s trade association memberships to which Lilly pays annual membership dues of $50,000 or more (including those trade associations where Lilly has a board seat).</w:t>
      </w:r>
    </w:p>
    <w:p>
      <w:pPr>
        <w:spacing w:after="0" w:line="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These extensive disclosures already enable shareholders to assess whether the company’s lobbying activities are consistent with its expressed goals and in the best interest of shareholders.</w:t>
      </w:r>
    </w:p>
    <w:p>
      <w:pPr>
        <w:spacing w:after="0" w:line="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the company already directs its public policy engagement toward offering Lilly’s perspective in a manner that supports access to innovative medicines and advocates for improvements to the U.S. healthcare system and, accordingly, Lilly’s policies and procedures relating to its engagement in political activities already seek to align the company’s lobbying activities with its expressed goals. Moreover, contrary to the proposal’s assertions, Lilly does not fund opposition to lowering prescription drug prices. Lilly does, however, oppose legislative policies that would hinder medical discovery for patients. For example, we opposed H.R. 3 because it would not only stifle innovation but there are better policy solutions to help patients with their out of pockets costs such as Medicare Part D modernization and not requiring deductibles for insulin coverage. Similarly, we have opposed the drug pricing aspects of the Build Back Better Act that would also have negative consequences to drug discovery without directly helping patients—such as Medicare negotiation. Our political expenditures, however, cover the political spectrum and reflect our approach to engaging stakeholders on various complex issues to help preserve incentives and ensure an environment conducive to finding new treatments.</w:t>
      </w:r>
    </w:p>
    <w:p>
      <w:pPr>
        <w:spacing w:after="0" w:line="124"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b w:val="1"/>
          <w:bCs w:val="1"/>
          <w:color w:val="auto"/>
        </w:rPr>
        <w:t>Lilly already publicly discloses the information requested by the proposal regarding the company’s policies and procedures governing direct and indirect lobbying activities.</w:t>
      </w:r>
    </w:p>
    <w:p>
      <w:pPr>
        <w:spacing w:after="0" w:line="2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proxy statement, the political participation page of Lilly’s website (the “Political Participation Website”), and Lilly’s corporate governance guidelines, the company discloses its extensive policies and procedures governing direct and indirect lobbying activities. For example, the Political Participation Website discloses:</w:t>
      </w:r>
    </w:p>
    <w:p>
      <w:pPr>
        <w:spacing w:after="0" w:line="93" w:lineRule="exact"/>
        <w:rPr>
          <w:sz w:val="20"/>
          <w:szCs w:val="20"/>
          <w:color w:val="auto"/>
        </w:rPr>
      </w:pPr>
    </w:p>
    <w:p>
      <w:pPr>
        <w:ind w:left="660" w:right="240" w:hanging="328"/>
        <w:spacing w:after="0" w:line="253" w:lineRule="auto"/>
        <w:tabs>
          <w:tab w:leader="none" w:pos="6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Lilly’s commitment, through public policy engagement, to provide a way for all our locations globally to offer Lilly’s perspective on the political environment in a manner that supports access to innovative medicines, as well as to look for ways to engage on issues specific to local business environments;</w:t>
      </w:r>
    </w:p>
    <w:p>
      <w:pPr>
        <w:spacing w:after="0" w:line="93" w:lineRule="exact"/>
        <w:rPr>
          <w:rFonts w:ascii="Arial" w:cs="Arial" w:eastAsia="Arial" w:hAnsi="Arial"/>
          <w:sz w:val="16"/>
          <w:szCs w:val="16"/>
          <w:color w:val="auto"/>
        </w:rPr>
      </w:pPr>
    </w:p>
    <w:p>
      <w:pPr>
        <w:ind w:left="660" w:right="500" w:hanging="328"/>
        <w:spacing w:after="0" w:line="260" w:lineRule="auto"/>
        <w:tabs>
          <w:tab w:leader="none" w:pos="6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that Lilly employees must comply with our global policies, core values and legal obligations, which are outlined in our written code of business conduct, The Red Book;</w:t>
      </w:r>
    </w:p>
    <w:p>
      <w:pPr>
        <w:spacing w:after="0" w:line="87" w:lineRule="exact"/>
        <w:rPr>
          <w:rFonts w:ascii="Arial" w:cs="Arial" w:eastAsia="Arial" w:hAnsi="Arial"/>
          <w:sz w:val="16"/>
          <w:szCs w:val="16"/>
          <w:color w:val="auto"/>
        </w:rPr>
      </w:pPr>
    </w:p>
    <w:p>
      <w:pPr>
        <w:ind w:left="660" w:right="360" w:hanging="328"/>
        <w:spacing w:after="0" w:line="253" w:lineRule="auto"/>
        <w:tabs>
          <w:tab w:leader="none" w:pos="6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that when engaging in lobbying activities Lilly complies with the laws that govern such activities, Lilly’s vice president, U.S. government affairs is responsible for overseeing these activities and the company’s general counsel and chief financial officer, or their designees, also approve all corporate political contributions before they are made; and</w:t>
      </w:r>
    </w:p>
    <w:p>
      <w:pPr>
        <w:spacing w:after="0" w:line="93" w:lineRule="exact"/>
        <w:rPr>
          <w:rFonts w:ascii="Arial" w:cs="Arial" w:eastAsia="Arial" w:hAnsi="Arial"/>
          <w:sz w:val="16"/>
          <w:szCs w:val="16"/>
          <w:color w:val="auto"/>
        </w:rPr>
      </w:pPr>
    </w:p>
    <w:p>
      <w:pPr>
        <w:ind w:left="660" w:right="80" w:hanging="328"/>
        <w:spacing w:after="0" w:line="260" w:lineRule="auto"/>
        <w:tabs>
          <w:tab w:leader="none" w:pos="6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that, where permitted, Lilly makes lawful political contributions in the United States to political candidate committees, political parties, political action committees, ballot measure committees, associations and other political organizations operating under section 527 of the Internal Revenue Code.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Lilly already publicly discloses the information requested by the proposal regarding our direct and indirect lobbying expenditures.</w:t>
      </w:r>
    </w:p>
    <w:p>
      <w:pPr>
        <w:spacing w:after="0" w:line="8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Lilly makes extensive disclosures regarding its direct and indirect lobbying expenditures in its Political Participation Website, proxy materials, the environmental, social and governance (“ESG”) page of its website, and through other publicly available disclosures regarding its political activities. The trade associations through which Lilly conducts its indirect lobbying activities (which are evaluated annually by the Company’s U.S. government affairs leaders) also publicly disclose their lobbying expenditures. As noted in the bullet points above, in November 2021, Lilly substantially enhanced its disclosures related to its direct and indirect lobbying activities, including lobbying expenditures. Lilly voluntarily discloses its corporate political contributions and expenditures on an annual basis on the Political Participation Website. The proposal also requests we disclose our grassroots lobbying communications, however, Lilly does not engage in grassroots lobbying communications to the general public. The proposal also notes that groups have asked Lilly to cut ties with the American Legislative Exchange Council (“ALEC”). Lilly is no longer a member of ALEC.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12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Lilly already publicly discloses the information requested by the proposal regarding our membership in, and payments to, any tax-exempt organizations that writes and endorses model legislation.</w:t>
      </w:r>
    </w:p>
    <w:p>
      <w:pPr>
        <w:spacing w:after="0" w:line="2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As noted above, Lilly’s Political Participation Website also contains information regarding the company’s U.S. trade association memberships for which the company pays annual dues of $50,000 or more and information regarding the percentage of dues collected by such trade associations utilized for federal and state lobbying and political expenditures. In the Political Participation Website, Lilly already discloses Lilly’s memberships in organizations that report lobbying activity to the U.S. federal government, including the Pharmaceutical Research and Manufacturers of America, the National Association of Manufacturers, the Biotechnology Innovation Organization, the U.S. Chamber of Commerce and the Business Roundtable.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843" w:right="339" w:bottom="1440" w:gutter="0" w:footer="0" w:header="0"/>
        </w:sectPr>
      </w:pPr>
    </w:p>
    <w:bookmarkStart w:id="79" w:name="page80"/>
    <w:bookmarkEnd w:id="79"/>
    <w:p>
      <w:pPr>
        <w:ind w:right="740"/>
        <w:spacing w:after="0" w:line="284" w:lineRule="auto"/>
        <w:rPr>
          <w:sz w:val="20"/>
          <w:szCs w:val="20"/>
          <w:color w:val="auto"/>
        </w:rPr>
      </w:pPr>
      <w:r>
        <w:rPr>
          <w:rFonts w:ascii="Arial" w:cs="Arial" w:eastAsia="Arial" w:hAnsi="Arial"/>
          <w:sz w:val="17"/>
          <w:szCs w:val="17"/>
          <w:b w:val="1"/>
          <w:bCs w:val="1"/>
          <w:color w:val="auto"/>
        </w:rPr>
        <w:t>Lilly already publicly discloses the information requested by the proposal regarding its decision-making process and the board’s oversight over direct and indirect lobbying activities.</w:t>
      </w:r>
    </w:p>
    <w:p>
      <w:pPr>
        <w:spacing w:after="0" w:line="2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this proxy statement and the Political Participation Website, Lilly already discloses its decision-making process and the board’s oversight over the company’s political expenditures and direct and indirect lobbying activities to ensure the company fulfills its commitment to stewardship of corporate funds and risk minimization with respect to such activities.</w:t>
      </w:r>
    </w:p>
    <w:p>
      <w:pPr>
        <w:spacing w:after="0" w:line="9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For example, the board receives regular updates from the senior vice president, corporate affairs, and communications regarding public policy issues and the company’s direct and indirect lobbying activities and receives semi-annual updates on direct and indirect lobbying activities and trade association memberships. See “Governance—Highlights of the Company’s Corporate Governance—Political and Policy Participation” for additional information.</w:t>
      </w:r>
    </w:p>
    <w:p>
      <w:pPr>
        <w:spacing w:after="0" w:line="119"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color w:val="auto"/>
        </w:rPr>
        <w:t>Requiring Lilly to prepare a separate report with this information would place an undue administrative burden on the company and would not provide meaningful additional information to shareholders.</w:t>
      </w:r>
    </w:p>
    <w:p>
      <w:pPr>
        <w:spacing w:after="0" w:line="2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We do not believe the additional disclosures contemplated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8</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16" w:lineRule="exact"/>
        <w:rPr>
          <w:sz w:val="20"/>
          <w:szCs w:val="20"/>
          <w:color w:val="auto"/>
        </w:rPr>
      </w:pPr>
    </w:p>
    <w:p>
      <w:pPr>
        <w:ind w:right="220"/>
        <w:spacing w:after="0" w:line="284" w:lineRule="auto"/>
        <w:rPr>
          <w:sz w:val="20"/>
          <w:szCs w:val="20"/>
          <w:color w:val="auto"/>
        </w:rPr>
      </w:pPr>
      <w:r>
        <w:rPr>
          <w:rFonts w:ascii="Arial" w:cs="Arial" w:eastAsia="Arial" w:hAnsi="Arial"/>
          <w:sz w:val="25"/>
          <w:szCs w:val="25"/>
          <w:b w:val="1"/>
          <w:bCs w:val="1"/>
          <w:color w:val="1A3A6C"/>
        </w:rPr>
        <w:t>Item 9. Proposal to Disclose Lobbying Activities and Alignment with Public Policy Positions and Statements</w:t>
      </w:r>
    </w:p>
    <w:p>
      <w:pPr>
        <w:ind w:right="40"/>
        <w:spacing w:after="0" w:line="260" w:lineRule="auto"/>
        <w:rPr>
          <w:sz w:val="20"/>
          <w:szCs w:val="20"/>
          <w:color w:val="auto"/>
        </w:rPr>
      </w:pPr>
      <w:r>
        <w:rPr>
          <w:rFonts w:ascii="Arial" w:cs="Arial" w:eastAsia="Arial" w:hAnsi="Arial"/>
          <w:sz w:val="16"/>
          <w:szCs w:val="16"/>
          <w:color w:val="auto"/>
        </w:rPr>
        <w:t>CommonSpirit Health, 444 West Lake Street, Chicago, IL 60606, beneficial owner of shares of our common stock having a market value in excess of $2000, has submitted the following proposal:</w:t>
      </w:r>
    </w:p>
    <w:p>
      <w:pPr>
        <w:spacing w:after="0" w:line="11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6"/>
          <w:szCs w:val="16"/>
          <w:color w:val="auto"/>
        </w:rPr>
        <w:t>: Shareholders request that the Board of Directors commission and publish a third party review within the next year (at reasonable cost, omitting</w:t>
      </w:r>
      <w:r>
        <w:rPr>
          <w:rFonts w:ascii="Arial" w:cs="Arial" w:eastAsia="Arial" w:hAnsi="Arial"/>
          <w:sz w:val="17"/>
          <w:szCs w:val="17"/>
          <w:b w:val="1"/>
          <w:bCs w:val="1"/>
          <w:color w:val="auto"/>
        </w:rPr>
        <w:t xml:space="preserve"> </w:t>
      </w:r>
      <w:r>
        <w:rPr>
          <w:rFonts w:ascii="Arial" w:cs="Arial" w:eastAsia="Arial" w:hAnsi="Arial"/>
          <w:sz w:val="16"/>
          <w:szCs w:val="16"/>
          <w:color w:val="auto"/>
        </w:rPr>
        <w:t>proprietary information) of whether Eli Lilly and Company’s (“Lilly’s”) lobbying activities (direct and through trade associations) align with Lilly’s public policy position and public statements, particularly supporting “making medicines more accessible and affordable to patients” and “fairness and transparency in the biopharma industry.”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The report should discuss how Lilly addresses the risks presented by any misaligned lobbying and its plans, if any, to mitigate these risks.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83"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Lilly’s commitment to Health Above All is in opposition to its lobbying efforts. Lilly says, “We’re dedicated to making our medicines more equitable, accessible and affordable,” and clearly states, “no one should have to ration their insulin.”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Yet, Lilly is among three insulin manufacturers explicitly called out for price collusion in a 2017 class action lawsuit.</w:t>
      </w:r>
      <w:r>
        <w:rPr>
          <w:rFonts w:ascii="Arial" w:cs="Arial" w:eastAsia="Arial" w:hAnsi="Arial"/>
          <w:sz w:val="21"/>
          <w:szCs w:val="21"/>
          <w:color w:val="auto"/>
          <w:vertAlign w:val="superscript"/>
        </w:rPr>
        <w:t>3</w:t>
      </w:r>
    </w:p>
    <w:p>
      <w:pPr>
        <w:spacing w:after="0" w:line="33"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Lilly states, “Now more than ever, it’s vitally important that we demonstrate accountability and trustworthiness so we can continue to earn the confidence of patients, healthcare providers and other customers, as well as society as a whole.” However, Lilly has directly lobbied against drug pricing reform that advances affordability,</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hiring three lobbyists in March 2021, to defeat Democratic drug pricing proposals even while Lilly was under intense scrutiny for insulin price hikes.</w:t>
      </w:r>
      <w:r>
        <w:rPr>
          <w:rFonts w:ascii="Arial" w:cs="Arial" w:eastAsia="Arial" w:hAnsi="Arial"/>
          <w:sz w:val="21"/>
          <w:szCs w:val="21"/>
          <w:color w:val="auto"/>
          <w:vertAlign w:val="superscript"/>
        </w:rPr>
        <w:t>5</w:t>
      </w:r>
    </w:p>
    <w:p>
      <w:pPr>
        <w:spacing w:after="0" w:line="34"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Lilly’s CEO Dave Ricks is now the Board Chair for Pharmaceutical Research and Manufacturers of America (“PhRMA”), which raised nearly $527 million in 2020 and spent roughly $506 million, including donating millions to numerous other organizations for use in opposing congressional drug pricing reform efforts.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PhRMA also sits on the board of the American Legislative Exchange Council, which has actively opposed H.R. 3 and its moderate counterpart S. 2534 (both 116th Congress) - bills to lower the costs of pharmaceuticals.</w:t>
      </w:r>
      <w:r>
        <w:rPr>
          <w:rFonts w:ascii="Arial" w:cs="Arial" w:eastAsia="Arial" w:hAnsi="Arial"/>
          <w:sz w:val="21"/>
          <w:szCs w:val="21"/>
          <w:color w:val="auto"/>
          <w:vertAlign w:val="superscript"/>
        </w:rPr>
        <w:t>7</w:t>
      </w:r>
    </w:p>
    <w:p>
      <w:pPr>
        <w:spacing w:after="0" w:line="34"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Lilly is the fourth largest lobbying spender ($166.2M) and the third highest campaign contributor ($13.3M) between 1999 and 2018. Lilly was among several pharmaceutical companies that gave $1.6M to lawmakers in the first half of 2021, targeting legislators who were likely to oppose drug pricing reforms in the Build Back Better Act.</w:t>
      </w:r>
      <w:r>
        <w:rPr>
          <w:rFonts w:ascii="Arial" w:cs="Arial" w:eastAsia="Arial" w:hAnsi="Arial"/>
          <w:sz w:val="21"/>
          <w:szCs w:val="21"/>
          <w:color w:val="auto"/>
          <w:vertAlign w:val="superscript"/>
        </w:rPr>
        <w:t>8</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58" w:lineRule="exact"/>
        <w:rPr>
          <w:sz w:val="20"/>
          <w:szCs w:val="20"/>
          <w:color w:val="auto"/>
        </w:rPr>
      </w:pPr>
    </w:p>
    <w:p>
      <w:pPr>
        <w:ind w:left="120" w:hanging="112"/>
        <w:spacing w:after="0"/>
        <w:tabs>
          <w:tab w:leader="none" w:pos="120" w:val="left"/>
        </w:tabs>
        <w:numPr>
          <w:ilvl w:val="0"/>
          <w:numId w:val="119"/>
        </w:numPr>
        <w:rPr>
          <w:rFonts w:ascii="Arial" w:cs="Arial" w:eastAsia="Arial" w:hAnsi="Arial"/>
          <w:sz w:val="21"/>
          <w:szCs w:val="21"/>
          <w:color w:val="auto"/>
          <w:vertAlign w:val="superscript"/>
        </w:rPr>
      </w:pPr>
      <w:r>
        <w:rPr>
          <w:rFonts w:ascii="Arial" w:cs="Arial" w:eastAsia="Arial" w:hAnsi="Arial"/>
          <w:sz w:val="13"/>
          <w:szCs w:val="13"/>
          <w:color w:val="auto"/>
        </w:rPr>
        <w:t>https://www.lilly.com/policies-reports/public-policy.</w:t>
      </w:r>
    </w:p>
    <w:p>
      <w:pPr>
        <w:spacing w:after="0" w:line="26" w:lineRule="exact"/>
        <w:rPr>
          <w:rFonts w:ascii="Arial" w:cs="Arial" w:eastAsia="Arial" w:hAnsi="Arial"/>
          <w:sz w:val="21"/>
          <w:szCs w:val="21"/>
          <w:color w:val="auto"/>
          <w:vertAlign w:val="superscript"/>
        </w:rPr>
      </w:pP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3"/>
          <w:szCs w:val="13"/>
          <w:color w:val="auto"/>
        </w:rPr>
        <w:t xml:space="preserve"> https://www.lilly.com/who-we-are/health-above-all.</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3"/>
          <w:szCs w:val="13"/>
          <w:color w:val="auto"/>
        </w:rPr>
        <w:t xml:space="preserve"> https://www.fiercepharma.com/pharma/novo-faces-new-shareholder-suit-for-alleged-collusive-price-fixing.</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4</w:t>
      </w:r>
      <w:r>
        <w:rPr>
          <w:rFonts w:ascii="Arial" w:cs="Arial" w:eastAsia="Arial" w:hAnsi="Arial"/>
          <w:sz w:val="13"/>
          <w:szCs w:val="13"/>
          <w:color w:val="auto"/>
        </w:rPr>
        <w:t xml:space="preserve"> https://www.wfyi.org/news/articles/eli-lilly-says-legislation-to-address-drug-prices-would-hurt-its-current-future-operations.</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3"/>
          <w:szCs w:val="13"/>
          <w:color w:val="auto"/>
        </w:rPr>
        <w:t xml:space="preserve"> https://www.opensecrets.org/news/2021/04/vaccine-access-pharma-lobbying-fight/.</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6</w:t>
      </w:r>
      <w:r>
        <w:rPr>
          <w:rFonts w:ascii="Arial" w:cs="Arial" w:eastAsia="Arial" w:hAnsi="Arial"/>
          <w:sz w:val="13"/>
          <w:szCs w:val="13"/>
          <w:color w:val="auto"/>
        </w:rPr>
        <w:t xml:space="preserve"> https://www.opensecrets.org/news/2020/12/pharma-lobby-poured-millions-into-darkmoney-groups/.</w:t>
      </w:r>
    </w:p>
    <w:p>
      <w:pPr>
        <w:ind w:right="3640"/>
        <w:spacing w:after="0" w:line="30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7</w:t>
      </w:r>
      <w:r>
        <w:rPr>
          <w:rFonts w:ascii="Arial" w:cs="Arial" w:eastAsia="Arial" w:hAnsi="Arial"/>
          <w:sz w:val="13"/>
          <w:szCs w:val="13"/>
          <w:color w:val="auto"/>
        </w:rPr>
        <w:t xml:space="preserve"> https://www.alecaction.org/update/20-alec-lawmakers-say-no-to-importing-price-controls-and-socialized-medicine-to-america. </w:t>
      </w:r>
      <w:r>
        <w:rPr>
          <w:rFonts w:ascii="Arial" w:cs="Arial" w:eastAsia="Arial" w:hAnsi="Arial"/>
          <w:sz w:val="21"/>
          <w:szCs w:val="21"/>
          <w:color w:val="auto"/>
          <w:vertAlign w:val="superscript"/>
        </w:rPr>
        <w:t>8</w:t>
      </w:r>
      <w:r>
        <w:rPr>
          <w:rFonts w:ascii="Arial" w:cs="Arial" w:eastAsia="Arial" w:hAnsi="Arial"/>
          <w:sz w:val="13"/>
          <w:szCs w:val="13"/>
          <w:color w:val="auto"/>
        </w:rPr>
        <w:t xml:space="preserve"> https://www.tampabay.com/news/health/2021/10/27/big-pharma-spends-big-to-block-attempts-to-control-drug-prices/.</w:t>
      </w:r>
    </w:p>
    <w:p>
      <w:pPr>
        <w:sectPr>
          <w:pgSz w:w="11900" w:h="16838" w:orient="portrait"/>
          <w:cols w:equalWidth="0" w:num="1">
            <w:col w:w="11220"/>
          </w:cols>
          <w:pgMar w:left="320" w:top="923" w:right="359" w:bottom="1440" w:gutter="0" w:footer="0" w:header="0"/>
        </w:sect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20"/>
          </w:cols>
          <w:pgMar w:left="320" w:top="923" w:right="359" w:bottom="1440" w:gutter="0" w:footer="0" w:header="0"/>
          <w:type w:val="continuous"/>
        </w:sectPr>
      </w:pPr>
    </w:p>
    <w:bookmarkStart w:id="80" w:name="page81"/>
    <w:bookmarkEnd w:id="80"/>
    <w:p>
      <w:pPr>
        <w:jc w:val="both"/>
        <w:ind w:right="120"/>
        <w:spacing w:after="0" w:line="253" w:lineRule="auto"/>
        <w:rPr>
          <w:sz w:val="20"/>
          <w:szCs w:val="20"/>
          <w:color w:val="auto"/>
        </w:rPr>
      </w:pPr>
      <w:r>
        <w:rPr>
          <w:rFonts w:ascii="Arial" w:cs="Arial" w:eastAsia="Arial" w:hAnsi="Arial"/>
          <w:sz w:val="16"/>
          <w:szCs w:val="16"/>
          <w:color w:val="auto"/>
        </w:rPr>
        <w:t>The positions Lilly adopts should not be undermined by lobbying efforts undertaken by organizations the Company supports financially. A company may not support every position taken by the trade associations to which it belongs, but proper risk management requires that the board be aware of inconsistencies and evaluate salient risks that would require mitigation.</w:t>
      </w:r>
    </w:p>
    <w:p>
      <w:pPr>
        <w:spacing w:after="0" w:line="39"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Given Lilly’s extensive direct and indirect lobbying against measures that would make drugs more affordable, we are concerned that the misalignment between Lilly’s lobbying and its stated position with regard to equity, access and affordability creates reputational risk.</w:t>
      </w:r>
      <w:r>
        <w:rPr>
          <w:rFonts w:ascii="Arial" w:cs="Arial" w:eastAsia="Arial" w:hAnsi="Arial"/>
          <w:sz w:val="21"/>
          <w:szCs w:val="21"/>
          <w:color w:val="auto"/>
          <w:vertAlign w:val="superscript"/>
        </w:rPr>
        <w:t>9</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 these reasons, we urge shareholders to support the proposal.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in Opposition to the Shareholder Proposal to Publish an Annual Report Disclosing Lobbying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proposal calls for the board to publish a report to shareholders disclosing whether the company’s lobbying activities align with its public policy positions and statements, particularly regarding Lilly’s goals of promoting access and affordability of medicines and fairness and transparency in the biopharmaceutical industry.</w:t>
      </w:r>
    </w:p>
    <w:p>
      <w:pPr>
        <w:spacing w:after="0" w:line="9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report requested by the proposal is unnecessary because Lilly already provides shareholders with sufficient information to assess the alignment of the company’s lobbying activities with its public positions and statements through existing disclosures. Given the focus of our stakeholders on this topic, in November 2021, we substantially enhanced our disclosures with respect to Lilly’s direct and indirect lobbying activities, including, without limitation, disclosures regarding:</w:t>
      </w:r>
    </w:p>
    <w:p>
      <w:pPr>
        <w:spacing w:after="0" w:line="81" w:lineRule="exact"/>
        <w:rPr>
          <w:sz w:val="20"/>
          <w:szCs w:val="20"/>
          <w:color w:val="auto"/>
        </w:rPr>
      </w:pPr>
    </w:p>
    <w:p>
      <w:pPr>
        <w:ind w:left="620" w:hanging="288"/>
        <w:spacing w:after="0"/>
        <w:tabs>
          <w:tab w:leader="none" w:pos="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board’s oversight of political expenditures and lobbying activities;</w:t>
      </w:r>
    </w:p>
    <w:p>
      <w:pPr>
        <w:spacing w:after="0" w:line="113" w:lineRule="exact"/>
        <w:rPr>
          <w:rFonts w:ascii="Arial" w:cs="Arial" w:eastAsia="Arial" w:hAnsi="Arial"/>
          <w:sz w:val="16"/>
          <w:szCs w:val="16"/>
          <w:color w:val="auto"/>
        </w:rPr>
      </w:pPr>
    </w:p>
    <w:p>
      <w:pPr>
        <w:ind w:left="660" w:right="340" w:hanging="328"/>
        <w:spacing w:after="0" w:line="260" w:lineRule="auto"/>
        <w:tabs>
          <w:tab w:leader="none" w:pos="62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Lilly’s political contributions to candidates for public office (directly from Lilly and through the company’s exclusively employee-led political action committee (the “LillyPAC”));</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recipients of Lilly’s political contributions;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Lilly’s federal and state lobbying activities; and</w:t>
      </w:r>
    </w:p>
    <w:p>
      <w:pPr>
        <w:spacing w:after="0" w:line="113" w:lineRule="exact"/>
        <w:rPr>
          <w:rFonts w:ascii="Arial" w:cs="Arial" w:eastAsia="Arial" w:hAnsi="Arial"/>
          <w:sz w:val="16"/>
          <w:szCs w:val="16"/>
          <w:color w:val="auto"/>
        </w:rPr>
      </w:pPr>
    </w:p>
    <w:p>
      <w:pPr>
        <w:ind w:left="660" w:right="300" w:hanging="328"/>
        <w:spacing w:after="0" w:line="260" w:lineRule="auto"/>
        <w:tabs>
          <w:tab w:leader="none" w:pos="62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Lilly’s trade association memberships to which Lilly pays annual membership dues of $50,000 or more (including those trade associations where Lilly has a board seat).</w:t>
      </w:r>
    </w:p>
    <w:p>
      <w:pPr>
        <w:spacing w:after="0" w:line="8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These extensive disclosures already enable shareholders to assess whether the company’s lobbying activities align with its public policy positions and statements, as well as to assess the risks presented by any potential misalignment.</w:t>
      </w:r>
    </w:p>
    <w:p>
      <w:pPr>
        <w:spacing w:after="0" w:line="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the company already directs its public policy engagement toward offering Lilly’s perspective in a manner that supports access to innovative medicines and advocates for improvements to the U.S. healthcare system and, accordingly, Lilly’s policies and procedures relating to its engagement in political activities already seek to align the company’s lobbying activities with its expressed goals. Moreover, contrary to the proposal’s assertions, Lilly does not fund opposition to lowering prescription drug prices. Lilly does, however, oppose legislative policies that would hinder medical discovery for patients. For example, we opposed H.R. 3 because it would not only stifle innovation but there are better policy solutions to help patients with their out of pockets costs such as Medicare Part D modernization and not requiring deductibles for insulin coverage. Similarly, we have opposed the drug pricing aspects of the Build Back Better Act that would also have negative consequences to drug discovery without directly helping patients—such as Medicare negotiation. Our political expenditures, however, cover the political spectrum and reflect our approach to engaging stakeholders on various complex issues to help preserve incentives and ensure an environment conducive to finding new treatments.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Lilly already publicly discloses the information requested by the proposal regarding the company’s lobbying activities.</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Lilly makes extensive disclosures regarding its lobbying activities in the political participation page of its website (the “Political Participation Website”), proxy materials, the environmental, social and governance (“ESG”) page of its website, and through other publicly available disclosures regarding its political activities. As noted in the bullet points above, in November 2021, Lilly substantially enhanced its disclosures related to its lobbying activities. In addition, Lilly voluntarily discloses its corporate political contributions on an annual basis. In addition to the public disclosures of lobbying expenditures by trade associations through which Lilly conducts its indirect lobbying activities (which are evaluated annually by the company’s U.S. government affairs leaders), Lilly’s Political Participation Website also contains information regarding the company’s trade association memberships for which the company pays annual dues of $50,000 or more, as well as information regarding the percentage of dues collected by such trade associations utilized for federal and state lobbying and political expenditures. Additional details regarding the company’s corporate contributions, LillyPAC’s contributions (which are also voluntarily disclosed on an annual basis), contribution data, and the company’s direct lobbying expenses are also already made available to the public from numerous public sources.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58" w:lineRule="exact"/>
        <w:rPr>
          <w:sz w:val="20"/>
          <w:szCs w:val="20"/>
          <w:color w:val="auto"/>
        </w:rPr>
      </w:pPr>
    </w:p>
    <w:p>
      <w:pPr>
        <w:ind w:left="120" w:hanging="112"/>
        <w:spacing w:after="0"/>
        <w:tabs>
          <w:tab w:leader="none" w:pos="120" w:val="left"/>
        </w:tabs>
        <w:numPr>
          <w:ilvl w:val="0"/>
          <w:numId w:val="121"/>
        </w:numPr>
        <w:rPr>
          <w:rFonts w:ascii="Arial" w:cs="Arial" w:eastAsia="Arial" w:hAnsi="Arial"/>
          <w:sz w:val="21"/>
          <w:szCs w:val="21"/>
          <w:color w:val="auto"/>
          <w:vertAlign w:val="superscript"/>
        </w:rPr>
      </w:pPr>
      <w:r>
        <w:rPr>
          <w:rFonts w:ascii="Arial" w:cs="Arial" w:eastAsia="Arial" w:hAnsi="Arial"/>
          <w:sz w:val="13"/>
          <w:szCs w:val="13"/>
          <w:color w:val="auto"/>
        </w:rPr>
        <w:t>https://www.opensecrets.org/orgs/eli-lilly-co/lobbying?id=d000000166</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005" w:right="339" w:bottom="1440" w:gutter="0" w:footer="0" w:header="0"/>
        </w:sectPr>
      </w:pPr>
    </w:p>
    <w:bookmarkStart w:id="81" w:name="page82"/>
    <w:bookmarkEnd w:id="81"/>
    <w:p>
      <w:pPr>
        <w:spacing w:after="0" w:line="284" w:lineRule="auto"/>
        <w:rPr>
          <w:sz w:val="20"/>
          <w:szCs w:val="20"/>
          <w:color w:val="auto"/>
        </w:rPr>
      </w:pPr>
      <w:r>
        <w:rPr>
          <w:rFonts w:ascii="Arial" w:cs="Arial" w:eastAsia="Arial" w:hAnsi="Arial"/>
          <w:sz w:val="17"/>
          <w:szCs w:val="17"/>
          <w:b w:val="1"/>
          <w:bCs w:val="1"/>
          <w:color w:val="auto"/>
        </w:rPr>
        <w:t>Lilly already publicly discloses the information requested by the proposal regarding its public policy positions and statements with regard to accessibility and affordability and fairness and transparency.</w:t>
      </w:r>
    </w:p>
    <w:p>
      <w:pPr>
        <w:spacing w:after="0" w:line="2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this proxy statement, the Political Participation Website and Lilly’s public policy website, the company discloses its public policy positions regarding accessibility and affordability as well as fairness and transparency in the biopharmaceutical industry. These disclosures include Lilly’s commitment to advocate for improvements to the U.S. health care system that align with the company’s core principles of: (1) encouraging and protecting innovation; (2) fairness and transparency in the biopharmaceutical industry and all of health care; and (3) lowering costs at the pharmacy counter for patients who use our medicine. Lilly’s lobbying activities are aligned with these public policy positions and our actions also clearly demonstrate this alignment. For example, Lilly advocates for insurers to pass through its negotiated rebates directly to consumers at the pharmacy counter and is supportive of efforts to exempt health care services for chronic conditions from a health insurance plan’s deductible. On the ESG page of its website, Lilly also discloses its support for various transparency initiatives globally, and the company seeks to collaborate with policy makers, industry colleagues and key stakeholders to align on approaches that achieve these objectives. As demonstrations of delivering on its commitment to its public policy positions regarding drug pricing and access, Lilly introduced two additional lower-priced versions of Humalog in January 2020 and added the Lilly Insulin Value Program to Lilly’s comprehensive suite of insulin affordability solutions in September 2020, which now enables customers with commercial insurance or no insurance to purchase their monthly prescription of all Lilly insulins for $35. In addition, in September 2021, Lilly announced that it would lower the list price of all Lilly’s non-branded insulins, including Insulin Lispro Injection, by an additional 40% in the U.S. That price reduction took effect January 1, 2022, effectively reducing the list price to 2008 levels. These examples, among others, demonstrate Lilly’s commitment to providing effective oversight over drug pricing and access.</w:t>
      </w:r>
    </w:p>
    <w:p>
      <w:pPr>
        <w:spacing w:after="0" w:line="129"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color w:val="auto"/>
        </w:rPr>
        <w:t>Lilly already publicly discloses the information requested by the proposal regarding its oversight and plans to mitigate alleged risks presented by any misaligned lobbying activities.</w:t>
      </w:r>
    </w:p>
    <w:p>
      <w:pPr>
        <w:spacing w:after="0" w:line="2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this proxy statement and the Political Participation Website, Lilly already discloses its governance and risk mitigation procedures that are in place to avoid and address any misalignment between Lilly’s lobbying activities and its public policy positions and statements.</w:t>
      </w:r>
    </w:p>
    <w:p>
      <w:pPr>
        <w:spacing w:after="0" w:line="87"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For example, the board exercises oversight of Lilly’s political expenditures and lobbying activities to ensure the company fulfills its commitment to stewardship of corporate funds and risk minimization with respect to such activities. The board receives regular updates from the senior vice president, corporate affairs, and communications regarding public policy issues and the company’s direct and indirect lobbying activities and receives semi-annual updates on direct and indirect lobbying activities and trade association memberships.</w:t>
      </w:r>
    </w:p>
    <w:p>
      <w:pPr>
        <w:spacing w:after="0" w:line="9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Therefore, the board already takes steps to oversee and mitigate the potential risks of misalignment between Lilly’s lobbying activities and public policy positions and statements.</w:t>
      </w:r>
    </w:p>
    <w:p>
      <w:pPr>
        <w:spacing w:after="0" w:line="113"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color w:val="auto"/>
        </w:rPr>
        <w:t>Requiring Lilly to prepare a separate report with this information would place an undue administrative burden on the company and would not provide meaningful additional information to shareholders.</w:t>
      </w:r>
    </w:p>
    <w:p>
      <w:pPr>
        <w:spacing w:after="0" w:line="24"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We do not believe the additional disclosures contemplated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69"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9</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1A3A6C"/>
        </w:rPr>
        <w:t>Item 10. Proposal to Report Oversight of Risks Related to Anticompetitive Pricing Strategies</w:t>
      </w:r>
    </w:p>
    <w:p>
      <w:pPr>
        <w:spacing w:after="0" w:line="9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Trinity Health, 766 Brady Avenue, Apt. #635, Bronx, New York 10462, beneficial owner of shares of our common stock having a market value in excess of $2000, has submitted the following proposal:</w:t>
      </w:r>
    </w:p>
    <w:p>
      <w:pPr>
        <w:spacing w:after="0" w:line="33"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RESOLVED that shareholders of Eli Lilly and Company (“Eli Lilly”) ask the board of directors to report to shareholders on how it oversees risks related to anticompetitive practices, including whether the full board or board committee has oversight responsibility, whether and how consideration of such risks is incorporated into board deliberations regarding strategy, and the board’s role in Eli Lilly’ s public policy activities related to such risks. The report should be prepared at reasonable expense and should omit confidential or proprietary information, as well as information about existing litigation and claims of which Eli Lilly has notice.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923" w:right="339" w:bottom="1440" w:gutter="0" w:footer="0" w:header="0"/>
        </w:sectPr>
      </w:pPr>
    </w:p>
    <w:bookmarkStart w:id="82" w:name="page83"/>
    <w:bookmarkEnd w:id="82"/>
    <w:p>
      <w:pPr>
        <w:ind w:left="3240"/>
        <w:spacing w:after="0"/>
        <w:rPr>
          <w:sz w:val="20"/>
          <w:szCs w:val="20"/>
          <w:color w:val="auto"/>
        </w:rPr>
      </w:pPr>
      <w:r>
        <w:rPr>
          <w:rFonts w:ascii="Arial" w:cs="Arial" w:eastAsia="Arial" w:hAnsi="Arial"/>
          <w:sz w:val="17"/>
          <w:szCs w:val="17"/>
          <w:b w:val="1"/>
          <w:bCs w:val="1"/>
          <w:color w:val="auto"/>
        </w:rPr>
        <w:t>SUPPORTING STATEMENT</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anticompetitive practices of companies within the pharmaceutical supply chain, including insulin manufacturers such as Eli Lilly, are receiving increasing scrutiny from the public, regulators, and enforcers. The criticism of Eli Lilly has focused on the company’s insulin pricing strategy, which has resulted in massive price hikes for everyday consumers.</w:t>
      </w:r>
      <w:r>
        <w:rPr>
          <w:rFonts w:ascii="Arial" w:cs="Arial" w:eastAsia="Arial" w:hAnsi="Arial"/>
          <w:sz w:val="21"/>
          <w:szCs w:val="21"/>
          <w:color w:val="auto"/>
          <w:vertAlign w:val="superscript"/>
        </w:rPr>
        <w:t>1</w:t>
      </w:r>
    </w:p>
    <w:p>
      <w:pPr>
        <w:spacing w:after="0" w:line="17"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response, regulators and legislators have increasingly focused on the pricing strategies of insulin manufacturers. In early 2021, the Senate Finance Committee issued a Staff Report on the rising cost of insulin, noting that Eli Lilly’s Humalog 50-50 Kwikpen had seen a 64% price increase between 2013 and 2017, and that insulin manufacturers had “aggressively raised the [wholesale acquisition cost] of their insulin products absent significant advances in the efficacy of the drugs.”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Additionally, in response to high insulin prices, eight states (CO, IL, ME, NM, NY, UT, WA, WV) have capped the price of insulin within their jurisdiction and others are considering adopting similar policies.</w:t>
      </w:r>
      <w:r>
        <w:rPr>
          <w:rFonts w:ascii="Arial" w:cs="Arial" w:eastAsia="Arial" w:hAnsi="Arial"/>
          <w:sz w:val="21"/>
          <w:szCs w:val="21"/>
          <w:color w:val="auto"/>
          <w:vertAlign w:val="superscript"/>
        </w:rPr>
        <w:t>3</w:t>
      </w:r>
    </w:p>
    <w:p>
      <w:pPr>
        <w:spacing w:after="0" w:line="35" w:lineRule="exact"/>
        <w:rPr>
          <w:sz w:val="20"/>
          <w:szCs w:val="20"/>
          <w:color w:val="auto"/>
        </w:rPr>
      </w:pPr>
    </w:p>
    <w:p>
      <w:pPr>
        <w:ind w:right="140"/>
        <w:spacing w:after="0" w:line="224" w:lineRule="auto"/>
        <w:rPr>
          <w:sz w:val="20"/>
          <w:szCs w:val="20"/>
          <w:color w:val="auto"/>
        </w:rPr>
      </w:pPr>
      <w:r>
        <w:rPr>
          <w:rFonts w:ascii="Arial" w:cs="Arial" w:eastAsia="Arial" w:hAnsi="Arial"/>
          <w:sz w:val="16"/>
          <w:szCs w:val="16"/>
          <w:color w:val="auto"/>
        </w:rPr>
        <w:t xml:space="preserve">Separately, the company is facing a multitude of lawsuits around the pricing of its insulin products, including claims from various state attorney generals, class action lawsuits, and other market participants. </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The allegations include claims that Eli Lilly violated both state and federal RICO statutes, was unjustly enriched, and violated various state level consumer protection laws.</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The number and magnitude of lawsuits continues to mount, with the Mississippi Attorney General recently filing a lawsuit against Eli Lilly, alleging that the company colluded with other insulin manufacturers and pharmacy benefit managers to artificially keep insulin prices high:</w:t>
      </w:r>
      <w:r>
        <w:rPr>
          <w:rFonts w:ascii="Arial" w:cs="Arial" w:eastAsia="Arial" w:hAnsi="Arial"/>
          <w:sz w:val="21"/>
          <w:szCs w:val="21"/>
          <w:color w:val="auto"/>
          <w:vertAlign w:val="superscript"/>
        </w:rPr>
        <w:t>6</w:t>
      </w:r>
    </w:p>
    <w:p>
      <w:pPr>
        <w:spacing w:after="0" w:line="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Eli Lilly’s pricing strategies and the resulting mounting pressure on the company increase the likelihood of new regulation, increase risk for investors, and have a substantial impact on the public at large. Given the widespread concern and rapidly changing environment the company finds itself in, we believe that robust board oversight would improve Eli Lilly’s management of the risks related to its anticompetitive practices and that shareholders would benefit from more information about the board’s role.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Therefore, we urge Eli Lilly shareholders to vote FOR this proposal.</w:t>
      </w:r>
    </w:p>
    <w:p>
      <w:pPr>
        <w:spacing w:after="0" w:line="192"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b w:val="1"/>
          <w:bCs w:val="1"/>
          <w:color w:val="auto"/>
        </w:rPr>
        <w:t>Statement in Opposition to the Shareholder Proposal to Report Oversight of Risks Related to Anticompetitive Pricing Strategies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board, after review by its Directors and Corporate Governance Committee, recommends a vote against this proposal.</w:t>
      </w:r>
    </w:p>
    <w:p>
      <w:pPr>
        <w:spacing w:after="0" w:line="113" w:lineRule="exact"/>
        <w:rPr>
          <w:sz w:val="20"/>
          <w:szCs w:val="20"/>
          <w:color w:val="auto"/>
        </w:rPr>
      </w:pPr>
    </w:p>
    <w:p>
      <w:pPr>
        <w:jc w:val="both"/>
        <w:ind w:right="520"/>
        <w:spacing w:after="0" w:line="260" w:lineRule="auto"/>
        <w:rPr>
          <w:sz w:val="20"/>
          <w:szCs w:val="20"/>
          <w:color w:val="auto"/>
        </w:rPr>
      </w:pPr>
      <w:r>
        <w:rPr>
          <w:rFonts w:ascii="Arial" w:cs="Arial" w:eastAsia="Arial" w:hAnsi="Arial"/>
          <w:sz w:val="16"/>
          <w:szCs w:val="16"/>
          <w:color w:val="auto"/>
        </w:rPr>
        <w:t>The proposal calls for the board to produce a report on how it oversees risks from alleged anticompetitive practices. The supporting statement makes reference to, among other things, competition-related lawsuits and regulatory investigations that relate to the pricing of insulin from several years ago.</w:t>
      </w:r>
    </w:p>
    <w:p>
      <w:pPr>
        <w:spacing w:after="0" w:line="8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proposal is unnecessary because Lilly already provides shareholders information that can be used to assess the board’s oversight over risks from alleged anticompetitive practices, including relating to the pricing of its medicines. This proxy statement and the company’s environmental, social and governance (“ESG”) page of its website include extensive disclosures describing how the board actively oversees and approves Lilly’s strategy, approves significant management initiatives, and structures its board and board committee agendas to engage directors in informed reviews of strategic and forward-looking issues, and Lilly’s independent directors are deeply engaged in overseeing Lilly’s approach to drug pricing and access.</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These materials disclose that under the active oversight from the board and its committees, Lilly devotes substantial time and resources to implementing industry-leading initiatives in furtherance of insulin affordability. While the proposal attempts to articulate alleged anticompetitive risks by relying on “wholesale acquisition cost” data from 2017, the fact is that through numerous affordability solutions, combined with insurance coverage, Lilly has lowered the average monthly out-of-pocket cost for a prescription of Lilly insulin (regardless of the number of vials or pens) by 42% since 2017, to $22.59. Today, with various affordability options now available, anyone is eligible to purchase their monthly prescription of Lilly insulin for $35, whether they are uninsured, use commercial insurance, or are enrolled in a participating Medicare Part D plan.</w:t>
      </w:r>
    </w:p>
    <w:p>
      <w:pPr>
        <w:spacing w:after="0" w:line="12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color w:val="auto"/>
        </w:rPr>
        <w:t>In the 2021 10-K, this proxy statement and board committee charters, we already publicly disclose risks regarding regulatory and pricing strategy and the mechanisms by which the board and its committees actively oversee such risks.</w:t>
      </w:r>
    </w:p>
    <w:p>
      <w:pPr>
        <w:spacing w:after="0" w:line="2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our 2021 10-K, we already disclose that there continues to be considerable public and government scrutiny of pharmaceutical pricing, and that measures to address the perceived high cost of pharmaceuticals are being considered at</w:t>
      </w:r>
    </w:p>
    <w:p>
      <w:pPr>
        <w:spacing w:after="0" w:line="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various levels of state and federal government. Our risk factors address drug pricing risk, noting that public and private payers continue to take steps to control expenditures for pharmaceuticals by placing restrictions on pricing and reimbursement for, and patient access to, our medications.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w:t>
      </w:r>
    </w:p>
    <w:p>
      <w:pPr>
        <w:spacing w:after="0" w:line="4" w:lineRule="exact"/>
        <w:rPr>
          <w:sz w:val="20"/>
          <w:szCs w:val="20"/>
          <w:color w:val="auto"/>
        </w:rPr>
      </w:pPr>
    </w:p>
    <w:p>
      <w:pPr>
        <w:ind w:left="120" w:hanging="112"/>
        <w:spacing w:after="0"/>
        <w:tabs>
          <w:tab w:leader="none" w:pos="120" w:val="left"/>
        </w:tabs>
        <w:numPr>
          <w:ilvl w:val="0"/>
          <w:numId w:val="122"/>
        </w:numPr>
        <w:rPr>
          <w:rFonts w:ascii="Arial" w:cs="Arial" w:eastAsia="Arial" w:hAnsi="Arial"/>
          <w:sz w:val="21"/>
          <w:szCs w:val="21"/>
          <w:color w:val="auto"/>
          <w:vertAlign w:val="superscript"/>
        </w:rPr>
      </w:pPr>
      <w:r>
        <w:rPr>
          <w:rFonts w:ascii="Arial" w:cs="Arial" w:eastAsia="Arial" w:hAnsi="Arial"/>
          <w:sz w:val="13"/>
          <w:szCs w:val="13"/>
          <w:color w:val="auto"/>
        </w:rPr>
        <w:t>https://www.finance.senate.gov/imo/media/doc/Grassley-Wyden%20lnsulin%20Report%20(FINAL%201).pdf.</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3"/>
          <w:szCs w:val="13"/>
          <w:i w:val="1"/>
          <w:iCs w:val="1"/>
          <w:color w:val="auto"/>
        </w:rPr>
        <w:t xml:space="preserve"> Id.</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3"/>
          <w:szCs w:val="13"/>
          <w:color w:val="auto"/>
        </w:rPr>
        <w:t xml:space="preserve"> https://www.nbcnews.com/news/us-news/states-are-trying-cap-price-insulin-pharmaceutical-companies-arepushing-n1236766</w:t>
      </w:r>
    </w:p>
    <w:p>
      <w:pPr>
        <w:ind w:right="3100"/>
        <w:spacing w:after="0" w:line="23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4</w:t>
      </w:r>
      <w:r>
        <w:rPr>
          <w:rFonts w:ascii="Arial" w:cs="Arial" w:eastAsia="Arial" w:hAnsi="Arial"/>
          <w:sz w:val="13"/>
          <w:szCs w:val="13"/>
          <w:color w:val="auto"/>
        </w:rPr>
        <w:t xml:space="preserve"> See Eli Lilly and Company 2020 Form 10-K, at 108-109 (https://investor.lilly.com/static-files/e724cf2c-3a2e-4180-beaf-944ecd588323). </w:t>
      </w:r>
      <w:r>
        <w:rPr>
          <w:rFonts w:ascii="Arial" w:cs="Arial" w:eastAsia="Arial" w:hAnsi="Arial"/>
          <w:sz w:val="21"/>
          <w:szCs w:val="21"/>
          <w:color w:val="auto"/>
          <w:vertAlign w:val="superscript"/>
        </w:rPr>
        <w:t>5</w:t>
      </w:r>
      <w:r>
        <w:rPr>
          <w:rFonts w:ascii="Arial" w:cs="Arial" w:eastAsia="Arial" w:hAnsi="Arial"/>
          <w:sz w:val="13"/>
          <w:szCs w:val="13"/>
          <w:i w:val="1"/>
          <w:iCs w:val="1"/>
          <w:color w:val="auto"/>
        </w:rPr>
        <w:t xml:space="preserve"> Id.</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6</w:t>
      </w:r>
      <w:r>
        <w:rPr>
          <w:rFonts w:ascii="Arial" w:cs="Arial" w:eastAsia="Arial" w:hAnsi="Arial"/>
          <w:sz w:val="13"/>
          <w:szCs w:val="13"/>
          <w:color w:val="auto"/>
        </w:rPr>
        <w:t xml:space="preserve"> https://seekingalpha.com/news/3706905-eli-lilly-sanofi-and-novo-nordisk-sued-over-insulin-prices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923" w:right="359" w:bottom="1440" w:gutter="0" w:footer="0" w:header="0"/>
        </w:sectPr>
      </w:pPr>
    </w:p>
    <w:bookmarkStart w:id="83" w:name="page84"/>
    <w:bookmarkEnd w:id="83"/>
    <w:p>
      <w:pPr>
        <w:ind w:right="60"/>
        <w:spacing w:after="0" w:line="250" w:lineRule="auto"/>
        <w:rPr>
          <w:sz w:val="20"/>
          <w:szCs w:val="20"/>
          <w:color w:val="auto"/>
        </w:rPr>
      </w:pPr>
      <w:r>
        <w:rPr>
          <w:rFonts w:ascii="Arial" w:cs="Arial" w:eastAsia="Arial" w:hAnsi="Arial"/>
          <w:sz w:val="16"/>
          <w:szCs w:val="16"/>
          <w:color w:val="auto"/>
        </w:rPr>
        <w:t>We already disclose to shareholders the mechanisms by which the board oversees such risks in this proxy statement and in our committee charters, which we make publicly available on our website. This proxy statement includes extensive information about how our independent directors are deeply engaged in key matters important to Lilly and our stakeholders, including oversight over the company’s approach to drug pricing and access. For example, the full board oversees the state of our compliance program and reviews key enterprise-level risks, and the Audit Committee oversees enterprise risk management processes and procedures.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charter charges the Audit Committee with monitoring legal and regulatory requirements, Lilly’s compliance with legal and regulatory requirements and processes and procedures to identify and mitigate enterprise-level risks. The Ethics and Compliance Committee charter charges the Ethics and Compliance Committee with reviewing, identifying and, when appropriate, bringing to the board’s attention legal and regulatory trends and issues. The Ethics and Compliance Committee meets at least four times a year, including semi-annual private sessions with the company’s chief ethics and compliance officer, general auditor, and senior vice president, global quality. On an annual basis, the full board reviews the company’s overall state of compliance and the Ethics and Compliance Committee receives an update on compliance at each meeting. In addition, the Audit Committee and the Ethics and Compliance Committee meet jointly at least annually to review significant legal or regulatory compliance exposure and material reports or inquiries from regulators. Guided by this active oversight and as described in the next section, Lilly provides sufficient information to shareholders to assess that the company has already taken numerous industry-leading initiatives to promote drug affordability and access.</w:t>
      </w:r>
    </w:p>
    <w:p>
      <w:pPr>
        <w:spacing w:after="0" w:line="124"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b w:val="1"/>
          <w:bCs w:val="1"/>
          <w:color w:val="auto"/>
        </w:rPr>
        <w:t>In this proxy statement and on the ESG page of our website, we already disclose how the board incorporates pricing decisions into its strategic considerations designed in furtherance of medicine accessibility.</w:t>
      </w:r>
    </w:p>
    <w:p>
      <w:pPr>
        <w:spacing w:after="0" w:line="2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This proxy statement discloses that the board actively oversees our corporate strategy and provides that each year the board and executive management closely examine the company’s strategy, including key risks and decisions facing the company.</w:t>
      </w:r>
    </w:p>
    <w:p>
      <w:pPr>
        <w:spacing w:after="0" w:line="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ESG page of our website describes that Lilly aims to strike a balance between access and affordability for patients while sustaining investments in life-changing treatments for some of today’s most serious diseases. When making pricing decisions, we use a value-based approach, taking into account the following:</w:t>
      </w:r>
    </w:p>
    <w:p>
      <w:pPr>
        <w:spacing w:after="0" w:line="73" w:lineRule="exact"/>
        <w:rPr>
          <w:sz w:val="20"/>
          <w:szCs w:val="20"/>
          <w:color w:val="auto"/>
        </w:rPr>
      </w:pPr>
    </w:p>
    <w:p>
      <w:pPr>
        <w:ind w:left="660" w:right="700" w:hanging="328"/>
        <w:spacing w:after="0" w:line="286" w:lineRule="auto"/>
        <w:tabs>
          <w:tab w:leader="none" w:pos="622"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Customer perspective </w:t>
      </w:r>
      <w:r>
        <w:rPr>
          <w:rFonts w:ascii="Arial" w:cs="Arial" w:eastAsia="Arial" w:hAnsi="Arial"/>
          <w:sz w:val="16"/>
          <w:szCs w:val="16"/>
          <w:color w:val="auto"/>
        </w:rPr>
        <w:t>– The unmet needs that medicines can fulfill for patients and caregivers and how people can affordably access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w:t>
      </w:r>
    </w:p>
    <w:p>
      <w:pPr>
        <w:spacing w:after="0" w:line="47" w:lineRule="exact"/>
        <w:rPr>
          <w:rFonts w:ascii="Arial" w:cs="Arial" w:eastAsia="Arial" w:hAnsi="Arial"/>
          <w:sz w:val="16"/>
          <w:szCs w:val="16"/>
          <w:color w:val="auto"/>
        </w:rPr>
      </w:pPr>
    </w:p>
    <w:p>
      <w:pPr>
        <w:ind w:left="660" w:right="300" w:hanging="328"/>
        <w:spacing w:after="0" w:line="286" w:lineRule="auto"/>
        <w:tabs>
          <w:tab w:leader="none" w:pos="622"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Company considerations </w:t>
      </w:r>
      <w:r>
        <w:rPr>
          <w:rFonts w:ascii="Arial" w:cs="Arial" w:eastAsia="Arial" w:hAnsi="Arial"/>
          <w:sz w:val="16"/>
          <w:szCs w:val="16"/>
          <w:color w:val="auto"/>
        </w:rPr>
        <w:t>– The costs of research, development, manufacturing and support services for customers; business trends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factors; as well as the medicine’s potential market size, patent life and place within our larger portfolio of medicines;</w:t>
      </w:r>
    </w:p>
    <w:p>
      <w:pPr>
        <w:spacing w:after="0" w:line="47" w:lineRule="exact"/>
        <w:rPr>
          <w:rFonts w:ascii="Arial" w:cs="Arial" w:eastAsia="Arial" w:hAnsi="Arial"/>
          <w:sz w:val="16"/>
          <w:szCs w:val="16"/>
          <w:color w:val="auto"/>
        </w:rPr>
      </w:pPr>
    </w:p>
    <w:p>
      <w:pPr>
        <w:ind w:left="660" w:right="520" w:hanging="328"/>
        <w:spacing w:after="0" w:line="286" w:lineRule="auto"/>
        <w:tabs>
          <w:tab w:leader="none" w:pos="622"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Competitive landscape </w:t>
      </w:r>
      <w:r>
        <w:rPr>
          <w:rFonts w:ascii="Arial" w:cs="Arial" w:eastAsia="Arial" w:hAnsi="Arial"/>
          <w:sz w:val="16"/>
          <w:szCs w:val="16"/>
          <w:color w:val="auto"/>
        </w:rPr>
        <w:t>– The benefits of our medicine compared to alternative medicines, where our medicine fits in treating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contracts between payers and our competitors;</w:t>
      </w:r>
    </w:p>
    <w:p>
      <w:pPr>
        <w:spacing w:after="0" w:line="47" w:lineRule="exact"/>
        <w:rPr>
          <w:rFonts w:ascii="Arial" w:cs="Arial" w:eastAsia="Arial" w:hAnsi="Arial"/>
          <w:sz w:val="16"/>
          <w:szCs w:val="16"/>
          <w:color w:val="auto"/>
        </w:rPr>
      </w:pPr>
    </w:p>
    <w:p>
      <w:pPr>
        <w:ind w:left="620" w:hanging="288"/>
        <w:spacing w:after="0"/>
        <w:tabs>
          <w:tab w:leader="none" w:pos="620"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Other external factors </w:t>
      </w:r>
      <w:r>
        <w:rPr>
          <w:rFonts w:ascii="Arial" w:cs="Arial" w:eastAsia="Arial" w:hAnsi="Arial"/>
          <w:sz w:val="16"/>
          <w:szCs w:val="16"/>
          <w:color w:val="auto"/>
        </w:rPr>
        <w:t>– Such as health system changes and policy guidelines.</w:t>
      </w:r>
    </w:p>
    <w:p>
      <w:pPr>
        <w:spacing w:after="0" w:line="13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described in this proxy statement, under the active oversight of the board, we have taken substantial actions to address drug pricing and access concerns. For example, Lilly introduced two additional lower-priced versions of Humalog in January 2020 and added the Lilly Insulin Value Program to Lilly’s comprehensive suite of insulin affordability solutions in September 2020, which now enables customers with commercial insurance or no insurance to purchase their monthly prescription of all Lilly insulins for $35. In addition, in September 2021, Lilly announced that it would lower the list price of all Lilly’s non-branded insulins, including Insulin Lispro Injection, by an additional 40% in the U.S. That price reduction took effect January 1, 2022, effectively reducing the list price to 2008 levels. These examples, among others, demonstrate Lilly’s commitment to providing effective oversight over drug pricing and access.</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for the last five years Lilly has published on the company’s website U.S. list price increases and net price decreases for certain Lilly products, as well as specific additional data for Humalog and Insulin Lispro. Our board approved this measure five years ago and Lilly was among the first companies to provide this information. In addition to other actions that actually lower the price of our drugs, such as those referenced above, we routinely disclose our drug price changes, in some cases several months in advance, to stakeholders and multiple state and federal agencies.</w:t>
      </w:r>
    </w:p>
    <w:p>
      <w:pPr>
        <w:spacing w:after="0" w:line="120"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b w:val="1"/>
          <w:bCs w:val="1"/>
          <w:color w:val="auto"/>
        </w:rPr>
        <w:t>The board’s role in public policy assessments is disclosed on the Political Participation Website, stating our approach to overseeing current and emerging environmental, social, political and governance trends and public policy issues that may affect business operations, including overseeing political activities.</w:t>
      </w:r>
    </w:p>
    <w:p>
      <w:pPr>
        <w:spacing w:after="0" w:line="4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As noted in this proxy statement and the Political Participation Website, as a biopharmaceutical company that develops treatments for serious diseases, we believe it is important for our company to be a responsible participant in global political and public policy debates. Our engagement in the political arena helps ensure that patients have access to needed medicines. Through public policy engagement, we provide a way for all our locations globally to offer Lilly’s perspective on the political environment in a manner that supports access to innovative medicines and a way to engage on issues specific to local business environments.</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Political Participation Website describes that the board exercises governance oversight of our political expenditures and lobbying activities ensuring our commitment to stewardship of corporate funds and risk minimization with respect to such activities. As discussed in the Political Participation Website, the board receives regular updates from our senior vice president, corporate affairs and communications regarding public policy issues and the company’s direct and indirect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843" w:right="339" w:bottom="1440" w:gutter="0" w:footer="0" w:header="0"/>
        </w:sectPr>
      </w:pPr>
    </w:p>
    <w:bookmarkStart w:id="84" w:name="page85"/>
    <w:bookmarkEnd w:id="84"/>
    <w:p>
      <w:pPr>
        <w:ind w:right="40"/>
        <w:spacing w:after="0" w:line="250" w:lineRule="auto"/>
        <w:rPr>
          <w:sz w:val="20"/>
          <w:szCs w:val="20"/>
          <w:color w:val="auto"/>
        </w:rPr>
      </w:pPr>
      <w:r>
        <w:rPr>
          <w:rFonts w:ascii="Arial" w:cs="Arial" w:eastAsia="Arial" w:hAnsi="Arial"/>
          <w:sz w:val="16"/>
          <w:szCs w:val="16"/>
          <w:color w:val="auto"/>
        </w:rPr>
        <w:t>lobbying activities and receives semi-annual updates on political engagement, including information on the contributions made by our exclusively employee-led political action committee (LillyPAC) and the company, as well as trade association memberships. Lilly’s vice president, U.S. government affairs reviews and approves all corporate political contributions to ensure these contributions are consistent with the company’s guidelines and in accordance with applicable laws. Our general counsel and our chief financial officer, or their designees, also approve all corporate political contributions before they are made.</w:t>
      </w:r>
    </w:p>
    <w:p>
      <w:pPr>
        <w:spacing w:after="0" w:line="2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Therefore, the board already takes steps to oversee and mitigate the potential risks of public policy issues that may affect our business operations, including overseeing political activities.</w:t>
      </w:r>
    </w:p>
    <w:p>
      <w:pPr>
        <w:spacing w:after="0" w:line="11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Requiring Lilly to prepare a separate report with this information would place an undue administrative burden on the company and would not provide meaningful additional information to shareholders.</w:t>
      </w:r>
    </w:p>
    <w:p>
      <w:pPr>
        <w:spacing w:after="0" w:line="2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do not believe the additional disclosures contemplated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Board Recommendation on Item 10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7"/>
          <w:szCs w:val="17"/>
          <w:b w:val="1"/>
          <w:bCs w:val="1"/>
          <w:color w:val="auto"/>
        </w:rPr>
        <w:t>AGAINST</w:t>
      </w:r>
      <w:r>
        <w:rPr>
          <w:rFonts w:ascii="Arial" w:cs="Arial" w:eastAsia="Arial" w:hAnsi="Arial"/>
          <w:sz w:val="16"/>
          <w:szCs w:val="16"/>
          <w:color w:val="auto"/>
        </w:rPr>
        <w:t xml:space="preserve"> this proposal.</w:t>
      </w: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b w:val="1"/>
          <w:bCs w:val="1"/>
          <w:color w:val="EF3729"/>
        </w:rPr>
        <w:t>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Meeting and Voting Logistics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Items of Business</w:t>
      </w:r>
    </w:p>
    <w:p>
      <w:pPr>
        <w:spacing w:after="0" w:line="8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8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Shareholders as of the close of business on February 22, 2022 (the record date), may vote or have their shares voted at the Annual Meeting. You have one vote for each share of common stock you held on the record date, including shares:</w:t>
      </w:r>
    </w:p>
    <w:p>
      <w:pPr>
        <w:spacing w:after="0" w:line="87" w:lineRule="exact"/>
        <w:rPr>
          <w:sz w:val="20"/>
          <w:szCs w:val="20"/>
          <w:color w:val="auto"/>
        </w:rPr>
      </w:pPr>
    </w:p>
    <w:p>
      <w:pPr>
        <w:ind w:left="300" w:hanging="130"/>
        <w:spacing w:after="0"/>
        <w:tabs>
          <w:tab w:leader="none" w:pos="3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held directly in your name as the shareholder of record;</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held for you in an account with a broker, bank, or other nominee; and</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attributed to your account in the company's 401(k) Plan.</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encourage you to vote by mail, by telephone, or online even if you plan to attend the Annual Meeting. Shareholders who hold their shares in the 401(k) Plan must vote by April 27, 2022, so the plan trustee can vote their shares accordingly. See "—Voting Shares Held in the Company 401(k) Plan"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Vote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Below are the vote requirements for the various proposals:</w:t>
      </w:r>
    </w:p>
    <w:p>
      <w:pPr>
        <w:spacing w:after="0" w:line="113" w:lineRule="exact"/>
        <w:rPr>
          <w:sz w:val="20"/>
          <w:szCs w:val="20"/>
          <w:color w:val="auto"/>
        </w:rPr>
      </w:pPr>
    </w:p>
    <w:p>
      <w:pPr>
        <w:ind w:left="340" w:hanging="170"/>
        <w:spacing w:after="0" w:line="260" w:lineRule="auto"/>
        <w:tabs>
          <w:tab w:leader="none" w:pos="30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three nominees for director will be elected if the votes cast for the nominee exceed the votes cast against the nominee. Abstentions and broker non-votes will not count as votes cast either for or against a nominee.</w:t>
      </w:r>
    </w:p>
    <w:p>
      <w:pPr>
        <w:spacing w:after="0" w:line="87" w:lineRule="exact"/>
        <w:rPr>
          <w:rFonts w:ascii="Arial" w:cs="Arial" w:eastAsia="Arial" w:hAnsi="Arial"/>
          <w:sz w:val="16"/>
          <w:szCs w:val="16"/>
          <w:color w:val="auto"/>
        </w:rPr>
      </w:pPr>
    </w:p>
    <w:p>
      <w:pPr>
        <w:ind w:left="300" w:hanging="130"/>
        <w:spacing w:after="0"/>
        <w:tabs>
          <w:tab w:leader="none" w:pos="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following items of business will be approved if the votes cast for the proposal exceed the votes cast against the proposal:</w:t>
      </w:r>
    </w:p>
    <w:p>
      <w:pPr>
        <w:spacing w:after="0" w:line="113" w:lineRule="exact"/>
        <w:rPr>
          <w:rFonts w:ascii="Arial" w:cs="Arial" w:eastAsia="Arial" w:hAnsi="Arial"/>
          <w:sz w:val="16"/>
          <w:szCs w:val="16"/>
          <w:color w:val="auto"/>
        </w:rPr>
      </w:pPr>
    </w:p>
    <w:p>
      <w:pPr>
        <w:ind w:left="820" w:hanging="124"/>
        <w:spacing w:after="0"/>
        <w:tabs>
          <w:tab w:leader="none" w:pos="8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 advisory approval of compensation paid to the named executive officers presented in this proxy statement;</w:t>
      </w:r>
    </w:p>
    <w:p>
      <w:pPr>
        <w:spacing w:after="0" w:line="113" w:lineRule="exact"/>
        <w:rPr>
          <w:rFonts w:ascii="Arial" w:cs="Arial" w:eastAsia="Arial" w:hAnsi="Arial"/>
          <w:sz w:val="16"/>
          <w:szCs w:val="16"/>
          <w:color w:val="auto"/>
        </w:rPr>
      </w:pPr>
    </w:p>
    <w:p>
      <w:pPr>
        <w:ind w:left="820" w:hanging="124"/>
        <w:spacing w:after="0"/>
        <w:tabs>
          <w:tab w:leader="none" w:pos="8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ratification of the appointment of the independent auditor;</w:t>
      </w:r>
    </w:p>
    <w:p>
      <w:pPr>
        <w:spacing w:after="0" w:line="113" w:lineRule="exact"/>
        <w:rPr>
          <w:rFonts w:ascii="Arial" w:cs="Arial" w:eastAsia="Arial" w:hAnsi="Arial"/>
          <w:sz w:val="16"/>
          <w:szCs w:val="16"/>
          <w:color w:val="auto"/>
        </w:rPr>
      </w:pPr>
    </w:p>
    <w:p>
      <w:pPr>
        <w:ind w:left="820" w:hanging="124"/>
        <w:spacing w:after="0"/>
        <w:tabs>
          <w:tab w:leader="none" w:pos="8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proposal to amend the company’s articles of incorporation to give shareholders the ability to amend the bylaws; and</w:t>
      </w:r>
    </w:p>
    <w:p>
      <w:pPr>
        <w:spacing w:after="0" w:line="113" w:lineRule="exact"/>
        <w:rPr>
          <w:rFonts w:ascii="Arial" w:cs="Arial" w:eastAsia="Arial" w:hAnsi="Arial"/>
          <w:sz w:val="16"/>
          <w:szCs w:val="16"/>
          <w:color w:val="auto"/>
        </w:rPr>
      </w:pPr>
    </w:p>
    <w:p>
      <w:pPr>
        <w:ind w:left="820" w:hanging="124"/>
        <w:spacing w:after="0"/>
        <w:tabs>
          <w:tab w:leader="none" w:pos="8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four shareholder proposals.</w:t>
      </w:r>
    </w:p>
    <w:p>
      <w:pPr>
        <w:spacing w:after="0" w:line="113"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Abstentions and broker non-votes will not be counted as votes cast either for or against these proposals. As discussed below in "Meeting and Voting Logistics—Voting Shares Held by a Broker," broker non-votes are not expected in connection with the ratification of the appointment of the independent auditor.</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00"/>
          </w:cols>
          <w:pgMar w:left="320" w:top="843" w:right="379" w:bottom="1440" w:gutter="0" w:footer="0" w:header="0"/>
        </w:sectPr>
      </w:pPr>
    </w:p>
    <w:bookmarkStart w:id="85" w:name="page86"/>
    <w:bookmarkEnd w:id="85"/>
    <w:p>
      <w:pPr>
        <w:spacing w:after="0" w:line="253" w:lineRule="auto"/>
        <w:rPr>
          <w:sz w:val="20"/>
          <w:szCs w:val="20"/>
          <w:color w:val="auto"/>
        </w:rPr>
      </w:pPr>
      <w:r>
        <w:rPr>
          <w:rFonts w:ascii="Arial" w:cs="Arial" w:eastAsia="Arial" w:hAnsi="Arial"/>
          <w:sz w:val="16"/>
          <w:szCs w:val="16"/>
          <w:color w:val="auto"/>
        </w:rPr>
        <w:t>The proposals to amend the articles of incorporation to eliminate the classified board structure and to eliminate supermajority voting provisions require the vote of 80 percent of the outstanding shares of our common stock. For these items, abstentions and broker non-votes have the same effect as a vote against the proposals.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w:t>
      </w:r>
    </w:p>
    <w:p>
      <w:pPr>
        <w:spacing w:after="0" w:line="8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 majority of the outstanding shares entitled to vote, present or represented by proxy, constitutes a quorum for the Annual Meeting. As of February 22, 2022, 952,347,126 shares of company common stock were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by Shareholders of Record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you may vote by any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87630</wp:posOffset>
            </wp:positionV>
            <wp:extent cx="514350" cy="514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343" w:lineRule="exact"/>
        <w:rPr>
          <w:sz w:val="20"/>
          <w:szCs w:val="20"/>
          <w:color w:val="auto"/>
        </w:rPr>
      </w:pPr>
    </w:p>
    <w:p>
      <w:pPr>
        <w:ind w:left="1520" w:right="640"/>
        <w:spacing w:after="0" w:line="274" w:lineRule="auto"/>
        <w:rPr>
          <w:sz w:val="20"/>
          <w:szCs w:val="20"/>
          <w:color w:val="auto"/>
        </w:rPr>
      </w:pPr>
      <w:r>
        <w:rPr>
          <w:rFonts w:ascii="Arial" w:cs="Arial" w:eastAsia="Arial" w:hAnsi="Arial"/>
          <w:sz w:val="16"/>
          <w:szCs w:val="16"/>
          <w:b w:val="1"/>
          <w:bCs w:val="1"/>
          <w:color w:val="EE2724"/>
        </w:rPr>
        <w:t xml:space="preserve">Online. </w:t>
      </w:r>
      <w:r>
        <w:rPr>
          <w:rFonts w:ascii="Arial" w:cs="Arial" w:eastAsia="Arial" w:hAnsi="Arial"/>
          <w:sz w:val="17"/>
          <w:szCs w:val="17"/>
          <w:color w:val="000000"/>
        </w:rPr>
        <w:t>You may vote online at</w:t>
      </w:r>
      <w:r>
        <w:rPr>
          <w:rFonts w:ascii="Arial" w:cs="Arial" w:eastAsia="Arial" w:hAnsi="Arial"/>
          <w:sz w:val="16"/>
          <w:szCs w:val="16"/>
          <w:b w:val="1"/>
          <w:bCs w:val="1"/>
          <w:color w:val="EE2724"/>
        </w:rPr>
        <w:t xml:space="preserve"> </w:t>
      </w:r>
      <w:r>
        <w:rPr>
          <w:rFonts w:ascii="Arial" w:cs="Arial" w:eastAsia="Arial" w:hAnsi="Arial"/>
          <w:sz w:val="17"/>
          <w:szCs w:val="17"/>
          <w:color w:val="EE2724"/>
        </w:rPr>
        <w:t>P</w:t>
      </w:r>
      <w:r>
        <w:rPr>
          <w:rFonts w:ascii="Arial" w:cs="Arial" w:eastAsia="Arial" w:hAnsi="Arial"/>
          <w:sz w:val="16"/>
          <w:szCs w:val="16"/>
          <w:color w:val="EE2724"/>
        </w:rPr>
        <w:t>roxyVote.com</w:t>
      </w:r>
      <w:r>
        <w:rPr>
          <w:rFonts w:ascii="Arial" w:cs="Arial" w:eastAsia="Arial" w:hAnsi="Arial"/>
          <w:sz w:val="17"/>
          <w:szCs w:val="17"/>
          <w:color w:val="000000"/>
        </w:rPr>
        <w:t>. Follow the instructions on your proxy card or notice. If you received these</w:t>
      </w:r>
      <w:r>
        <w:rPr>
          <w:rFonts w:ascii="Arial" w:cs="Arial" w:eastAsia="Arial" w:hAnsi="Arial"/>
          <w:sz w:val="16"/>
          <w:szCs w:val="16"/>
          <w:b w:val="1"/>
          <w:bCs w:val="1"/>
          <w:color w:val="EE2724"/>
        </w:rPr>
        <w:t xml:space="preserve"> </w:t>
      </w:r>
      <w:r>
        <w:rPr>
          <w:rFonts w:ascii="Arial" w:cs="Arial" w:eastAsia="Arial" w:hAnsi="Arial"/>
          <w:sz w:val="17"/>
          <w:szCs w:val="17"/>
          <w:color w:val="000000"/>
        </w:rPr>
        <w:t>materials electronically, follow the instructions in the email message that notified you of their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147955</wp:posOffset>
            </wp:positionV>
            <wp:extent cx="582930" cy="5829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EE2724"/>
        </w:rPr>
        <w:t xml:space="preserve">By telephone. </w:t>
      </w:r>
      <w:r>
        <w:rPr>
          <w:rFonts w:ascii="Arial" w:cs="Arial" w:eastAsia="Arial" w:hAnsi="Arial"/>
          <w:sz w:val="16"/>
          <w:szCs w:val="16"/>
          <w:color w:val="000000"/>
        </w:rPr>
        <w:t>Call 1-800-690-6903 using a touch-tone phone and follow the instructions provided.</w:t>
      </w:r>
    </w:p>
    <w:p>
      <w:pPr>
        <w:spacing w:after="0" w:line="200" w:lineRule="exact"/>
        <w:rPr>
          <w:sz w:val="20"/>
          <w:szCs w:val="20"/>
          <w:color w:val="auto"/>
        </w:rPr>
      </w:pPr>
    </w:p>
    <w:p>
      <w:pPr>
        <w:spacing w:after="0" w:line="305" w:lineRule="exact"/>
        <w:rPr>
          <w:sz w:val="20"/>
          <w:szCs w:val="20"/>
          <w:color w:val="auto"/>
        </w:rPr>
      </w:pPr>
    </w:p>
    <w:p>
      <w:pPr>
        <w:ind w:left="1520" w:right="100"/>
        <w:spacing w:after="0" w:line="254" w:lineRule="auto"/>
        <w:rPr>
          <w:sz w:val="20"/>
          <w:szCs w:val="20"/>
          <w:color w:val="auto"/>
        </w:rPr>
      </w:pPr>
      <w:r>
        <w:rPr>
          <w:rFonts w:ascii="Arial" w:cs="Arial" w:eastAsia="Arial" w:hAnsi="Arial"/>
          <w:sz w:val="16"/>
          <w:szCs w:val="16"/>
          <w:b w:val="1"/>
          <w:bCs w:val="1"/>
          <w:color w:val="EE2724"/>
        </w:rPr>
        <w:t xml:space="preserve">By mail. </w:t>
      </w:r>
      <w:r>
        <w:rPr>
          <w:rFonts w:ascii="Arial" w:cs="Arial" w:eastAsia="Arial" w:hAnsi="Arial"/>
          <w:sz w:val="16"/>
          <w:szCs w:val="16"/>
          <w:color w:val="000000"/>
        </w:rPr>
        <w:t>If you received or requested paper copies of your proxy materials, sign, date, and return each proxy card you receive in the</w:t>
      </w:r>
      <w:r>
        <w:rPr>
          <w:rFonts w:ascii="Arial" w:cs="Arial" w:eastAsia="Arial" w:hAnsi="Arial"/>
          <w:sz w:val="16"/>
          <w:szCs w:val="16"/>
          <w:b w:val="1"/>
          <w:bCs w:val="1"/>
          <w:color w:val="EE2724"/>
        </w:rPr>
        <w:t xml:space="preserve"> </w:t>
      </w:r>
      <w:r>
        <w:rPr>
          <w:rFonts w:ascii="Arial" w:cs="Arial" w:eastAsia="Arial" w:hAnsi="Arial"/>
          <w:sz w:val="16"/>
          <w:szCs w:val="16"/>
          <w:color w:val="000000"/>
        </w:rPr>
        <w:t>prepaid envelope. 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-712470</wp:posOffset>
            </wp:positionV>
            <wp:extent cx="617220" cy="6172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You may vote your shares prior to the Annual Meeting until 11:59 p.m. EDT on May 1, 2022, online or by telephone. If you are voting by mail, your marked, signed, and dated proxy card must be received by May 1, 2022. Shareholders of record may also opt to vote at the Annual Meeting, which will be held online via live webcast at </w:t>
      </w:r>
      <w:r>
        <w:rPr>
          <w:rFonts w:ascii="Arial" w:cs="Arial" w:eastAsia="Arial" w:hAnsi="Arial"/>
          <w:sz w:val="16"/>
          <w:szCs w:val="16"/>
          <w:color w:val="EE2724"/>
        </w:rPr>
        <w:t>virtualshareholdermeeting.com/LLY2022</w:t>
      </w:r>
      <w:r>
        <w:rPr>
          <w:rFonts w:ascii="Arial" w:cs="Arial" w:eastAsia="Arial" w:hAnsi="Arial"/>
          <w:sz w:val="16"/>
          <w:szCs w:val="16"/>
          <w:color w:val="auto"/>
        </w:rPr>
        <w:t>. See "—Attending the Annual Meeting" for more information on attending the Annual Meeting.</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have the right to change your vote or revoke your proxy before it is voted at the Annual Meeting by (i) timely notifying the General Counsel and Secretary in writing, (ii) timely delivering a later-dated proxy by mail, or (iii) timely casting a new vote online or by telephone. Shareholders of record may also revoke their proxies by voting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Shares Held by a Broker</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your shares are held by a broker, the broker will ask you how you want your shares to be voted. You may instruct your broker or other nominee to vote your shares by following instructions that the broker or nominee provides to you. Most brokers offer voting by mail, by telephone, and online. You may submit new voting instructions by contacting your broker or other nominee or by voting at the Annual Meeting.</w:t>
      </w:r>
    </w:p>
    <w:p>
      <w:pPr>
        <w:spacing w:after="0" w:line="9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If you give the broker instructions, your shares will be voted as you direct.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but will not be able to vote on those matters for which specific authorization is required under NYSE rules. If you are a beneficial owner whose shares are held of record by a broker, your broker has discretionary voting authority under NYSE rules to vote your shares on the ratification of EY as the independent auditor for 2022, even if the broker does not receive voting instructions from you. However, your broker does not have discretionary authority to vote on the election of directors, the advisory approval of executive compensation, or the shareholder or management proposals without instructions from you, in which case a broker non-vote will occur, and your shares will not be voted on these matters.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Shares Held in the Company 401(k) Plan</w:t>
      </w:r>
    </w:p>
    <w:p>
      <w:pPr>
        <w:spacing w:after="0" w:line="8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You may instruct the plan trustee on how to vote your shares in the 401(k) Plan online, by mail, or by telephone as described above in "Meeting and Voting Logistics—Voting by Shareholders of Record," except that if you vote by mail, the card you use will be a voting instruction form rather than a proxy card.</w:t>
      </w:r>
    </w:p>
    <w:p>
      <w:pPr>
        <w:spacing w:after="0" w:line="87"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In addition,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843" w:right="339" w:bottom="1440" w:gutter="0" w:footer="0" w:header="0"/>
        </w:sectPr>
      </w:pPr>
    </w:p>
    <w:bookmarkStart w:id="86" w:name="page87"/>
    <w:bookmarkEnd w:id="86"/>
    <w:p>
      <w:pPr>
        <w:ind w:right="80"/>
        <w:spacing w:after="0" w:line="253" w:lineRule="auto"/>
        <w:rPr>
          <w:sz w:val="20"/>
          <w:szCs w:val="20"/>
          <w:color w:val="auto"/>
        </w:rPr>
      </w:pPr>
      <w:r>
        <w:rPr>
          <w:rFonts w:ascii="Arial" w:cs="Arial" w:eastAsia="Arial" w:hAnsi="Arial"/>
          <w:sz w:val="16"/>
          <w:szCs w:val="16"/>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9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8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If you do not vote online or by telephone by 11:59 p.m. EDT on April 27, 2022, or if your mailed ballot is not received by April 27, 2022, your shares will be voted in accordance with instructions received from other plan participants who have elected to have their voting preferences applied proportionally to all shares for which voting instructions are not otherwise received. You will not be able to vote your shares personally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Notices, Proxy Materials, or Emails</w:t>
      </w:r>
    </w:p>
    <w:p>
      <w:pPr>
        <w:spacing w:after="0" w:line="8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If you received more than one notice, full set of proxy materials, or email related to proxy materials, you hold shares in more than one account. You will need to cast a vote for each notice, full set of proxy materials, or email you receive. 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18, 2022, to facilitate timely delivery.</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Tabulation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Votes are tabulated by an independent inspector of election, Broadridge Financial Solutions, Inc.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Attending the Annual Meeting</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Annual Meeting will be held on Monday, May 2, 2022, at 11:00 a.m. EDT, and all shareholders as of close of business on February 22, 2022, are entitled to participate.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held virtually via live webcast.</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The live webcast of the Annual Meeting can be accessed by shareholders on the day of the meeting at </w:t>
      </w:r>
      <w:r>
        <w:rPr>
          <w:rFonts w:ascii="Arial" w:cs="Arial" w:eastAsia="Arial" w:hAnsi="Arial"/>
          <w:sz w:val="16"/>
          <w:szCs w:val="16"/>
          <w:color w:val="EE2724"/>
        </w:rPr>
        <w:t>virtualshareholdermeeting.com/LLY2022</w:t>
      </w:r>
      <w:r>
        <w:rPr>
          <w:rFonts w:ascii="Arial" w:cs="Arial" w:eastAsia="Arial" w:hAnsi="Arial"/>
          <w:sz w:val="16"/>
          <w:szCs w:val="16"/>
          <w:color w:val="auto"/>
        </w:rPr>
        <w:t xml:space="preserve"> and will begin promptly at 11:00 a.m. EDT. To attend the Annual Meeting, you will need to log in to </w:t>
      </w:r>
      <w:r>
        <w:rPr>
          <w:rFonts w:ascii="Arial" w:cs="Arial" w:eastAsia="Arial" w:hAnsi="Arial"/>
          <w:sz w:val="16"/>
          <w:szCs w:val="16"/>
          <w:color w:val="EE2724"/>
        </w:rPr>
        <w:t>virtualshareholdermeeting.com/LLY2022</w:t>
      </w:r>
      <w:r>
        <w:rPr>
          <w:rFonts w:ascii="Arial" w:cs="Arial" w:eastAsia="Arial" w:hAnsi="Arial"/>
          <w:sz w:val="16"/>
          <w:szCs w:val="16"/>
          <w:color w:val="auto"/>
        </w:rPr>
        <w:t xml:space="preserve"> 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9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To submit questions in advance of the Annual Meeting, visit </w:t>
      </w:r>
      <w:r>
        <w:rPr>
          <w:rFonts w:ascii="Arial" w:cs="Arial" w:eastAsia="Arial" w:hAnsi="Arial"/>
          <w:sz w:val="16"/>
          <w:szCs w:val="16"/>
          <w:color w:val="EE2724"/>
        </w:rPr>
        <w:t>ProxyVote.com</w:t>
      </w:r>
      <w:r>
        <w:rPr>
          <w:rFonts w:ascii="Arial" w:cs="Arial" w:eastAsia="Arial" w:hAnsi="Arial"/>
          <w:sz w:val="16"/>
          <w:szCs w:val="16"/>
          <w:color w:val="auto"/>
        </w:rPr>
        <w:t xml:space="preserve"> before May 2, 2022, and enter your 16-digit control number. During the meeting, if you wish to submit a question, log into the virtual meeting website at </w:t>
      </w:r>
      <w:r>
        <w:rPr>
          <w:rFonts w:ascii="Arial" w:cs="Arial" w:eastAsia="Arial" w:hAnsi="Arial"/>
          <w:sz w:val="16"/>
          <w:szCs w:val="16"/>
          <w:color w:val="EE2724"/>
        </w:rPr>
        <w:t>virtualshareholdermeeting.com/LLY2022</w:t>
      </w:r>
      <w:r>
        <w:rPr>
          <w:rFonts w:ascii="Arial" w:cs="Arial" w:eastAsia="Arial" w:hAnsi="Arial"/>
          <w:sz w:val="16"/>
          <w:szCs w:val="16"/>
          <w:color w:val="auto"/>
        </w:rPr>
        <w:t>, click on "Q&amp;A," type your question into the "Submit a Question" field, and click "Submit." In order to provide an opportunity to as many shareholders as possible who wish to ask a question, each shareholder will be limited to one question. Shareholders may ask a second question if all other shareholders have had an opportunity to ask a question and if time allows. The Annual Meeting is scheduled to begin at 11:00 a.m. EDT and end at 11:45 a.m. EDT, and time remaining after agenda items are addressed will be available for shareholder questions. We will endeavor to answer as many questions submitted by shareholders as time permits.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Responses to questions relevant to meeting matters that we do not have time to respond to during the meeting will be posted to our website following the meeting. Questions regarding topics that are not pertinent to meeting matters or company business will not be answered.</w:t>
      </w:r>
    </w:p>
    <w:p>
      <w:pPr>
        <w:spacing w:after="0" w:line="97"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 xml:space="preserve">Support staff will be available should you experience any technical difficulties in accessing the virtual meeting. Instructions for requesting technical assistance will be available at </w:t>
      </w:r>
      <w:r>
        <w:rPr>
          <w:rFonts w:ascii="Arial" w:cs="Arial" w:eastAsia="Arial" w:hAnsi="Arial"/>
          <w:sz w:val="16"/>
          <w:szCs w:val="16"/>
          <w:color w:val="EE2724"/>
        </w:rPr>
        <w:t>virtualshareholdermeeting.com/LLY2022</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Shareholders of Record</w:t>
      </w:r>
    </w:p>
    <w:p>
      <w:pPr>
        <w:spacing w:after="0" w:line="7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6"/>
          <w:szCs w:val="16"/>
          <w:color w:val="EE2724"/>
        </w:rPr>
        <w:t>shareholderproposals@lilly.com</w:t>
      </w:r>
      <w:r>
        <w:rPr>
          <w:rFonts w:ascii="Arial" w:cs="Arial" w:eastAsia="Arial" w:hAnsi="Arial"/>
          <w:sz w:val="16"/>
          <w:szCs w:val="16"/>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6"/>
          <w:szCs w:val="16"/>
          <w:color w:val="EE2724"/>
        </w:rPr>
        <w:t>virtualshareholdermeeting.com/LLY2022</w:t>
      </w: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843"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The 2023 Annual Meeting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2023 annual meeting of shareholders is currently scheduled for May 1, 2023.</w:t>
      </w:r>
    </w:p>
    <w:p>
      <w:pPr>
        <w:spacing w:after="0" w:line="197" w:lineRule="exact"/>
        <w:rPr>
          <w:sz w:val="20"/>
          <w:szCs w:val="20"/>
          <w:color w:val="auto"/>
        </w:rPr>
      </w:pPr>
    </w:p>
    <w:p>
      <w:pPr>
        <w:spacing w:after="0"/>
        <w:rPr>
          <w:sz w:val="20"/>
          <w:szCs w:val="20"/>
          <w:color w:val="auto"/>
        </w:rPr>
      </w:pPr>
      <w:r>
        <w:rPr>
          <w:rFonts w:ascii="Arial" w:cs="Arial" w:eastAsia="Arial" w:hAnsi="Arial"/>
          <w:sz w:val="27"/>
          <w:szCs w:val="27"/>
          <w:b w:val="1"/>
          <w:bCs w:val="1"/>
          <w:color w:val="EF3729"/>
        </w:rPr>
        <w:t>Other Matters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and Access</w:t>
      </w:r>
    </w:p>
    <w:p>
      <w:pPr>
        <w:spacing w:after="0" w:line="7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distribute proxy materials to many shareholders via the internet under the SEC’s "Notice and Access" rules to reduce production and mailing costs and to help preserve environmental resources. Using this method of distribution, on or about March 18, 2022,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6"/>
          <w:szCs w:val="16"/>
          <w:color w:val="EE2724"/>
        </w:rPr>
        <w:t>ProxyVote.com</w:t>
      </w:r>
      <w:r>
        <w:rPr>
          <w:rFonts w:ascii="Arial" w:cs="Arial" w:eastAsia="Arial" w:hAnsi="Arial"/>
          <w:sz w:val="16"/>
          <w:szCs w:val="16"/>
          <w:color w:val="auto"/>
        </w:rPr>
        <w:t>) has instructions for voting by phone.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w:t>
      </w:r>
    </w:p>
    <w:p>
      <w:pPr>
        <w:spacing w:after="0" w:line="7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 Regarding the Company’s Proxy Solicitation</w:t>
      </w:r>
    </w:p>
    <w:p>
      <w:pPr>
        <w:spacing w:after="0" w:line="8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$17,500 plus reimbursement of customary out-of-pocket expenses.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Materials</w:t>
      </w:r>
    </w:p>
    <w:p>
      <w:pPr>
        <w:spacing w:after="0" w:line="83"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 xml:space="preserve">The company’s main corporate website address is </w:t>
      </w:r>
      <w:r>
        <w:rPr>
          <w:rFonts w:ascii="Arial" w:cs="Arial" w:eastAsia="Arial" w:hAnsi="Arial"/>
          <w:sz w:val="16"/>
          <w:szCs w:val="16"/>
          <w:color w:val="EE2724"/>
        </w:rPr>
        <w:t>lilly.com</w:t>
      </w:r>
      <w:r>
        <w:rPr>
          <w:rFonts w:ascii="Arial" w:cs="Arial" w:eastAsia="Arial" w:hAnsi="Arial"/>
          <w:sz w:val="16"/>
          <w:szCs w:val="16"/>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6"/>
          <w:szCs w:val="16"/>
          <w:color w:val="EE2724"/>
        </w:rPr>
        <w:t>investor.lilly.com/sec.cfm</w:t>
      </w:r>
      <w:r>
        <w:rPr>
          <w:rFonts w:ascii="Arial" w:cs="Arial" w:eastAsia="Arial" w:hAnsi="Arial"/>
          <w:sz w:val="16"/>
          <w:szCs w:val="16"/>
          <w:color w:val="auto"/>
        </w:rPr>
        <w:t xml:space="preserve">. This proxy statement and the annual report to shareholders are also available at </w:t>
      </w:r>
      <w:r>
        <w:rPr>
          <w:rFonts w:ascii="Arial" w:cs="Arial" w:eastAsia="Arial" w:hAnsi="Arial"/>
          <w:sz w:val="16"/>
          <w:szCs w:val="16"/>
          <w:color w:val="EE2724"/>
        </w:rPr>
        <w:t>ProxyVote.com</w:t>
      </w:r>
      <w:r>
        <w:rPr>
          <w:rFonts w:ascii="Arial" w:cs="Arial" w:eastAsia="Arial" w:hAnsi="Arial"/>
          <w:sz w:val="16"/>
          <w:szCs w:val="16"/>
          <w:color w:val="auto"/>
        </w:rPr>
        <w:t xml:space="preserve"> as well as on our website at </w:t>
      </w:r>
      <w:r>
        <w:rPr>
          <w:rFonts w:ascii="Arial" w:cs="Arial" w:eastAsia="Arial" w:hAnsi="Arial"/>
          <w:sz w:val="16"/>
          <w:szCs w:val="16"/>
          <w:color w:val="EE2724"/>
        </w:rPr>
        <w:t>lilly.com/policies-reports/annual-report</w:t>
      </w:r>
      <w:r>
        <w:rPr>
          <w:rFonts w:ascii="Arial" w:cs="Arial" w:eastAsia="Arial" w:hAnsi="Arial"/>
          <w:sz w:val="16"/>
          <w:szCs w:val="16"/>
          <w:color w:val="auto"/>
        </w:rPr>
        <w:t xml:space="preserve">, and the articles of incorporation, bylaws, and all committee charters are available online at </w:t>
      </w:r>
      <w:r>
        <w:rPr>
          <w:rFonts w:ascii="Arial" w:cs="Arial" w:eastAsia="Arial" w:hAnsi="Arial"/>
          <w:sz w:val="16"/>
          <w:szCs w:val="16"/>
          <w:color w:val="EE2724"/>
        </w:rPr>
        <w:t>lilly.com/leadership/governance</w:t>
      </w:r>
      <w:r>
        <w:rPr>
          <w:rFonts w:ascii="Arial" w:cs="Arial" w:eastAsia="Arial" w:hAnsi="Arial"/>
          <w:sz w:val="16"/>
          <w:szCs w:val="16"/>
          <w:color w:val="auto"/>
        </w:rPr>
        <w:t>. Certain documents and information referenced in this proxy statement are available on our website. However, except as otherwise expressly provided in this proxy statement, we are not including the information contained on our website, or any information that may be accessed by links on our website, as part of, or incorporating it by reference into,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 Anat Hakim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976" w:right="339" w:bottom="1440" w:gutter="0" w:footer="0" w:header="0"/>
        </w:sectPr>
      </w:pPr>
    </w:p>
    <w:bookmarkStart w:id="88" w:name="page89"/>
    <w:bookmarkEnd w:id="88"/>
    <w:p>
      <w:pPr>
        <w:ind w:right="880"/>
        <w:spacing w:after="0" w:line="276" w:lineRule="auto"/>
        <w:rPr>
          <w:sz w:val="20"/>
          <w:szCs w:val="20"/>
          <w:color w:val="auto"/>
        </w:rPr>
      </w:pPr>
      <w:r>
        <w:rPr>
          <w:rFonts w:ascii="Arial" w:cs="Arial" w:eastAsia="Arial" w:hAnsi="Arial"/>
          <w:sz w:val="32"/>
          <w:szCs w:val="32"/>
          <w:b w:val="1"/>
          <w:bCs w:val="1"/>
          <w:color w:val="EF3729"/>
        </w:rPr>
        <w:t>Appendix A - Summary of Adjustments Related to the Annual Cash Bonus and Performance Award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Consistent with past practice, the Compensation Committee adjusted the reported financial results on which the 2021 annual cash bonus and the 2020-2022 performance awards were determined to eliminate the distorting effect of certain unusual items on incentive compensation performance measures. The adjustments are intended to:</w:t>
      </w:r>
    </w:p>
    <w:p>
      <w:pPr>
        <w:spacing w:after="0" w:line="39" w:lineRule="exact"/>
        <w:rPr>
          <w:sz w:val="20"/>
          <w:szCs w:val="20"/>
          <w:color w:val="auto"/>
        </w:rPr>
      </w:pPr>
    </w:p>
    <w:p>
      <w:pPr>
        <w:ind w:left="300" w:hanging="130"/>
        <w:spacing w:after="0"/>
        <w:tabs>
          <w:tab w:leader="none" w:pos="3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align award payments with the underlying performance of the core business</w:t>
      </w:r>
    </w:p>
    <w:p>
      <w:pPr>
        <w:spacing w:after="0" w:line="113" w:lineRule="exact"/>
        <w:rPr>
          <w:rFonts w:ascii="Arial" w:cs="Arial" w:eastAsia="Arial" w:hAnsi="Arial"/>
          <w:sz w:val="16"/>
          <w:szCs w:val="16"/>
          <w:color w:val="auto"/>
        </w:rPr>
      </w:pPr>
    </w:p>
    <w:p>
      <w:pPr>
        <w:ind w:left="340" w:right="60" w:hanging="170"/>
        <w:spacing w:after="0" w:line="260" w:lineRule="auto"/>
        <w:tabs>
          <w:tab w:leader="none" w:pos="30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avoid volatile, artificial inflation or deflation of awards due to unusual items during any year in the performance period, and, where relevant, the previous (comparator) year</w:t>
      </w:r>
    </w:p>
    <w:p>
      <w:pPr>
        <w:spacing w:after="0" w:line="87" w:lineRule="exact"/>
        <w:rPr>
          <w:rFonts w:ascii="Arial" w:cs="Arial" w:eastAsia="Arial" w:hAnsi="Arial"/>
          <w:sz w:val="16"/>
          <w:szCs w:val="16"/>
          <w:color w:val="auto"/>
        </w:rPr>
      </w:pPr>
    </w:p>
    <w:p>
      <w:pPr>
        <w:ind w:left="340" w:right="420" w:hanging="170"/>
        <w:spacing w:after="0" w:line="260" w:lineRule="auto"/>
        <w:tabs>
          <w:tab w:leader="none" w:pos="30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87" w:lineRule="exact"/>
        <w:rPr>
          <w:rFonts w:ascii="Arial" w:cs="Arial" w:eastAsia="Arial" w:hAnsi="Arial"/>
          <w:sz w:val="16"/>
          <w:szCs w:val="16"/>
          <w:color w:val="auto"/>
        </w:rPr>
      </w:pPr>
    </w:p>
    <w:p>
      <w:pPr>
        <w:ind w:left="300" w:hanging="130"/>
        <w:spacing w:after="0"/>
        <w:tabs>
          <w:tab w:leader="none" w:pos="3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facilitate comparisons with peer companies.</w:t>
      </w:r>
    </w:p>
    <w:p>
      <w:pPr>
        <w:spacing w:after="0" w:line="11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 ensure the integrity of the adjustments, the Compensation Committee establishes adjustment guidelines in the first 90 days of the performance period. These guidelines are generally consistent with the company guidelines for reporting non-GAAP financial measures to the investment community, which are reviewed by the Audit Committee. The adjustments apply equally to income and expense items. The Compensation Committee reviews all adjustments and retains downward discretion, i.e., discretion to reduce compensation below the amounts that are yielded by the adjustment guidelines.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for 2021 Bonus Plan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For 2021 bonus calculations, the Compensation Committee made the following adjustments to reported EPS consistent with our external reporting of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w:t>
      </w:r>
    </w:p>
    <w:p>
      <w:pPr>
        <w:spacing w:after="0" w:line="113" w:lineRule="exact"/>
        <w:rPr>
          <w:sz w:val="20"/>
          <w:szCs w:val="20"/>
          <w:color w:val="auto"/>
        </w:rPr>
      </w:pPr>
    </w:p>
    <w:p>
      <w:pPr>
        <w:ind w:left="300" w:hanging="130"/>
        <w:spacing w:after="0"/>
        <w:tabs>
          <w:tab w:leader="none" w:pos="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the charges recognized for acquired in-process research and development</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amortization of intangible assets</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a charge related to the repurchase of higher-cost debt</w:t>
      </w:r>
    </w:p>
    <w:p>
      <w:pPr>
        <w:spacing w:after="0" w:line="113" w:lineRule="exact"/>
        <w:rPr>
          <w:rFonts w:ascii="Arial" w:cs="Arial" w:eastAsia="Arial" w:hAnsi="Arial"/>
          <w:sz w:val="16"/>
          <w:szCs w:val="16"/>
          <w:color w:val="auto"/>
        </w:rPr>
      </w:pPr>
    </w:p>
    <w:p>
      <w:pPr>
        <w:ind w:left="300" w:hanging="130"/>
        <w:spacing w:after="0"/>
        <w:tabs>
          <w:tab w:leader="none" w:pos="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asset impairments, restructuring, and other special charges</w:t>
      </w:r>
    </w:p>
    <w:p>
      <w:pPr>
        <w:spacing w:after="0" w:line="113" w:lineRule="exact"/>
        <w:rPr>
          <w:rFonts w:ascii="Arial" w:cs="Arial" w:eastAsia="Arial" w:hAnsi="Arial"/>
          <w:sz w:val="16"/>
          <w:szCs w:val="16"/>
          <w:color w:val="auto"/>
        </w:rPr>
      </w:pPr>
    </w:p>
    <w:p>
      <w:pPr>
        <w:ind w:left="340" w:right="280" w:hanging="170"/>
        <w:spacing w:after="0" w:line="260" w:lineRule="auto"/>
        <w:tabs>
          <w:tab w:leader="none" w:pos="30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COVID-19 antibodies inventory charges that were recognized primarily due to changes in forecasted demand from U.S. and international governments</w:t>
      </w:r>
    </w:p>
    <w:p>
      <w:pPr>
        <w:spacing w:after="0" w:line="87" w:lineRule="exact"/>
        <w:rPr>
          <w:rFonts w:ascii="Arial" w:cs="Arial" w:eastAsia="Arial" w:hAnsi="Arial"/>
          <w:sz w:val="16"/>
          <w:szCs w:val="16"/>
          <w:color w:val="auto"/>
        </w:rPr>
      </w:pPr>
    </w:p>
    <w:p>
      <w:pPr>
        <w:ind w:left="300" w:hanging="130"/>
        <w:spacing w:after="0"/>
        <w:tabs>
          <w:tab w:leader="none" w:pos="3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Eliminated the impact of net gains on investments in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adjustments consistent with our reporting of non-GAAP financial measures, the Compensation Committee made the following adjustment:</w:t>
      </w:r>
    </w:p>
    <w:p>
      <w:pPr>
        <w:spacing w:after="0" w:line="113" w:lineRule="exact"/>
        <w:rPr>
          <w:sz w:val="20"/>
          <w:szCs w:val="20"/>
          <w:color w:val="auto"/>
        </w:rPr>
      </w:pPr>
    </w:p>
    <w:p>
      <w:pPr>
        <w:ind w:left="340" w:hanging="170"/>
        <w:spacing w:after="0" w:line="253" w:lineRule="auto"/>
        <w:tabs>
          <w:tab w:leader="none" w:pos="30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When the Compensation Committee set 2021 bonus targets, the revenue and EPS goal did not contemplate estimated savings from certain discrete and unplanned performance items. The Compensation Committee reduced revenue and non-GAAP EPS for the purposes of the bonus calculation to exclude the savings from these items.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adjustments to our reported revenue is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2021</w:t>
            </w:r>
          </w:p>
        </w:tc>
      </w:tr>
      <w:tr>
        <w:trPr>
          <w:trHeight w:val="35"/>
        </w:trPr>
        <w:tc>
          <w:tcPr>
            <w:tcW w:w="68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3"/>
                <w:szCs w:val="13"/>
                <w:color w:val="auto"/>
              </w:rPr>
              <w:t>Revenue as reported</w:t>
            </w:r>
          </w:p>
        </w:tc>
        <w:tc>
          <w:tcPr>
            <w:tcW w:w="2000" w:type="dxa"/>
            <w:vAlign w:val="bottom"/>
          </w:tcPr>
          <w:p>
            <w:pPr>
              <w:jc w:val="right"/>
              <w:spacing w:after="0"/>
              <w:rPr>
                <w:sz w:val="20"/>
                <w:szCs w:val="20"/>
                <w:color w:val="auto"/>
              </w:rPr>
            </w:pPr>
            <w:r>
              <w:rPr>
                <w:rFonts w:ascii="Arial" w:cs="Arial" w:eastAsia="Arial" w:hAnsi="Arial"/>
                <w:sz w:val="13"/>
                <w:szCs w:val="13"/>
                <w:color w:val="auto"/>
              </w:rPr>
              <w:t>$28,318.4</w:t>
            </w:r>
          </w:p>
        </w:tc>
      </w:tr>
      <w:tr>
        <w:trPr>
          <w:trHeight w:val="291"/>
        </w:trPr>
        <w:tc>
          <w:tcPr>
            <w:tcW w:w="6820" w:type="dxa"/>
            <w:vAlign w:val="bottom"/>
          </w:tcPr>
          <w:p>
            <w:pPr>
              <w:ind w:left="20"/>
              <w:spacing w:after="0"/>
              <w:rPr>
                <w:sz w:val="20"/>
                <w:szCs w:val="20"/>
                <w:color w:val="auto"/>
              </w:rPr>
            </w:pPr>
            <w:r>
              <w:rPr>
                <w:rFonts w:ascii="Arial" w:cs="Arial" w:eastAsia="Arial" w:hAnsi="Arial"/>
                <w:sz w:val="13"/>
                <w:szCs w:val="13"/>
                <w:color w:val="auto"/>
              </w:rPr>
              <w:t>Adjustment for estimated savings from certain discrete and unplanned performance items</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w:t>
            </w:r>
          </w:p>
        </w:tc>
      </w:tr>
      <w:tr>
        <w:trPr>
          <w:trHeight w:val="229"/>
        </w:trPr>
        <w:tc>
          <w:tcPr>
            <w:tcW w:w="6820" w:type="dxa"/>
            <w:vAlign w:val="bottom"/>
          </w:tcPr>
          <w:p>
            <w:pPr>
              <w:ind w:left="20"/>
              <w:spacing w:after="0"/>
              <w:rPr>
                <w:sz w:val="20"/>
                <w:szCs w:val="20"/>
                <w:color w:val="auto"/>
              </w:rPr>
            </w:pPr>
            <w:r>
              <w:rPr>
                <w:rFonts w:ascii="Arial" w:cs="Arial" w:eastAsia="Arial" w:hAnsi="Arial"/>
                <w:sz w:val="13"/>
                <w:szCs w:val="13"/>
                <w:color w:val="auto"/>
              </w:rPr>
              <w:t>Adjusted revenue</w:t>
            </w:r>
          </w:p>
        </w:tc>
        <w:tc>
          <w:tcPr>
            <w:tcW w:w="2000" w:type="dxa"/>
            <w:vAlign w:val="bottom"/>
          </w:tcPr>
          <w:p>
            <w:pPr>
              <w:jc w:val="right"/>
              <w:spacing w:after="0"/>
              <w:rPr>
                <w:sz w:val="20"/>
                <w:szCs w:val="20"/>
                <w:color w:val="auto"/>
              </w:rPr>
            </w:pPr>
            <w:r>
              <w:rPr>
                <w:rFonts w:ascii="Arial" w:cs="Arial" w:eastAsia="Arial" w:hAnsi="Arial"/>
                <w:sz w:val="13"/>
                <w:szCs w:val="13"/>
                <w:color w:val="auto"/>
              </w:rPr>
              <w:t>$28,137.6</w:t>
            </w:r>
          </w:p>
        </w:tc>
      </w:tr>
    </w:tbl>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200"/>
          </w:cols>
          <w:pgMar w:left="320" w:top="1129" w:right="37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A reconciliation of adjustments to our reported EPS is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2021</w:t>
            </w:r>
          </w:p>
        </w:tc>
      </w:tr>
      <w:tr>
        <w:trPr>
          <w:trHeight w:val="28"/>
        </w:trPr>
        <w:tc>
          <w:tcPr>
            <w:tcW w:w="6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ind w:left="20"/>
              <w:spacing w:after="0"/>
              <w:rPr>
                <w:sz w:val="20"/>
                <w:szCs w:val="20"/>
                <w:color w:val="auto"/>
              </w:rPr>
            </w:pPr>
            <w:r>
              <w:rPr>
                <w:rFonts w:ascii="Arial" w:cs="Arial" w:eastAsia="Arial" w:hAnsi="Arial"/>
                <w:sz w:val="13"/>
                <w:szCs w:val="13"/>
                <w:color w:val="auto"/>
              </w:rPr>
              <w:t>EPS as reported</w:t>
            </w:r>
          </w:p>
        </w:tc>
        <w:tc>
          <w:tcPr>
            <w:tcW w:w="1880" w:type="dxa"/>
            <w:vAlign w:val="bottom"/>
          </w:tcPr>
          <w:p>
            <w:pPr>
              <w:jc w:val="right"/>
              <w:spacing w:after="0"/>
              <w:rPr>
                <w:sz w:val="20"/>
                <w:szCs w:val="20"/>
                <w:color w:val="auto"/>
              </w:rPr>
            </w:pPr>
            <w:r>
              <w:rPr>
                <w:rFonts w:ascii="Arial" w:cs="Arial" w:eastAsia="Arial" w:hAnsi="Arial"/>
                <w:sz w:val="13"/>
                <w:szCs w:val="13"/>
                <w:color w:val="auto"/>
              </w:rPr>
              <w:t>$6.12</w:t>
            </w:r>
          </w:p>
        </w:tc>
      </w:tr>
      <w:tr>
        <w:trPr>
          <w:trHeight w:val="216"/>
        </w:trPr>
        <w:tc>
          <w:tcPr>
            <w:tcW w:w="6980" w:type="dxa"/>
            <w:vAlign w:val="bottom"/>
          </w:tcPr>
          <w:p>
            <w:pPr>
              <w:ind w:left="20"/>
              <w:spacing w:after="0"/>
              <w:rPr>
                <w:sz w:val="20"/>
                <w:szCs w:val="20"/>
                <w:color w:val="auto"/>
              </w:rPr>
            </w:pPr>
            <w:r>
              <w:rPr>
                <w:rFonts w:ascii="Arial" w:cs="Arial" w:eastAsia="Arial" w:hAnsi="Arial"/>
                <w:sz w:val="13"/>
                <w:szCs w:val="13"/>
                <w:color w:val="auto"/>
              </w:rPr>
              <w:t>Acquired in-process research and development charges</w:t>
            </w:r>
          </w:p>
        </w:tc>
        <w:tc>
          <w:tcPr>
            <w:tcW w:w="1880" w:type="dxa"/>
            <w:vAlign w:val="bottom"/>
          </w:tcPr>
          <w:p>
            <w:pPr>
              <w:jc w:val="right"/>
              <w:spacing w:after="0"/>
              <w:rPr>
                <w:sz w:val="20"/>
                <w:szCs w:val="20"/>
                <w:color w:val="auto"/>
              </w:rPr>
            </w:pPr>
            <w:r>
              <w:rPr>
                <w:rFonts w:ascii="Arial" w:cs="Arial" w:eastAsia="Arial" w:hAnsi="Arial"/>
                <w:sz w:val="13"/>
                <w:szCs w:val="13"/>
                <w:color w:val="auto"/>
              </w:rPr>
              <w:t>0.77</w:t>
            </w:r>
          </w:p>
        </w:tc>
      </w:tr>
      <w:tr>
        <w:trPr>
          <w:trHeight w:val="229"/>
        </w:trPr>
        <w:tc>
          <w:tcPr>
            <w:tcW w:w="6980" w:type="dxa"/>
            <w:vAlign w:val="bottom"/>
          </w:tcPr>
          <w:p>
            <w:pPr>
              <w:ind w:left="20"/>
              <w:spacing w:after="0"/>
              <w:rPr>
                <w:sz w:val="20"/>
                <w:szCs w:val="20"/>
                <w:color w:val="auto"/>
              </w:rPr>
            </w:pPr>
            <w:r>
              <w:rPr>
                <w:rFonts w:ascii="Arial" w:cs="Arial" w:eastAsia="Arial" w:hAnsi="Arial"/>
                <w:sz w:val="13"/>
                <w:szCs w:val="13"/>
                <w:color w:val="auto"/>
              </w:rPr>
              <w:t>Amortization of intangible assets</w:t>
            </w:r>
          </w:p>
        </w:tc>
        <w:tc>
          <w:tcPr>
            <w:tcW w:w="1880" w:type="dxa"/>
            <w:vAlign w:val="bottom"/>
          </w:tcPr>
          <w:p>
            <w:pPr>
              <w:jc w:val="right"/>
              <w:spacing w:after="0"/>
              <w:rPr>
                <w:sz w:val="20"/>
                <w:szCs w:val="20"/>
                <w:color w:val="auto"/>
              </w:rPr>
            </w:pPr>
            <w:r>
              <w:rPr>
                <w:rFonts w:ascii="Arial" w:cs="Arial" w:eastAsia="Arial" w:hAnsi="Arial"/>
                <w:sz w:val="13"/>
                <w:szCs w:val="13"/>
                <w:color w:val="auto"/>
              </w:rPr>
              <w:t>0.53</w:t>
            </w:r>
          </w:p>
        </w:tc>
      </w:tr>
      <w:tr>
        <w:trPr>
          <w:trHeight w:val="216"/>
        </w:trPr>
        <w:tc>
          <w:tcPr>
            <w:tcW w:w="6980" w:type="dxa"/>
            <w:vAlign w:val="bottom"/>
          </w:tcPr>
          <w:p>
            <w:pPr>
              <w:ind w:left="20"/>
              <w:spacing w:after="0"/>
              <w:rPr>
                <w:sz w:val="20"/>
                <w:szCs w:val="20"/>
                <w:color w:val="auto"/>
              </w:rPr>
            </w:pPr>
            <w:r>
              <w:rPr>
                <w:rFonts w:ascii="Arial" w:cs="Arial" w:eastAsia="Arial" w:hAnsi="Arial"/>
                <w:sz w:val="13"/>
                <w:szCs w:val="13"/>
                <w:color w:val="auto"/>
              </w:rPr>
              <w:t>Charge related to repurchase of higher-cost debt</w:t>
            </w:r>
          </w:p>
        </w:tc>
        <w:tc>
          <w:tcPr>
            <w:tcW w:w="1880" w:type="dxa"/>
            <w:vAlign w:val="bottom"/>
          </w:tcPr>
          <w:p>
            <w:pPr>
              <w:jc w:val="right"/>
              <w:spacing w:after="0"/>
              <w:rPr>
                <w:sz w:val="20"/>
                <w:szCs w:val="20"/>
                <w:color w:val="auto"/>
              </w:rPr>
            </w:pPr>
            <w:r>
              <w:rPr>
                <w:rFonts w:ascii="Arial" w:cs="Arial" w:eastAsia="Arial" w:hAnsi="Arial"/>
                <w:sz w:val="13"/>
                <w:szCs w:val="13"/>
                <w:color w:val="auto"/>
              </w:rPr>
              <w:t>0.35</w:t>
            </w:r>
          </w:p>
        </w:tc>
      </w:tr>
      <w:tr>
        <w:trPr>
          <w:trHeight w:val="203"/>
        </w:trPr>
        <w:tc>
          <w:tcPr>
            <w:tcW w:w="6980" w:type="dxa"/>
            <w:vAlign w:val="bottom"/>
          </w:tcPr>
          <w:p>
            <w:pPr>
              <w:ind w:left="20"/>
              <w:spacing w:after="0"/>
              <w:rPr>
                <w:sz w:val="20"/>
                <w:szCs w:val="20"/>
                <w:color w:val="auto"/>
              </w:rPr>
            </w:pPr>
            <w:r>
              <w:rPr>
                <w:rFonts w:ascii="Arial" w:cs="Arial" w:eastAsia="Arial" w:hAnsi="Arial"/>
                <w:sz w:val="13"/>
                <w:szCs w:val="13"/>
                <w:color w:val="auto"/>
              </w:rPr>
              <w:t>Asset impairments, restructuring, and other special charges</w:t>
            </w:r>
          </w:p>
        </w:tc>
        <w:tc>
          <w:tcPr>
            <w:tcW w:w="1880" w:type="dxa"/>
            <w:vAlign w:val="bottom"/>
          </w:tcPr>
          <w:p>
            <w:pPr>
              <w:jc w:val="right"/>
              <w:spacing w:after="0"/>
              <w:rPr>
                <w:sz w:val="20"/>
                <w:szCs w:val="20"/>
                <w:color w:val="auto"/>
              </w:rPr>
            </w:pPr>
            <w:r>
              <w:rPr>
                <w:rFonts w:ascii="Arial" w:cs="Arial" w:eastAsia="Arial" w:hAnsi="Arial"/>
                <w:sz w:val="13"/>
                <w:szCs w:val="13"/>
                <w:color w:val="auto"/>
              </w:rPr>
              <w:t>0.28</w:t>
            </w:r>
          </w:p>
        </w:tc>
      </w:tr>
      <w:tr>
        <w:trPr>
          <w:trHeight w:val="229"/>
        </w:trPr>
        <w:tc>
          <w:tcPr>
            <w:tcW w:w="6980" w:type="dxa"/>
            <w:vAlign w:val="bottom"/>
          </w:tcPr>
          <w:p>
            <w:pPr>
              <w:ind w:left="20"/>
              <w:spacing w:after="0"/>
              <w:rPr>
                <w:sz w:val="20"/>
                <w:szCs w:val="20"/>
                <w:color w:val="auto"/>
              </w:rPr>
            </w:pPr>
            <w:r>
              <w:rPr>
                <w:rFonts w:ascii="Arial" w:cs="Arial" w:eastAsia="Arial" w:hAnsi="Arial"/>
                <w:sz w:val="13"/>
                <w:szCs w:val="13"/>
                <w:color w:val="auto"/>
              </w:rPr>
              <w:t>COVID-19 antibodies inventory charges</w:t>
            </w:r>
          </w:p>
        </w:tc>
        <w:tc>
          <w:tcPr>
            <w:tcW w:w="1880" w:type="dxa"/>
            <w:vAlign w:val="bottom"/>
          </w:tcPr>
          <w:p>
            <w:pPr>
              <w:jc w:val="right"/>
              <w:spacing w:after="0"/>
              <w:rPr>
                <w:sz w:val="20"/>
                <w:szCs w:val="20"/>
                <w:color w:val="auto"/>
              </w:rPr>
            </w:pPr>
            <w:r>
              <w:rPr>
                <w:rFonts w:ascii="Arial" w:cs="Arial" w:eastAsia="Arial" w:hAnsi="Arial"/>
                <w:sz w:val="13"/>
                <w:szCs w:val="13"/>
                <w:color w:val="auto"/>
              </w:rPr>
              <w:t>0.25</w:t>
            </w:r>
          </w:p>
        </w:tc>
      </w:tr>
      <w:tr>
        <w:trPr>
          <w:trHeight w:val="223"/>
        </w:trPr>
        <w:tc>
          <w:tcPr>
            <w:tcW w:w="6980" w:type="dxa"/>
            <w:vAlign w:val="bottom"/>
          </w:tcPr>
          <w:p>
            <w:pPr>
              <w:ind w:left="20"/>
              <w:spacing w:after="0"/>
              <w:rPr>
                <w:sz w:val="20"/>
                <w:szCs w:val="20"/>
                <w:color w:val="auto"/>
              </w:rPr>
            </w:pPr>
            <w:r>
              <w:rPr>
                <w:rFonts w:ascii="Arial" w:cs="Arial" w:eastAsia="Arial" w:hAnsi="Arial"/>
                <w:sz w:val="13"/>
                <w:szCs w:val="13"/>
                <w:color w:val="auto"/>
              </w:rPr>
              <w:t>Net gains on investments in equity securities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r>
      <w:tr>
        <w:trPr>
          <w:trHeight w:val="216"/>
        </w:trPr>
        <w:tc>
          <w:tcPr>
            <w:tcW w:w="6980" w:type="dxa"/>
            <w:vAlign w:val="bottom"/>
          </w:tcPr>
          <w:p>
            <w:pPr>
              <w:ind w:left="20"/>
              <w:spacing w:after="0"/>
              <w:rPr>
                <w:sz w:val="20"/>
                <w:szCs w:val="20"/>
                <w:color w:val="auto"/>
              </w:rPr>
            </w:pPr>
            <w:r>
              <w:rPr>
                <w:rFonts w:ascii="Arial" w:cs="Arial" w:eastAsia="Arial" w:hAnsi="Arial"/>
                <w:sz w:val="13"/>
                <w:szCs w:val="13"/>
                <w:color w:val="auto"/>
              </w:rPr>
              <w:t>Non-GAAP EPS</w:t>
            </w:r>
          </w:p>
        </w:tc>
        <w:tc>
          <w:tcPr>
            <w:tcW w:w="1880" w:type="dxa"/>
            <w:vAlign w:val="bottom"/>
          </w:tcPr>
          <w:p>
            <w:pPr>
              <w:jc w:val="right"/>
              <w:spacing w:after="0"/>
              <w:rPr>
                <w:sz w:val="20"/>
                <w:szCs w:val="20"/>
                <w:color w:val="auto"/>
              </w:rPr>
            </w:pPr>
            <w:r>
              <w:rPr>
                <w:rFonts w:ascii="Arial" w:cs="Arial" w:eastAsia="Arial" w:hAnsi="Arial"/>
                <w:sz w:val="13"/>
                <w:szCs w:val="13"/>
                <w:color w:val="auto"/>
              </w:rPr>
              <w:t>$8.16</w:t>
            </w:r>
          </w:p>
        </w:tc>
      </w:tr>
      <w:tr>
        <w:trPr>
          <w:trHeight w:val="216"/>
        </w:trPr>
        <w:tc>
          <w:tcPr>
            <w:tcW w:w="6980" w:type="dxa"/>
            <w:vAlign w:val="bottom"/>
          </w:tcPr>
          <w:p>
            <w:pPr>
              <w:ind w:left="20"/>
              <w:spacing w:after="0"/>
              <w:rPr>
                <w:sz w:val="20"/>
                <w:szCs w:val="20"/>
                <w:color w:val="auto"/>
              </w:rPr>
            </w:pPr>
            <w:r>
              <w:rPr>
                <w:rFonts w:ascii="Arial" w:cs="Arial" w:eastAsia="Arial" w:hAnsi="Arial"/>
                <w:sz w:val="13"/>
                <w:szCs w:val="13"/>
                <w:color w:val="auto"/>
              </w:rPr>
              <w:t>Adjustment for estimated savings from certain discrete and unplanned performance items</w:t>
            </w:r>
          </w:p>
        </w:tc>
        <w:tc>
          <w:tcPr>
            <w:tcW w:w="1880" w:type="dxa"/>
            <w:vAlign w:val="bottom"/>
          </w:tcPr>
          <w:p>
            <w:pPr>
              <w:jc w:val="right"/>
              <w:spacing w:after="0"/>
              <w:rPr>
                <w:sz w:val="20"/>
                <w:szCs w:val="20"/>
                <w:color w:val="auto"/>
              </w:rPr>
            </w:pPr>
            <w:r>
              <w:rPr>
                <w:rFonts w:ascii="Arial" w:cs="Arial" w:eastAsia="Arial" w:hAnsi="Arial"/>
                <w:sz w:val="13"/>
                <w:szCs w:val="13"/>
                <w:color w:val="auto"/>
              </w:rPr>
              <w:t>(0.16)</w:t>
            </w:r>
          </w:p>
        </w:tc>
      </w:tr>
      <w:tr>
        <w:trPr>
          <w:trHeight w:val="28"/>
        </w:trPr>
        <w:tc>
          <w:tcPr>
            <w:tcW w:w="69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2"/>
        </w:trPr>
        <w:tc>
          <w:tcPr>
            <w:tcW w:w="6980" w:type="dxa"/>
            <w:vAlign w:val="bottom"/>
          </w:tcPr>
          <w:p>
            <w:pPr>
              <w:ind w:left="20"/>
              <w:spacing w:after="0"/>
              <w:rPr>
                <w:sz w:val="20"/>
                <w:szCs w:val="20"/>
                <w:color w:val="auto"/>
              </w:rPr>
            </w:pPr>
            <w:r>
              <w:rPr>
                <w:rFonts w:ascii="Arial" w:cs="Arial" w:eastAsia="Arial" w:hAnsi="Arial"/>
                <w:sz w:val="13"/>
                <w:szCs w:val="13"/>
                <w:color w:val="auto"/>
              </w:rPr>
              <w:t>Adjusted Non-GAAP EPS</w:t>
            </w:r>
          </w:p>
        </w:tc>
        <w:tc>
          <w:tcPr>
            <w:tcW w:w="188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283"/>
        </w:trPr>
        <w:tc>
          <w:tcPr>
            <w:tcW w:w="6980" w:type="dxa"/>
            <w:vAlign w:val="bottom"/>
          </w:tcPr>
          <w:p>
            <w:pPr>
              <w:spacing w:after="0"/>
              <w:rPr>
                <w:sz w:val="20"/>
                <w:szCs w:val="20"/>
                <w:color w:val="auto"/>
              </w:rPr>
            </w:pPr>
            <w:r>
              <w:rPr>
                <w:rFonts w:ascii="Arial" w:cs="Arial" w:eastAsia="Arial" w:hAnsi="Arial"/>
                <w:sz w:val="13"/>
                <w:szCs w:val="13"/>
                <w:color w:val="auto"/>
              </w:rPr>
              <w:t>*Numbers may not add due to rounding</w:t>
            </w:r>
          </w:p>
        </w:tc>
        <w:tc>
          <w:tcPr>
            <w:tcW w:w="1880" w:type="dxa"/>
            <w:vAlign w:val="bottom"/>
          </w:tcPr>
          <w:p>
            <w:pPr>
              <w:spacing w:after="0"/>
              <w:rPr>
                <w:sz w:val="24"/>
                <w:szCs w:val="2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 for 2020-2022 Performance Award</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the 2020-2022 performance award payout calculations, the Compensation Committee made the following adjustments to reported EPS consistent with our reporting of non-GAAP financial measures:</w:t>
      </w:r>
    </w:p>
    <w:p>
      <w:pPr>
        <w:spacing w:after="0" w:line="87" w:lineRule="exact"/>
        <w:rPr>
          <w:sz w:val="20"/>
          <w:szCs w:val="20"/>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2019: Eliminated Elanco discontinued operations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2020, and 2019: Eliminated the impact of charges recognized for acquired in-process research and development</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2020, and 2019: Eliminated the impact of amortization of intangible assets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and 2019: Eliminated the impact of charges related to the repurchase of debt</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2020, and 2019: Eliminated the impact of asset impairments, restructuring, and other special charges</w:t>
      </w:r>
    </w:p>
    <w:p>
      <w:pPr>
        <w:spacing w:after="0" w:line="113" w:lineRule="exact"/>
        <w:rPr>
          <w:rFonts w:ascii="Arial" w:cs="Arial" w:eastAsia="Arial" w:hAnsi="Arial"/>
          <w:sz w:val="16"/>
          <w:szCs w:val="16"/>
          <w:color w:val="auto"/>
        </w:rPr>
      </w:pPr>
    </w:p>
    <w:p>
      <w:pPr>
        <w:ind w:left="660" w:right="40" w:hanging="328"/>
        <w:spacing w:after="0" w:line="260" w:lineRule="auto"/>
        <w:tabs>
          <w:tab w:leader="none" w:pos="62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Eliminated the impact of COVID-19 antibodies inventory charges that were recognized primarily due to changes in forecasted demand from U.S. and international governments</w:t>
      </w:r>
    </w:p>
    <w:p>
      <w:pPr>
        <w:spacing w:after="0" w:line="87"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2021, 2020, and 2019: Eliminated the impact of net gains on investments in equity securities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2019: Eliminated the impact of the gain on sale of the China antibiotics business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2019: Eliminated the impact of Lartruvo charges</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2019: Eliminated the impact of reduced shares outstanding from the Elanco exchange offer</w:t>
      </w:r>
    </w:p>
    <w:p>
      <w:pPr>
        <w:spacing w:after="0" w:line="113" w:lineRule="exact"/>
        <w:rPr>
          <w:rFonts w:ascii="Arial" w:cs="Arial" w:eastAsia="Arial" w:hAnsi="Arial"/>
          <w:sz w:val="16"/>
          <w:szCs w:val="16"/>
          <w:color w:val="auto"/>
        </w:rPr>
      </w:pPr>
    </w:p>
    <w:p>
      <w:pPr>
        <w:ind w:left="620" w:hanging="288"/>
        <w:spacing w:after="0"/>
        <w:tabs>
          <w:tab w:leader="none" w:pos="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2019: Eliminated the impact of certain income tax items</w:t>
      </w: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060"/>
          </w:cols>
          <w:pgMar w:left="320" w:top="843" w:right="51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A reconciliation of adjustments to our reported EPS is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right"/>
              <w:ind w:right="213"/>
              <w:spacing w:after="0"/>
              <w:rPr>
                <w:sz w:val="20"/>
                <w:szCs w:val="20"/>
                <w:color w:val="auto"/>
              </w:rPr>
            </w:pPr>
            <w:r>
              <w:rPr>
                <w:rFonts w:ascii="Arial" w:cs="Arial" w:eastAsia="Arial" w:hAnsi="Arial"/>
                <w:sz w:val="13"/>
                <w:szCs w:val="13"/>
                <w:color w:val="auto"/>
              </w:rPr>
              <w:t>% Growth</w:t>
            </w:r>
          </w:p>
        </w:tc>
        <w:tc>
          <w:tcPr>
            <w:tcW w:w="940" w:type="dxa"/>
            <w:vAlign w:val="bottom"/>
            <w:tcBorders>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 Growth 2020</w:t>
            </w:r>
          </w:p>
        </w:tc>
      </w:tr>
      <w:tr>
        <w:trPr>
          <w:trHeight w:val="162"/>
        </w:trPr>
        <w:tc>
          <w:tcPr>
            <w:tcW w:w="370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3"/>
                <w:szCs w:val="13"/>
                <w:color w:val="auto"/>
              </w:rPr>
              <w:t>2021</w:t>
            </w:r>
          </w:p>
        </w:tc>
        <w:tc>
          <w:tcPr>
            <w:tcW w:w="86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color w:val="auto"/>
              </w:rPr>
              <w:t>2020</w:t>
            </w:r>
          </w:p>
        </w:tc>
        <w:tc>
          <w:tcPr>
            <w:tcW w:w="112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color w:val="auto"/>
              </w:rPr>
              <w:t>2021 vs. 2020</w:t>
            </w:r>
          </w:p>
        </w:tc>
        <w:tc>
          <w:tcPr>
            <w:tcW w:w="940" w:type="dxa"/>
            <w:vAlign w:val="bottom"/>
            <w:tcBorders>
              <w:right w:val="single" w:sz="8" w:color="auto"/>
            </w:tcBorders>
          </w:tcPr>
          <w:p>
            <w:pPr>
              <w:jc w:val="right"/>
              <w:ind w:right="273"/>
              <w:spacing w:after="0"/>
              <w:rPr>
                <w:sz w:val="20"/>
                <w:szCs w:val="20"/>
                <w:color w:val="auto"/>
              </w:rPr>
            </w:pPr>
            <w:r>
              <w:rPr>
                <w:rFonts w:ascii="Arial" w:cs="Arial" w:eastAsia="Arial" w:hAnsi="Arial"/>
                <w:sz w:val="13"/>
                <w:szCs w:val="13"/>
                <w:color w:val="auto"/>
              </w:rPr>
              <w:t>2019</w:t>
            </w:r>
          </w:p>
        </w:tc>
        <w:tc>
          <w:tcPr>
            <w:tcW w:w="112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color w:val="auto"/>
              </w:rPr>
              <w:t>vs. 2019</w:t>
            </w:r>
          </w:p>
        </w:tc>
      </w:tr>
      <w:tr>
        <w:trPr>
          <w:trHeight w:val="35"/>
        </w:trPr>
        <w:tc>
          <w:tcPr>
            <w:tcW w:w="3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3"/>
                <w:szCs w:val="13"/>
                <w:color w:val="auto"/>
              </w:rPr>
              <w:t>EPS as reported</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$6.12</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$6.79</w:t>
            </w:r>
          </w:p>
        </w:tc>
        <w:tc>
          <w:tcPr>
            <w:tcW w:w="112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(9.9)%</w:t>
            </w: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$8.89</w:t>
            </w:r>
          </w:p>
        </w:tc>
        <w:tc>
          <w:tcPr>
            <w:tcW w:w="1120" w:type="dxa"/>
            <w:vAlign w:val="bottom"/>
            <w:tcBorders>
              <w:right w:val="single" w:sz="8" w:color="auto"/>
            </w:tcBorders>
          </w:tcPr>
          <w:p>
            <w:pPr>
              <w:jc w:val="right"/>
              <w:ind w:right="193"/>
              <w:spacing w:after="0"/>
              <w:rPr>
                <w:sz w:val="20"/>
                <w:szCs w:val="20"/>
                <w:color w:val="auto"/>
              </w:rPr>
            </w:pPr>
            <w:r>
              <w:rPr>
                <w:rFonts w:ascii="Arial" w:cs="Arial" w:eastAsia="Arial" w:hAnsi="Arial"/>
                <w:sz w:val="13"/>
                <w:szCs w:val="13"/>
                <w:color w:val="auto"/>
              </w:rPr>
              <w:t>(23.6)%</w:t>
            </w:r>
          </w:p>
        </w:tc>
      </w:tr>
      <w:tr>
        <w:trPr>
          <w:trHeight w:val="278"/>
        </w:trPr>
        <w:tc>
          <w:tcPr>
            <w:tcW w:w="3700" w:type="dxa"/>
            <w:vAlign w:val="bottom"/>
          </w:tcPr>
          <w:p>
            <w:pPr>
              <w:ind w:left="300"/>
              <w:spacing w:after="0"/>
              <w:rPr>
                <w:sz w:val="20"/>
                <w:szCs w:val="20"/>
                <w:color w:val="auto"/>
              </w:rPr>
            </w:pPr>
            <w:r>
              <w:rPr>
                <w:rFonts w:ascii="Arial" w:cs="Arial" w:eastAsia="Arial" w:hAnsi="Arial"/>
                <w:sz w:val="13"/>
                <w:szCs w:val="13"/>
                <w:color w:val="auto"/>
              </w:rPr>
              <w:t>Elanco discontinued operations</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(3.93)</w:t>
            </w:r>
          </w:p>
        </w:tc>
        <w:tc>
          <w:tcPr>
            <w:tcW w:w="1120" w:type="dxa"/>
            <w:vAlign w:val="bottom"/>
            <w:tcBorders>
              <w:right w:val="single" w:sz="8" w:color="auto"/>
            </w:tcBorders>
          </w:tcPr>
          <w:p>
            <w:pPr>
              <w:spacing w:after="0"/>
              <w:rPr>
                <w:sz w:val="24"/>
                <w:szCs w:val="24"/>
                <w:color w:val="auto"/>
              </w:rPr>
            </w:pPr>
          </w:p>
        </w:tc>
      </w:tr>
      <w:tr>
        <w:trPr>
          <w:trHeight w:val="216"/>
        </w:trPr>
        <w:tc>
          <w:tcPr>
            <w:tcW w:w="3700" w:type="dxa"/>
            <w:vAlign w:val="bottom"/>
          </w:tcPr>
          <w:p>
            <w:pPr>
              <w:ind w:left="300"/>
              <w:spacing w:after="0"/>
              <w:rPr>
                <w:sz w:val="20"/>
                <w:szCs w:val="20"/>
                <w:color w:val="auto"/>
              </w:rPr>
            </w:pPr>
            <w:r>
              <w:rPr>
                <w:rFonts w:ascii="Arial" w:cs="Arial" w:eastAsia="Arial" w:hAnsi="Arial"/>
                <w:sz w:val="13"/>
                <w:szCs w:val="13"/>
                <w:color w:val="auto"/>
              </w:rPr>
              <w:t>EPS as reported from continuing operations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6.12</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6.79</w:t>
            </w: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4.96</w:t>
            </w:r>
          </w:p>
        </w:tc>
        <w:tc>
          <w:tcPr>
            <w:tcW w:w="1120" w:type="dxa"/>
            <w:vAlign w:val="bottom"/>
            <w:tcBorders>
              <w:right w:val="single" w:sz="8" w:color="auto"/>
            </w:tcBorders>
          </w:tcPr>
          <w:p>
            <w:pPr>
              <w:spacing w:after="0"/>
              <w:rPr>
                <w:sz w:val="18"/>
                <w:szCs w:val="18"/>
                <w:color w:val="auto"/>
              </w:rPr>
            </w:pPr>
          </w:p>
        </w:tc>
      </w:tr>
      <w:tr>
        <w:trPr>
          <w:trHeight w:val="257"/>
        </w:trPr>
        <w:tc>
          <w:tcPr>
            <w:tcW w:w="3700" w:type="dxa"/>
            <w:vAlign w:val="bottom"/>
          </w:tcPr>
          <w:p>
            <w:pPr>
              <w:ind w:left="300"/>
              <w:spacing w:after="0"/>
              <w:rPr>
                <w:sz w:val="20"/>
                <w:szCs w:val="20"/>
                <w:color w:val="auto"/>
              </w:rPr>
            </w:pPr>
            <w:r>
              <w:rPr>
                <w:rFonts w:ascii="Arial" w:cs="Arial" w:eastAsia="Arial" w:hAnsi="Arial"/>
                <w:sz w:val="13"/>
                <w:szCs w:val="13"/>
                <w:color w:val="auto"/>
              </w:rPr>
              <w:t>Acquired in-process research and development charges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0.77</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0.64</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0.21</w:t>
            </w:r>
          </w:p>
        </w:tc>
        <w:tc>
          <w:tcPr>
            <w:tcW w:w="1120" w:type="dxa"/>
            <w:vAlign w:val="bottom"/>
            <w:tcBorders>
              <w:right w:val="single" w:sz="8" w:color="auto"/>
            </w:tcBorders>
          </w:tcPr>
          <w:p>
            <w:pPr>
              <w:spacing w:after="0"/>
              <w:rPr>
                <w:sz w:val="22"/>
                <w:szCs w:val="22"/>
                <w:color w:val="auto"/>
              </w:rPr>
            </w:pPr>
          </w:p>
        </w:tc>
      </w:tr>
      <w:tr>
        <w:trPr>
          <w:trHeight w:val="256"/>
        </w:trPr>
        <w:tc>
          <w:tcPr>
            <w:tcW w:w="3700" w:type="dxa"/>
            <w:vAlign w:val="bottom"/>
          </w:tcPr>
          <w:p>
            <w:pPr>
              <w:ind w:left="300"/>
              <w:spacing w:after="0"/>
              <w:rPr>
                <w:sz w:val="20"/>
                <w:szCs w:val="20"/>
                <w:color w:val="auto"/>
              </w:rPr>
            </w:pPr>
            <w:r>
              <w:rPr>
                <w:rFonts w:ascii="Arial" w:cs="Arial" w:eastAsia="Arial" w:hAnsi="Arial"/>
                <w:sz w:val="13"/>
                <w:szCs w:val="13"/>
                <w:color w:val="auto"/>
              </w:rPr>
              <w:t>Amortization of intangible assets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0.53</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0.36</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0.18</w:t>
            </w:r>
          </w:p>
        </w:tc>
        <w:tc>
          <w:tcPr>
            <w:tcW w:w="1120" w:type="dxa"/>
            <w:vAlign w:val="bottom"/>
            <w:tcBorders>
              <w:right w:val="single" w:sz="8" w:color="auto"/>
            </w:tcBorders>
          </w:tcPr>
          <w:p>
            <w:pPr>
              <w:spacing w:after="0"/>
              <w:rPr>
                <w:sz w:val="22"/>
                <w:szCs w:val="22"/>
                <w:color w:val="auto"/>
              </w:rPr>
            </w:pPr>
          </w:p>
        </w:tc>
      </w:tr>
      <w:tr>
        <w:trPr>
          <w:trHeight w:val="257"/>
        </w:trPr>
        <w:tc>
          <w:tcPr>
            <w:tcW w:w="3700" w:type="dxa"/>
            <w:vAlign w:val="bottom"/>
          </w:tcPr>
          <w:p>
            <w:pPr>
              <w:ind w:left="300"/>
              <w:spacing w:after="0"/>
              <w:rPr>
                <w:sz w:val="20"/>
                <w:szCs w:val="20"/>
                <w:color w:val="auto"/>
              </w:rPr>
            </w:pPr>
            <w:r>
              <w:rPr>
                <w:rFonts w:ascii="Arial" w:cs="Arial" w:eastAsia="Arial" w:hAnsi="Arial"/>
                <w:sz w:val="13"/>
                <w:szCs w:val="13"/>
                <w:color w:val="auto"/>
              </w:rPr>
              <w:t>Charge related to repurchase of debt</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0.35</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0.22</w:t>
            </w:r>
          </w:p>
        </w:tc>
        <w:tc>
          <w:tcPr>
            <w:tcW w:w="1120" w:type="dxa"/>
            <w:vAlign w:val="bottom"/>
            <w:tcBorders>
              <w:right w:val="single" w:sz="8" w:color="auto"/>
            </w:tcBorders>
          </w:tcPr>
          <w:p>
            <w:pPr>
              <w:spacing w:after="0"/>
              <w:rPr>
                <w:sz w:val="22"/>
                <w:szCs w:val="22"/>
                <w:color w:val="auto"/>
              </w:rPr>
            </w:pPr>
          </w:p>
        </w:tc>
      </w:tr>
      <w:tr>
        <w:trPr>
          <w:trHeight w:val="256"/>
        </w:trPr>
        <w:tc>
          <w:tcPr>
            <w:tcW w:w="3700" w:type="dxa"/>
            <w:vAlign w:val="bottom"/>
          </w:tcPr>
          <w:p>
            <w:pPr>
              <w:ind w:left="300"/>
              <w:spacing w:after="0"/>
              <w:rPr>
                <w:sz w:val="20"/>
                <w:szCs w:val="20"/>
                <w:color w:val="auto"/>
              </w:rPr>
            </w:pPr>
            <w:r>
              <w:rPr>
                <w:rFonts w:ascii="Arial" w:cs="Arial" w:eastAsia="Arial" w:hAnsi="Arial"/>
                <w:sz w:val="13"/>
                <w:szCs w:val="13"/>
                <w:color w:val="auto"/>
              </w:rPr>
              <w:t>Asset impairment, restructuring, and other</w:t>
            </w:r>
          </w:p>
        </w:tc>
        <w:tc>
          <w:tcPr>
            <w:tcW w:w="9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r>
      <w:tr>
        <w:trPr>
          <w:trHeight w:val="162"/>
        </w:trPr>
        <w:tc>
          <w:tcPr>
            <w:tcW w:w="3700" w:type="dxa"/>
            <w:vAlign w:val="bottom"/>
          </w:tcPr>
          <w:p>
            <w:pPr>
              <w:ind w:left="300"/>
              <w:spacing w:after="0"/>
              <w:rPr>
                <w:sz w:val="20"/>
                <w:szCs w:val="20"/>
                <w:color w:val="auto"/>
              </w:rPr>
            </w:pPr>
            <w:r>
              <w:rPr>
                <w:rFonts w:ascii="Arial" w:cs="Arial" w:eastAsia="Arial" w:hAnsi="Arial"/>
                <w:sz w:val="13"/>
                <w:szCs w:val="13"/>
                <w:color w:val="auto"/>
              </w:rPr>
              <w:t>special charges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0.28</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0.14</w:t>
            </w:r>
          </w:p>
        </w:tc>
        <w:tc>
          <w:tcPr>
            <w:tcW w:w="11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0.58</w:t>
            </w:r>
          </w:p>
        </w:tc>
        <w:tc>
          <w:tcPr>
            <w:tcW w:w="1120" w:type="dxa"/>
            <w:vAlign w:val="bottom"/>
            <w:tcBorders>
              <w:right w:val="single" w:sz="8" w:color="auto"/>
            </w:tcBorders>
          </w:tcPr>
          <w:p>
            <w:pPr>
              <w:spacing w:after="0"/>
              <w:rPr>
                <w:sz w:val="14"/>
                <w:szCs w:val="14"/>
                <w:color w:val="auto"/>
              </w:rPr>
            </w:pPr>
          </w:p>
        </w:tc>
      </w:tr>
      <w:tr>
        <w:trPr>
          <w:trHeight w:val="257"/>
        </w:trPr>
        <w:tc>
          <w:tcPr>
            <w:tcW w:w="3700" w:type="dxa"/>
            <w:vAlign w:val="bottom"/>
          </w:tcPr>
          <w:p>
            <w:pPr>
              <w:ind w:left="300"/>
              <w:spacing w:after="0"/>
              <w:rPr>
                <w:sz w:val="20"/>
                <w:szCs w:val="20"/>
                <w:color w:val="auto"/>
              </w:rPr>
            </w:pPr>
            <w:r>
              <w:rPr>
                <w:rFonts w:ascii="Arial" w:cs="Arial" w:eastAsia="Arial" w:hAnsi="Arial"/>
                <w:sz w:val="13"/>
                <w:szCs w:val="13"/>
                <w:color w:val="auto"/>
              </w:rPr>
              <w:t>COVID-19 antibodies inventory charges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0.25</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22"/>
                <w:szCs w:val="22"/>
                <w:color w:val="auto"/>
              </w:rPr>
            </w:pPr>
          </w:p>
        </w:tc>
      </w:tr>
      <w:tr>
        <w:trPr>
          <w:trHeight w:val="321"/>
        </w:trPr>
        <w:tc>
          <w:tcPr>
            <w:tcW w:w="3700" w:type="dxa"/>
            <w:vAlign w:val="bottom"/>
          </w:tcPr>
          <w:p>
            <w:pPr>
              <w:ind w:left="300"/>
              <w:spacing w:after="0"/>
              <w:rPr>
                <w:sz w:val="20"/>
                <w:szCs w:val="20"/>
                <w:color w:val="auto"/>
              </w:rPr>
            </w:pPr>
            <w:r>
              <w:rPr>
                <w:rFonts w:ascii="Arial" w:cs="Arial" w:eastAsia="Arial" w:hAnsi="Arial"/>
                <w:sz w:val="13"/>
                <w:szCs w:val="13"/>
                <w:color w:val="auto"/>
              </w:rPr>
              <w:t>Net gains on investments in equity securities</w:t>
            </w:r>
            <w:r>
              <w:rPr>
                <w:rFonts w:ascii="Arial" w:cs="Arial" w:eastAsia="Arial" w:hAnsi="Arial"/>
                <w:sz w:val="17"/>
                <w:szCs w:val="17"/>
                <w:color w:val="auto"/>
                <w:vertAlign w:val="superscript"/>
              </w:rPr>
              <w:t>(a)</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(0.16)</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(1.15)</w:t>
            </w:r>
          </w:p>
        </w:tc>
        <w:tc>
          <w:tcPr>
            <w:tcW w:w="11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(0.31)</w:t>
            </w:r>
          </w:p>
        </w:tc>
        <w:tc>
          <w:tcPr>
            <w:tcW w:w="1120" w:type="dxa"/>
            <w:vAlign w:val="bottom"/>
            <w:tcBorders>
              <w:right w:val="single" w:sz="8" w:color="auto"/>
            </w:tcBorders>
          </w:tcPr>
          <w:p>
            <w:pPr>
              <w:spacing w:after="0"/>
              <w:rPr>
                <w:sz w:val="24"/>
                <w:szCs w:val="24"/>
                <w:color w:val="auto"/>
              </w:rPr>
            </w:pPr>
          </w:p>
        </w:tc>
      </w:tr>
      <w:tr>
        <w:trPr>
          <w:trHeight w:val="192"/>
        </w:trPr>
        <w:tc>
          <w:tcPr>
            <w:tcW w:w="3700" w:type="dxa"/>
            <w:vAlign w:val="bottom"/>
          </w:tcPr>
          <w:p>
            <w:pPr>
              <w:ind w:left="300"/>
              <w:spacing w:after="0"/>
              <w:rPr>
                <w:sz w:val="20"/>
                <w:szCs w:val="20"/>
                <w:color w:val="auto"/>
              </w:rPr>
            </w:pPr>
            <w:r>
              <w:rPr>
                <w:rFonts w:ascii="Arial" w:cs="Arial" w:eastAsia="Arial" w:hAnsi="Arial"/>
                <w:sz w:val="13"/>
                <w:szCs w:val="13"/>
                <w:color w:val="auto"/>
              </w:rPr>
              <w:t>Gain on sale of China antibiotics business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(0.26)</w:t>
            </w:r>
          </w:p>
        </w:tc>
        <w:tc>
          <w:tcPr>
            <w:tcW w:w="1120" w:type="dxa"/>
            <w:vAlign w:val="bottom"/>
            <w:tcBorders>
              <w:right w:val="single" w:sz="8" w:color="auto"/>
            </w:tcBorders>
          </w:tcPr>
          <w:p>
            <w:pPr>
              <w:spacing w:after="0"/>
              <w:rPr>
                <w:sz w:val="16"/>
                <w:szCs w:val="16"/>
                <w:color w:val="auto"/>
              </w:rPr>
            </w:pPr>
          </w:p>
        </w:tc>
      </w:tr>
      <w:tr>
        <w:trPr>
          <w:trHeight w:val="256"/>
        </w:trPr>
        <w:tc>
          <w:tcPr>
            <w:tcW w:w="3700" w:type="dxa"/>
            <w:vAlign w:val="bottom"/>
          </w:tcPr>
          <w:p>
            <w:pPr>
              <w:ind w:left="300"/>
              <w:spacing w:after="0"/>
              <w:rPr>
                <w:sz w:val="20"/>
                <w:szCs w:val="20"/>
                <w:color w:val="auto"/>
              </w:rPr>
            </w:pPr>
            <w:r>
              <w:rPr>
                <w:rFonts w:ascii="Arial" w:cs="Arial" w:eastAsia="Arial" w:hAnsi="Arial"/>
                <w:sz w:val="13"/>
                <w:szCs w:val="13"/>
                <w:color w:val="auto"/>
              </w:rPr>
              <w:t>Lartruvo charges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0.14</w:t>
            </w:r>
          </w:p>
        </w:tc>
        <w:tc>
          <w:tcPr>
            <w:tcW w:w="1120" w:type="dxa"/>
            <w:vAlign w:val="bottom"/>
            <w:tcBorders>
              <w:right w:val="single" w:sz="8" w:color="auto"/>
            </w:tcBorders>
          </w:tcPr>
          <w:p>
            <w:pPr>
              <w:spacing w:after="0"/>
              <w:rPr>
                <w:sz w:val="22"/>
                <w:szCs w:val="22"/>
                <w:color w:val="auto"/>
              </w:rPr>
            </w:pPr>
          </w:p>
        </w:tc>
      </w:tr>
      <w:tr>
        <w:trPr>
          <w:trHeight w:val="216"/>
        </w:trPr>
        <w:tc>
          <w:tcPr>
            <w:tcW w:w="3700" w:type="dxa"/>
            <w:vAlign w:val="bottom"/>
          </w:tcPr>
          <w:p>
            <w:pPr>
              <w:ind w:left="300"/>
              <w:spacing w:after="0"/>
              <w:rPr>
                <w:sz w:val="20"/>
                <w:szCs w:val="20"/>
                <w:color w:val="auto"/>
              </w:rPr>
            </w:pPr>
            <w:r>
              <w:rPr>
                <w:rFonts w:ascii="Arial" w:cs="Arial" w:eastAsia="Arial" w:hAnsi="Arial"/>
                <w:sz w:val="13"/>
                <w:szCs w:val="13"/>
                <w:color w:val="auto"/>
              </w:rPr>
              <w:t>Impact of reduced shares outstanding for non-GAAP</w:t>
            </w:r>
          </w:p>
        </w:tc>
        <w:tc>
          <w:tcPr>
            <w:tcW w:w="9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3700" w:type="dxa"/>
            <w:vAlign w:val="bottom"/>
          </w:tcPr>
          <w:p>
            <w:pPr>
              <w:ind w:left="300"/>
              <w:spacing w:after="0"/>
              <w:rPr>
                <w:sz w:val="20"/>
                <w:szCs w:val="20"/>
                <w:color w:val="auto"/>
              </w:rPr>
            </w:pPr>
            <w:r>
              <w:rPr>
                <w:rFonts w:ascii="Arial" w:cs="Arial" w:eastAsia="Arial" w:hAnsi="Arial"/>
                <w:sz w:val="13"/>
                <w:szCs w:val="13"/>
                <w:color w:val="auto"/>
              </w:rPr>
              <w:t>reporting</w:t>
            </w:r>
            <w:r>
              <w:rPr>
                <w:rFonts w:ascii="Arial" w:cs="Arial" w:eastAsia="Arial" w:hAnsi="Arial"/>
                <w:sz w:val="17"/>
                <w:szCs w:val="17"/>
                <w:color w:val="auto"/>
                <w:vertAlign w:val="superscript"/>
              </w:rPr>
              <w:t>(b)</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0.07</w:t>
            </w:r>
          </w:p>
        </w:tc>
        <w:tc>
          <w:tcPr>
            <w:tcW w:w="1120" w:type="dxa"/>
            <w:vAlign w:val="bottom"/>
            <w:tcBorders>
              <w:right w:val="single" w:sz="8" w:color="auto"/>
            </w:tcBorders>
          </w:tcPr>
          <w:p>
            <w:pPr>
              <w:spacing w:after="0"/>
              <w:rPr>
                <w:sz w:val="18"/>
                <w:szCs w:val="18"/>
                <w:color w:val="auto"/>
              </w:rPr>
            </w:pPr>
          </w:p>
        </w:tc>
      </w:tr>
      <w:tr>
        <w:trPr>
          <w:trHeight w:val="224"/>
        </w:trPr>
        <w:tc>
          <w:tcPr>
            <w:tcW w:w="3700" w:type="dxa"/>
            <w:vAlign w:val="bottom"/>
          </w:tcPr>
          <w:p>
            <w:pPr>
              <w:ind w:left="300"/>
              <w:spacing w:after="0"/>
              <w:rPr>
                <w:sz w:val="20"/>
                <w:szCs w:val="20"/>
                <w:color w:val="auto"/>
              </w:rPr>
            </w:pPr>
            <w:r>
              <w:rPr>
                <w:rFonts w:ascii="Arial" w:cs="Arial" w:eastAsia="Arial" w:hAnsi="Arial"/>
                <w:sz w:val="13"/>
                <w:szCs w:val="13"/>
                <w:color w:val="auto"/>
              </w:rPr>
              <w:t>Impact of certain tax items</w:t>
            </w:r>
            <w:r>
              <w:rPr>
                <w:rFonts w:ascii="Arial" w:cs="Arial" w:eastAsia="Arial" w:hAnsi="Arial"/>
                <w:sz w:val="17"/>
                <w:szCs w:val="17"/>
                <w:color w:val="auto"/>
                <w:vertAlign w:val="superscript"/>
              </w:rPr>
              <w:t>(c)</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(0.05)</w:t>
            </w:r>
          </w:p>
        </w:tc>
        <w:tc>
          <w:tcPr>
            <w:tcW w:w="1120" w:type="dxa"/>
            <w:vAlign w:val="bottom"/>
            <w:tcBorders>
              <w:right w:val="single" w:sz="8" w:color="auto"/>
            </w:tcBorders>
          </w:tcPr>
          <w:p>
            <w:pPr>
              <w:spacing w:after="0"/>
              <w:rPr>
                <w:sz w:val="19"/>
                <w:szCs w:val="19"/>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3"/>
                <w:szCs w:val="13"/>
                <w:color w:val="auto"/>
              </w:rPr>
              <w:t>Non-GAAP EPS</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$8.16</w:t>
            </w:r>
          </w:p>
        </w:tc>
        <w:tc>
          <w:tcPr>
            <w:tcW w:w="8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$6.78</w:t>
            </w:r>
          </w:p>
        </w:tc>
        <w:tc>
          <w:tcPr>
            <w:tcW w:w="11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3"/>
                <w:szCs w:val="13"/>
                <w:color w:val="auto"/>
              </w:rPr>
              <w:t>20.4 %</w:t>
            </w:r>
          </w:p>
        </w:tc>
        <w:tc>
          <w:tcPr>
            <w:tcW w:w="940" w:type="dxa"/>
            <w:vAlign w:val="bottom"/>
            <w:tcBorders>
              <w:right w:val="single" w:sz="8" w:color="auto"/>
            </w:tcBorders>
          </w:tcPr>
          <w:p>
            <w:pPr>
              <w:jc w:val="right"/>
              <w:ind w:right="153"/>
              <w:spacing w:after="0"/>
              <w:rPr>
                <w:sz w:val="20"/>
                <w:szCs w:val="20"/>
                <w:color w:val="auto"/>
              </w:rPr>
            </w:pPr>
            <w:r>
              <w:rPr>
                <w:rFonts w:ascii="Arial" w:cs="Arial" w:eastAsia="Arial" w:hAnsi="Arial"/>
                <w:sz w:val="13"/>
                <w:szCs w:val="13"/>
                <w:color w:val="auto"/>
              </w:rPr>
              <w:t>$5.73</w:t>
            </w:r>
          </w:p>
        </w:tc>
        <w:tc>
          <w:tcPr>
            <w:tcW w:w="112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3"/>
                <w:szCs w:val="13"/>
                <w:color w:val="auto"/>
              </w:rPr>
              <w:t>18.3 %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*Numbers may not add due to rounding</w:t>
      </w:r>
    </w:p>
    <w:p>
      <w:pPr>
        <w:spacing w:after="0" w:line="13" w:lineRule="exact"/>
        <w:rPr>
          <w:sz w:val="20"/>
          <w:szCs w:val="20"/>
          <w:color w:val="auto"/>
        </w:rPr>
      </w:pPr>
    </w:p>
    <w:p>
      <w:pPr>
        <w:ind w:right="60" w:firstLine="8"/>
        <w:spacing w:after="0" w:line="248" w:lineRule="auto"/>
        <w:tabs>
          <w:tab w:leader="none" w:pos="144" w:val="left"/>
        </w:tabs>
        <w:numPr>
          <w:ilvl w:val="0"/>
          <w:numId w:val="130"/>
        </w:numPr>
        <w:rPr>
          <w:rFonts w:ascii="Arial" w:cs="Arial" w:eastAsia="Arial" w:hAnsi="Arial"/>
          <w:sz w:val="16"/>
          <w:szCs w:val="16"/>
          <w:color w:val="auto"/>
          <w:vertAlign w:val="superscript"/>
        </w:rPr>
      </w:pPr>
      <w:r>
        <w:rPr>
          <w:rFonts w:ascii="Arial" w:cs="Arial" w:eastAsia="Arial" w:hAnsi="Arial"/>
          <w:sz w:val="13"/>
          <w:szCs w:val="13"/>
          <w:color w:val="auto"/>
        </w:rPr>
        <w:t>In 2021, the company began excluding gains and losses on investments in equity securities from non-GAAP measures. Prior to 2021, the Compensation Committee made a $0.98 adjustment to 2020 non-GAAP EPS to offset the impact of the net gains on investments in equity securities on EPS results in an amount that significantly exceeded the expected net gains on investments originally included in the EPS plan during 2020. For the 2020-2021 performance award, the Compensation Committee adjusted the 2019 base-year results to which the expected industry growth rates are applied to derive the two-year cumulative EPS goals and recast 2020 non-GAAP EPS to be consistent with the 2021 non-GAAP EPS treatment of gains and losses on investments in equity securities. Those adjusted 2020 and 2019 results are presented in this table for comparability.</w:t>
      </w:r>
    </w:p>
    <w:p>
      <w:pPr>
        <w:spacing w:after="0" w:line="1" w:lineRule="exact"/>
        <w:rPr>
          <w:rFonts w:ascii="Arial" w:cs="Arial" w:eastAsia="Arial" w:hAnsi="Arial"/>
          <w:sz w:val="16"/>
          <w:szCs w:val="16"/>
          <w:color w:val="auto"/>
          <w:vertAlign w:val="superscript"/>
        </w:rPr>
      </w:pPr>
    </w:p>
    <w:p>
      <w:pPr>
        <w:spacing w:after="0" w:line="225" w:lineRule="auto"/>
        <w:rPr>
          <w:rFonts w:ascii="Arial" w:cs="Arial" w:eastAsia="Arial" w:hAnsi="Arial"/>
          <w:sz w:val="16"/>
          <w:szCs w:val="16"/>
          <w:color w:val="auto"/>
          <w:vertAlign w:val="superscript"/>
        </w:rPr>
      </w:pPr>
      <w:r>
        <w:rPr>
          <w:rFonts w:ascii="Arial" w:cs="Arial" w:eastAsia="Arial" w:hAnsi="Arial"/>
          <w:sz w:val="17"/>
          <w:szCs w:val="17"/>
          <w:color w:val="auto"/>
          <w:vertAlign w:val="superscript"/>
        </w:rPr>
        <w:t>(b)</w:t>
      </w:r>
      <w:r>
        <w:rPr>
          <w:rFonts w:ascii="Arial" w:cs="Arial" w:eastAsia="Arial" w:hAnsi="Arial"/>
          <w:sz w:val="13"/>
          <w:szCs w:val="13"/>
          <w:color w:val="auto"/>
        </w:rPr>
        <w:t>Non-GAAP EPS assume that the disposition of Elanco occurred at the beginning of 2019 and, therefore, exclude the approximately 65.0 million shares of Lilly common stock retired in the Elanco exchange offer.</w:t>
      </w:r>
    </w:p>
    <w:p>
      <w:pPr>
        <w:ind w:left="140" w:hanging="132"/>
        <w:spacing w:after="0" w:line="211" w:lineRule="auto"/>
        <w:tabs>
          <w:tab w:leader="none" w:pos="140" w:val="left"/>
        </w:tabs>
        <w:numPr>
          <w:ilvl w:val="0"/>
          <w:numId w:val="131"/>
        </w:numPr>
        <w:rPr>
          <w:rFonts w:ascii="Arial" w:cs="Arial" w:eastAsia="Arial" w:hAnsi="Arial"/>
          <w:sz w:val="16"/>
          <w:szCs w:val="16"/>
          <w:color w:val="auto"/>
          <w:vertAlign w:val="superscript"/>
        </w:rPr>
      </w:pPr>
      <w:r>
        <w:rPr>
          <w:rFonts w:ascii="Arial" w:cs="Arial" w:eastAsia="Arial" w:hAnsi="Arial"/>
          <w:sz w:val="13"/>
          <w:szCs w:val="13"/>
          <w:color w:val="auto"/>
        </w:rPr>
        <w:t>Amount relates to a tax benefit from a capital loss on the disposition of subsidiary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220"/>
          </w:cols>
          <w:pgMar w:left="320" w:top="843" w:right="359" w:bottom="1440" w:gutter="0" w:footer="0" w:header="0"/>
        </w:sectPr>
      </w:pPr>
    </w:p>
    <w:bookmarkStart w:id="91" w:name="page92"/>
    <w:bookmarkEnd w:id="91"/>
    <w:p>
      <w:pPr>
        <w:ind w:right="1000"/>
        <w:spacing w:after="0" w:line="276" w:lineRule="auto"/>
        <w:rPr>
          <w:sz w:val="20"/>
          <w:szCs w:val="20"/>
          <w:color w:val="auto"/>
        </w:rPr>
      </w:pPr>
      <w:r>
        <w:rPr>
          <w:rFonts w:ascii="Arial" w:cs="Arial" w:eastAsia="Arial" w:hAnsi="Arial"/>
          <w:sz w:val="32"/>
          <w:szCs w:val="32"/>
          <w:b w:val="1"/>
          <w:bCs w:val="1"/>
          <w:color w:val="EF3729"/>
        </w:rPr>
        <w:t>Appendix B - Proposed Amendments to the Company's Articles of Incorporation</w:t>
      </w:r>
    </w:p>
    <w:p>
      <w:pPr>
        <w:spacing w:after="0" w:line="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 xml:space="preserve">Proposed changes to the company’s articles of incorporation are shown below related to Items 4 and 5, "Items of Business."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6"/>
          <w:szCs w:val="16"/>
          <w:color w:val="EE2724"/>
        </w:rPr>
        <w:t>lilly.com/leadership/governance</w:t>
      </w:r>
      <w:r>
        <w:rPr>
          <w:rFonts w:ascii="Arial" w:cs="Arial" w:eastAsia="Arial" w:hAnsi="Arial"/>
          <w:sz w:val="16"/>
          <w:szCs w:val="16"/>
          <w:color w:val="000000"/>
        </w:rPr>
        <w:t>.</w:t>
      </w:r>
    </w:p>
    <w:p>
      <w:pPr>
        <w:spacing w:after="0" w:line="326" w:lineRule="exact"/>
        <w:rPr>
          <w:sz w:val="20"/>
          <w:szCs w:val="20"/>
          <w:color w:val="auto"/>
        </w:rPr>
      </w:pPr>
    </w:p>
    <w:p>
      <w:pPr>
        <w:ind w:left="660" w:right="20" w:hanging="4"/>
        <w:spacing w:after="0" w:line="242" w:lineRule="auto"/>
        <w:tabs>
          <w:tab w:leader="none" w:pos="8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01" w:lineRule="exact"/>
        <w:rPr>
          <w:rFonts w:ascii="Arial" w:cs="Arial" w:eastAsia="Arial" w:hAnsi="Arial"/>
          <w:sz w:val="16"/>
          <w:szCs w:val="16"/>
          <w:color w:val="auto"/>
        </w:rPr>
      </w:pPr>
    </w:p>
    <w:p>
      <w:pPr>
        <w:ind w:left="660" w:right="40" w:firstLine="644"/>
        <w:spacing w:after="0" w:line="253" w:lineRule="auto"/>
        <w:tabs>
          <w:tab w:leader="none" w:pos="168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number of directors of the Corporation, exclusive of directors who may be elected by the holders of any one or more series of Preferred Stock pursuant to Article 7(b)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shall not be less than nine, the exact number to be fixed from time to time solely by resolution of the Board of Directors, acting by not less than a majority of the directors then in office.</w:t>
      </w:r>
    </w:p>
    <w:p>
      <w:pPr>
        <w:spacing w:after="0" w:line="93" w:lineRule="exact"/>
        <w:rPr>
          <w:rFonts w:ascii="Arial" w:cs="Arial" w:eastAsia="Arial" w:hAnsi="Arial"/>
          <w:sz w:val="16"/>
          <w:szCs w:val="16"/>
          <w:color w:val="auto"/>
        </w:rPr>
      </w:pPr>
    </w:p>
    <w:p>
      <w:pPr>
        <w:ind w:left="660" w:firstLine="644"/>
        <w:spacing w:after="0" w:line="247" w:lineRule="auto"/>
        <w:tabs>
          <w:tab w:leader="none" w:pos="168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Prior to the 2023 annual meeting of directors, T</w:t>
      </w:r>
      <w:r>
        <w:rPr>
          <w:rFonts w:ascii="Arial" w:cs="Arial" w:eastAsia="Arial" w:hAnsi="Arial"/>
          <w:sz w:val="16"/>
          <w:szCs w:val="16"/>
          <w:color w:val="auto"/>
          <w:strike w:val="1"/>
        </w:rPr>
        <w:t>t</w:t>
      </w:r>
      <w:r>
        <w:rPr>
          <w:rFonts w:ascii="Arial" w:cs="Arial" w:eastAsia="Arial" w:hAnsi="Arial"/>
          <w:sz w:val="16"/>
          <w:szCs w:val="16"/>
          <w:color w:val="auto"/>
        </w:rPr>
        <w:t xml:space="preserve">he Board of Directors (exclusive of Preferred Stock Directors) shall be divided into three classes, with the term of office of one class expiring each year. </w:t>
      </w:r>
      <w:r>
        <w:rPr>
          <w:rFonts w:ascii="Arial" w:cs="Arial" w:eastAsia="Arial" w:hAnsi="Arial"/>
          <w:sz w:val="16"/>
          <w:szCs w:val="16"/>
          <w:color w:val="auto"/>
          <w:strike w:val="1"/>
        </w:rPr>
        <w:t>At the annual meeting of shareholders in 1985, five directors of the first class</w:t>
      </w:r>
      <w:r>
        <w:rPr>
          <w:rFonts w:ascii="Arial" w:cs="Arial" w:eastAsia="Arial" w:hAnsi="Arial"/>
          <w:sz w:val="16"/>
          <w:szCs w:val="16"/>
          <w:color w:val="auto"/>
        </w:rPr>
        <w:t xml:space="preserve"> </w:t>
      </w:r>
      <w:r>
        <w:rPr>
          <w:rFonts w:ascii="Arial" w:cs="Arial" w:eastAsia="Arial" w:hAnsi="Arial"/>
          <w:sz w:val="16"/>
          <w:szCs w:val="16"/>
          <w:color w:val="auto"/>
          <w:strike w:val="1"/>
        </w:rPr>
        <w:t>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6"/>
          <w:szCs w:val="16"/>
          <w:u w:val="single" w:color="auto"/>
          <w:color w:val="auto"/>
          <w:strike w:val="1"/>
        </w:rPr>
        <w:t>2023</w:t>
      </w:r>
      <w:r>
        <w:rPr>
          <w:rFonts w:ascii="Arial" w:cs="Arial" w:eastAsia="Arial" w:hAnsi="Arial"/>
          <w:sz w:val="16"/>
          <w:szCs w:val="16"/>
          <w:color w:val="auto"/>
          <w:strike w:val="1"/>
        </w:rPr>
        <w:t>, each class of directors whose term shall then expire shall be elected to hold office for a three</w:t>
      </w:r>
      <w:r>
        <w:rPr>
          <w:rFonts w:ascii="Arial" w:cs="Arial" w:eastAsia="Arial" w:hAnsi="Arial"/>
          <w:sz w:val="16"/>
          <w:szCs w:val="16"/>
          <w:u w:val="single" w:color="auto"/>
          <w:color w:val="auto"/>
          <w:strike w:val="1"/>
        </w:rPr>
        <w:t>one</w:t>
      </w:r>
      <w:r>
        <w:rPr>
          <w:rFonts w:ascii="Arial" w:cs="Arial" w:eastAsia="Arial" w:hAnsi="Arial"/>
          <w:sz w:val="16"/>
          <w:szCs w:val="16"/>
          <w:color w:val="auto"/>
          <w:strike w:val="1"/>
        </w:rPr>
        <w:t xml:space="preserve">-year term </w:t>
      </w:r>
      <w:r>
        <w:rPr>
          <w:rFonts w:ascii="Arial" w:cs="Arial" w:eastAsia="Arial" w:hAnsi="Arial"/>
          <w:sz w:val="16"/>
          <w:szCs w:val="16"/>
          <w:u w:val="single" w:color="auto"/>
          <w:color w:val="auto"/>
          <w:strike w:val="1"/>
        </w:rPr>
        <w:t>expiring at the next annual meeting of shareholders</w:t>
      </w:r>
      <w:r>
        <w:rPr>
          <w:rFonts w:ascii="Arial" w:cs="Arial" w:eastAsia="Arial" w:hAnsi="Arial"/>
          <w:sz w:val="16"/>
          <w:szCs w:val="16"/>
          <w:color w:val="auto"/>
          <w:strike w:val="1"/>
        </w:rPr>
        <w:t xml:space="preserve">. In the case of any vacancy on the Board of Directors, including a vacancy created by an increase in the number of </w:t>
      </w:r>
      <w:r>
        <w:rPr>
          <w:rFonts w:ascii="Arial" w:cs="Arial" w:eastAsia="Arial" w:hAnsi="Arial"/>
          <w:sz w:val="16"/>
          <w:szCs w:val="16"/>
          <w:u w:val="single" w:color="auto"/>
          <w:color w:val="auto"/>
          <w:strike w:val="1"/>
        </w:rPr>
        <w:t>D</w:t>
      </w:r>
      <w:r>
        <w:rPr>
          <w:rFonts w:ascii="Arial" w:cs="Arial" w:eastAsia="Arial" w:hAnsi="Arial"/>
          <w:sz w:val="16"/>
          <w:szCs w:val="16"/>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6"/>
          <w:szCs w:val="16"/>
          <w:u w:val="single" w:color="auto"/>
          <w:color w:val="auto"/>
          <w:strike w:val="1"/>
        </w:rPr>
        <w:t>until the next annual meeting of shareholders</w:t>
      </w:r>
      <w:r>
        <w:rPr>
          <w:rFonts w:ascii="Arial" w:cs="Arial" w:eastAsia="Arial" w:hAnsi="Arial"/>
          <w:sz w:val="16"/>
          <w:szCs w:val="16"/>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03" w:lineRule="exact"/>
        <w:rPr>
          <w:rFonts w:ascii="Arial" w:cs="Arial" w:eastAsia="Arial" w:hAnsi="Arial"/>
          <w:sz w:val="16"/>
          <w:szCs w:val="16"/>
          <w:color w:val="auto"/>
        </w:rPr>
      </w:pPr>
    </w:p>
    <w:p>
      <w:pPr>
        <w:ind w:left="660" w:right="40" w:firstLine="644"/>
        <w:spacing w:after="0" w:line="253" w:lineRule="auto"/>
        <w:tabs>
          <w:tab w:leader="none" w:pos="166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6"/>
          <w:szCs w:val="16"/>
          <w:color w:val="auto"/>
          <w:strike w:val="1"/>
        </w:rPr>
        <w:t>80%</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w:t>
      </w:r>
      <w:r>
        <w:rPr>
          <w:rFonts w:ascii="Arial" w:cs="Arial" w:eastAsia="Arial" w:hAnsi="Arial"/>
          <w:sz w:val="16"/>
          <w:szCs w:val="16"/>
          <w:color w:val="auto"/>
          <w:strike w:val="1"/>
        </w:rPr>
        <w:t>entitled to be</w:t>
      </w:r>
      <w:r>
        <w:rPr>
          <w:rFonts w:ascii="Arial" w:cs="Arial" w:eastAsia="Arial" w:hAnsi="Arial"/>
          <w:sz w:val="16"/>
          <w:szCs w:val="16"/>
          <w:color w:val="auto"/>
        </w:rPr>
        <w:t xml:space="preserve"> cast by holders of all the outstanding shares of Voting Stock (as defined in Article 13 hereof), voting together as a single class.</w:t>
      </w:r>
    </w:p>
    <w:p>
      <w:pPr>
        <w:spacing w:after="0" w:line="93" w:lineRule="exact"/>
        <w:rPr>
          <w:rFonts w:ascii="Arial" w:cs="Arial" w:eastAsia="Arial" w:hAnsi="Arial"/>
          <w:sz w:val="16"/>
          <w:szCs w:val="16"/>
          <w:color w:val="auto"/>
        </w:rPr>
      </w:pPr>
    </w:p>
    <w:p>
      <w:pPr>
        <w:jc w:val="both"/>
        <w:ind w:left="660" w:right="60" w:firstLine="644"/>
        <w:spacing w:after="0" w:line="251" w:lineRule="auto"/>
        <w:tabs>
          <w:tab w:leader="none" w:pos="1686" w:val="left"/>
        </w:tabs>
        <w:numPr>
          <w:ilvl w:val="1"/>
          <w:numId w:val="132"/>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-737870</wp:posOffset>
            </wp:positionV>
            <wp:extent cx="28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8" w:lineRule="exact"/>
        <w:rPr>
          <w:sz w:val="20"/>
          <w:szCs w:val="20"/>
          <w:color w:val="auto"/>
        </w:rPr>
      </w:pPr>
    </w:p>
    <w:p>
      <w:pPr>
        <w:ind w:left="660" w:right="40" w:hanging="4"/>
        <w:spacing w:after="0" w:line="228" w:lineRule="auto"/>
        <w:tabs>
          <w:tab w:leader="none" w:pos="93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w:t>
      </w:r>
    </w:p>
    <w:p>
      <w:pPr>
        <w:spacing w:after="0" w:line="2" w:lineRule="exact"/>
        <w:rPr>
          <w:rFonts w:ascii="Arial" w:cs="Arial" w:eastAsia="Arial" w:hAnsi="Arial"/>
          <w:sz w:val="16"/>
          <w:szCs w:val="16"/>
          <w:color w:val="auto"/>
        </w:rPr>
      </w:pPr>
    </w:p>
    <w:p>
      <w:pPr>
        <w:ind w:left="880" w:hanging="224"/>
        <w:spacing w:after="0"/>
        <w:tabs>
          <w:tab w:leader="none" w:pos="8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are satisfied.</w:t>
      </w:r>
    </w:p>
    <w:p>
      <w:pPr>
        <w:spacing w:after="0" w:line="99" w:lineRule="exact"/>
        <w:rPr>
          <w:rFonts w:ascii="Arial" w:cs="Arial" w:eastAsia="Arial" w:hAnsi="Arial"/>
          <w:sz w:val="16"/>
          <w:szCs w:val="16"/>
          <w:color w:val="auto"/>
        </w:rPr>
      </w:pPr>
    </w:p>
    <w:p>
      <w:pPr>
        <w:ind w:left="1680" w:hanging="376"/>
        <w:spacing w:after="0"/>
        <w:tabs>
          <w:tab w:leader="none" w:pos="16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actions or transactions within the scope of this Article 13 are as follows:</w:t>
      </w:r>
    </w:p>
    <w:p>
      <w:pPr>
        <w:spacing w:after="0" w:line="113" w:lineRule="exact"/>
        <w:rPr>
          <w:rFonts w:ascii="Arial" w:cs="Arial" w:eastAsia="Arial" w:hAnsi="Arial"/>
          <w:sz w:val="16"/>
          <w:szCs w:val="16"/>
          <w:color w:val="auto"/>
        </w:rPr>
      </w:pPr>
    </w:p>
    <w:p>
      <w:pPr>
        <w:ind w:left="2280" w:hanging="328"/>
        <w:spacing w:after="0"/>
        <w:tabs>
          <w:tab w:leader="none" w:pos="2280" w:val="left"/>
        </w:tabs>
        <w:numPr>
          <w:ilvl w:val="2"/>
          <w:numId w:val="134"/>
        </w:numPr>
        <w:rPr>
          <w:rFonts w:ascii="Arial" w:cs="Arial" w:eastAsia="Arial" w:hAnsi="Arial"/>
          <w:sz w:val="16"/>
          <w:szCs w:val="16"/>
          <w:color w:val="auto"/>
        </w:rPr>
      </w:pPr>
      <w:r>
        <w:rPr>
          <w:rFonts w:ascii="Arial" w:cs="Arial" w:eastAsia="Arial" w:hAnsi="Arial"/>
          <w:sz w:val="16"/>
          <w:szCs w:val="16"/>
          <w:color w:val="auto"/>
        </w:rPr>
        <w:t xml:space="preserve">any merger or consolidation of </w:t>
      </w:r>
      <w:r>
        <w:rPr>
          <w:rFonts w:ascii="Arial" w:cs="Arial" w:eastAsia="Arial" w:hAnsi="Arial"/>
          <w:sz w:val="16"/>
          <w:szCs w:val="16"/>
          <w:color w:val="auto"/>
          <w:strike w:val="1"/>
        </w:rPr>
        <w:t>the Corporation or</w:t>
      </w:r>
      <w:r>
        <w:rPr>
          <w:rFonts w:ascii="Arial" w:cs="Arial" w:eastAsia="Arial" w:hAnsi="Arial"/>
          <w:sz w:val="16"/>
          <w:szCs w:val="16"/>
          <w:color w:val="auto"/>
        </w:rPr>
        <w:t xml:space="preserve"> any of </w:t>
      </w:r>
      <w:r>
        <w:rPr>
          <w:rFonts w:ascii="Arial" w:cs="Arial" w:eastAsia="Arial" w:hAnsi="Arial"/>
          <w:sz w:val="16"/>
          <w:szCs w:val="16"/>
          <w:color w:val="auto"/>
          <w:strike w:val="1"/>
        </w:rPr>
        <w:t>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Corporation’s</w:t>
      </w:r>
      <w:r>
        <w:rPr>
          <w:rFonts w:ascii="Arial" w:cs="Arial" w:eastAsia="Arial" w:hAnsi="Arial"/>
          <w:sz w:val="16"/>
          <w:szCs w:val="16"/>
          <w:color w:val="auto"/>
        </w:rPr>
        <w:t xml:space="preserve"> subsidiaries into or with such Related Person;</w:t>
      </w:r>
    </w:p>
    <w:p>
      <w:pPr>
        <w:spacing w:after="0" w:line="113" w:lineRule="exact"/>
        <w:rPr>
          <w:rFonts w:ascii="Arial" w:cs="Arial" w:eastAsia="Arial" w:hAnsi="Arial"/>
          <w:sz w:val="16"/>
          <w:szCs w:val="16"/>
          <w:color w:val="auto"/>
        </w:rPr>
      </w:pPr>
    </w:p>
    <w:p>
      <w:pPr>
        <w:ind w:left="1300" w:right="120" w:firstLine="652"/>
        <w:spacing w:after="0" w:line="260" w:lineRule="auto"/>
        <w:tabs>
          <w:tab w:leader="none" w:pos="2308" w:val="left"/>
        </w:tabs>
        <w:numPr>
          <w:ilvl w:val="2"/>
          <w:numId w:val="134"/>
        </w:numPr>
        <w:rPr>
          <w:rFonts w:ascii="Arial" w:cs="Arial" w:eastAsia="Arial" w:hAnsi="Arial"/>
          <w:sz w:val="16"/>
          <w:szCs w:val="16"/>
          <w:color w:val="auto"/>
        </w:rPr>
      </w:pPr>
      <w:r>
        <w:rPr>
          <w:rFonts w:ascii="Arial" w:cs="Arial" w:eastAsia="Arial" w:hAnsi="Arial"/>
          <w:sz w:val="16"/>
          <w:szCs w:val="16"/>
          <w:color w:val="auto"/>
        </w:rPr>
        <w:t xml:space="preserve">any sale, lease, exchange, or other disposition of all or any substantial part of the assets of </w:t>
      </w:r>
      <w:r>
        <w:rPr>
          <w:rFonts w:ascii="Arial" w:cs="Arial" w:eastAsia="Arial" w:hAnsi="Arial"/>
          <w:sz w:val="16"/>
          <w:szCs w:val="16"/>
          <w:color w:val="auto"/>
          <w:strike w:val="1"/>
        </w:rPr>
        <w:t>the Corporation</w:t>
      </w:r>
      <w:r>
        <w:rPr>
          <w:rFonts w:ascii="Arial" w:cs="Arial" w:eastAsia="Arial" w:hAnsi="Arial"/>
          <w:sz w:val="16"/>
          <w:szCs w:val="16"/>
          <w:color w:val="auto"/>
        </w:rPr>
        <w:t xml:space="preserve"> or any of i</w:t>
      </w:r>
      <w:r>
        <w:rPr>
          <w:rFonts w:ascii="Arial" w:cs="Arial" w:eastAsia="Arial" w:hAnsi="Arial"/>
          <w:sz w:val="16"/>
          <w:szCs w:val="16"/>
          <w:color w:val="auto"/>
          <w:strike w:val="1"/>
        </w:rPr>
        <w:t>ts</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Corporation’s</w:t>
      </w:r>
      <w:r>
        <w:rPr>
          <w:rFonts w:ascii="Arial" w:cs="Arial" w:eastAsia="Arial" w:hAnsi="Arial"/>
          <w:sz w:val="16"/>
          <w:szCs w:val="16"/>
          <w:color w:val="auto"/>
        </w:rPr>
        <w:t xml:space="preserve"> majority-owned subsidiaries to or with such Related Person;</w:t>
      </w:r>
    </w:p>
    <w:p>
      <w:pPr>
        <w:spacing w:after="0" w:line="87" w:lineRule="exact"/>
        <w:rPr>
          <w:rFonts w:ascii="Arial" w:cs="Arial" w:eastAsia="Arial" w:hAnsi="Arial"/>
          <w:sz w:val="16"/>
          <w:szCs w:val="16"/>
          <w:color w:val="auto"/>
        </w:rPr>
      </w:pPr>
    </w:p>
    <w:p>
      <w:pPr>
        <w:ind w:left="1300" w:right="480" w:firstLine="652"/>
        <w:spacing w:after="0" w:line="260" w:lineRule="auto"/>
        <w:tabs>
          <w:tab w:leader="none" w:pos="2344"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00"/>
          </w:cols>
          <w:pgMar w:left="320" w:top="1129" w:right="379" w:bottom="1440" w:gutter="0" w:footer="0" w:header="0"/>
        </w:sectPr>
      </w:pPr>
    </w:p>
    <w:bookmarkStart w:id="92" w:name="page93"/>
    <w:bookmarkEnd w:id="92"/>
    <w:p>
      <w:pPr>
        <w:ind w:left="1280" w:hanging="448"/>
        <w:spacing w:after="0"/>
        <w:tabs>
          <w:tab w:leader="none" w:pos="1280" w:val="left"/>
        </w:tabs>
        <w:numPr>
          <w:ilvl w:val="0"/>
          <w:numId w:val="135"/>
        </w:numPr>
        <w:rPr>
          <w:rFonts w:ascii="Arial" w:cs="Arial" w:eastAsia="Arial" w:hAnsi="Arial"/>
          <w:sz w:val="16"/>
          <w:szCs w:val="16"/>
          <w:color w:val="auto"/>
          <w:strike w:val="1"/>
        </w:rPr>
      </w:pPr>
      <w:r>
        <w:rPr>
          <w:rFonts w:ascii="Arial" w:cs="Arial" w:eastAsia="Arial" w:hAnsi="Arial"/>
          <w:sz w:val="16"/>
          <w:szCs w:val="16"/>
          <w:color w:val="auto"/>
          <w:strike w:val="1"/>
        </w:rPr>
        <w:t>any voluntary dissolution or liquidation of the Corporation;</w:t>
      </w:r>
    </w:p>
    <w:p>
      <w:pPr>
        <w:spacing w:after="0" w:line="113" w:lineRule="exact"/>
        <w:rPr>
          <w:sz w:val="20"/>
          <w:szCs w:val="20"/>
          <w:color w:val="auto"/>
        </w:rPr>
      </w:pPr>
    </w:p>
    <w:p>
      <w:pPr>
        <w:ind w:left="180" w:right="6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w:t>
      </w:r>
      <w:r>
        <w:rPr>
          <w:rFonts w:ascii="Arial" w:cs="Arial" w:eastAsia="Arial" w:hAnsi="Arial"/>
          <w:sz w:val="16"/>
          <w:szCs w:val="16"/>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95" w:lineRule="exact"/>
        <w:rPr>
          <w:sz w:val="20"/>
          <w:szCs w:val="20"/>
          <w:color w:val="auto"/>
        </w:rPr>
      </w:pPr>
    </w:p>
    <w:p>
      <w:pPr>
        <w:ind w:left="180" w:right="480" w:firstLine="648"/>
        <w:spacing w:after="0" w:line="260" w:lineRule="auto"/>
        <w:rPr>
          <w:sz w:val="20"/>
          <w:szCs w:val="20"/>
          <w:color w:val="auto"/>
        </w:rPr>
      </w:pPr>
      <w:r>
        <w:rPr>
          <w:rFonts w:ascii="Arial" w:cs="Arial" w:eastAsia="Arial" w:hAnsi="Arial"/>
          <w:sz w:val="16"/>
          <w:szCs w:val="16"/>
          <w:color w:val="auto"/>
        </w:rPr>
        <w:t>(v</w:t>
      </w:r>
      <w:r>
        <w:rPr>
          <w:rFonts w:ascii="Arial" w:cs="Arial" w:eastAsia="Arial" w:hAnsi="Arial"/>
          <w:sz w:val="16"/>
          <w:szCs w:val="16"/>
          <w:color w:val="auto"/>
          <w:strike w:val="1"/>
        </w:rPr>
        <w:t>i</w:t>
      </w:r>
      <w:r>
        <w:rPr>
          <w:rFonts w:ascii="Arial" w:cs="Arial" w:eastAsia="Arial" w:hAnsi="Arial"/>
          <w:sz w:val="16"/>
          <w:szCs w:val="16"/>
          <w:color w:val="auto"/>
        </w:rPr>
        <w:t>) any agreement, contract, or other arrangement providing for any one or more of the actions specified in the foregoing clauses (i) through (iv).</w:t>
      </w:r>
    </w:p>
    <w:p>
      <w:pPr>
        <w:spacing w:after="0" w:line="87" w:lineRule="exact"/>
        <w:rPr>
          <w:sz w:val="20"/>
          <w:szCs w:val="20"/>
          <w:color w:val="auto"/>
        </w:rPr>
      </w:pPr>
    </w:p>
    <w:p>
      <w:pPr>
        <w:ind w:left="-460" w:right="100" w:firstLine="725"/>
        <w:spacing w:after="0" w:line="260" w:lineRule="auto"/>
        <w:tabs>
          <w:tab w:leader="none" w:pos="64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actions and transactions described in paragraph (a) of this Article 13 shall have been authorized by the affirmative vote of </w:t>
      </w:r>
      <w:r>
        <w:rPr>
          <w:rFonts w:ascii="Arial" w:cs="Arial" w:eastAsia="Arial" w:hAnsi="Arial"/>
          <w:sz w:val="16"/>
          <w:szCs w:val="16"/>
          <w:color w:val="auto"/>
          <w:strike w:val="1"/>
        </w:rPr>
        <w:t>at</w:t>
      </w:r>
      <w:r>
        <w:rPr>
          <w:rFonts w:ascii="Arial" w:cs="Arial" w:eastAsia="Arial" w:hAnsi="Arial"/>
          <w:sz w:val="16"/>
          <w:szCs w:val="16"/>
          <w:color w:val="auto"/>
        </w:rPr>
        <w:t xml:space="preserve"> </w:t>
      </w:r>
      <w:r>
        <w:rPr>
          <w:rFonts w:ascii="Arial" w:cs="Arial" w:eastAsia="Arial" w:hAnsi="Arial"/>
          <w:sz w:val="16"/>
          <w:szCs w:val="16"/>
          <w:color w:val="auto"/>
          <w:strike w:val="1"/>
        </w:rPr>
        <w:t>least 80% of all</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votes entitled to be cast by holders of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the outstanding shares of Voting Stock, voting together as a single class.</w:t>
      </w:r>
    </w:p>
    <w:p>
      <w:pPr>
        <w:spacing w:after="0" w:line="87" w:lineRule="exact"/>
        <w:rPr>
          <w:rFonts w:ascii="Arial" w:cs="Arial" w:eastAsia="Arial" w:hAnsi="Arial"/>
          <w:sz w:val="16"/>
          <w:szCs w:val="16"/>
          <w:color w:val="auto"/>
        </w:rPr>
      </w:pPr>
    </w:p>
    <w:p>
      <w:pPr>
        <w:ind w:left="-460" w:right="80" w:firstLine="725"/>
        <w:spacing w:after="0" w:line="253" w:lineRule="auto"/>
        <w:tabs>
          <w:tab w:leader="none" w:pos="63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Notwithstanding paragraph (b) of this Article 13, the </w:t>
      </w:r>
      <w:r>
        <w:rPr>
          <w:rFonts w:ascii="Arial" w:cs="Arial" w:eastAsia="Arial" w:hAnsi="Arial"/>
          <w:sz w:val="16"/>
          <w:szCs w:val="16"/>
          <w:color w:val="auto"/>
          <w:strike w:val="1"/>
        </w:rPr>
        <w:t>80%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shareholder approval</w:t>
      </w:r>
      <w:r>
        <w:rPr>
          <w:rFonts w:ascii="Arial" w:cs="Arial" w:eastAsia="Arial" w:hAnsi="Arial"/>
          <w:sz w:val="16"/>
          <w:szCs w:val="16"/>
          <w:color w:val="auto"/>
        </w:rPr>
        <w:t xml:space="preserve"> requirement </w:t>
      </w:r>
      <w:r>
        <w:rPr>
          <w:rFonts w:ascii="Arial" w:cs="Arial" w:eastAsia="Arial" w:hAnsi="Arial"/>
          <w:sz w:val="16"/>
          <w:szCs w:val="16"/>
          <w:u w:val="single" w:color="auto"/>
          <w:color w:val="auto"/>
        </w:rPr>
        <w:t>set forth in paragraph (b)</w:t>
      </w:r>
      <w:r>
        <w:rPr>
          <w:rFonts w:ascii="Arial" w:cs="Arial" w:eastAsia="Arial" w:hAnsi="Arial"/>
          <w:sz w:val="16"/>
          <w:szCs w:val="16"/>
          <w:color w:val="auto"/>
        </w:rPr>
        <w:t xml:space="preserve"> shall not be applicable if any action or transaction specified in paragraph (a) is approved by the Corporation’s Board of Directors and by a majority of the Continuing Directors (as hereinafter defined).</w:t>
      </w:r>
    </w:p>
    <w:p>
      <w:pPr>
        <w:spacing w:after="0" w:line="93" w:lineRule="exact"/>
        <w:rPr>
          <w:rFonts w:ascii="Arial" w:cs="Arial" w:eastAsia="Arial" w:hAnsi="Arial"/>
          <w:sz w:val="16"/>
          <w:szCs w:val="16"/>
          <w:color w:val="auto"/>
        </w:rPr>
      </w:pPr>
    </w:p>
    <w:p>
      <w:pPr>
        <w:ind w:left="-460" w:right="320" w:firstLine="725"/>
        <w:spacing w:after="0" w:line="260" w:lineRule="auto"/>
        <w:tabs>
          <w:tab w:leader="none" w:pos="64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Unless approved by a majority of the Continuing Directors, after becoming a Related Person and prior to consummation of such action or transaction.:</w:t>
      </w:r>
    </w:p>
    <w:p>
      <w:pPr>
        <w:spacing w:after="0" w:line="87" w:lineRule="exact"/>
        <w:rPr>
          <w:rFonts w:ascii="Arial" w:cs="Arial" w:eastAsia="Arial" w:hAnsi="Arial"/>
          <w:sz w:val="16"/>
          <w:szCs w:val="16"/>
          <w:color w:val="auto"/>
        </w:rPr>
      </w:pPr>
    </w:p>
    <w:p>
      <w:pPr>
        <w:ind w:left="180" w:right="40" w:firstLine="652"/>
        <w:spacing w:after="0" w:line="251" w:lineRule="auto"/>
        <w:tabs>
          <w:tab w:leader="none" w:pos="1152"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94" w:lineRule="exact"/>
        <w:rPr>
          <w:rFonts w:ascii="Arial" w:cs="Arial" w:eastAsia="Arial" w:hAnsi="Arial"/>
          <w:sz w:val="16"/>
          <w:szCs w:val="16"/>
          <w:color w:val="auto"/>
        </w:rPr>
      </w:pPr>
    </w:p>
    <w:p>
      <w:pPr>
        <w:ind w:left="180" w:right="160" w:firstLine="652"/>
        <w:spacing w:after="0" w:line="250" w:lineRule="auto"/>
        <w:tabs>
          <w:tab w:leader="none" w:pos="1188" w:val="left"/>
        </w:tabs>
        <w:numPr>
          <w:ilvl w:val="2"/>
          <w:numId w:val="136"/>
        </w:numPr>
        <w:rPr>
          <w:rFonts w:ascii="Arial" w:cs="Arial" w:eastAsia="Arial" w:hAnsi="Arial"/>
          <w:sz w:val="16"/>
          <w:szCs w:val="16"/>
          <w:color w:val="auto"/>
        </w:rPr>
      </w:pPr>
      <w:r>
        <w:rPr>
          <w:rFonts w:ascii="Arial" w:cs="Arial" w:eastAsia="Arial" w:hAnsi="Arial"/>
          <w:sz w:val="16"/>
          <w:szCs w:val="16"/>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94" w:lineRule="exact"/>
        <w:rPr>
          <w:rFonts w:ascii="Arial" w:cs="Arial" w:eastAsia="Arial" w:hAnsi="Arial"/>
          <w:sz w:val="16"/>
          <w:szCs w:val="16"/>
          <w:color w:val="auto"/>
        </w:rPr>
      </w:pPr>
    </w:p>
    <w:p>
      <w:pPr>
        <w:ind w:left="180" w:right="20" w:firstLine="652"/>
        <w:spacing w:after="0" w:line="250" w:lineRule="auto"/>
        <w:tabs>
          <w:tab w:leader="none" w:pos="1224" w:val="left"/>
        </w:tabs>
        <w:numPr>
          <w:ilvl w:val="2"/>
          <w:numId w:val="136"/>
        </w:numPr>
        <w:rPr>
          <w:rFonts w:ascii="Arial" w:cs="Arial" w:eastAsia="Arial" w:hAnsi="Arial"/>
          <w:sz w:val="16"/>
          <w:szCs w:val="16"/>
          <w:color w:val="auto"/>
        </w:rPr>
      </w:pPr>
      <w:r>
        <w:rPr>
          <w:rFonts w:ascii="Arial" w:cs="Arial" w:eastAsia="Arial" w:hAnsi="Arial"/>
          <w:sz w:val="16"/>
          <w:szCs w:val="16"/>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94" w:lineRule="exact"/>
        <w:rPr>
          <w:rFonts w:ascii="Arial" w:cs="Arial" w:eastAsia="Arial" w:hAnsi="Arial"/>
          <w:sz w:val="16"/>
          <w:szCs w:val="16"/>
          <w:color w:val="auto"/>
        </w:rPr>
      </w:pPr>
    </w:p>
    <w:p>
      <w:pPr>
        <w:ind w:left="-460" w:right="100" w:firstLine="644"/>
        <w:spacing w:after="0" w:line="248" w:lineRule="auto"/>
        <w:tabs>
          <w:tab w:leader="none" w:pos="55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proxy statement responsive to the requirements of the Securities Exchange Act of 1934, as amended, whether or not the Corporation is then subject to such requirements, shall be mailed 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99" w:lineRule="exact"/>
        <w:rPr>
          <w:rFonts w:ascii="Arial" w:cs="Arial" w:eastAsia="Arial" w:hAnsi="Arial"/>
          <w:sz w:val="16"/>
          <w:szCs w:val="16"/>
          <w:color w:val="auto"/>
        </w:rPr>
      </w:pPr>
    </w:p>
    <w:p>
      <w:pPr>
        <w:ind w:left="520" w:hanging="336"/>
        <w:spacing w:after="0"/>
        <w:tabs>
          <w:tab w:leader="none" w:pos="5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purpose of this Article 13:</w:t>
      </w:r>
    </w:p>
    <w:p>
      <w:pPr>
        <w:spacing w:after="0" w:line="113" w:lineRule="exact"/>
        <w:rPr>
          <w:rFonts w:ascii="Arial" w:cs="Arial" w:eastAsia="Arial" w:hAnsi="Arial"/>
          <w:sz w:val="16"/>
          <w:szCs w:val="16"/>
          <w:color w:val="auto"/>
        </w:rPr>
      </w:pPr>
    </w:p>
    <w:p>
      <w:pPr>
        <w:ind w:left="180" w:firstLine="652"/>
        <w:spacing w:after="0" w:line="248" w:lineRule="auto"/>
        <w:tabs>
          <w:tab w:leader="none" w:pos="1152" w:val="left"/>
        </w:tabs>
        <w:numPr>
          <w:ilvl w:val="2"/>
          <w:numId w:val="13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Related Person</w:t>
      </w:r>
      <w:r>
        <w:rPr>
          <w:rFonts w:ascii="Arial" w:cs="Arial" w:eastAsia="Arial" w:hAnsi="Arial"/>
          <w:sz w:val="16"/>
          <w:szCs w:val="16"/>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that no corporation, person, or entity shall be deemed to be a Related Person solely by reason of being an Affiliate or Associate of Lilly Endowment, Inc.;</w:t>
      </w:r>
    </w:p>
    <w:p>
      <w:pPr>
        <w:spacing w:after="0" w:line="100" w:lineRule="exact"/>
        <w:rPr>
          <w:rFonts w:ascii="Arial" w:cs="Arial" w:eastAsia="Arial" w:hAnsi="Arial"/>
          <w:sz w:val="16"/>
          <w:szCs w:val="16"/>
          <w:color w:val="auto"/>
        </w:rPr>
      </w:pPr>
    </w:p>
    <w:p>
      <w:pPr>
        <w:ind w:left="180" w:right="80" w:firstLine="652"/>
        <w:spacing w:after="0" w:line="260" w:lineRule="auto"/>
        <w:tabs>
          <w:tab w:leader="none" w:pos="1188" w:val="left"/>
        </w:tabs>
        <w:numPr>
          <w:ilvl w:val="2"/>
          <w:numId w:val="137"/>
        </w:numPr>
        <w:rPr>
          <w:rFonts w:ascii="Arial" w:cs="Arial" w:eastAsia="Arial" w:hAnsi="Arial"/>
          <w:sz w:val="16"/>
          <w:szCs w:val="16"/>
          <w:color w:val="auto"/>
        </w:rPr>
      </w:pPr>
      <w:r>
        <w:rPr>
          <w:rFonts w:ascii="Arial" w:cs="Arial" w:eastAsia="Arial" w:hAnsi="Arial"/>
          <w:sz w:val="16"/>
          <w:szCs w:val="16"/>
          <w:color w:val="auto"/>
        </w:rPr>
        <w:t>a Related Person shall be deemed to own or control, directly or indirectly, any outstanding shares of Voting Stock owned by it or any Affiliate or Associate of record or beneficially, including, without limitation, shares</w:t>
      </w:r>
    </w:p>
    <w:p>
      <w:pPr>
        <w:spacing w:after="0" w:line="200" w:lineRule="exact"/>
        <w:rPr>
          <w:sz w:val="20"/>
          <w:szCs w:val="20"/>
          <w:color w:val="auto"/>
        </w:rPr>
      </w:pP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0100"/>
          </w:cols>
          <w:pgMar w:left="1440" w:top="843" w:right="359" w:bottom="1440" w:gutter="0" w:footer="0" w:header="0"/>
        </w:sectPr>
      </w:pPr>
    </w:p>
    <w:bookmarkStart w:id="93" w:name="page94"/>
    <w:bookmarkEnd w:id="93"/>
    <w:p>
      <w:pPr>
        <w:ind w:left="840" w:right="400" w:firstLine="640"/>
        <w:spacing w:after="0" w:line="260" w:lineRule="auto"/>
        <w:tabs>
          <w:tab w:leader="none" w:pos="180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which it has the right to acquire pursuant to any agreement, or upon exercise of conversion rights, warrants, or options, or otherwise; or</w:t>
      </w:r>
    </w:p>
    <w:p>
      <w:pPr>
        <w:spacing w:after="0" w:line="87" w:lineRule="exact"/>
        <w:rPr>
          <w:rFonts w:ascii="Arial" w:cs="Arial" w:eastAsia="Arial" w:hAnsi="Arial"/>
          <w:sz w:val="16"/>
          <w:szCs w:val="16"/>
          <w:color w:val="auto"/>
        </w:rPr>
      </w:pPr>
    </w:p>
    <w:p>
      <w:pPr>
        <w:ind w:left="840" w:right="60" w:firstLine="640"/>
        <w:spacing w:after="0" w:line="251" w:lineRule="auto"/>
        <w:tabs>
          <w:tab w:leader="none" w:pos="180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94" w:lineRule="exact"/>
        <w:rPr>
          <w:rFonts w:ascii="Arial" w:cs="Arial" w:eastAsia="Arial" w:hAnsi="Arial"/>
          <w:sz w:val="16"/>
          <w:szCs w:val="16"/>
          <w:color w:val="auto"/>
        </w:rPr>
      </w:pPr>
    </w:p>
    <w:p>
      <w:pPr>
        <w:ind w:left="180" w:right="460" w:firstLine="652"/>
        <w:spacing w:after="0" w:line="260" w:lineRule="auto"/>
        <w:tabs>
          <w:tab w:leader="none" w:pos="122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Voting Stock</w:t>
      </w:r>
      <w:r>
        <w:rPr>
          <w:rFonts w:ascii="Arial" w:cs="Arial" w:eastAsia="Arial" w:hAnsi="Arial"/>
          <w:sz w:val="16"/>
          <w:szCs w:val="16"/>
          <w:color w:val="auto"/>
        </w:rPr>
        <w:t>” shall mean all shares of any class of capital stock of the Corporation which are entitled to vote generally in the election of directors;</w:t>
      </w:r>
    </w:p>
    <w:p>
      <w:pPr>
        <w:spacing w:after="0" w:line="87" w:lineRule="exact"/>
        <w:rPr>
          <w:rFonts w:ascii="Arial" w:cs="Arial" w:eastAsia="Arial" w:hAnsi="Arial"/>
          <w:sz w:val="16"/>
          <w:szCs w:val="16"/>
          <w:color w:val="auto"/>
        </w:rPr>
      </w:pPr>
    </w:p>
    <w:p>
      <w:pPr>
        <w:ind w:left="180" w:firstLine="652"/>
        <w:spacing w:after="0" w:line="251" w:lineRule="auto"/>
        <w:tabs>
          <w:tab w:leader="none" w:pos="123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94" w:lineRule="exact"/>
        <w:rPr>
          <w:rFonts w:ascii="Arial" w:cs="Arial" w:eastAsia="Arial" w:hAnsi="Arial"/>
          <w:sz w:val="16"/>
          <w:szCs w:val="16"/>
          <w:color w:val="auto"/>
        </w:rPr>
      </w:pPr>
    </w:p>
    <w:p>
      <w:pPr>
        <w:ind w:left="1200" w:hanging="368"/>
        <w:spacing w:after="0"/>
        <w:tabs>
          <w:tab w:leader="none" w:pos="12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Remaining Public Shareholders</w:t>
      </w:r>
      <w:r>
        <w:rPr>
          <w:rFonts w:ascii="Arial" w:cs="Arial" w:eastAsia="Arial" w:hAnsi="Arial"/>
          <w:sz w:val="16"/>
          <w:szCs w:val="16"/>
          <w:color w:val="auto"/>
        </w:rPr>
        <w:t>” shall mean the holders of the Corporation’s capital stock other than the Related</w:t>
      </w:r>
    </w:p>
    <w:p>
      <w:pPr>
        <w:spacing w:after="0" w:line="5"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Person.</w:t>
      </w:r>
    </w:p>
    <w:p>
      <w:pPr>
        <w:spacing w:after="0" w:line="113" w:lineRule="exact"/>
        <w:rPr>
          <w:rFonts w:ascii="Arial" w:cs="Arial" w:eastAsia="Arial" w:hAnsi="Arial"/>
          <w:sz w:val="16"/>
          <w:szCs w:val="16"/>
          <w:color w:val="auto"/>
        </w:rPr>
      </w:pPr>
    </w:p>
    <w:p>
      <w:pPr>
        <w:ind w:left="-460" w:right="160" w:firstLine="644"/>
        <w:spacing w:after="0" w:line="250" w:lineRule="auto"/>
        <w:tabs>
          <w:tab w:leader="none" w:pos="55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94" w:lineRule="exact"/>
        <w:rPr>
          <w:rFonts w:ascii="Arial" w:cs="Arial" w:eastAsia="Arial" w:hAnsi="Arial"/>
          <w:sz w:val="16"/>
          <w:szCs w:val="16"/>
          <w:color w:val="auto"/>
        </w:rPr>
      </w:pPr>
    </w:p>
    <w:p>
      <w:pPr>
        <w:ind w:left="-460" w:right="420" w:firstLine="644"/>
        <w:spacing w:after="0" w:line="260" w:lineRule="auto"/>
        <w:tabs>
          <w:tab w:leader="none" w:pos="56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Nothing contained in this Article 13 shall be construed to relieve any Related Person or any Affiliate or Associate of any Related Person from any fiduciary obligation imposed by law.</w:t>
      </w:r>
    </w:p>
    <w:p>
      <w:pPr>
        <w:spacing w:after="0" w:line="87" w:lineRule="exact"/>
        <w:rPr>
          <w:rFonts w:ascii="Arial" w:cs="Arial" w:eastAsia="Arial" w:hAnsi="Arial"/>
          <w:sz w:val="16"/>
          <w:szCs w:val="16"/>
          <w:color w:val="auto"/>
        </w:rPr>
      </w:pPr>
    </w:p>
    <w:p>
      <w:pPr>
        <w:ind w:left="-460" w:firstLine="644"/>
        <w:spacing w:after="0" w:line="248" w:lineRule="auto"/>
        <w:tabs>
          <w:tab w:leader="none" w:pos="50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any action or transaction complies with the provisions of this Article 13 shall 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97" w:lineRule="exact"/>
        <w:rPr>
          <w:rFonts w:ascii="Arial" w:cs="Arial" w:eastAsia="Arial" w:hAnsi="Arial"/>
          <w:sz w:val="16"/>
          <w:szCs w:val="16"/>
          <w:color w:val="auto"/>
        </w:rPr>
      </w:pPr>
    </w:p>
    <w:p>
      <w:pPr>
        <w:ind w:left="-460" w:right="80" w:firstLine="644"/>
        <w:spacing w:after="0" w:line="251" w:lineRule="auto"/>
        <w:tabs>
          <w:tab w:leader="none" w:pos="512" w:val="left"/>
        </w:tabs>
        <w:numPr>
          <w:ilvl w:val="0"/>
          <w:numId w:val="140"/>
        </w:numPr>
        <w:rPr>
          <w:rFonts w:ascii="Arial" w:cs="Arial" w:eastAsia="Arial" w:hAnsi="Arial"/>
          <w:sz w:val="16"/>
          <w:szCs w:val="16"/>
          <w:color w:val="auto"/>
          <w:strike w:val="1"/>
        </w:rPr>
      </w:pPr>
      <w:r>
        <w:rPr>
          <w:rFonts w:ascii="Arial" w:cs="Arial" w:eastAsia="Arial" w:hAnsi="Arial"/>
          <w:sz w:val="16"/>
          <w:szCs w:val="16"/>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0100"/>
          </w:cols>
          <w:pgMar w:left="1440" w:top="843" w:right="359" w:bottom="1440" w:gutter="0" w:footer="0" w:header="0"/>
        </w:sectPr>
      </w:pPr>
    </w:p>
    <w:bookmarkStart w:id="94" w:name="page95"/>
    <w:bookmarkEnd w:id="94"/>
    <w:p>
      <w:pPr>
        <w:ind w:right="1020"/>
        <w:spacing w:after="0" w:line="276" w:lineRule="auto"/>
        <w:rPr>
          <w:sz w:val="20"/>
          <w:szCs w:val="20"/>
          <w:color w:val="auto"/>
        </w:rPr>
      </w:pPr>
      <w:r>
        <w:rPr>
          <w:rFonts w:ascii="Arial" w:cs="Arial" w:eastAsia="Arial" w:hAnsi="Arial"/>
          <w:sz w:val="32"/>
          <w:szCs w:val="32"/>
          <w:b w:val="1"/>
          <w:bCs w:val="1"/>
          <w:color w:val="EF3729"/>
        </w:rPr>
        <w:t>Appendix C - Proposed Amendments to the Company's Articles of Incorporation</w:t>
      </w:r>
    </w:p>
    <w:p>
      <w:pPr>
        <w:spacing w:after="0" w:line="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Proposed changes to the company’s articles of incorporation are shown below related to Item 6, "Items of Business." The changes shown to Article 10 will be effective if the votes cast in favor of Item 6, "Proposal to Amend the Company’s Articles of Incorporation to Give Shareholders the Ability to Amend the Company's Bylaws," exceeds the votes cast against this proposal. Additions are indicated by underlining and deletions are indicated by strike-outs. The full text of the company’s Articles of Incorporation can be found on our website at </w:t>
      </w:r>
      <w:r>
        <w:rPr>
          <w:rFonts w:ascii="Arial" w:cs="Arial" w:eastAsia="Arial" w:hAnsi="Arial"/>
          <w:sz w:val="16"/>
          <w:szCs w:val="16"/>
          <w:color w:val="EE2724"/>
        </w:rPr>
        <w:t>lilly.com/leadership/governance</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firstLine="8"/>
        <w:spacing w:after="0" w:line="248" w:lineRule="auto"/>
        <w:tabs>
          <w:tab w:leader="none" w:pos="270" w:val="left"/>
        </w:tabs>
        <w:numPr>
          <w:ilvl w:val="0"/>
          <w:numId w:val="141"/>
        </w:numPr>
        <w:rPr>
          <w:rFonts w:ascii="Arial" w:cs="Arial" w:eastAsia="Arial" w:hAnsi="Arial"/>
          <w:sz w:val="16"/>
          <w:szCs w:val="16"/>
          <w:color w:val="auto"/>
        </w:rPr>
      </w:pPr>
      <w:r>
        <w:rPr>
          <w:rFonts w:ascii="Arial" w:cs="Arial" w:eastAsia="Arial" w:hAnsi="Arial"/>
          <w:sz w:val="16"/>
          <w:szCs w:val="16"/>
          <w:color w:val="auto"/>
          <w:strike w:val="1"/>
        </w:rPr>
        <w:t>The Board of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Subject to any express provision</w:t>
      </w:r>
      <w:r>
        <w:rPr>
          <w:rFonts w:ascii="Arial" w:cs="Arial" w:eastAsia="Arial" w:hAnsi="Arial"/>
          <w:sz w:val="16"/>
          <w:szCs w:val="16"/>
          <w:color w:val="auto"/>
        </w:rPr>
        <w:t xml:space="preserve"> of the </w:t>
      </w:r>
      <w:r>
        <w:rPr>
          <w:rFonts w:ascii="Arial" w:cs="Arial" w:eastAsia="Arial" w:hAnsi="Arial"/>
          <w:sz w:val="16"/>
          <w:szCs w:val="16"/>
          <w:u w:val="single" w:color="auto"/>
          <w:color w:val="auto"/>
        </w:rPr>
        <w:t>Indiana Business</w:t>
      </w:r>
      <w:r>
        <w:rPr>
          <w:rFonts w:ascii="Arial" w:cs="Arial" w:eastAsia="Arial" w:hAnsi="Arial"/>
          <w:sz w:val="16"/>
          <w:szCs w:val="16"/>
          <w:color w:val="auto"/>
        </w:rPr>
        <w:t xml:space="preserve"> Corporation </w:t>
      </w:r>
      <w:r>
        <w:rPr>
          <w:rFonts w:ascii="Arial" w:cs="Arial" w:eastAsia="Arial" w:hAnsi="Arial"/>
          <w:sz w:val="16"/>
          <w:szCs w:val="16"/>
          <w:color w:val="auto"/>
          <w:strike w:val="1"/>
        </w:rPr>
        <w:t>is exclusively authorized (a) to adopt, repeal, alter or</w:t>
      </w:r>
      <w:r>
        <w:rPr>
          <w:rFonts w:ascii="Arial" w:cs="Arial" w:eastAsia="Arial" w:hAnsi="Arial"/>
          <w:sz w:val="16"/>
          <w:szCs w:val="16"/>
          <w:color w:val="auto"/>
        </w:rPr>
        <w:t xml:space="preserve"> </w:t>
      </w:r>
      <w:r>
        <w:rPr>
          <w:rFonts w:ascii="Arial" w:cs="Arial" w:eastAsia="Arial" w:hAnsi="Arial"/>
          <w:sz w:val="16"/>
          <w:szCs w:val="16"/>
          <w:color w:val="auto"/>
          <w:strike w:val="1"/>
        </w:rPr>
        <w:t>amend</w:t>
      </w:r>
      <w:r>
        <w:rPr>
          <w:rFonts w:ascii="Arial" w:cs="Arial" w:eastAsia="Arial" w:hAnsi="Arial"/>
          <w:sz w:val="16"/>
          <w:szCs w:val="16"/>
          <w:u w:val="single" w:color="auto"/>
          <w:color w:val="auto"/>
        </w:rPr>
        <w:t>Law</w:t>
      </w:r>
      <w:r>
        <w:rPr>
          <w:rFonts w:ascii="Arial" w:cs="Arial" w:eastAsia="Arial" w:hAnsi="Arial"/>
          <w:sz w:val="16"/>
          <w:szCs w:val="16"/>
          <w:color w:val="auto"/>
        </w:rPr>
        <w:t xml:space="preserve">, the By-laws of the Corporation may be adopted, repealed, altered or amended by either (i) the Board of Directors of the Corporation by the vote of a majority of the entire Board of Directors </w:t>
      </w:r>
      <w:r>
        <w:rPr>
          <w:rFonts w:ascii="Arial" w:cs="Arial" w:eastAsia="Arial" w:hAnsi="Arial"/>
          <w:sz w:val="16"/>
          <w:szCs w:val="16"/>
          <w:color w:val="auto"/>
          <w:strike w:val="1"/>
        </w:rPr>
        <w:t>and</w:t>
      </w:r>
      <w:r>
        <w:rPr>
          <w:rFonts w:ascii="Arial" w:cs="Arial" w:eastAsia="Arial" w:hAnsi="Arial"/>
          <w:sz w:val="16"/>
          <w:szCs w:val="16"/>
          <w:color w:val="auto"/>
          <w:highlight w:val="white"/>
        </w:rPr>
        <w:t>, or (</w:t>
      </w:r>
      <w:r>
        <w:rPr>
          <w:rFonts w:ascii="Arial" w:cs="Arial" w:eastAsia="Arial" w:hAnsi="Arial"/>
          <w:sz w:val="16"/>
          <w:szCs w:val="16"/>
          <w:color w:val="auto"/>
          <w:strike w:val="1"/>
        </w:rPr>
        <w:t>b</w:t>
      </w:r>
      <w:r>
        <w:rPr>
          <w:rFonts w:ascii="Arial" w:cs="Arial" w:eastAsia="Arial" w:hAnsi="Arial"/>
          <w:sz w:val="16"/>
          <w:szCs w:val="16"/>
          <w:u w:val="single" w:color="auto"/>
          <w:color w:val="auto"/>
        </w:rPr>
        <w:t>ii</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strike w:val="1"/>
        </w:rPr>
        <w:t>to adopt any By-laws which the Board of Directors may deem necessary or desirable for the efficient</w:t>
      </w:r>
      <w:r>
        <w:rPr>
          <w:rFonts w:ascii="Arial" w:cs="Arial" w:eastAsia="Arial" w:hAnsi="Arial"/>
          <w:sz w:val="16"/>
          <w:szCs w:val="16"/>
          <w:color w:val="auto"/>
        </w:rPr>
        <w:t xml:space="preserve"> </w:t>
      </w:r>
      <w:r>
        <w:rPr>
          <w:rFonts w:ascii="Arial" w:cs="Arial" w:eastAsia="Arial" w:hAnsi="Arial"/>
          <w:sz w:val="16"/>
          <w:szCs w:val="16"/>
          <w:color w:val="auto"/>
          <w:strike w:val="1"/>
        </w:rPr>
        <w:t>conduct of the affairs of the Corporation, including, without limitation, provisions governing the conduct of, and the matters which may properly be brought before, meetings of the shareholders and provisions specifying the manner and extent to which prior notice shall be given</w:t>
      </w:r>
      <w:r>
        <w:rPr>
          <w:rFonts w:ascii="Arial" w:cs="Arial" w:eastAsia="Arial" w:hAnsi="Arial"/>
          <w:sz w:val="16"/>
          <w:szCs w:val="16"/>
          <w:u w:val="single" w:color="auto"/>
          <w:color w:val="auto"/>
          <w:highlight w:val="white"/>
          <w:strike w:val="1"/>
        </w:rPr>
        <w:t>the affirmative vote of at least a</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majority of the votes entitled to be cast by holders</w:t>
      </w:r>
      <w:r>
        <w:rPr>
          <w:rFonts w:ascii="Arial" w:cs="Arial" w:eastAsia="Arial" w:hAnsi="Arial"/>
          <w:sz w:val="16"/>
          <w:szCs w:val="16"/>
          <w:color w:val="auto"/>
          <w:strike w:val="1"/>
        </w:rPr>
        <w:t xml:space="preserve"> of all the submission of proposals to be submitted at any</w:t>
      </w:r>
      <w:r>
        <w:rPr>
          <w:rFonts w:ascii="Arial" w:cs="Arial" w:eastAsia="Arial" w:hAnsi="Arial"/>
          <w:sz w:val="16"/>
          <w:szCs w:val="16"/>
          <w:u w:val="single" w:color="auto"/>
          <w:color w:val="auto"/>
          <w:strike w:val="1"/>
        </w:rPr>
        <w:t>outstanding shares of Voting Stock, voting</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together as a single class at a duly called and constituted</w:t>
      </w:r>
      <w:r>
        <w:rPr>
          <w:rFonts w:ascii="Arial" w:cs="Arial" w:eastAsia="Arial" w:hAnsi="Arial"/>
          <w:sz w:val="16"/>
          <w:szCs w:val="16"/>
          <w:color w:val="auto"/>
          <w:strike w:val="1"/>
        </w:rPr>
        <w:t xml:space="preserve"> meeting of shareholders or of nominations of elections of directors to be held at any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-622935</wp:posOffset>
            </wp:positionV>
            <wp:extent cx="4597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97400"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-502920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-142875</wp:posOffset>
            </wp:positionV>
            <wp:extent cx="1600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-65405</wp:posOffset>
            </wp:positionV>
            <wp:extent cx="3329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220"/>
          </w:cols>
          <w:pgMar w:left="320" w:top="1129" w:right="35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5674995" cy="7346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PC-1</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674995" cy="7346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PC-2</w:t>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674995" cy="7346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PC-3</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674995" cy="7346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o"/>
      <w:numFmt w:val="bullet"/>
      <w:start w:val="1"/>
    </w:lvl>
  </w:abstractNum>
  <w:abstractNum w:abstractNumId="1">
    <w:nsid w:val="6B94764"/>
    <w:multiLevelType w:val="hybridMultilevel"/>
    <w:lvl w:ilvl="0">
      <w:lvlJc w:val="left"/>
      <w:lvlText w:val="x"/>
      <w:numFmt w:val="bullet"/>
      <w:start w:val="1"/>
    </w:lvl>
  </w:abstractNum>
  <w:abstractNum w:abstractNumId="2">
    <w:nsid w:val="42C296BD"/>
    <w:multiLevelType w:val="hybridMultilevel"/>
    <w:lvl w:ilvl="0">
      <w:lvlJc w:val="left"/>
      <w:lvlText w:val="o"/>
      <w:numFmt w:val="bullet"/>
      <w:start w:val="1"/>
    </w:lvl>
  </w:abstractNum>
  <w:abstractNum w:abstractNumId="3">
    <w:nsid w:val="168E121F"/>
    <w:multiLevelType w:val="hybridMultilevel"/>
    <w:lvl w:ilvl="0">
      <w:lvlJc w:val="left"/>
      <w:lvlText w:val="o"/>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ü"/>
      <w:numFmt w:val="bullet"/>
      <w:start w:val="1"/>
    </w:lvl>
  </w:abstractNum>
  <w:abstractNum w:abstractNumId="9">
    <w:nsid w:val="51D9C564"/>
    <w:multiLevelType w:val="hybridMultilevel"/>
    <w:lvl w:ilvl="0">
      <w:lvlJc w:val="left"/>
      <w:lvlText w:val="ü"/>
      <w:numFmt w:val="bullet"/>
      <w:start w:val="1"/>
    </w:lvl>
  </w:abstractNum>
  <w:abstractNum w:abstractNumId="10">
    <w:nsid w:val="613EFDC5"/>
    <w:multiLevelType w:val="hybridMultilevel"/>
    <w:lvl w:ilvl="0">
      <w:lvlJc w:val="left"/>
      <w:lvlText w:val="ü"/>
      <w:numFmt w:val="bullet"/>
      <w:start w:val="1"/>
    </w:lvl>
  </w:abstractNum>
  <w:abstractNum w:abstractNumId="11">
    <w:nsid w:val="BF72B14"/>
    <w:multiLevelType w:val="hybridMultilevel"/>
    <w:lvl w:ilvl="0">
      <w:lvlJc w:val="left"/>
      <w:lvlText w:val="ü"/>
      <w:numFmt w:val="bullet"/>
      <w:start w:val="1"/>
    </w:lvl>
  </w:abstractNum>
  <w:abstractNum w:abstractNumId="12">
    <w:nsid w:val="11447B73"/>
    <w:multiLevelType w:val="hybridMultilevel"/>
    <w:lvl w:ilvl="0">
      <w:lvlJc w:val="left"/>
      <w:lvlText w:val="ü"/>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lvl w:ilvl="1">
      <w:lvlJc w:val="left"/>
      <w:lvlText w:val="-"/>
      <w:numFmt w:val="bullet"/>
      <w:start w:val="1"/>
    </w:lvl>
  </w:abstractNum>
  <w:abstractNum w:abstractNumId="15">
    <w:nsid w:val="8F2B15E"/>
    <w:multiLevelType w:val="hybridMultilevel"/>
    <w:lvl w:ilvl="0">
      <w:lvlJc w:val="left"/>
      <w:lvlText w:val="•"/>
      <w:numFmt w:val="bullet"/>
      <w:start w:val="1"/>
    </w:lvl>
    <w:lvl w:ilvl="1">
      <w:lvlJc w:val="left"/>
      <w:lvlText w:val="-"/>
      <w:numFmt w:val="bullet"/>
      <w:start w:val="1"/>
    </w:lvl>
  </w:abstractNum>
  <w:abstractNum w:abstractNumId="16">
    <w:nsid w:val="1A32234B"/>
    <w:multiLevelType w:val="hybridMultilevel"/>
    <w:lvl w:ilvl="0">
      <w:lvlJc w:val="left"/>
      <w:lvlText w:val="•"/>
      <w:numFmt w:val="bullet"/>
      <w:start w:val="1"/>
    </w:lvl>
    <w:lvl w:ilvl="1">
      <w:lvlJc w:val="left"/>
      <w:lvlText w:val="-"/>
      <w:numFmt w:val="bullet"/>
      <w:start w:val="1"/>
    </w:lvl>
  </w:abstractNum>
  <w:abstractNum w:abstractNumId="17">
    <w:nsid w:val="3B0FD379"/>
    <w:multiLevelType w:val="hybridMultilevel"/>
    <w:lvl w:ilvl="0">
      <w:lvlJc w:val="left"/>
      <w:lvlText w:val="•"/>
      <w:numFmt w:val="bullet"/>
      <w:start w:val="1"/>
    </w:lvl>
    <w:lvl w:ilvl="1">
      <w:lvlJc w:val="left"/>
      <w:lvlText w:val="-"/>
      <w:numFmt w:val="bullet"/>
      <w:start w:val="1"/>
    </w:lvl>
  </w:abstractNum>
  <w:abstractNum w:abstractNumId="18">
    <w:nsid w:val="68EB2F63"/>
    <w:multiLevelType w:val="hybridMultilevel"/>
    <w:lvl w:ilvl="0">
      <w:lvlJc w:val="left"/>
      <w:lvlText w:val="•"/>
      <w:numFmt w:val="bullet"/>
      <w:start w:val="1"/>
    </w:lvl>
    <w:lvl w:ilvl="1">
      <w:lvlJc w:val="left"/>
      <w:lvlText w:val="-"/>
      <w:numFmt w:val="bullet"/>
      <w:start w:val="1"/>
    </w:lvl>
  </w:abstractNum>
  <w:abstractNum w:abstractNumId="19">
    <w:nsid w:val="4962813B"/>
    <w:multiLevelType w:val="hybridMultilevel"/>
    <w:lvl w:ilvl="0">
      <w:lvlJc w:val="left"/>
      <w:lvlText w:val="•"/>
      <w:numFmt w:val="bullet"/>
      <w:start w:val="1"/>
    </w:lvl>
    <w:lvl w:ilvl="1">
      <w:lvlJc w:val="left"/>
      <w:lvlText w:val="-"/>
      <w:numFmt w:val="bullet"/>
      <w:start w:val="1"/>
    </w:lvl>
  </w:abstractNum>
  <w:abstractNum w:abstractNumId="20">
    <w:nsid w:val="60B6DF70"/>
    <w:multiLevelType w:val="hybridMultilevel"/>
    <w:lvl w:ilvl="0">
      <w:lvlJc w:val="left"/>
      <w:lvlText w:val="•"/>
      <w:numFmt w:val="bullet"/>
      <w:start w:val="1"/>
    </w:lvl>
    <w:lvl w:ilvl="1">
      <w:lvlJc w:val="left"/>
      <w:lvlText w:val="-"/>
      <w:numFmt w:val="bullet"/>
      <w:start w:val="1"/>
    </w:lvl>
  </w:abstractNum>
  <w:abstractNum w:abstractNumId="21">
    <w:nsid w:val="6A5EE64"/>
    <w:multiLevelType w:val="hybridMultilevel"/>
    <w:lvl w:ilvl="0">
      <w:lvlJc w:val="left"/>
      <w:lvlText w:val="•"/>
      <w:numFmt w:val="bullet"/>
      <w:start w:val="1"/>
    </w:lvl>
    <w:lvl w:ilvl="1">
      <w:lvlJc w:val="left"/>
      <w:lvlText w:val="-"/>
      <w:numFmt w:val="bullet"/>
      <w:start w:val="1"/>
    </w:lvl>
  </w:abstractNum>
  <w:abstractNum w:abstractNumId="22">
    <w:nsid w:val="14330624"/>
    <w:multiLevelType w:val="hybridMultilevel"/>
    <w:lvl w:ilvl="0">
      <w:lvlJc w:val="left"/>
      <w:lvlText w:val="•"/>
      <w:numFmt w:val="bullet"/>
      <w:start w:val="1"/>
    </w:lvl>
    <w:lvl w:ilvl="1">
      <w:lvlJc w:val="left"/>
      <w:lvlText w:val="-"/>
      <w:numFmt w:val="bullet"/>
      <w:start w:val="1"/>
    </w:lvl>
  </w:abstractNum>
  <w:abstractNum w:abstractNumId="23">
    <w:nsid w:val="7FFFCA11"/>
    <w:multiLevelType w:val="hybridMultilevel"/>
    <w:lvl w:ilvl="0">
      <w:lvlJc w:val="left"/>
      <w:lvlText w:val="•"/>
      <w:numFmt w:val="bullet"/>
      <w:start w:val="1"/>
    </w:lvl>
    <w:lvl w:ilvl="1">
      <w:lvlJc w:val="left"/>
      <w:lvlText w:val="-"/>
      <w:numFmt w:val="bullet"/>
      <w:start w:val="1"/>
    </w:lvl>
  </w:abstractNum>
  <w:abstractNum w:abstractNumId="24">
    <w:nsid w:val="1A27709E"/>
    <w:multiLevelType w:val="hybridMultilevel"/>
    <w:lvl w:ilvl="0">
      <w:lvlJc w:val="left"/>
      <w:lvlText w:val="•"/>
      <w:numFmt w:val="bullet"/>
      <w:start w:val="1"/>
    </w:lvl>
    <w:lvl w:ilvl="1">
      <w:lvlJc w:val="left"/>
      <w:lvlText w:val="-"/>
      <w:numFmt w:val="bullet"/>
      <w:start w:val="1"/>
    </w:lvl>
  </w:abstractNum>
  <w:abstractNum w:abstractNumId="25">
    <w:nsid w:val="71EA1109"/>
    <w:multiLevelType w:val="hybridMultilevel"/>
    <w:lvl w:ilvl="0">
      <w:lvlJc w:val="left"/>
      <w:lvlText w:val="•"/>
      <w:numFmt w:val="bullet"/>
      <w:start w:val="1"/>
    </w:lvl>
    <w:lvl w:ilvl="1">
      <w:lvlJc w:val="left"/>
      <w:lvlText w:val="-"/>
      <w:numFmt w:val="bullet"/>
      <w:start w:val="1"/>
    </w:lvl>
  </w:abstractNum>
  <w:abstractNum w:abstractNumId="26">
    <w:nsid w:val="100F59DC"/>
    <w:multiLevelType w:val="hybridMultilevel"/>
    <w:lvl w:ilvl="0">
      <w:lvlJc w:val="left"/>
      <w:lvlText w:val="•"/>
      <w:numFmt w:val="bullet"/>
      <w:start w:val="1"/>
    </w:lvl>
    <w:lvl w:ilvl="1">
      <w:lvlJc w:val="left"/>
      <w:lvlText w:val="-"/>
      <w:numFmt w:val="bullet"/>
      <w:start w:val="1"/>
    </w:lvl>
  </w:abstractNum>
  <w:abstractNum w:abstractNumId="27">
    <w:nsid w:val="7FB7E0AA"/>
    <w:multiLevelType w:val="hybridMultilevel"/>
    <w:lvl w:ilvl="0">
      <w:lvlJc w:val="left"/>
      <w:lvlText w:val="•"/>
      <w:numFmt w:val="bullet"/>
      <w:start w:val="1"/>
    </w:lvl>
    <w:lvl w:ilvl="1">
      <w:lvlJc w:val="left"/>
      <w:lvlText w:val="-"/>
      <w:numFmt w:val="bullet"/>
      <w:start w:val="1"/>
    </w:lvl>
  </w:abstractNum>
  <w:abstractNum w:abstractNumId="28">
    <w:nsid w:val="6EB5BD4"/>
    <w:multiLevelType w:val="hybridMultilevel"/>
    <w:lvl w:ilvl="0">
      <w:lvlJc w:val="left"/>
      <w:lvlText w:val="1"/>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C"/>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lvl w:ilvl="1">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1"/>
      <w:numFmt w:val="bullet"/>
      <w:start w:val="1"/>
    </w:lvl>
  </w:abstractNum>
  <w:abstractNum w:abstractNumId="50">
    <w:nsid w:val="7055A5F5"/>
    <w:multiLevelType w:val="hybridMultilevel"/>
    <w:lvl w:ilvl="0">
      <w:lvlJc w:val="left"/>
      <w:lvlText w:val="1"/>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lvl w:ilvl="1">
      <w:lvlJc w:val="left"/>
      <w:lvlText w:val="•"/>
      <w:numFmt w:val="bullet"/>
      <w:start w:val="1"/>
    </w:lvl>
  </w:abstractNum>
  <w:abstractNum w:abstractNumId="57">
    <w:nsid w:val="6FC75AF8"/>
    <w:multiLevelType w:val="hybridMultilevel"/>
    <w:lvl w:ilvl="0">
      <w:lvlJc w:val="left"/>
      <w:lvlText w:val="•"/>
      <w:numFmt w:val="bullet"/>
      <w:start w:val="1"/>
    </w:lvl>
    <w:lvl w:ilvl="1">
      <w:lvlJc w:val="left"/>
      <w:lvlText w:val="•"/>
      <w:numFmt w:val="bullet"/>
      <w:start w:val="1"/>
    </w:lvl>
  </w:abstractNum>
  <w:abstractNum w:abstractNumId="58">
    <w:nsid w:val="6A5F7029"/>
    <w:multiLevelType w:val="hybridMultilevel"/>
    <w:lvl w:ilvl="0">
      <w:lvlJc w:val="left"/>
      <w:lvlText w:val="•"/>
      <w:numFmt w:val="bullet"/>
      <w:start w:val="1"/>
    </w:lvl>
    <w:lvl w:ilvl="1">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1."/>
      <w:numFmt w:val="decimal"/>
      <w:start w:val="2"/>
    </w:lvl>
  </w:abstractNum>
  <w:abstractNum w:abstractNumId="62">
    <w:nsid w:val="7DE67713"/>
    <w:multiLevelType w:val="hybridMultilevel"/>
    <w:lvl w:ilvl="0">
      <w:lvlJc w:val="left"/>
      <w:lvlText w:val="%1."/>
      <w:numFmt w:val="decimal"/>
      <w:start w:val="3"/>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1"/>
      <w:numFmt w:val="bullet"/>
      <w:start w:val="1"/>
    </w:lvl>
  </w:abstractNum>
  <w:abstractNum w:abstractNumId="68">
    <w:nsid w:val="9DAF632"/>
    <w:multiLevelType w:val="hybridMultilevel"/>
    <w:lvl w:ilvl="0">
      <w:lvlJc w:val="left"/>
      <w:lvlText w:val="2"/>
      <w:numFmt w:val="bullet"/>
      <w:start w:val="1"/>
    </w:lvl>
  </w:abstractNum>
  <w:abstractNum w:abstractNumId="69">
    <w:nsid w:val="53299938"/>
    <w:multiLevelType w:val="hybridMultilevel"/>
    <w:lvl w:ilvl="0">
      <w:lvlJc w:val="left"/>
      <w:lvlText w:val="1"/>
      <w:numFmt w:val="bullet"/>
      <w:start w:val="1"/>
    </w:lvl>
  </w:abstractNum>
  <w:abstractNum w:abstractNumId="70">
    <w:nsid w:val="1FBFE8E0"/>
    <w:multiLevelType w:val="hybridMultilevel"/>
    <w:lvl w:ilvl="0">
      <w:lvlJc w:val="left"/>
      <w:lvlText w:val="2"/>
      <w:numFmt w:val="bullet"/>
      <w:start w:val="1"/>
    </w:lvl>
  </w:abstractNum>
  <w:abstractNum w:abstractNumId="71">
    <w:nsid w:val="5092CA79"/>
    <w:multiLevelType w:val="hybridMultilevel"/>
    <w:lvl w:ilvl="0">
      <w:lvlJc w:val="left"/>
      <w:lvlText w:val="1"/>
      <w:numFmt w:val="bullet"/>
      <w:start w:val="1"/>
    </w:lvl>
  </w:abstractNum>
  <w:abstractNum w:abstractNumId="72">
    <w:nsid w:val="1D545C4D"/>
    <w:multiLevelType w:val="hybridMultilevel"/>
    <w:lvl w:ilvl="0">
      <w:lvlJc w:val="left"/>
      <w:lvlText w:val="2"/>
      <w:numFmt w:val="bullet"/>
      <w:start w:val="1"/>
    </w:lvl>
  </w:abstractNum>
  <w:abstractNum w:abstractNumId="73">
    <w:nsid w:val="59ADEA3D"/>
    <w:multiLevelType w:val="hybridMultilevel"/>
    <w:lvl w:ilvl="0">
      <w:lvlJc w:val="left"/>
      <w:lvlText w:val="1"/>
      <w:numFmt w:val="bullet"/>
      <w:start w:val="1"/>
    </w:lvl>
  </w:abstractNum>
  <w:abstractNum w:abstractNumId="74">
    <w:nsid w:val="288F1A34"/>
    <w:multiLevelType w:val="hybridMultilevel"/>
    <w:lvl w:ilvl="0">
      <w:lvlJc w:val="left"/>
      <w:lvlText w:val="1"/>
      <w:numFmt w:val="bullet"/>
      <w:start w:val="1"/>
    </w:lvl>
  </w:abstractNum>
  <w:abstractNum w:abstractNumId="75">
    <w:nsid w:val="2A155DBC"/>
    <w:multiLevelType w:val="hybridMultilevel"/>
    <w:lvl w:ilvl="0">
      <w:lvlJc w:val="left"/>
      <w:lvlText w:val="1"/>
      <w:numFmt w:val="bullet"/>
      <w:start w:val="1"/>
    </w:lvl>
  </w:abstractNum>
  <w:abstractNum w:abstractNumId="76">
    <w:nsid w:val="1D9F6E5F"/>
    <w:multiLevelType w:val="hybridMultilevel"/>
    <w:lvl w:ilvl="0">
      <w:lvlJc w:val="left"/>
      <w:lvlText w:val="2"/>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lvl w:ilvl="1">
      <w:lvlJc w:val="left"/>
      <w:lvlText w:val="•"/>
      <w:numFmt w:val="bullet"/>
      <w:start w:val="1"/>
    </w:lvl>
  </w:abstractNum>
  <w:abstractNum w:abstractNumId="81">
    <w:nsid w:val="415E286C"/>
    <w:multiLevelType w:val="hybridMultilevel"/>
    <w:lvl w:ilvl="0">
      <w:lvlJc w:val="left"/>
      <w:lvlText w:val="1"/>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2"/>
      <w:numFmt w:val="bullet"/>
      <w:start w:val="1"/>
    </w:lvl>
  </w:abstractNum>
  <w:abstractNum w:abstractNumId="84">
    <w:nsid w:val="45E6D486"/>
    <w:multiLevelType w:val="hybridMultilevel"/>
    <w:lvl w:ilvl="0">
      <w:lvlJc w:val="left"/>
      <w:lvlText w:val="8"/>
      <w:numFmt w:val="bullet"/>
      <w:start w:val="1"/>
    </w:lvl>
  </w:abstractNum>
  <w:abstractNum w:abstractNumId="85">
    <w:nsid w:val="5C10FE21"/>
    <w:multiLevelType w:val="hybridMultilevel"/>
    <w:lvl w:ilvl="0">
      <w:lvlJc w:val="left"/>
      <w:lvlText w:val="1"/>
      <w:numFmt w:val="bullet"/>
      <w:start w:val="1"/>
    </w:lvl>
  </w:abstractNum>
  <w:abstractNum w:abstractNumId="86">
    <w:nsid w:val="E7FFA2B"/>
    <w:multiLevelType w:val="hybridMultilevel"/>
    <w:lvl w:ilvl="0">
      <w:lvlJc w:val="left"/>
      <w:lvlText w:val="2"/>
      <w:numFmt w:val="bullet"/>
      <w:start w:val="1"/>
    </w:lvl>
  </w:abstractNum>
  <w:abstractNum w:abstractNumId="87">
    <w:nsid w:val="3C5991AA"/>
    <w:multiLevelType w:val="hybridMultilevel"/>
    <w:lvl w:ilvl="0">
      <w:lvlJc w:val="left"/>
      <w:lvlText w:val="3"/>
      <w:numFmt w:val="bullet"/>
      <w:start w:val="1"/>
    </w:lvl>
  </w:abstractNum>
  <w:abstractNum w:abstractNumId="88">
    <w:nsid w:val="4BD8591A"/>
    <w:multiLevelType w:val="hybridMultilevel"/>
    <w:lvl w:ilvl="0">
      <w:lvlJc w:val="left"/>
      <w:lvlText w:val="1"/>
      <w:numFmt w:val="bullet"/>
      <w:start w:val="1"/>
    </w:lvl>
  </w:abstractNum>
  <w:abstractNum w:abstractNumId="89">
    <w:nsid w:val="78DF6A55"/>
    <w:multiLevelType w:val="hybridMultilevel"/>
    <w:lvl w:ilvl="0">
      <w:lvlJc w:val="left"/>
      <w:lvlText w:val="3"/>
      <w:numFmt w:val="bullet"/>
      <w:start w:val="1"/>
    </w:lvl>
  </w:abstractNum>
  <w:abstractNum w:abstractNumId="90">
    <w:nsid w:val="39B7AAA2"/>
    <w:multiLevelType w:val="hybridMultilevel"/>
    <w:lvl w:ilvl="0">
      <w:lvlJc w:val="left"/>
      <w:lvlText w:val="1"/>
      <w:numFmt w:val="bullet"/>
      <w:start w:val="1"/>
    </w:lvl>
  </w:abstractNum>
  <w:abstractNum w:abstractNumId="91">
    <w:nsid w:val="2B0D8DBE"/>
    <w:multiLevelType w:val="hybridMultilevel"/>
    <w:lvl w:ilvl="0">
      <w:lvlJc w:val="left"/>
      <w:lvlText w:val="2"/>
      <w:numFmt w:val="bullet"/>
      <w:start w:val="1"/>
    </w:lvl>
  </w:abstractNum>
  <w:abstractNum w:abstractNumId="92">
    <w:nsid w:val="6C80EC70"/>
    <w:multiLevelType w:val="hybridMultilevel"/>
    <w:lvl w:ilvl="0">
      <w:lvlJc w:val="left"/>
      <w:lvlText w:val="3"/>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1"/>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1"/>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1"/>
      <w:numFmt w:val="bullet"/>
      <w:start w:val="1"/>
    </w:lvl>
  </w:abstractNum>
  <w:abstractNum w:abstractNumId="99">
    <w:nsid w:val="5675FF36"/>
    <w:multiLevelType w:val="hybridMultilevel"/>
    <w:lvl w:ilvl="0">
      <w:lvlJc w:val="left"/>
      <w:lvlText w:val="2"/>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1)"/>
      <w:numFmt w:val="lowerRoman"/>
      <w:start w:val="2"/>
    </w:lvl>
  </w:abstractNum>
  <w:abstractNum w:abstractNumId="102">
    <w:nsid w:val="2708C9AF"/>
    <w:multiLevelType w:val="hybridMultilevel"/>
    <w:lvl w:ilvl="0">
      <w:lvlJc w:val="left"/>
      <w:lvlText w:val="•"/>
      <w:numFmt w:val="bullet"/>
      <w:start w:val="1"/>
    </w:lvl>
    <w:lvl w:ilvl="1">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lvl w:ilvl="1">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1"/>
      <w:numFmt w:val="bullet"/>
      <w:start w:val="1"/>
    </w:lvl>
  </w:abstractNum>
  <w:abstractNum w:abstractNumId="110">
    <w:nsid w:val="519E3149"/>
    <w:multiLevelType w:val="hybridMultilevel"/>
    <w:lvl w:ilvl="0">
      <w:lvlJc w:val="left"/>
      <w:lvlText w:val="2"/>
      <w:numFmt w:val="bullet"/>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1"/>
      <w:numFmt w:val="bullet"/>
      <w:start w:val="1"/>
    </w:lvl>
  </w:abstractNum>
  <w:abstractNum w:abstractNumId="114">
    <w:nsid w:val="5046B5A9"/>
    <w:multiLevelType w:val="hybridMultilevel"/>
    <w:lvl w:ilvl="0">
      <w:lvlJc w:val="left"/>
      <w:lvlText w:val="2"/>
      <w:numFmt w:val="bullet"/>
      <w:start w:val="1"/>
    </w:lvl>
  </w:abstractNum>
  <w:abstractNum w:abstractNumId="115">
    <w:nsid w:val="5D888A08"/>
    <w:multiLevelType w:val="hybridMultilevel"/>
    <w:lvl w:ilvl="0">
      <w:lvlJc w:val="left"/>
      <w:lvlText w:val="6"/>
      <w:numFmt w:val="bullet"/>
      <w:start w:val="1"/>
    </w:lvl>
  </w:abstractNum>
  <w:abstractNum w:abstractNumId="116">
    <w:nsid w:val="2A082C70"/>
    <w:multiLevelType w:val="hybridMultilevel"/>
    <w:lvl w:ilvl="0">
      <w:lvlJc w:val="left"/>
      <w:lvlText w:val="•"/>
      <w:numFmt w:val="bullet"/>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1"/>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9"/>
      <w:numFmt w:val="bullet"/>
      <w:start w:val="1"/>
    </w:lvl>
  </w:abstractNum>
  <w:abstractNum w:abstractNumId="121">
    <w:nsid w:val="5399C654"/>
    <w:multiLevelType w:val="hybridMultilevel"/>
    <w:lvl w:ilvl="0">
      <w:lvlJc w:val="left"/>
      <w:lvlText w:val="1"/>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
      <w:numFmt w:val="bullet"/>
      <w:start w:val="1"/>
    </w:lvl>
    <w:lvl w:ilvl="1">
      <w:lvlJc w:val="left"/>
      <w:lvlText w:val="•"/>
      <w:numFmt w:val="bullet"/>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3"/>
    </w:lvl>
  </w:abstractNum>
  <w:abstractNum w:abstractNumId="131">
    <w:nsid w:val="49D0FEAC"/>
    <w:multiLevelType w:val="hybridMultilevel"/>
    <w:lvl w:ilvl="0">
      <w:lvlJc w:val="left"/>
      <w:lvlText w:val="%1."/>
      <w:numFmt w:val="decimal"/>
      <w:start w:val="9"/>
    </w:lvl>
    <w:lvl w:ilvl="1">
      <w:lvlJc w:val="left"/>
      <w:lvlText w:val="(%2)"/>
      <w:numFmt w:val="lowerLetter"/>
      <w:start w:val="1"/>
    </w:lvl>
  </w:abstractNum>
  <w:abstractNum w:abstractNumId="132">
    <w:nsid w:val="4BEE5A5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33">
    <w:nsid w:val="5551B9F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34">
    <w:nsid w:val="24F6AB8E"/>
    <w:multiLevelType w:val="hybridMultilevel"/>
    <w:lvl w:ilvl="0">
      <w:lvlJc w:val="left"/>
      <w:lvlText w:val="(%1)"/>
      <w:numFmt w:val="lowerRoman"/>
      <w:start w:val="4"/>
    </w:lvl>
  </w:abstractNum>
  <w:abstractNum w:abstractNumId="135">
    <w:nsid w:val="634C574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6">
    <w:nsid w:val="24E99DD7"/>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37">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8">
    <w:nsid w:val="1849C29B"/>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139">
    <w:nsid w:val="7DFF9D09"/>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140">
    <w:nsid w:val="75434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2022-03-18T15:20:27Z</dcterms:created>
  <dcterms:modified xsi:type="dcterms:W3CDTF">2022-03-18T15:20:27Z</dcterms:modified>
</cp:coreProperties>
</file>