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Arial" w:cs="Arial" w:eastAsia="Arial" w:hAnsi="Arial"/>
          <w:sz w:val="25"/>
          <w:szCs w:val="25"/>
          <w:b w:val="1"/>
          <w:bCs w:val="1"/>
          <w:color w:val="auto"/>
        </w:rPr>
        <w:t>UNITED STATES</w:t>
      </w:r>
    </w:p>
    <w:p>
      <w:pPr>
        <w:spacing w:after="0" w:line="118" w:lineRule="exact"/>
        <w:rPr>
          <w:sz w:val="24"/>
          <w:szCs w:val="24"/>
          <w:color w:val="auto"/>
        </w:rPr>
      </w:pPr>
    </w:p>
    <w:p>
      <w:pPr>
        <w:jc w:val="center"/>
        <w:ind w:right="-1120"/>
        <w:spacing w:after="0"/>
        <w:rPr>
          <w:sz w:val="20"/>
          <w:szCs w:val="20"/>
          <w:color w:val="auto"/>
        </w:rPr>
      </w:pPr>
      <w:r>
        <w:rPr>
          <w:rFonts w:ascii="Arial" w:cs="Arial" w:eastAsia="Arial" w:hAnsi="Arial"/>
          <w:sz w:val="25"/>
          <w:szCs w:val="25"/>
          <w:b w:val="1"/>
          <w:bCs w:val="1"/>
          <w:color w:val="auto"/>
        </w:rPr>
        <w:t>SECURITIES AND EXCHANGE COMMISSION</w:t>
      </w:r>
    </w:p>
    <w:p>
      <w:pPr>
        <w:spacing w:after="0" w:line="141" w:lineRule="exact"/>
        <w:rPr>
          <w:sz w:val="24"/>
          <w:szCs w:val="24"/>
          <w:color w:val="auto"/>
        </w:rPr>
      </w:pP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393"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SCHEDULE 14A</w:t>
      </w:r>
    </w:p>
    <w:p>
      <w:pPr>
        <w:spacing w:after="0" w:line="241" w:lineRule="exact"/>
        <w:rPr>
          <w:sz w:val="24"/>
          <w:szCs w:val="24"/>
          <w:color w:val="auto"/>
        </w:rPr>
      </w:pPr>
    </w:p>
    <w:p>
      <w:pPr>
        <w:jc w:val="center"/>
        <w:ind w:right="-1120"/>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25" w:lineRule="exact"/>
        <w:rPr>
          <w:sz w:val="24"/>
          <w:szCs w:val="24"/>
          <w:color w:val="auto"/>
        </w:rPr>
      </w:pPr>
    </w:p>
    <w:p>
      <w:pPr>
        <w:jc w:val="center"/>
        <w:ind w:right="-1120"/>
        <w:spacing w:after="0"/>
        <w:rPr>
          <w:sz w:val="20"/>
          <w:szCs w:val="20"/>
          <w:color w:val="auto"/>
        </w:rPr>
      </w:pPr>
      <w:r>
        <w:rPr>
          <w:rFonts w:ascii="Arial" w:cs="Arial" w:eastAsia="Arial" w:hAnsi="Arial"/>
          <w:sz w:val="22"/>
          <w:szCs w:val="22"/>
          <w:b w:val="1"/>
          <w:bCs w:val="1"/>
          <w:color w:val="auto"/>
        </w:rPr>
        <w:t>Securities Exchange Act of 1934</w:t>
      </w:r>
    </w:p>
    <w:p>
      <w:pPr>
        <w:spacing w:after="0" w:line="112" w:lineRule="exact"/>
        <w:rPr>
          <w:sz w:val="24"/>
          <w:szCs w:val="24"/>
          <w:color w:val="auto"/>
        </w:rPr>
      </w:pPr>
    </w:p>
    <w:p>
      <w:pPr>
        <w:jc w:val="center"/>
        <w:ind w:right="-1120"/>
        <w:spacing w:after="0"/>
        <w:tabs>
          <w:tab w:leader="none" w:pos="28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4039870</wp:posOffset>
            </wp:positionH>
            <wp:positionV relativeFrom="paragraph">
              <wp:posOffset>-13335</wp:posOffset>
            </wp:positionV>
            <wp:extent cx="1524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2400" cy="8890"/>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21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4"/>
          <w:szCs w:val="14"/>
          <w:color w:val="auto"/>
        </w:rPr>
        <w:t>☐</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357" w:lineRule="exact"/>
        <w:rPr>
          <w:sz w:val="24"/>
          <w:szCs w:val="24"/>
          <w:color w:val="auto"/>
        </w:rPr>
      </w:pPr>
    </w:p>
    <w:p>
      <w:pPr>
        <w:ind w:left="580" w:hanging="554"/>
        <w:spacing w:after="0"/>
        <w:tabs>
          <w:tab w:leader="none" w:pos="580" w:val="left"/>
        </w:tabs>
        <w:numPr>
          <w:ilvl w:val="0"/>
          <w:numId w:val="1"/>
        </w:numPr>
        <w:rPr>
          <w:rFonts w:ascii="Wingdings" w:cs="Wingdings" w:eastAsia="Wingdings" w:hAnsi="Wingdings"/>
          <w:sz w:val="25"/>
          <w:szCs w:val="25"/>
          <w:b w:val="1"/>
          <w:bCs w:val="1"/>
          <w:color w:val="auto"/>
          <w:vertAlign w:val="superscript"/>
        </w:rPr>
      </w:pPr>
      <w:r>
        <w:rPr>
          <w:rFonts w:ascii="Arial" w:cs="Arial" w:eastAsia="Arial" w:hAnsi="Arial"/>
          <w:sz w:val="13"/>
          <w:szCs w:val="13"/>
          <w:color w:val="auto"/>
        </w:rPr>
        <w:t>Preliminary Proxy Statement</w:t>
      </w:r>
    </w:p>
    <w:p>
      <w:pPr>
        <w:spacing w:after="0" w:line="74" w:lineRule="exact"/>
        <w:rPr>
          <w:rFonts w:ascii="Wingdings" w:cs="Wingdings" w:eastAsia="Wingdings" w:hAnsi="Wingdings"/>
          <w:sz w:val="25"/>
          <w:szCs w:val="25"/>
          <w:b w:val="1"/>
          <w:bCs w:val="1"/>
          <w:color w:val="auto"/>
          <w:vertAlign w:val="superscript"/>
        </w:rPr>
      </w:pPr>
    </w:p>
    <w:p>
      <w:pPr>
        <w:ind w:left="580" w:hanging="554"/>
        <w:spacing w:after="0" w:line="187" w:lineRule="auto"/>
        <w:tabs>
          <w:tab w:leader="none" w:pos="580" w:val="left"/>
        </w:tabs>
        <w:numPr>
          <w:ilvl w:val="0"/>
          <w:numId w:val="1"/>
        </w:numPr>
        <w:rPr>
          <w:rFonts w:ascii="Wingdings" w:cs="Wingdings" w:eastAsia="Wingdings" w:hAnsi="Wingdings"/>
          <w:sz w:val="21"/>
          <w:szCs w:val="21"/>
          <w:b w:val="1"/>
          <w:bCs w:val="1"/>
          <w:color w:val="auto"/>
          <w:vertAlign w:val="superscript"/>
        </w:rPr>
      </w:pPr>
      <w:r>
        <w:rPr>
          <w:rFonts w:ascii="Arial" w:cs="Arial" w:eastAsia="Arial" w:hAnsi="Arial"/>
          <w:sz w:val="11"/>
          <w:szCs w:val="11"/>
          <w:color w:val="auto"/>
        </w:rPr>
        <w:t>Confidential, for Use of the Commission Only (as permitted by Rule 14a-6(e)(2))</w:t>
      </w:r>
    </w:p>
    <w:p>
      <w:pPr>
        <w:ind w:left="580" w:hanging="554"/>
        <w:spacing w:after="0" w:line="233" w:lineRule="auto"/>
        <w:tabs>
          <w:tab w:leader="none" w:pos="580" w:val="left"/>
        </w:tabs>
        <w:numPr>
          <w:ilvl w:val="0"/>
          <w:numId w:val="2"/>
        </w:numPr>
        <w:rPr>
          <w:rFonts w:ascii="Wingdings" w:cs="Wingdings" w:eastAsia="Wingdings" w:hAnsi="Wingdings"/>
          <w:sz w:val="25"/>
          <w:szCs w:val="25"/>
          <w:b w:val="1"/>
          <w:bCs w:val="1"/>
          <w:color w:val="auto"/>
          <w:vertAlign w:val="superscript"/>
        </w:rPr>
      </w:pPr>
      <w:r>
        <w:rPr>
          <w:rFonts w:ascii="Arial" w:cs="Arial" w:eastAsia="Arial" w:hAnsi="Arial"/>
          <w:sz w:val="13"/>
          <w:szCs w:val="13"/>
          <w:color w:val="auto"/>
        </w:rPr>
        <w:t>Definitive Proxy Statement</w:t>
      </w:r>
    </w:p>
    <w:p>
      <w:pPr>
        <w:ind w:left="580" w:hanging="554"/>
        <w:spacing w:after="0" w:line="234" w:lineRule="auto"/>
        <w:tabs>
          <w:tab w:leader="none" w:pos="580" w:val="left"/>
        </w:tabs>
        <w:numPr>
          <w:ilvl w:val="0"/>
          <w:numId w:val="3"/>
        </w:numPr>
        <w:rPr>
          <w:rFonts w:ascii="Wingdings" w:cs="Wingdings" w:eastAsia="Wingdings" w:hAnsi="Wingdings"/>
          <w:sz w:val="25"/>
          <w:szCs w:val="25"/>
          <w:b w:val="1"/>
          <w:bCs w:val="1"/>
          <w:color w:val="auto"/>
          <w:vertAlign w:val="superscript"/>
        </w:rPr>
      </w:pPr>
      <w:r>
        <w:rPr>
          <w:rFonts w:ascii="Arial" w:cs="Arial" w:eastAsia="Arial" w:hAnsi="Arial"/>
          <w:sz w:val="13"/>
          <w:szCs w:val="13"/>
          <w:color w:val="auto"/>
        </w:rPr>
        <w:t>Definitive Additional Materials</w:t>
      </w:r>
    </w:p>
    <w:p>
      <w:pPr>
        <w:spacing w:after="0" w:line="115" w:lineRule="exact"/>
        <w:rPr>
          <w:rFonts w:ascii="Wingdings" w:cs="Wingdings" w:eastAsia="Wingdings" w:hAnsi="Wingdings"/>
          <w:sz w:val="25"/>
          <w:szCs w:val="25"/>
          <w:b w:val="1"/>
          <w:bCs w:val="1"/>
          <w:color w:val="auto"/>
          <w:vertAlign w:val="superscript"/>
        </w:rPr>
      </w:pPr>
    </w:p>
    <w:p>
      <w:pPr>
        <w:ind w:left="580" w:hanging="554"/>
        <w:spacing w:after="0" w:line="185" w:lineRule="auto"/>
        <w:tabs>
          <w:tab w:leader="none" w:pos="580" w:val="left"/>
        </w:tabs>
        <w:numPr>
          <w:ilvl w:val="0"/>
          <w:numId w:val="3"/>
        </w:numPr>
        <w:rPr>
          <w:rFonts w:ascii="Wingdings" w:cs="Wingdings" w:eastAsia="Wingdings" w:hAnsi="Wingdings"/>
          <w:sz w:val="18"/>
          <w:szCs w:val="18"/>
          <w:b w:val="1"/>
          <w:bCs w:val="1"/>
          <w:color w:val="auto"/>
          <w:vertAlign w:val="superscript"/>
        </w:rPr>
      </w:pPr>
      <w:r>
        <w:rPr>
          <w:rFonts w:ascii="Arial" w:cs="Arial" w:eastAsia="Arial" w:hAnsi="Arial"/>
          <w:sz w:val="10"/>
          <w:szCs w:val="10"/>
          <w:color w:val="auto"/>
        </w:rPr>
        <w:t>Soliciting Material Pursuant to §240.14a-12</w:t>
      </w:r>
    </w:p>
    <w:p>
      <w:pPr>
        <w:spacing w:after="0" w:line="391" w:lineRule="exact"/>
        <w:rPr>
          <w:sz w:val="24"/>
          <w:szCs w:val="24"/>
          <w:color w:val="auto"/>
        </w:rPr>
      </w:pPr>
    </w:p>
    <w:p>
      <w:pPr>
        <w:jc w:val="center"/>
        <w:ind w:right="-1120"/>
        <w:spacing w:after="0"/>
        <w:rPr>
          <w:sz w:val="20"/>
          <w:szCs w:val="20"/>
          <w:color w:val="auto"/>
        </w:rPr>
      </w:pPr>
      <w:r>
        <w:rPr>
          <w:rFonts w:ascii="Arial" w:cs="Arial" w:eastAsia="Arial" w:hAnsi="Arial"/>
          <w:sz w:val="22"/>
          <w:szCs w:val="22"/>
          <w:b w:val="1"/>
          <w:bCs w:val="1"/>
          <w:color w:val="auto"/>
        </w:rPr>
        <w:t>ELI LILLY AND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0" w:lineRule="exact"/>
        <w:rPr>
          <w:sz w:val="24"/>
          <w:szCs w:val="24"/>
          <w:color w:val="auto"/>
        </w:rPr>
      </w:pPr>
    </w:p>
    <w:p>
      <w:pPr>
        <w:ind w:left="4020"/>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65" w:lineRule="exact"/>
        <w:rPr>
          <w:sz w:val="24"/>
          <w:szCs w:val="24"/>
          <w:color w:val="auto"/>
        </w:rPr>
      </w:pPr>
    </w:p>
    <w:p>
      <w:pPr>
        <w:ind w:left="318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200" w:lineRule="exact"/>
        <w:rPr>
          <w:sz w:val="24"/>
          <w:szCs w:val="24"/>
          <w:color w:val="auto"/>
        </w:rPr>
      </w:pPr>
    </w:p>
    <w:p>
      <w:pPr>
        <w:spacing w:after="0" w:line="200" w:lineRule="exact"/>
        <w:rPr>
          <w:sz w:val="24"/>
          <w:szCs w:val="24"/>
          <w:color w:val="auto"/>
        </w:rPr>
      </w:pPr>
    </w:p>
    <w:p>
      <w:pPr>
        <w:spacing w:after="0" w:line="375" w:lineRule="exact"/>
        <w:rPr>
          <w:sz w:val="24"/>
          <w:szCs w:val="24"/>
          <w:color w:val="auto"/>
        </w:rPr>
      </w:pPr>
    </w:p>
    <w:p>
      <w:pPr>
        <w:ind w:left="20"/>
        <w:spacing w:after="0"/>
        <w:rPr>
          <w:sz w:val="20"/>
          <w:szCs w:val="20"/>
          <w:color w:val="auto"/>
        </w:rPr>
      </w:pPr>
      <w:r>
        <w:rPr>
          <w:rFonts w:ascii="Arial" w:cs="Arial" w:eastAsia="Arial" w:hAnsi="Arial"/>
          <w:sz w:val="13"/>
          <w:szCs w:val="13"/>
          <w:color w:val="auto"/>
        </w:rPr>
        <w:t>Payment of Filing Fee (Check all boxes that apply):</w:t>
      </w:r>
    </w:p>
    <w:p>
      <w:pPr>
        <w:spacing w:after="0" w:line="188" w:lineRule="exact"/>
        <w:rPr>
          <w:sz w:val="24"/>
          <w:szCs w:val="24"/>
          <w:color w:val="auto"/>
        </w:rPr>
      </w:pPr>
    </w:p>
    <w:p>
      <w:pPr>
        <w:ind w:left="540" w:hanging="514"/>
        <w:spacing w:after="0"/>
        <w:tabs>
          <w:tab w:leader="none" w:pos="540" w:val="left"/>
        </w:tabs>
        <w:numPr>
          <w:ilvl w:val="0"/>
          <w:numId w:val="4"/>
        </w:numPr>
        <w:rPr>
          <w:rFonts w:ascii="Wingdings" w:cs="Wingdings" w:eastAsia="Wingdings" w:hAnsi="Wingdings"/>
          <w:sz w:val="13"/>
          <w:szCs w:val="13"/>
          <w:b w:val="1"/>
          <w:bCs w:val="1"/>
          <w:color w:val="auto"/>
        </w:rPr>
      </w:pPr>
      <w:r>
        <w:rPr>
          <w:rFonts w:ascii="Arial" w:cs="Arial" w:eastAsia="Arial" w:hAnsi="Arial"/>
          <w:sz w:val="13"/>
          <w:szCs w:val="13"/>
          <w:color w:val="auto"/>
        </w:rPr>
        <w:t>No fee required</w:t>
      </w:r>
    </w:p>
    <w:p>
      <w:pPr>
        <w:spacing w:after="0" w:line="188" w:lineRule="exact"/>
        <w:rPr>
          <w:sz w:val="24"/>
          <w:szCs w:val="24"/>
          <w:color w:val="auto"/>
        </w:rPr>
      </w:pPr>
    </w:p>
    <w:p>
      <w:pPr>
        <w:ind w:left="540" w:hanging="514"/>
        <w:spacing w:after="0"/>
        <w:tabs>
          <w:tab w:leader="none" w:pos="540" w:val="left"/>
        </w:tabs>
        <w:numPr>
          <w:ilvl w:val="0"/>
          <w:numId w:val="5"/>
        </w:numPr>
        <w:rPr>
          <w:rFonts w:ascii="Wingdings" w:cs="Wingdings" w:eastAsia="Wingdings" w:hAnsi="Wingdings"/>
          <w:sz w:val="13"/>
          <w:szCs w:val="13"/>
          <w:b w:val="1"/>
          <w:bCs w:val="1"/>
          <w:color w:val="auto"/>
        </w:rPr>
      </w:pPr>
      <w:r>
        <w:rPr>
          <w:rFonts w:ascii="Arial" w:cs="Arial" w:eastAsia="Arial" w:hAnsi="Arial"/>
          <w:sz w:val="13"/>
          <w:szCs w:val="13"/>
          <w:color w:val="auto"/>
        </w:rPr>
        <w:t>Fee paid previously with preliminary materials</w:t>
      </w:r>
    </w:p>
    <w:p>
      <w:pPr>
        <w:spacing w:after="0" w:line="188" w:lineRule="exact"/>
        <w:rPr>
          <w:rFonts w:ascii="Wingdings" w:cs="Wingdings" w:eastAsia="Wingdings" w:hAnsi="Wingdings"/>
          <w:sz w:val="13"/>
          <w:szCs w:val="13"/>
          <w:b w:val="1"/>
          <w:bCs w:val="1"/>
          <w:color w:val="auto"/>
        </w:rPr>
      </w:pPr>
    </w:p>
    <w:p>
      <w:pPr>
        <w:ind w:left="540" w:hanging="514"/>
        <w:spacing w:after="0"/>
        <w:tabs>
          <w:tab w:leader="none" w:pos="540" w:val="left"/>
        </w:tabs>
        <w:numPr>
          <w:ilvl w:val="0"/>
          <w:numId w:val="5"/>
        </w:numPr>
        <w:rPr>
          <w:rFonts w:ascii="Wingdings" w:cs="Wingdings" w:eastAsia="Wingdings" w:hAnsi="Wingdings"/>
          <w:sz w:val="13"/>
          <w:szCs w:val="13"/>
          <w:b w:val="1"/>
          <w:bCs w:val="1"/>
          <w:color w:val="auto"/>
        </w:rPr>
      </w:pPr>
      <w:r>
        <w:rPr>
          <w:rFonts w:ascii="Arial" w:cs="Arial" w:eastAsia="Arial" w:hAnsi="Arial"/>
          <w:sz w:val="13"/>
          <w:szCs w:val="13"/>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1035050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979" w:right="1440"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688975</wp:posOffset>
            </wp:positionV>
            <wp:extent cx="7157720" cy="92710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9271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ind w:left="20"/>
        <w:spacing w:after="0"/>
        <w:rPr>
          <w:sz w:val="20"/>
          <w:szCs w:val="20"/>
          <w:color w:val="auto"/>
        </w:rPr>
      </w:pPr>
      <w:r>
        <w:rPr>
          <w:rFonts w:ascii="Arial" w:cs="Arial" w:eastAsia="Arial" w:hAnsi="Arial"/>
          <w:sz w:val="18"/>
          <w:szCs w:val="18"/>
          <w:color w:val="auto"/>
        </w:rPr>
        <w:t>Dear Fellow Shareholders,</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Thank you for your continued support of Eli Lilly and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-15875</wp:posOffset>
            </wp:positionV>
            <wp:extent cx="2057400" cy="4354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57400" cy="4354830"/>
                    </a:xfrm>
                    <a:prstGeom prst="rect">
                      <a:avLst/>
                    </a:prstGeom>
                    <a:noFill/>
                  </pic:spPr>
                </pic:pic>
              </a:graphicData>
            </a:graphic>
          </wp:anchor>
        </w:drawing>
      </w:r>
    </w:p>
    <w:p>
      <w:pPr>
        <w:spacing w:after="0" w:line="151" w:lineRule="exact"/>
        <w:rPr>
          <w:sz w:val="20"/>
          <w:szCs w:val="20"/>
          <w:color w:val="auto"/>
        </w:rPr>
      </w:pPr>
    </w:p>
    <w:p>
      <w:pPr>
        <w:ind w:left="20" w:right="4659"/>
        <w:spacing w:after="0" w:line="262" w:lineRule="auto"/>
        <w:rPr>
          <w:sz w:val="20"/>
          <w:szCs w:val="20"/>
          <w:color w:val="auto"/>
        </w:rPr>
      </w:pPr>
      <w:r>
        <w:rPr>
          <w:rFonts w:ascii="Arial" w:cs="Arial" w:eastAsia="Arial" w:hAnsi="Arial"/>
          <w:sz w:val="18"/>
          <w:szCs w:val="18"/>
          <w:color w:val="auto"/>
        </w:rPr>
        <w:t>2024 was a year of significant progress for Lilly, as we delivered life-changing medicines to more patients, advanced exciting new research in areas of unmet medical need, and invested in our supply chain to meet the increasing demand for our medicines.</w:t>
      </w:r>
    </w:p>
    <w:p>
      <w:pPr>
        <w:spacing w:after="0" w:line="122" w:lineRule="exact"/>
        <w:rPr>
          <w:sz w:val="20"/>
          <w:szCs w:val="20"/>
          <w:color w:val="auto"/>
        </w:rPr>
      </w:pPr>
    </w:p>
    <w:p>
      <w:pPr>
        <w:ind w:left="20" w:right="4659"/>
        <w:spacing w:after="0" w:line="255" w:lineRule="auto"/>
        <w:rPr>
          <w:sz w:val="20"/>
          <w:szCs w:val="20"/>
          <w:color w:val="auto"/>
        </w:rPr>
      </w:pPr>
      <w:r>
        <w:rPr>
          <w:rFonts w:ascii="Arial" w:cs="Arial" w:eastAsia="Arial" w:hAnsi="Arial"/>
          <w:sz w:val="18"/>
          <w:szCs w:val="18"/>
          <w:color w:val="auto"/>
        </w:rPr>
        <w:t>Key regulatory achievements included FDA approval of Kisunla for the treatment of Alzheimer's disease, Ebglyss for patients with moderate-to-severe atopic dermatitis, and Zepbound as the first prescription medicine for moderate-to-severe obstructive sleep apnea in adults with obesity. We announced positive Phase 3 results for imlunestrant, insulin efsitora alfa, and three additional tirzepatide trials. Based on early phase data, we started Phase 3 programs for lepodisiran, remternetug, and olomorasib.</w:t>
      </w:r>
    </w:p>
    <w:p>
      <w:pPr>
        <w:spacing w:after="0" w:line="131" w:lineRule="exact"/>
        <w:rPr>
          <w:sz w:val="20"/>
          <w:szCs w:val="20"/>
          <w:color w:val="auto"/>
        </w:rPr>
      </w:pPr>
    </w:p>
    <w:p>
      <w:pPr>
        <w:ind w:left="20" w:right="4719"/>
        <w:spacing w:after="0" w:line="318" w:lineRule="auto"/>
        <w:rPr>
          <w:sz w:val="20"/>
          <w:szCs w:val="20"/>
          <w:color w:val="auto"/>
        </w:rPr>
      </w:pPr>
      <w:r>
        <w:rPr>
          <w:rFonts w:ascii="Arial" w:cs="Arial" w:eastAsia="Arial" w:hAnsi="Arial"/>
          <w:sz w:val="17"/>
          <w:szCs w:val="17"/>
          <w:color w:val="auto"/>
        </w:rPr>
        <w:t>We also delivered strong total shareholder returns through December 31, 2024, in both share price appreciation and dividends.</w:t>
      </w:r>
    </w:p>
    <w:p>
      <w:pPr>
        <w:spacing w:after="0" w:line="76" w:lineRule="exact"/>
        <w:rPr>
          <w:sz w:val="20"/>
          <w:szCs w:val="20"/>
          <w:color w:val="auto"/>
        </w:rPr>
      </w:pPr>
    </w:p>
    <w:p>
      <w:pPr>
        <w:ind w:left="20" w:right="4619"/>
        <w:spacing w:after="0" w:line="255" w:lineRule="auto"/>
        <w:rPr>
          <w:sz w:val="20"/>
          <w:szCs w:val="20"/>
          <w:color w:val="auto"/>
        </w:rPr>
      </w:pPr>
      <w:r>
        <w:rPr>
          <w:rFonts w:ascii="Arial" w:cs="Arial" w:eastAsia="Arial" w:hAnsi="Arial"/>
          <w:sz w:val="18"/>
          <w:szCs w:val="18"/>
          <w:color w:val="auto"/>
        </w:rPr>
        <w:t>Our commitment to people, the planet, and society remains integral to our purpose. Our most profound impact is reflected in the number of patients who benefit from our medicines – more than 58 million in 2024. We have established bold sustainability objectives and are making steady progress toward our 2030 climate goals. We signed a renewable power purchase agreement for a new large-scale wind farm, which will generate approximately 450,000 megawatt hours per year, representing over 90% of our electrical demand in North America.</w:t>
      </w:r>
    </w:p>
    <w:p>
      <w:pPr>
        <w:spacing w:after="0" w:line="127" w:lineRule="exact"/>
        <w:rPr>
          <w:sz w:val="20"/>
          <w:szCs w:val="20"/>
          <w:color w:val="auto"/>
        </w:rPr>
      </w:pPr>
    </w:p>
    <w:p>
      <w:pPr>
        <w:ind w:left="20" w:right="4639"/>
        <w:spacing w:after="0" w:line="256" w:lineRule="auto"/>
        <w:rPr>
          <w:sz w:val="20"/>
          <w:szCs w:val="20"/>
          <w:color w:val="auto"/>
        </w:rPr>
      </w:pPr>
      <w:r>
        <w:rPr>
          <w:rFonts w:ascii="Arial" w:cs="Arial" w:eastAsia="Arial" w:hAnsi="Arial"/>
          <w:sz w:val="18"/>
          <w:szCs w:val="18"/>
          <w:color w:val="auto"/>
        </w:rPr>
        <w:t>Global health is also an important focus. Through investments in medicines and health systems, we made strides toward our 30x30 goal of improving quality health care for 30 million people living in resource-limited settings annually by 2030. At this writing, Lilly’s 30x30 reach is estimated to be approximately 20 million patients in 2024. Our company continues to work diligently to meet the needs of vulnerable communities around the world.</w:t>
      </w:r>
    </w:p>
    <w:p>
      <w:pPr>
        <w:spacing w:after="0" w:line="183" w:lineRule="exact"/>
        <w:rPr>
          <w:sz w:val="20"/>
          <w:szCs w:val="20"/>
          <w:color w:val="auto"/>
        </w:rPr>
      </w:pPr>
    </w:p>
    <w:p>
      <w:pPr>
        <w:ind w:left="20" w:right="1359"/>
        <w:spacing w:after="0" w:line="262" w:lineRule="auto"/>
        <w:rPr>
          <w:sz w:val="20"/>
          <w:szCs w:val="20"/>
          <w:color w:val="auto"/>
        </w:rPr>
      </w:pPr>
      <w:r>
        <w:rPr>
          <w:rFonts w:ascii="Arial" w:cs="Arial" w:eastAsia="Arial" w:hAnsi="Arial"/>
          <w:sz w:val="18"/>
          <w:szCs w:val="18"/>
          <w:color w:val="auto"/>
        </w:rPr>
        <w:t>The board values your engagement, and we’ve spoken with many fellow shareholders on a range of topics, including pricing and access, enterprise risks, and sustainability. We welcome this dialogue, and investor input will be reflected again this year in management proposals to eliminate from our articles of incorporation the classified board structure and supermajority voting requirements.</w:t>
      </w:r>
    </w:p>
    <w:p>
      <w:pPr>
        <w:spacing w:after="0" w:line="122" w:lineRule="exact"/>
        <w:rPr>
          <w:sz w:val="20"/>
          <w:szCs w:val="20"/>
          <w:color w:val="auto"/>
        </w:rPr>
      </w:pPr>
    </w:p>
    <w:p>
      <w:pPr>
        <w:jc w:val="both"/>
        <w:ind w:left="20" w:right="1339"/>
        <w:spacing w:after="0" w:line="268" w:lineRule="auto"/>
        <w:rPr>
          <w:sz w:val="20"/>
          <w:szCs w:val="20"/>
          <w:color w:val="auto"/>
        </w:rPr>
      </w:pPr>
      <w:r>
        <w:rPr>
          <w:rFonts w:ascii="Arial" w:cs="Arial" w:eastAsia="Arial" w:hAnsi="Arial"/>
          <w:sz w:val="18"/>
          <w:szCs w:val="18"/>
          <w:color w:val="auto"/>
        </w:rPr>
        <w:t>Lilly is a medicine company committed to improving human health for nearly 150 years. With your support, we will continue to invest in innovation, make meaningful scientific advancements, and deliver medicines that help more people around the world. We look forward to welcoming you to the annual meeting.</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146050</wp:posOffset>
            </wp:positionV>
            <wp:extent cx="5528945" cy="9683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528945" cy="968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David A. Ricks</w:t>
      </w:r>
    </w:p>
    <w:p>
      <w:pPr>
        <w:ind w:left="1680"/>
        <w:spacing w:after="0" w:line="180" w:lineRule="auto"/>
        <w:tabs>
          <w:tab w:leader="none" w:pos="6320" w:val="left"/>
        </w:tabs>
        <w:rPr>
          <w:sz w:val="20"/>
          <w:szCs w:val="20"/>
          <w:color w:val="auto"/>
        </w:rPr>
      </w:pPr>
      <w:r>
        <w:rPr>
          <w:rFonts w:ascii="Arial" w:cs="Arial" w:eastAsia="Arial" w:hAnsi="Arial"/>
          <w:sz w:val="18"/>
          <w:szCs w:val="18"/>
          <w:color w:val="auto"/>
        </w:rPr>
        <w:t>Chair, President and CEO</w:t>
      </w:r>
      <w:r>
        <w:rPr>
          <w:sz w:val="20"/>
          <w:szCs w:val="20"/>
          <w:color w:val="auto"/>
        </w:rPr>
        <w:tab/>
      </w:r>
      <w:r>
        <w:rPr>
          <w:rFonts w:ascii="Arial" w:cs="Arial" w:eastAsia="Arial" w:hAnsi="Arial"/>
          <w:sz w:val="25"/>
          <w:szCs w:val="25"/>
          <w:color w:val="auto"/>
          <w:vertAlign w:val="superscript"/>
        </w:rPr>
        <w:t>Juan Luciano</w:t>
      </w:r>
    </w:p>
    <w:p>
      <w:pPr>
        <w:ind w:left="6340"/>
        <w:spacing w:after="0"/>
        <w:rPr>
          <w:sz w:val="20"/>
          <w:szCs w:val="20"/>
          <w:color w:val="auto"/>
        </w:rPr>
      </w:pPr>
      <w:r>
        <w:rPr>
          <w:rFonts w:ascii="Arial" w:cs="Arial" w:eastAsia="Arial" w:hAnsi="Arial"/>
          <w:sz w:val="18"/>
          <w:szCs w:val="18"/>
          <w:color w:val="auto"/>
        </w:rPr>
        <w:t>Lead 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833755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823" w:right="1440" w:bottom="1440" w:gutter="0" w:footer="0" w:header="0"/>
        </w:sectPr>
      </w:pPr>
    </w:p>
    <w:bookmarkStart w:id="3" w:name="page4"/>
    <w:bookmarkEnd w:id="3"/>
    <w:p>
      <w:pPr>
        <w:spacing w:after="0"/>
        <w:rPr>
          <w:sz w:val="20"/>
          <w:szCs w:val="20"/>
          <w:color w:val="auto"/>
        </w:rPr>
      </w:pPr>
      <w:r>
        <w:rPr>
          <w:rFonts w:ascii="Arial" w:cs="Arial" w:eastAsia="Arial" w:hAnsi="Arial"/>
          <w:sz w:val="51"/>
          <w:szCs w:val="51"/>
          <w:b w:val="1"/>
          <w:bCs w:val="1"/>
          <w:color w:val="auto"/>
        </w:rPr>
        <w:t>Table of Contents</w:t>
      </w:r>
    </w:p>
    <w:p>
      <w:pPr>
        <w:spacing w:after="0" w:line="126" w:lineRule="exact"/>
        <w:rPr>
          <w:sz w:val="20"/>
          <w:szCs w:val="20"/>
          <w:color w:val="auto"/>
        </w:rPr>
      </w:pPr>
    </w:p>
    <w:tbl>
      <w:tblPr>
        <w:tblLayout w:type="fixed"/>
        <w:tblInd w:w="20" w:type="dxa"/>
        <w:tblCellMar>
          <w:top w:w="0" w:type="dxa"/>
          <w:left w:w="0" w:type="dxa"/>
          <w:bottom w:w="0" w:type="dxa"/>
          <w:right w:w="0" w:type="dxa"/>
        </w:tblCellMar>
      </w:tblPr>
      <w:tr>
        <w:trPr>
          <w:trHeight w:val="218"/>
        </w:trPr>
        <w:tc>
          <w:tcPr>
            <w:tcW w:w="3920" w:type="dxa"/>
            <w:vAlign w:val="bottom"/>
          </w:tcPr>
          <w:p>
            <w:pPr>
              <w:spacing w:after="0"/>
              <w:rPr>
                <w:sz w:val="20"/>
                <w:szCs w:val="20"/>
                <w:color w:val="auto"/>
              </w:rPr>
            </w:pPr>
            <w:r>
              <w:rPr>
                <w:rFonts w:ascii="Arial" w:cs="Arial" w:eastAsia="Arial" w:hAnsi="Arial"/>
                <w:sz w:val="19"/>
                <w:szCs w:val="19"/>
                <w:b w:val="1"/>
                <w:bCs w:val="1"/>
                <w:color w:val="auto"/>
              </w:rPr>
              <w:t>Notice of 2025 Annual Meeting of</w:t>
            </w:r>
          </w:p>
        </w:tc>
        <w:tc>
          <w:tcPr>
            <w:tcW w:w="200" w:type="dxa"/>
            <w:vAlign w:val="bottom"/>
            <w:gridSpan w:val="2"/>
            <w:vMerge w:val="restart"/>
          </w:tcPr>
          <w:p>
            <w:pPr>
              <w:spacing w:after="0"/>
              <w:rPr>
                <w:sz w:val="20"/>
                <w:szCs w:val="20"/>
                <w:color w:val="auto"/>
              </w:rPr>
            </w:pPr>
            <w:r>
              <w:rPr>
                <w:rFonts w:ascii="Arial" w:cs="Arial" w:eastAsia="Arial" w:hAnsi="Arial"/>
                <w:sz w:val="18"/>
                <w:szCs w:val="18"/>
                <w:color w:val="0000FF"/>
              </w:rPr>
              <w:t>1</w:t>
            </w:r>
          </w:p>
        </w:tc>
        <w:tc>
          <w:tcPr>
            <w:tcW w:w="0" w:type="dxa"/>
            <w:vAlign w:val="bottom"/>
          </w:tcPr>
          <w:p>
            <w:pPr>
              <w:spacing w:after="0"/>
              <w:rPr>
                <w:sz w:val="1"/>
                <w:szCs w:val="1"/>
                <w:color w:val="auto"/>
              </w:rPr>
            </w:pPr>
          </w:p>
        </w:tc>
      </w:tr>
      <w:tr>
        <w:trPr>
          <w:trHeight w:val="54"/>
        </w:trPr>
        <w:tc>
          <w:tcPr>
            <w:tcW w:w="3920" w:type="dxa"/>
            <w:vAlign w:val="bottom"/>
            <w:vMerge w:val="restart"/>
          </w:tcPr>
          <w:p>
            <w:pPr>
              <w:spacing w:after="0"/>
              <w:rPr>
                <w:sz w:val="20"/>
                <w:szCs w:val="20"/>
                <w:color w:val="auto"/>
              </w:rPr>
            </w:pPr>
            <w:r>
              <w:rPr>
                <w:rFonts w:ascii="Arial" w:cs="Arial" w:eastAsia="Arial" w:hAnsi="Arial"/>
                <w:sz w:val="19"/>
                <w:szCs w:val="19"/>
                <w:b w:val="1"/>
                <w:bCs w:val="1"/>
                <w:color w:val="auto"/>
              </w:rPr>
              <w:t>Shareholders</w:t>
            </w:r>
          </w:p>
        </w:tc>
        <w:tc>
          <w:tcPr>
            <w:tcW w:w="2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3920" w:type="dxa"/>
            <w:vAlign w:val="bottom"/>
            <w:vMerge w:val="continue"/>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3920" w:type="dxa"/>
            <w:vAlign w:val="bottom"/>
            <w:vMerge w:val="continue"/>
          </w:tcPr>
          <w:p>
            <w:pPr>
              <w:spacing w:after="0"/>
              <w:rPr>
                <w:sz w:val="16"/>
                <w:szCs w:val="16"/>
                <w:color w:val="auto"/>
              </w:rPr>
            </w:pPr>
          </w:p>
        </w:tc>
        <w:tc>
          <w:tcPr>
            <w:tcW w:w="200" w:type="dxa"/>
            <w:vAlign w:val="bottom"/>
            <w:gridSpan w:val="2"/>
            <w:vMerge w:val="restart"/>
          </w:tcPr>
          <w:p>
            <w:pPr>
              <w:spacing w:after="0"/>
              <w:rPr>
                <w:sz w:val="20"/>
                <w:szCs w:val="20"/>
                <w:color w:val="auto"/>
              </w:rPr>
            </w:pPr>
            <w:r>
              <w:rPr>
                <w:rFonts w:ascii="Arial" w:cs="Arial" w:eastAsia="Arial" w:hAnsi="Arial"/>
                <w:sz w:val="18"/>
                <w:szCs w:val="18"/>
                <w:color w:val="0000FF"/>
              </w:rPr>
              <w:t>2</w:t>
            </w:r>
          </w:p>
        </w:tc>
        <w:tc>
          <w:tcPr>
            <w:tcW w:w="0" w:type="dxa"/>
            <w:vAlign w:val="bottom"/>
          </w:tcPr>
          <w:p>
            <w:pPr>
              <w:spacing w:after="0"/>
              <w:rPr>
                <w:sz w:val="1"/>
                <w:szCs w:val="1"/>
                <w:color w:val="auto"/>
              </w:rPr>
            </w:pPr>
          </w:p>
        </w:tc>
      </w:tr>
      <w:tr>
        <w:trPr>
          <w:trHeight w:val="227"/>
        </w:trPr>
        <w:tc>
          <w:tcPr>
            <w:tcW w:w="3920" w:type="dxa"/>
            <w:vAlign w:val="bottom"/>
            <w:vMerge w:val="restart"/>
          </w:tcPr>
          <w:p>
            <w:pPr>
              <w:spacing w:after="0"/>
              <w:rPr>
                <w:sz w:val="20"/>
                <w:szCs w:val="20"/>
                <w:color w:val="auto"/>
              </w:rPr>
            </w:pPr>
            <w:r>
              <w:rPr>
                <w:rFonts w:ascii="Arial" w:cs="Arial" w:eastAsia="Arial" w:hAnsi="Arial"/>
                <w:sz w:val="19"/>
                <w:szCs w:val="19"/>
                <w:b w:val="1"/>
                <w:bCs w:val="1"/>
                <w:color w:val="auto"/>
              </w:rPr>
              <w:t>Proxy Statement Summary</w:t>
            </w:r>
          </w:p>
        </w:tc>
        <w:tc>
          <w:tcPr>
            <w:tcW w:w="2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20" w:type="dxa"/>
            <w:vAlign w:val="bottom"/>
            <w:vMerge w:val="continue"/>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3920" w:type="dxa"/>
            <w:vAlign w:val="bottom"/>
            <w:vMerge w:val="continue"/>
          </w:tcPr>
          <w:p>
            <w:pPr>
              <w:spacing w:after="0"/>
              <w:rPr>
                <w:sz w:val="10"/>
                <w:szCs w:val="10"/>
                <w:color w:val="auto"/>
              </w:rPr>
            </w:pPr>
          </w:p>
        </w:tc>
        <w:tc>
          <w:tcPr>
            <w:tcW w:w="200" w:type="dxa"/>
            <w:vAlign w:val="bottom"/>
            <w:gridSpan w:val="2"/>
            <w:vMerge w:val="restart"/>
          </w:tcPr>
          <w:p>
            <w:pPr>
              <w:spacing w:after="0"/>
              <w:rPr>
                <w:sz w:val="20"/>
                <w:szCs w:val="20"/>
                <w:color w:val="auto"/>
              </w:rPr>
            </w:pPr>
            <w:r>
              <w:rPr>
                <w:rFonts w:ascii="Arial" w:cs="Arial" w:eastAsia="Arial" w:hAnsi="Arial"/>
                <w:sz w:val="18"/>
                <w:szCs w:val="18"/>
                <w:color w:val="0000FF"/>
                <w:w w:val="89"/>
              </w:rPr>
              <w:t>10</w:t>
            </w:r>
          </w:p>
        </w:tc>
        <w:tc>
          <w:tcPr>
            <w:tcW w:w="0" w:type="dxa"/>
            <w:vAlign w:val="bottom"/>
          </w:tcPr>
          <w:p>
            <w:pPr>
              <w:spacing w:after="0"/>
              <w:rPr>
                <w:sz w:val="1"/>
                <w:szCs w:val="1"/>
                <w:color w:val="auto"/>
              </w:rPr>
            </w:pPr>
          </w:p>
        </w:tc>
      </w:tr>
      <w:tr>
        <w:trPr>
          <w:trHeight w:val="313"/>
        </w:trPr>
        <w:tc>
          <w:tcPr>
            <w:tcW w:w="3920" w:type="dxa"/>
            <w:vAlign w:val="bottom"/>
            <w:vMerge w:val="restart"/>
          </w:tcPr>
          <w:p>
            <w:pPr>
              <w:spacing w:after="0"/>
              <w:rPr>
                <w:sz w:val="20"/>
                <w:szCs w:val="20"/>
                <w:color w:val="auto"/>
              </w:rPr>
            </w:pPr>
            <w:r>
              <w:rPr>
                <w:rFonts w:ascii="Arial" w:cs="Arial" w:eastAsia="Arial" w:hAnsi="Arial"/>
                <w:sz w:val="19"/>
                <w:szCs w:val="19"/>
                <w:b w:val="1"/>
                <w:bCs w:val="1"/>
                <w:color w:val="auto"/>
              </w:rPr>
              <w:t>Governance</w:t>
            </w:r>
          </w:p>
        </w:tc>
        <w:tc>
          <w:tcPr>
            <w:tcW w:w="200" w:type="dxa"/>
            <w:vAlign w:val="bottom"/>
            <w:tcBorders>
              <w:bottom w:val="single" w:sz="8" w:color="0000FF"/>
            </w:tcBorders>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3920" w:type="dxa"/>
            <w:vAlign w:val="bottom"/>
            <w:vMerge w:val="continue"/>
          </w:tcPr>
          <w:p>
            <w:pPr>
              <w:spacing w:after="0"/>
              <w:rPr>
                <w:sz w:val="12"/>
                <w:szCs w:val="12"/>
                <w:color w:val="auto"/>
              </w:rPr>
            </w:pPr>
          </w:p>
        </w:tc>
        <w:tc>
          <w:tcPr>
            <w:tcW w:w="200" w:type="dxa"/>
            <w:vAlign w:val="bottom"/>
            <w:gridSpan w:val="2"/>
            <w:vMerge w:val="restart"/>
          </w:tcPr>
          <w:p>
            <w:pPr>
              <w:spacing w:after="0"/>
              <w:rPr>
                <w:sz w:val="20"/>
                <w:szCs w:val="20"/>
                <w:color w:val="auto"/>
              </w:rPr>
            </w:pPr>
            <w:r>
              <w:rPr>
                <w:rFonts w:ascii="Arial" w:cs="Arial" w:eastAsia="Arial" w:hAnsi="Arial"/>
                <w:sz w:val="18"/>
                <w:szCs w:val="18"/>
                <w:color w:val="0000FF"/>
                <w:w w:val="89"/>
              </w:rPr>
              <w:t>10</w:t>
            </w:r>
          </w:p>
        </w:tc>
        <w:tc>
          <w:tcPr>
            <w:tcW w:w="0" w:type="dxa"/>
            <w:vAlign w:val="bottom"/>
          </w:tcPr>
          <w:p>
            <w:pPr>
              <w:spacing w:after="0"/>
              <w:rPr>
                <w:sz w:val="1"/>
                <w:szCs w:val="1"/>
                <w:color w:val="auto"/>
              </w:rPr>
            </w:pPr>
          </w:p>
        </w:tc>
      </w:tr>
      <w:tr>
        <w:trPr>
          <w:trHeight w:val="273"/>
        </w:trPr>
        <w:tc>
          <w:tcPr>
            <w:tcW w:w="3920" w:type="dxa"/>
            <w:vAlign w:val="bottom"/>
            <w:vMerge w:val="restart"/>
          </w:tcPr>
          <w:p>
            <w:pPr>
              <w:ind w:left="420"/>
              <w:spacing w:after="0"/>
              <w:rPr>
                <w:sz w:val="20"/>
                <w:szCs w:val="20"/>
                <w:color w:val="auto"/>
              </w:rPr>
            </w:pPr>
            <w:r>
              <w:rPr>
                <w:rFonts w:ascii="Arial" w:cs="Arial" w:eastAsia="Arial" w:hAnsi="Arial"/>
                <w:sz w:val="16"/>
                <w:szCs w:val="16"/>
                <w:color w:val="auto"/>
              </w:rPr>
              <w:t>Director Qualifications</w:t>
            </w:r>
          </w:p>
        </w:tc>
        <w:tc>
          <w:tcPr>
            <w:tcW w:w="200" w:type="dxa"/>
            <w:vAlign w:val="bottom"/>
            <w:tcBorders>
              <w:bottom w:val="single" w:sz="8" w:color="0000FF"/>
            </w:tcBorders>
            <w:gridSpan w:val="2"/>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194"/>
        </w:trPr>
        <w:tc>
          <w:tcPr>
            <w:tcW w:w="3920" w:type="dxa"/>
            <w:vAlign w:val="bottom"/>
            <w:vMerge w:val="continue"/>
          </w:tcPr>
          <w:p>
            <w:pPr>
              <w:spacing w:after="0"/>
              <w:rPr>
                <w:sz w:val="16"/>
                <w:szCs w:val="16"/>
                <w:color w:val="auto"/>
              </w:rPr>
            </w:pPr>
          </w:p>
        </w:tc>
        <w:tc>
          <w:tcPr>
            <w:tcW w:w="200" w:type="dxa"/>
            <w:vAlign w:val="bottom"/>
            <w:gridSpan w:val="2"/>
            <w:vMerge w:val="restart"/>
          </w:tcPr>
          <w:p>
            <w:pPr>
              <w:spacing w:after="0"/>
              <w:rPr>
                <w:sz w:val="20"/>
                <w:szCs w:val="20"/>
                <w:color w:val="auto"/>
              </w:rPr>
            </w:pPr>
            <w:r>
              <w:rPr>
                <w:rFonts w:ascii="Arial" w:cs="Arial" w:eastAsia="Arial" w:hAnsi="Arial"/>
                <w:sz w:val="18"/>
                <w:szCs w:val="18"/>
                <w:color w:val="0000FF"/>
                <w:w w:val="89"/>
              </w:rPr>
              <w:t>24</w:t>
            </w:r>
          </w:p>
        </w:tc>
        <w:tc>
          <w:tcPr>
            <w:tcW w:w="0" w:type="dxa"/>
            <w:vAlign w:val="bottom"/>
          </w:tcPr>
          <w:p>
            <w:pPr>
              <w:spacing w:after="0"/>
              <w:rPr>
                <w:sz w:val="1"/>
                <w:szCs w:val="1"/>
                <w:color w:val="auto"/>
              </w:rPr>
            </w:pPr>
          </w:p>
        </w:tc>
      </w:tr>
      <w:tr>
        <w:trPr>
          <w:trHeight w:val="223"/>
        </w:trPr>
        <w:tc>
          <w:tcPr>
            <w:tcW w:w="3920" w:type="dxa"/>
            <w:vAlign w:val="bottom"/>
            <w:vMerge w:val="restart"/>
          </w:tcPr>
          <w:p>
            <w:pPr>
              <w:ind w:left="420"/>
              <w:spacing w:after="0"/>
              <w:rPr>
                <w:sz w:val="20"/>
                <w:szCs w:val="20"/>
                <w:color w:val="auto"/>
              </w:rPr>
            </w:pPr>
            <w:r>
              <w:rPr>
                <w:rFonts w:ascii="Arial" w:cs="Arial" w:eastAsia="Arial" w:hAnsi="Arial"/>
                <w:sz w:val="16"/>
                <w:szCs w:val="16"/>
                <w:color w:val="auto"/>
              </w:rPr>
              <w:t>Director Nominations</w:t>
            </w:r>
          </w:p>
        </w:tc>
        <w:tc>
          <w:tcPr>
            <w:tcW w:w="200" w:type="dxa"/>
            <w:vAlign w:val="bottom"/>
            <w:tcBorders>
              <w:bottom w:val="single" w:sz="8" w:color="0000FF"/>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920" w:type="dxa"/>
            <w:vAlign w:val="bottom"/>
            <w:vMerge w:val="continue"/>
          </w:tcPr>
          <w:p>
            <w:pPr>
              <w:spacing w:after="0"/>
              <w:rPr>
                <w:sz w:val="16"/>
                <w:szCs w:val="16"/>
                <w:color w:val="auto"/>
              </w:rPr>
            </w:pPr>
          </w:p>
        </w:tc>
        <w:tc>
          <w:tcPr>
            <w:tcW w:w="200" w:type="dxa"/>
            <w:vAlign w:val="bottom"/>
            <w:gridSpan w:val="2"/>
            <w:vMerge w:val="restart"/>
          </w:tcPr>
          <w:p>
            <w:pPr>
              <w:spacing w:after="0"/>
              <w:rPr>
                <w:sz w:val="20"/>
                <w:szCs w:val="20"/>
                <w:color w:val="auto"/>
              </w:rPr>
            </w:pPr>
            <w:r>
              <w:rPr>
                <w:rFonts w:ascii="Arial" w:cs="Arial" w:eastAsia="Arial" w:hAnsi="Arial"/>
                <w:sz w:val="18"/>
                <w:szCs w:val="18"/>
                <w:color w:val="0000FF"/>
                <w:w w:val="89"/>
              </w:rPr>
              <w:t>26</w:t>
            </w:r>
          </w:p>
        </w:tc>
        <w:tc>
          <w:tcPr>
            <w:tcW w:w="0" w:type="dxa"/>
            <w:vAlign w:val="bottom"/>
          </w:tcPr>
          <w:p>
            <w:pPr>
              <w:spacing w:after="0"/>
              <w:rPr>
                <w:sz w:val="1"/>
                <w:szCs w:val="1"/>
                <w:color w:val="auto"/>
              </w:rPr>
            </w:pPr>
          </w:p>
        </w:tc>
      </w:tr>
      <w:tr>
        <w:trPr>
          <w:trHeight w:val="223"/>
        </w:trPr>
        <w:tc>
          <w:tcPr>
            <w:tcW w:w="3920" w:type="dxa"/>
            <w:vAlign w:val="bottom"/>
            <w:vMerge w:val="restart"/>
          </w:tcPr>
          <w:p>
            <w:pPr>
              <w:ind w:left="420"/>
              <w:spacing w:after="0"/>
              <w:rPr>
                <w:sz w:val="20"/>
                <w:szCs w:val="20"/>
                <w:color w:val="auto"/>
              </w:rPr>
            </w:pPr>
            <w:r>
              <w:rPr>
                <w:rFonts w:ascii="Arial" w:cs="Arial" w:eastAsia="Arial" w:hAnsi="Arial"/>
                <w:sz w:val="16"/>
                <w:szCs w:val="16"/>
                <w:color w:val="auto"/>
              </w:rPr>
              <w:t>Director Compensation</w:t>
            </w:r>
          </w:p>
        </w:tc>
        <w:tc>
          <w:tcPr>
            <w:tcW w:w="200" w:type="dxa"/>
            <w:vAlign w:val="bottom"/>
            <w:tcBorders>
              <w:bottom w:val="single" w:sz="8" w:color="0000FF"/>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920" w:type="dxa"/>
            <w:vAlign w:val="bottom"/>
            <w:vMerge w:val="continue"/>
          </w:tcPr>
          <w:p>
            <w:pPr>
              <w:spacing w:after="0"/>
              <w:rPr>
                <w:sz w:val="16"/>
                <w:szCs w:val="16"/>
                <w:color w:val="auto"/>
              </w:rPr>
            </w:pPr>
          </w:p>
        </w:tc>
        <w:tc>
          <w:tcPr>
            <w:tcW w:w="200" w:type="dxa"/>
            <w:vAlign w:val="bottom"/>
            <w:gridSpan w:val="2"/>
            <w:vMerge w:val="restart"/>
          </w:tcPr>
          <w:p>
            <w:pPr>
              <w:spacing w:after="0"/>
              <w:rPr>
                <w:sz w:val="20"/>
                <w:szCs w:val="20"/>
                <w:color w:val="auto"/>
              </w:rPr>
            </w:pPr>
            <w:r>
              <w:rPr>
                <w:rFonts w:ascii="Arial" w:cs="Arial" w:eastAsia="Arial" w:hAnsi="Arial"/>
                <w:sz w:val="18"/>
                <w:szCs w:val="18"/>
                <w:color w:val="0000FF"/>
                <w:w w:val="89"/>
              </w:rPr>
              <w:t>29</w:t>
            </w:r>
          </w:p>
        </w:tc>
        <w:tc>
          <w:tcPr>
            <w:tcW w:w="0" w:type="dxa"/>
            <w:vAlign w:val="bottom"/>
          </w:tcPr>
          <w:p>
            <w:pPr>
              <w:spacing w:after="0"/>
              <w:rPr>
                <w:sz w:val="1"/>
                <w:szCs w:val="1"/>
                <w:color w:val="auto"/>
              </w:rPr>
            </w:pPr>
          </w:p>
        </w:tc>
      </w:tr>
      <w:tr>
        <w:trPr>
          <w:trHeight w:val="223"/>
        </w:trPr>
        <w:tc>
          <w:tcPr>
            <w:tcW w:w="3920" w:type="dxa"/>
            <w:vAlign w:val="bottom"/>
            <w:vMerge w:val="restart"/>
          </w:tcPr>
          <w:p>
            <w:pPr>
              <w:ind w:left="420"/>
              <w:spacing w:after="0"/>
              <w:rPr>
                <w:sz w:val="20"/>
                <w:szCs w:val="20"/>
                <w:color w:val="auto"/>
              </w:rPr>
            </w:pPr>
            <w:r>
              <w:rPr>
                <w:rFonts w:ascii="Arial" w:cs="Arial" w:eastAsia="Arial" w:hAnsi="Arial"/>
                <w:sz w:val="16"/>
                <w:szCs w:val="16"/>
                <w:color w:val="D52B1E"/>
              </w:rPr>
              <w:t>Item 1 - Election of Directors</w:t>
            </w:r>
          </w:p>
        </w:tc>
        <w:tc>
          <w:tcPr>
            <w:tcW w:w="200" w:type="dxa"/>
            <w:vAlign w:val="bottom"/>
            <w:tcBorders>
              <w:bottom w:val="single" w:sz="8" w:color="0000FF"/>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920" w:type="dxa"/>
            <w:vAlign w:val="bottom"/>
            <w:vMerge w:val="continue"/>
          </w:tcPr>
          <w:p>
            <w:pPr>
              <w:spacing w:after="0"/>
              <w:rPr>
                <w:sz w:val="16"/>
                <w:szCs w:val="16"/>
                <w:color w:val="auto"/>
              </w:rPr>
            </w:pPr>
          </w:p>
        </w:tc>
        <w:tc>
          <w:tcPr>
            <w:tcW w:w="200" w:type="dxa"/>
            <w:vAlign w:val="bottom"/>
            <w:gridSpan w:val="2"/>
            <w:vMerge w:val="restart"/>
          </w:tcPr>
          <w:p>
            <w:pPr>
              <w:spacing w:after="0"/>
              <w:rPr>
                <w:sz w:val="20"/>
                <w:szCs w:val="20"/>
                <w:color w:val="auto"/>
              </w:rPr>
            </w:pPr>
            <w:r>
              <w:rPr>
                <w:rFonts w:ascii="Arial" w:cs="Arial" w:eastAsia="Arial" w:hAnsi="Arial"/>
                <w:sz w:val="18"/>
                <w:szCs w:val="18"/>
                <w:color w:val="0000FF"/>
                <w:w w:val="89"/>
              </w:rPr>
              <w:t>29</w:t>
            </w:r>
          </w:p>
        </w:tc>
        <w:tc>
          <w:tcPr>
            <w:tcW w:w="0" w:type="dxa"/>
            <w:vAlign w:val="bottom"/>
          </w:tcPr>
          <w:p>
            <w:pPr>
              <w:spacing w:after="0"/>
              <w:rPr>
                <w:sz w:val="1"/>
                <w:szCs w:val="1"/>
                <w:color w:val="auto"/>
              </w:rPr>
            </w:pPr>
          </w:p>
        </w:tc>
      </w:tr>
      <w:tr>
        <w:trPr>
          <w:trHeight w:val="223"/>
        </w:trPr>
        <w:tc>
          <w:tcPr>
            <w:tcW w:w="3920" w:type="dxa"/>
            <w:vAlign w:val="bottom"/>
            <w:vMerge w:val="restart"/>
          </w:tcPr>
          <w:p>
            <w:pPr>
              <w:ind w:left="420"/>
              <w:spacing w:after="0"/>
              <w:rPr>
                <w:sz w:val="20"/>
                <w:szCs w:val="20"/>
                <w:color w:val="auto"/>
              </w:rPr>
            </w:pPr>
            <w:r>
              <w:rPr>
                <w:rFonts w:ascii="Arial" w:cs="Arial" w:eastAsia="Arial" w:hAnsi="Arial"/>
                <w:sz w:val="16"/>
                <w:szCs w:val="16"/>
                <w:color w:val="auto"/>
              </w:rPr>
              <w:t>Leadership Structure</w:t>
            </w:r>
          </w:p>
        </w:tc>
        <w:tc>
          <w:tcPr>
            <w:tcW w:w="200" w:type="dxa"/>
            <w:vAlign w:val="bottom"/>
            <w:tcBorders>
              <w:bottom w:val="single" w:sz="8" w:color="0000FF"/>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920" w:type="dxa"/>
            <w:vAlign w:val="bottom"/>
            <w:vMerge w:val="continue"/>
          </w:tcPr>
          <w:p>
            <w:pPr>
              <w:spacing w:after="0"/>
              <w:rPr>
                <w:sz w:val="16"/>
                <w:szCs w:val="16"/>
                <w:color w:val="auto"/>
              </w:rPr>
            </w:pPr>
          </w:p>
        </w:tc>
        <w:tc>
          <w:tcPr>
            <w:tcW w:w="200" w:type="dxa"/>
            <w:vAlign w:val="bottom"/>
            <w:gridSpan w:val="2"/>
            <w:vMerge w:val="restart"/>
          </w:tcPr>
          <w:p>
            <w:pPr>
              <w:spacing w:after="0"/>
              <w:rPr>
                <w:sz w:val="20"/>
                <w:szCs w:val="20"/>
                <w:color w:val="auto"/>
              </w:rPr>
            </w:pPr>
            <w:r>
              <w:rPr>
                <w:rFonts w:ascii="Arial" w:cs="Arial" w:eastAsia="Arial" w:hAnsi="Arial"/>
                <w:sz w:val="18"/>
                <w:szCs w:val="18"/>
                <w:color w:val="0000FF"/>
                <w:w w:val="89"/>
              </w:rPr>
              <w:t>32</w:t>
            </w:r>
          </w:p>
        </w:tc>
        <w:tc>
          <w:tcPr>
            <w:tcW w:w="0" w:type="dxa"/>
            <w:vAlign w:val="bottom"/>
          </w:tcPr>
          <w:p>
            <w:pPr>
              <w:spacing w:after="0"/>
              <w:rPr>
                <w:sz w:val="1"/>
                <w:szCs w:val="1"/>
                <w:color w:val="auto"/>
              </w:rPr>
            </w:pPr>
          </w:p>
        </w:tc>
      </w:tr>
      <w:tr>
        <w:trPr>
          <w:trHeight w:val="223"/>
        </w:trPr>
        <w:tc>
          <w:tcPr>
            <w:tcW w:w="3920" w:type="dxa"/>
            <w:vAlign w:val="bottom"/>
            <w:vMerge w:val="restart"/>
          </w:tcPr>
          <w:p>
            <w:pPr>
              <w:ind w:left="420"/>
              <w:spacing w:after="0"/>
              <w:rPr>
                <w:sz w:val="20"/>
                <w:szCs w:val="20"/>
                <w:color w:val="auto"/>
              </w:rPr>
            </w:pPr>
            <w:r>
              <w:rPr>
                <w:rFonts w:ascii="Arial" w:cs="Arial" w:eastAsia="Arial" w:hAnsi="Arial"/>
                <w:sz w:val="16"/>
                <w:szCs w:val="16"/>
                <w:color w:val="auto"/>
              </w:rPr>
              <w:t>Board Structure</w:t>
            </w:r>
          </w:p>
        </w:tc>
        <w:tc>
          <w:tcPr>
            <w:tcW w:w="200" w:type="dxa"/>
            <w:vAlign w:val="bottom"/>
            <w:tcBorders>
              <w:bottom w:val="single" w:sz="8" w:color="0000FF"/>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920" w:type="dxa"/>
            <w:vAlign w:val="bottom"/>
            <w:vMerge w:val="continue"/>
          </w:tcPr>
          <w:p>
            <w:pPr>
              <w:spacing w:after="0"/>
              <w:rPr>
                <w:sz w:val="16"/>
                <w:szCs w:val="16"/>
                <w:color w:val="auto"/>
              </w:rPr>
            </w:pPr>
          </w:p>
        </w:tc>
        <w:tc>
          <w:tcPr>
            <w:tcW w:w="200" w:type="dxa"/>
            <w:vAlign w:val="bottom"/>
            <w:gridSpan w:val="2"/>
            <w:vMerge w:val="restart"/>
          </w:tcPr>
          <w:p>
            <w:pPr>
              <w:spacing w:after="0"/>
              <w:rPr>
                <w:sz w:val="20"/>
                <w:szCs w:val="20"/>
                <w:color w:val="auto"/>
              </w:rPr>
            </w:pPr>
            <w:r>
              <w:rPr>
                <w:rFonts w:ascii="Arial" w:cs="Arial" w:eastAsia="Arial" w:hAnsi="Arial"/>
                <w:sz w:val="18"/>
                <w:szCs w:val="18"/>
                <w:color w:val="0000FF"/>
                <w:w w:val="89"/>
              </w:rPr>
              <w:t>35</w:t>
            </w:r>
          </w:p>
        </w:tc>
        <w:tc>
          <w:tcPr>
            <w:tcW w:w="0" w:type="dxa"/>
            <w:vAlign w:val="bottom"/>
          </w:tcPr>
          <w:p>
            <w:pPr>
              <w:spacing w:after="0"/>
              <w:rPr>
                <w:sz w:val="1"/>
                <w:szCs w:val="1"/>
                <w:color w:val="auto"/>
              </w:rPr>
            </w:pPr>
          </w:p>
        </w:tc>
      </w:tr>
      <w:tr>
        <w:trPr>
          <w:trHeight w:val="223"/>
        </w:trPr>
        <w:tc>
          <w:tcPr>
            <w:tcW w:w="3920" w:type="dxa"/>
            <w:vAlign w:val="bottom"/>
            <w:vMerge w:val="restart"/>
          </w:tcPr>
          <w:p>
            <w:pPr>
              <w:ind w:left="420"/>
              <w:spacing w:after="0"/>
              <w:rPr>
                <w:sz w:val="20"/>
                <w:szCs w:val="20"/>
                <w:color w:val="auto"/>
              </w:rPr>
            </w:pPr>
            <w:r>
              <w:rPr>
                <w:rFonts w:ascii="Arial" w:cs="Arial" w:eastAsia="Arial" w:hAnsi="Arial"/>
                <w:sz w:val="16"/>
                <w:szCs w:val="16"/>
                <w:color w:val="auto"/>
              </w:rPr>
              <w:t>Governance Practices</w:t>
            </w:r>
          </w:p>
        </w:tc>
        <w:tc>
          <w:tcPr>
            <w:tcW w:w="200" w:type="dxa"/>
            <w:vAlign w:val="bottom"/>
            <w:tcBorders>
              <w:bottom w:val="single" w:sz="8" w:color="0000FF"/>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920" w:type="dxa"/>
            <w:vAlign w:val="bottom"/>
            <w:vMerge w:val="continue"/>
          </w:tcPr>
          <w:p>
            <w:pPr>
              <w:spacing w:after="0"/>
              <w:rPr>
                <w:sz w:val="16"/>
                <w:szCs w:val="16"/>
                <w:color w:val="auto"/>
              </w:rPr>
            </w:pPr>
          </w:p>
        </w:tc>
        <w:tc>
          <w:tcPr>
            <w:tcW w:w="200" w:type="dxa"/>
            <w:vAlign w:val="bottom"/>
            <w:gridSpan w:val="2"/>
            <w:vMerge w:val="restart"/>
          </w:tcPr>
          <w:p>
            <w:pPr>
              <w:spacing w:after="0"/>
              <w:rPr>
                <w:sz w:val="20"/>
                <w:szCs w:val="20"/>
                <w:color w:val="auto"/>
              </w:rPr>
            </w:pPr>
            <w:r>
              <w:rPr>
                <w:rFonts w:ascii="Arial" w:cs="Arial" w:eastAsia="Arial" w:hAnsi="Arial"/>
                <w:sz w:val="18"/>
                <w:szCs w:val="18"/>
                <w:color w:val="0000FF"/>
                <w:w w:val="89"/>
              </w:rPr>
              <w:t>40</w:t>
            </w:r>
          </w:p>
        </w:tc>
        <w:tc>
          <w:tcPr>
            <w:tcW w:w="0" w:type="dxa"/>
            <w:vAlign w:val="bottom"/>
          </w:tcPr>
          <w:p>
            <w:pPr>
              <w:spacing w:after="0"/>
              <w:rPr>
                <w:sz w:val="1"/>
                <w:szCs w:val="1"/>
                <w:color w:val="auto"/>
              </w:rPr>
            </w:pPr>
          </w:p>
        </w:tc>
      </w:tr>
      <w:tr>
        <w:trPr>
          <w:trHeight w:val="223"/>
        </w:trPr>
        <w:tc>
          <w:tcPr>
            <w:tcW w:w="3920" w:type="dxa"/>
            <w:vAlign w:val="bottom"/>
            <w:vMerge w:val="restart"/>
          </w:tcPr>
          <w:p>
            <w:pPr>
              <w:ind w:left="420"/>
              <w:spacing w:after="0"/>
              <w:rPr>
                <w:sz w:val="20"/>
                <w:szCs w:val="20"/>
                <w:color w:val="auto"/>
              </w:rPr>
            </w:pPr>
            <w:r>
              <w:rPr>
                <w:rFonts w:ascii="Arial" w:cs="Arial" w:eastAsia="Arial" w:hAnsi="Arial"/>
                <w:sz w:val="16"/>
                <w:szCs w:val="16"/>
                <w:color w:val="auto"/>
              </w:rPr>
              <w:t>Board Alignment</w:t>
            </w:r>
          </w:p>
        </w:tc>
        <w:tc>
          <w:tcPr>
            <w:tcW w:w="200" w:type="dxa"/>
            <w:vAlign w:val="bottom"/>
            <w:tcBorders>
              <w:bottom w:val="single" w:sz="8" w:color="0000FF"/>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920" w:type="dxa"/>
            <w:vAlign w:val="bottom"/>
            <w:vMerge w:val="continue"/>
          </w:tcPr>
          <w:p>
            <w:pPr>
              <w:spacing w:after="0"/>
              <w:rPr>
                <w:sz w:val="16"/>
                <w:szCs w:val="16"/>
                <w:color w:val="auto"/>
              </w:rPr>
            </w:pPr>
          </w:p>
        </w:tc>
        <w:tc>
          <w:tcPr>
            <w:tcW w:w="200" w:type="dxa"/>
            <w:vAlign w:val="bottom"/>
            <w:gridSpan w:val="2"/>
            <w:vMerge w:val="restart"/>
          </w:tcPr>
          <w:p>
            <w:pPr>
              <w:spacing w:after="0"/>
              <w:rPr>
                <w:sz w:val="20"/>
                <w:szCs w:val="20"/>
                <w:color w:val="auto"/>
              </w:rPr>
            </w:pPr>
            <w:r>
              <w:rPr>
                <w:rFonts w:ascii="Arial" w:cs="Arial" w:eastAsia="Arial" w:hAnsi="Arial"/>
                <w:sz w:val="18"/>
                <w:szCs w:val="18"/>
                <w:color w:val="0000FF"/>
                <w:w w:val="89"/>
              </w:rPr>
              <w:t>42</w:t>
            </w:r>
          </w:p>
        </w:tc>
        <w:tc>
          <w:tcPr>
            <w:tcW w:w="0" w:type="dxa"/>
            <w:vAlign w:val="bottom"/>
          </w:tcPr>
          <w:p>
            <w:pPr>
              <w:spacing w:after="0"/>
              <w:rPr>
                <w:sz w:val="1"/>
                <w:szCs w:val="1"/>
                <w:color w:val="auto"/>
              </w:rPr>
            </w:pPr>
          </w:p>
        </w:tc>
      </w:tr>
      <w:tr>
        <w:trPr>
          <w:trHeight w:val="223"/>
        </w:trPr>
        <w:tc>
          <w:tcPr>
            <w:tcW w:w="3920" w:type="dxa"/>
            <w:vAlign w:val="bottom"/>
          </w:tcPr>
          <w:p>
            <w:pPr>
              <w:ind w:left="420"/>
              <w:spacing w:after="0"/>
              <w:rPr>
                <w:sz w:val="20"/>
                <w:szCs w:val="20"/>
                <w:color w:val="auto"/>
              </w:rPr>
            </w:pPr>
            <w:r>
              <w:rPr>
                <w:rFonts w:ascii="Arial" w:cs="Arial" w:eastAsia="Arial" w:hAnsi="Arial"/>
                <w:sz w:val="16"/>
                <w:szCs w:val="16"/>
                <w:color w:val="auto"/>
              </w:rPr>
              <w:t>Communication with the Board of Directors</w:t>
            </w:r>
          </w:p>
        </w:tc>
        <w:tc>
          <w:tcPr>
            <w:tcW w:w="200" w:type="dxa"/>
            <w:vAlign w:val="bottom"/>
            <w:tcBorders>
              <w:bottom w:val="single" w:sz="8" w:color="0000FF"/>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3920" w:type="dxa"/>
            <w:vAlign w:val="bottom"/>
          </w:tcPr>
          <w:p>
            <w:pPr>
              <w:ind w:left="420"/>
              <w:spacing w:after="0"/>
              <w:rPr>
                <w:sz w:val="20"/>
                <w:szCs w:val="20"/>
                <w:color w:val="auto"/>
              </w:rPr>
            </w:pPr>
            <w:r>
              <w:rPr>
                <w:rFonts w:ascii="Arial" w:cs="Arial" w:eastAsia="Arial" w:hAnsi="Arial"/>
                <w:sz w:val="16"/>
                <w:szCs w:val="16"/>
                <w:color w:val="auto"/>
              </w:rPr>
              <w:t>Shareholder Engagement on Governance</w:t>
            </w:r>
          </w:p>
        </w:tc>
        <w:tc>
          <w:tcPr>
            <w:tcW w:w="20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89"/>
              </w:rPr>
              <w:t>42</w:t>
            </w:r>
          </w:p>
        </w:tc>
        <w:tc>
          <w:tcPr>
            <w:tcW w:w="0" w:type="dxa"/>
            <w:vAlign w:val="bottom"/>
          </w:tcPr>
          <w:p>
            <w:pPr>
              <w:spacing w:after="0"/>
              <w:rPr>
                <w:sz w:val="1"/>
                <w:szCs w:val="1"/>
                <w:color w:val="auto"/>
              </w:rPr>
            </w:pPr>
          </w:p>
        </w:tc>
      </w:tr>
      <w:tr>
        <w:trPr>
          <w:trHeight w:val="195"/>
        </w:trPr>
        <w:tc>
          <w:tcPr>
            <w:tcW w:w="3920" w:type="dxa"/>
            <w:vAlign w:val="bottom"/>
          </w:tcPr>
          <w:p>
            <w:pPr>
              <w:ind w:left="420"/>
              <w:spacing w:after="0"/>
              <w:rPr>
                <w:sz w:val="20"/>
                <w:szCs w:val="20"/>
                <w:color w:val="auto"/>
              </w:rPr>
            </w:pPr>
            <w:r>
              <w:rPr>
                <w:rFonts w:ascii="Arial" w:cs="Arial" w:eastAsia="Arial" w:hAnsi="Arial"/>
                <w:sz w:val="16"/>
                <w:szCs w:val="16"/>
                <w:color w:val="auto"/>
              </w:rPr>
              <w:t>Issues</w:t>
            </w:r>
          </w:p>
        </w:tc>
        <w:tc>
          <w:tcPr>
            <w:tcW w:w="200" w:type="dxa"/>
            <w:vAlign w:val="bottom"/>
            <w:gridSpan w:val="2"/>
            <w:vMerge w:val="restart"/>
          </w:tcPr>
          <w:p>
            <w:pPr>
              <w:spacing w:after="0"/>
              <w:rPr>
                <w:sz w:val="20"/>
                <w:szCs w:val="20"/>
                <w:color w:val="auto"/>
              </w:rPr>
            </w:pPr>
            <w:r>
              <w:rPr>
                <w:rFonts w:ascii="Arial" w:cs="Arial" w:eastAsia="Arial" w:hAnsi="Arial"/>
                <w:sz w:val="18"/>
                <w:szCs w:val="18"/>
                <w:color w:val="0000FF"/>
                <w:w w:val="89"/>
              </w:rPr>
              <w:t>43</w:t>
            </w:r>
          </w:p>
        </w:tc>
        <w:tc>
          <w:tcPr>
            <w:tcW w:w="0" w:type="dxa"/>
            <w:vAlign w:val="bottom"/>
          </w:tcPr>
          <w:p>
            <w:pPr>
              <w:spacing w:after="0"/>
              <w:rPr>
                <w:sz w:val="1"/>
                <w:szCs w:val="1"/>
                <w:color w:val="auto"/>
              </w:rPr>
            </w:pPr>
          </w:p>
        </w:tc>
      </w:tr>
      <w:tr>
        <w:trPr>
          <w:trHeight w:val="236"/>
        </w:trPr>
        <w:tc>
          <w:tcPr>
            <w:tcW w:w="3920" w:type="dxa"/>
            <w:vAlign w:val="bottom"/>
            <w:vMerge w:val="restart"/>
          </w:tcPr>
          <w:p>
            <w:pPr>
              <w:spacing w:after="0"/>
              <w:rPr>
                <w:sz w:val="20"/>
                <w:szCs w:val="20"/>
                <w:color w:val="auto"/>
              </w:rPr>
            </w:pPr>
            <w:r>
              <w:rPr>
                <w:rFonts w:ascii="Arial" w:cs="Arial" w:eastAsia="Arial" w:hAnsi="Arial"/>
                <w:sz w:val="19"/>
                <w:szCs w:val="19"/>
                <w:b w:val="1"/>
                <w:bCs w:val="1"/>
                <w:color w:val="auto"/>
              </w:rPr>
              <w:t>Ownership of Company Stock</w:t>
            </w:r>
          </w:p>
        </w:tc>
        <w:tc>
          <w:tcPr>
            <w:tcW w:w="200" w:type="dxa"/>
            <w:vAlign w:val="bottom"/>
            <w:tcBorders>
              <w:bottom w:val="single" w:sz="8" w:color="0000FF"/>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45"/>
        </w:trPr>
        <w:tc>
          <w:tcPr>
            <w:tcW w:w="3920" w:type="dxa"/>
            <w:vAlign w:val="bottom"/>
            <w:vMerge w:val="continue"/>
          </w:tcPr>
          <w:p>
            <w:pPr>
              <w:spacing w:after="0"/>
              <w:rPr>
                <w:sz w:val="12"/>
                <w:szCs w:val="12"/>
                <w:color w:val="auto"/>
              </w:rPr>
            </w:pPr>
          </w:p>
        </w:tc>
        <w:tc>
          <w:tcPr>
            <w:tcW w:w="200" w:type="dxa"/>
            <w:vAlign w:val="bottom"/>
            <w:gridSpan w:val="2"/>
            <w:vMerge w:val="restart"/>
          </w:tcPr>
          <w:p>
            <w:pPr>
              <w:spacing w:after="0"/>
              <w:rPr>
                <w:sz w:val="20"/>
                <w:szCs w:val="20"/>
                <w:color w:val="auto"/>
              </w:rPr>
            </w:pPr>
            <w:r>
              <w:rPr>
                <w:rFonts w:ascii="Arial" w:cs="Arial" w:eastAsia="Arial" w:hAnsi="Arial"/>
                <w:sz w:val="18"/>
                <w:szCs w:val="18"/>
                <w:color w:val="0000FF"/>
                <w:w w:val="89"/>
              </w:rPr>
              <w:t>44</w:t>
            </w:r>
          </w:p>
        </w:tc>
        <w:tc>
          <w:tcPr>
            <w:tcW w:w="0" w:type="dxa"/>
            <w:vAlign w:val="bottom"/>
          </w:tcPr>
          <w:p>
            <w:pPr>
              <w:spacing w:after="0"/>
              <w:rPr>
                <w:sz w:val="1"/>
                <w:szCs w:val="1"/>
                <w:color w:val="auto"/>
              </w:rPr>
            </w:pPr>
          </w:p>
        </w:tc>
      </w:tr>
      <w:tr>
        <w:trPr>
          <w:trHeight w:val="286"/>
        </w:trPr>
        <w:tc>
          <w:tcPr>
            <w:tcW w:w="3920" w:type="dxa"/>
            <w:vAlign w:val="bottom"/>
            <w:vMerge w:val="restart"/>
          </w:tcPr>
          <w:p>
            <w:pPr>
              <w:spacing w:after="0"/>
              <w:rPr>
                <w:sz w:val="20"/>
                <w:szCs w:val="20"/>
                <w:color w:val="auto"/>
              </w:rPr>
            </w:pPr>
            <w:r>
              <w:rPr>
                <w:rFonts w:ascii="Arial" w:cs="Arial" w:eastAsia="Arial" w:hAnsi="Arial"/>
                <w:sz w:val="19"/>
                <w:szCs w:val="19"/>
                <w:b w:val="1"/>
                <w:bCs w:val="1"/>
                <w:color w:val="auto"/>
              </w:rPr>
              <w:t>Compensation</w:t>
            </w:r>
          </w:p>
        </w:tc>
        <w:tc>
          <w:tcPr>
            <w:tcW w:w="200" w:type="dxa"/>
            <w:vAlign w:val="bottom"/>
            <w:tcBorders>
              <w:bottom w:val="single" w:sz="8" w:color="0000FF"/>
            </w:tcBorders>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45"/>
        </w:trPr>
        <w:tc>
          <w:tcPr>
            <w:tcW w:w="39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4"/>
        </w:trPr>
        <w:tc>
          <w:tcPr>
            <w:tcW w:w="3920" w:type="dxa"/>
            <w:vAlign w:val="bottom"/>
          </w:tcPr>
          <w:p>
            <w:pPr>
              <w:ind w:left="420"/>
              <w:spacing w:after="0"/>
              <w:rPr>
                <w:sz w:val="20"/>
                <w:szCs w:val="20"/>
                <w:color w:val="auto"/>
              </w:rPr>
            </w:pPr>
            <w:r>
              <w:rPr>
                <w:rFonts w:ascii="Arial" w:cs="Arial" w:eastAsia="Arial" w:hAnsi="Arial"/>
                <w:sz w:val="16"/>
                <w:szCs w:val="16"/>
                <w:color w:val="D52B1E"/>
              </w:rPr>
              <w:t>Item 2 - Approval, on an Advisory Basis, of the</w:t>
            </w:r>
          </w:p>
        </w:tc>
        <w:tc>
          <w:tcPr>
            <w:tcW w:w="200" w:type="dxa"/>
            <w:vAlign w:val="bottom"/>
            <w:gridSpan w:val="2"/>
            <w:vMerge w:val="restart"/>
          </w:tcPr>
          <w:p>
            <w:pPr>
              <w:spacing w:after="0"/>
              <w:rPr>
                <w:sz w:val="20"/>
                <w:szCs w:val="20"/>
                <w:color w:val="auto"/>
              </w:rPr>
            </w:pPr>
            <w:r>
              <w:rPr>
                <w:rFonts w:ascii="Arial" w:cs="Arial" w:eastAsia="Arial" w:hAnsi="Arial"/>
                <w:sz w:val="18"/>
                <w:szCs w:val="18"/>
                <w:color w:val="0000FF"/>
                <w:w w:val="89"/>
              </w:rPr>
              <w:t>44</w:t>
            </w:r>
          </w:p>
        </w:tc>
        <w:tc>
          <w:tcPr>
            <w:tcW w:w="0" w:type="dxa"/>
            <w:vAlign w:val="bottom"/>
          </w:tcPr>
          <w:p>
            <w:pPr>
              <w:spacing w:after="0"/>
              <w:rPr>
                <w:sz w:val="1"/>
                <w:szCs w:val="1"/>
                <w:color w:val="auto"/>
              </w:rPr>
            </w:pPr>
          </w:p>
        </w:tc>
      </w:tr>
      <w:tr>
        <w:trPr>
          <w:trHeight w:val="195"/>
        </w:trPr>
        <w:tc>
          <w:tcPr>
            <w:tcW w:w="3920" w:type="dxa"/>
            <w:vAlign w:val="bottom"/>
          </w:tcPr>
          <w:p>
            <w:pPr>
              <w:ind w:left="420"/>
              <w:spacing w:after="0"/>
              <w:rPr>
                <w:sz w:val="20"/>
                <w:szCs w:val="20"/>
                <w:color w:val="auto"/>
              </w:rPr>
            </w:pPr>
            <w:r>
              <w:rPr>
                <w:rFonts w:ascii="Arial" w:cs="Arial" w:eastAsia="Arial" w:hAnsi="Arial"/>
                <w:sz w:val="16"/>
                <w:szCs w:val="16"/>
                <w:color w:val="D52B1E"/>
              </w:rPr>
              <w:t>Compensation Paid to the Company’s Named</w:t>
            </w:r>
          </w:p>
        </w:tc>
        <w:tc>
          <w:tcPr>
            <w:tcW w:w="200" w:type="dxa"/>
            <w:vAlign w:val="bottom"/>
            <w:tcBorders>
              <w:bottom w:val="single" w:sz="8" w:color="0000FF"/>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920" w:type="dxa"/>
            <w:vAlign w:val="bottom"/>
          </w:tcPr>
          <w:p>
            <w:pPr>
              <w:ind w:left="420"/>
              <w:spacing w:after="0"/>
              <w:rPr>
                <w:sz w:val="20"/>
                <w:szCs w:val="20"/>
                <w:color w:val="auto"/>
              </w:rPr>
            </w:pPr>
            <w:r>
              <w:rPr>
                <w:rFonts w:ascii="Arial" w:cs="Arial" w:eastAsia="Arial" w:hAnsi="Arial"/>
                <w:sz w:val="16"/>
                <w:szCs w:val="16"/>
                <w:color w:val="D52B1E"/>
              </w:rPr>
              <w:t>Executive Officers</w:t>
            </w:r>
          </w:p>
        </w:tc>
        <w:tc>
          <w:tcPr>
            <w:tcW w:w="200" w:type="dxa"/>
            <w:vAlign w:val="bottom"/>
            <w:gridSpan w:val="2"/>
            <w:vMerge w:val="restart"/>
          </w:tcPr>
          <w:p>
            <w:pPr>
              <w:spacing w:after="0"/>
              <w:rPr>
                <w:sz w:val="20"/>
                <w:szCs w:val="20"/>
                <w:color w:val="auto"/>
              </w:rPr>
            </w:pPr>
            <w:r>
              <w:rPr>
                <w:rFonts w:ascii="Arial" w:cs="Arial" w:eastAsia="Arial" w:hAnsi="Arial"/>
                <w:sz w:val="18"/>
                <w:szCs w:val="18"/>
                <w:color w:val="0000FF"/>
                <w:w w:val="89"/>
              </w:rPr>
              <w:t>45</w:t>
            </w:r>
          </w:p>
        </w:tc>
        <w:tc>
          <w:tcPr>
            <w:tcW w:w="0" w:type="dxa"/>
            <w:vAlign w:val="bottom"/>
          </w:tcPr>
          <w:p>
            <w:pPr>
              <w:spacing w:after="0"/>
              <w:rPr>
                <w:sz w:val="1"/>
                <w:szCs w:val="1"/>
                <w:color w:val="auto"/>
              </w:rPr>
            </w:pPr>
          </w:p>
        </w:tc>
      </w:tr>
      <w:tr>
        <w:trPr>
          <w:trHeight w:val="222"/>
        </w:trPr>
        <w:tc>
          <w:tcPr>
            <w:tcW w:w="3920" w:type="dxa"/>
            <w:vAlign w:val="bottom"/>
            <w:vMerge w:val="restart"/>
          </w:tcPr>
          <w:p>
            <w:pPr>
              <w:ind w:left="420"/>
              <w:spacing w:after="0"/>
              <w:rPr>
                <w:sz w:val="20"/>
                <w:szCs w:val="20"/>
                <w:color w:val="auto"/>
              </w:rPr>
            </w:pPr>
            <w:r>
              <w:rPr>
                <w:rFonts w:ascii="Arial" w:cs="Arial" w:eastAsia="Arial" w:hAnsi="Arial"/>
                <w:sz w:val="16"/>
                <w:szCs w:val="16"/>
                <w:color w:val="auto"/>
              </w:rPr>
              <w:t>Talent and Compensation Committee Matters</w:t>
            </w:r>
          </w:p>
        </w:tc>
        <w:tc>
          <w:tcPr>
            <w:tcW w:w="200" w:type="dxa"/>
            <w:vAlign w:val="bottom"/>
            <w:tcBorders>
              <w:bottom w:val="single" w:sz="8" w:color="0000FF"/>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920" w:type="dxa"/>
            <w:vAlign w:val="bottom"/>
            <w:vMerge w:val="continue"/>
          </w:tcPr>
          <w:p>
            <w:pPr>
              <w:spacing w:after="0"/>
              <w:rPr>
                <w:sz w:val="16"/>
                <w:szCs w:val="16"/>
                <w:color w:val="auto"/>
              </w:rPr>
            </w:pPr>
          </w:p>
        </w:tc>
        <w:tc>
          <w:tcPr>
            <w:tcW w:w="200" w:type="dxa"/>
            <w:vAlign w:val="bottom"/>
            <w:gridSpan w:val="2"/>
            <w:vMerge w:val="restart"/>
          </w:tcPr>
          <w:p>
            <w:pPr>
              <w:spacing w:after="0"/>
              <w:rPr>
                <w:sz w:val="20"/>
                <w:szCs w:val="20"/>
                <w:color w:val="auto"/>
              </w:rPr>
            </w:pPr>
            <w:r>
              <w:rPr>
                <w:rFonts w:ascii="Arial" w:cs="Arial" w:eastAsia="Arial" w:hAnsi="Arial"/>
                <w:sz w:val="18"/>
                <w:szCs w:val="18"/>
                <w:color w:val="0000FF"/>
                <w:w w:val="89"/>
              </w:rPr>
              <w:t>46</w:t>
            </w:r>
          </w:p>
        </w:tc>
        <w:tc>
          <w:tcPr>
            <w:tcW w:w="0" w:type="dxa"/>
            <w:vAlign w:val="bottom"/>
          </w:tcPr>
          <w:p>
            <w:pPr>
              <w:spacing w:after="0"/>
              <w:rPr>
                <w:sz w:val="1"/>
                <w:szCs w:val="1"/>
                <w:color w:val="auto"/>
              </w:rPr>
            </w:pPr>
          </w:p>
        </w:tc>
      </w:tr>
      <w:tr>
        <w:trPr>
          <w:trHeight w:val="223"/>
        </w:trPr>
        <w:tc>
          <w:tcPr>
            <w:tcW w:w="3920" w:type="dxa"/>
            <w:vAlign w:val="bottom"/>
            <w:vMerge w:val="restart"/>
          </w:tcPr>
          <w:p>
            <w:pPr>
              <w:ind w:left="420"/>
              <w:spacing w:after="0"/>
              <w:rPr>
                <w:sz w:val="20"/>
                <w:szCs w:val="20"/>
                <w:color w:val="auto"/>
              </w:rPr>
            </w:pPr>
            <w:r>
              <w:rPr>
                <w:rFonts w:ascii="Arial" w:cs="Arial" w:eastAsia="Arial" w:hAnsi="Arial"/>
                <w:sz w:val="16"/>
                <w:szCs w:val="16"/>
                <w:color w:val="auto"/>
              </w:rPr>
              <w:t>Compensation Discussion and Analysis</w:t>
            </w:r>
          </w:p>
        </w:tc>
        <w:tc>
          <w:tcPr>
            <w:tcW w:w="200" w:type="dxa"/>
            <w:vAlign w:val="bottom"/>
            <w:tcBorders>
              <w:bottom w:val="single" w:sz="8" w:color="0000FF"/>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920" w:type="dxa"/>
            <w:vAlign w:val="bottom"/>
            <w:vMerge w:val="continue"/>
          </w:tcPr>
          <w:p>
            <w:pPr>
              <w:spacing w:after="0"/>
              <w:rPr>
                <w:sz w:val="16"/>
                <w:szCs w:val="16"/>
                <w:color w:val="auto"/>
              </w:rPr>
            </w:pPr>
          </w:p>
        </w:tc>
        <w:tc>
          <w:tcPr>
            <w:tcW w:w="200" w:type="dxa"/>
            <w:vAlign w:val="bottom"/>
            <w:gridSpan w:val="2"/>
            <w:vMerge w:val="restart"/>
          </w:tcPr>
          <w:p>
            <w:pPr>
              <w:spacing w:after="0"/>
              <w:rPr>
                <w:sz w:val="20"/>
                <w:szCs w:val="20"/>
                <w:color w:val="auto"/>
              </w:rPr>
            </w:pPr>
            <w:r>
              <w:rPr>
                <w:rFonts w:ascii="Arial" w:cs="Arial" w:eastAsia="Arial" w:hAnsi="Arial"/>
                <w:sz w:val="18"/>
                <w:szCs w:val="18"/>
                <w:color w:val="0000FF"/>
                <w:w w:val="89"/>
              </w:rPr>
              <w:t>61</w:t>
            </w:r>
          </w:p>
        </w:tc>
        <w:tc>
          <w:tcPr>
            <w:tcW w:w="0" w:type="dxa"/>
            <w:vAlign w:val="bottom"/>
          </w:tcPr>
          <w:p>
            <w:pPr>
              <w:spacing w:after="0"/>
              <w:rPr>
                <w:sz w:val="1"/>
                <w:szCs w:val="1"/>
                <w:color w:val="auto"/>
              </w:rPr>
            </w:pPr>
          </w:p>
        </w:tc>
      </w:tr>
      <w:tr>
        <w:trPr>
          <w:trHeight w:val="223"/>
        </w:trPr>
        <w:tc>
          <w:tcPr>
            <w:tcW w:w="3920" w:type="dxa"/>
            <w:vAlign w:val="bottom"/>
            <w:vMerge w:val="restart"/>
          </w:tcPr>
          <w:p>
            <w:pPr>
              <w:ind w:left="420"/>
              <w:spacing w:after="0"/>
              <w:rPr>
                <w:sz w:val="20"/>
                <w:szCs w:val="20"/>
                <w:color w:val="auto"/>
              </w:rPr>
            </w:pPr>
            <w:r>
              <w:rPr>
                <w:rFonts w:ascii="Arial" w:cs="Arial" w:eastAsia="Arial" w:hAnsi="Arial"/>
                <w:sz w:val="16"/>
                <w:szCs w:val="16"/>
                <w:color w:val="auto"/>
              </w:rPr>
              <w:t>Executive Compensation Tables</w:t>
            </w:r>
          </w:p>
        </w:tc>
        <w:tc>
          <w:tcPr>
            <w:tcW w:w="200" w:type="dxa"/>
            <w:vAlign w:val="bottom"/>
            <w:tcBorders>
              <w:bottom w:val="single" w:sz="8" w:color="0000FF"/>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920" w:type="dxa"/>
            <w:vAlign w:val="bottom"/>
            <w:vMerge w:val="continue"/>
          </w:tcPr>
          <w:p>
            <w:pPr>
              <w:spacing w:after="0"/>
              <w:rPr>
                <w:sz w:val="16"/>
                <w:szCs w:val="16"/>
                <w:color w:val="auto"/>
              </w:rPr>
            </w:pPr>
          </w:p>
        </w:tc>
        <w:tc>
          <w:tcPr>
            <w:tcW w:w="200" w:type="dxa"/>
            <w:vAlign w:val="bottom"/>
            <w:gridSpan w:val="2"/>
            <w:vMerge w:val="restart"/>
          </w:tcPr>
          <w:p>
            <w:pPr>
              <w:spacing w:after="0"/>
              <w:rPr>
                <w:sz w:val="20"/>
                <w:szCs w:val="20"/>
                <w:color w:val="auto"/>
              </w:rPr>
            </w:pPr>
            <w:r>
              <w:rPr>
                <w:rFonts w:ascii="Arial" w:cs="Arial" w:eastAsia="Arial" w:hAnsi="Arial"/>
                <w:sz w:val="18"/>
                <w:szCs w:val="18"/>
                <w:color w:val="0000FF"/>
                <w:w w:val="89"/>
              </w:rPr>
              <w:t>71</w:t>
            </w:r>
          </w:p>
        </w:tc>
        <w:tc>
          <w:tcPr>
            <w:tcW w:w="0" w:type="dxa"/>
            <w:vAlign w:val="bottom"/>
          </w:tcPr>
          <w:p>
            <w:pPr>
              <w:spacing w:after="0"/>
              <w:rPr>
                <w:sz w:val="1"/>
                <w:szCs w:val="1"/>
                <w:color w:val="auto"/>
              </w:rPr>
            </w:pPr>
          </w:p>
        </w:tc>
      </w:tr>
      <w:tr>
        <w:trPr>
          <w:trHeight w:val="223"/>
        </w:trPr>
        <w:tc>
          <w:tcPr>
            <w:tcW w:w="3920" w:type="dxa"/>
            <w:vAlign w:val="bottom"/>
            <w:vMerge w:val="restart"/>
          </w:tcPr>
          <w:p>
            <w:pPr>
              <w:ind w:left="420"/>
              <w:spacing w:after="0"/>
              <w:rPr>
                <w:sz w:val="20"/>
                <w:szCs w:val="20"/>
                <w:color w:val="auto"/>
              </w:rPr>
            </w:pPr>
            <w:r>
              <w:rPr>
                <w:rFonts w:ascii="Arial" w:cs="Arial" w:eastAsia="Arial" w:hAnsi="Arial"/>
                <w:sz w:val="16"/>
                <w:szCs w:val="16"/>
                <w:color w:val="auto"/>
              </w:rPr>
              <w:t>CEO Pay Ratio</w:t>
            </w:r>
          </w:p>
        </w:tc>
        <w:tc>
          <w:tcPr>
            <w:tcW w:w="200" w:type="dxa"/>
            <w:vAlign w:val="bottom"/>
            <w:tcBorders>
              <w:bottom w:val="single" w:sz="8" w:color="0000FF"/>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920" w:type="dxa"/>
            <w:vAlign w:val="bottom"/>
            <w:vMerge w:val="continue"/>
          </w:tcPr>
          <w:p>
            <w:pPr>
              <w:spacing w:after="0"/>
              <w:rPr>
                <w:sz w:val="16"/>
                <w:szCs w:val="16"/>
                <w:color w:val="auto"/>
              </w:rPr>
            </w:pPr>
          </w:p>
        </w:tc>
        <w:tc>
          <w:tcPr>
            <w:tcW w:w="200" w:type="dxa"/>
            <w:vAlign w:val="bottom"/>
            <w:gridSpan w:val="2"/>
            <w:vMerge w:val="restart"/>
          </w:tcPr>
          <w:p>
            <w:pPr>
              <w:spacing w:after="0"/>
              <w:rPr>
                <w:sz w:val="20"/>
                <w:szCs w:val="20"/>
                <w:color w:val="auto"/>
              </w:rPr>
            </w:pPr>
            <w:r>
              <w:rPr>
                <w:rFonts w:ascii="Arial" w:cs="Arial" w:eastAsia="Arial" w:hAnsi="Arial"/>
                <w:sz w:val="18"/>
                <w:szCs w:val="18"/>
                <w:color w:val="0000FF"/>
                <w:w w:val="89"/>
              </w:rPr>
              <w:t>72</w:t>
            </w:r>
          </w:p>
        </w:tc>
        <w:tc>
          <w:tcPr>
            <w:tcW w:w="0" w:type="dxa"/>
            <w:vAlign w:val="bottom"/>
          </w:tcPr>
          <w:p>
            <w:pPr>
              <w:spacing w:after="0"/>
              <w:rPr>
                <w:sz w:val="1"/>
                <w:szCs w:val="1"/>
                <w:color w:val="auto"/>
              </w:rPr>
            </w:pPr>
          </w:p>
        </w:tc>
      </w:tr>
      <w:tr>
        <w:trPr>
          <w:trHeight w:val="223"/>
        </w:trPr>
        <w:tc>
          <w:tcPr>
            <w:tcW w:w="3920" w:type="dxa"/>
            <w:vAlign w:val="bottom"/>
            <w:vMerge w:val="restart"/>
          </w:tcPr>
          <w:p>
            <w:pPr>
              <w:ind w:left="420"/>
              <w:spacing w:after="0"/>
              <w:rPr>
                <w:sz w:val="20"/>
                <w:szCs w:val="20"/>
                <w:color w:val="auto"/>
              </w:rPr>
            </w:pPr>
            <w:r>
              <w:rPr>
                <w:rFonts w:ascii="Arial" w:cs="Arial" w:eastAsia="Arial" w:hAnsi="Arial"/>
                <w:sz w:val="16"/>
                <w:szCs w:val="16"/>
                <w:color w:val="auto"/>
              </w:rPr>
              <w:t>Pay versus Performance</w:t>
            </w:r>
          </w:p>
        </w:tc>
        <w:tc>
          <w:tcPr>
            <w:tcW w:w="200" w:type="dxa"/>
            <w:vAlign w:val="bottom"/>
            <w:tcBorders>
              <w:bottom w:val="single" w:sz="8" w:color="0000FF"/>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920" w:type="dxa"/>
            <w:vAlign w:val="bottom"/>
            <w:vMerge w:val="continue"/>
          </w:tcPr>
          <w:p>
            <w:pPr>
              <w:spacing w:after="0"/>
              <w:rPr>
                <w:sz w:val="16"/>
                <w:szCs w:val="16"/>
                <w:color w:val="auto"/>
              </w:rPr>
            </w:pPr>
          </w:p>
        </w:tc>
        <w:tc>
          <w:tcPr>
            <w:tcW w:w="200" w:type="dxa"/>
            <w:vAlign w:val="bottom"/>
            <w:gridSpan w:val="2"/>
            <w:vMerge w:val="restart"/>
          </w:tcPr>
          <w:p>
            <w:pPr>
              <w:spacing w:after="0"/>
              <w:rPr>
                <w:sz w:val="20"/>
                <w:szCs w:val="20"/>
                <w:color w:val="auto"/>
              </w:rPr>
            </w:pPr>
            <w:r>
              <w:rPr>
                <w:rFonts w:ascii="Arial" w:cs="Arial" w:eastAsia="Arial" w:hAnsi="Arial"/>
                <w:sz w:val="18"/>
                <w:szCs w:val="18"/>
                <w:color w:val="0000FF"/>
                <w:w w:val="89"/>
              </w:rPr>
              <w:t>76</w:t>
            </w:r>
          </w:p>
        </w:tc>
        <w:tc>
          <w:tcPr>
            <w:tcW w:w="0" w:type="dxa"/>
            <w:vAlign w:val="bottom"/>
          </w:tcPr>
          <w:p>
            <w:pPr>
              <w:spacing w:after="0"/>
              <w:rPr>
                <w:sz w:val="1"/>
                <w:szCs w:val="1"/>
                <w:color w:val="auto"/>
              </w:rPr>
            </w:pPr>
          </w:p>
        </w:tc>
      </w:tr>
      <w:tr>
        <w:trPr>
          <w:trHeight w:val="223"/>
        </w:trPr>
        <w:tc>
          <w:tcPr>
            <w:tcW w:w="3920" w:type="dxa"/>
            <w:vAlign w:val="bottom"/>
            <w:vMerge w:val="restart"/>
          </w:tcPr>
          <w:p>
            <w:pPr>
              <w:spacing w:after="0"/>
              <w:rPr>
                <w:sz w:val="20"/>
                <w:szCs w:val="20"/>
                <w:color w:val="auto"/>
              </w:rPr>
            </w:pPr>
            <w:r>
              <w:rPr>
                <w:rFonts w:ascii="Arial" w:cs="Arial" w:eastAsia="Arial" w:hAnsi="Arial"/>
                <w:sz w:val="19"/>
                <w:szCs w:val="19"/>
                <w:b w:val="1"/>
                <w:bCs w:val="1"/>
                <w:color w:val="auto"/>
              </w:rPr>
              <w:t>Audit Matters</w:t>
            </w:r>
          </w:p>
        </w:tc>
        <w:tc>
          <w:tcPr>
            <w:tcW w:w="200" w:type="dxa"/>
            <w:vAlign w:val="bottom"/>
            <w:tcBorders>
              <w:bottom w:val="single" w:sz="8" w:color="0000FF"/>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39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8"/>
        </w:trPr>
        <w:tc>
          <w:tcPr>
            <w:tcW w:w="3920" w:type="dxa"/>
            <w:vAlign w:val="bottom"/>
          </w:tcPr>
          <w:p>
            <w:pPr>
              <w:ind w:left="420"/>
              <w:spacing w:after="0"/>
              <w:rPr>
                <w:sz w:val="20"/>
                <w:szCs w:val="20"/>
                <w:color w:val="auto"/>
              </w:rPr>
            </w:pPr>
            <w:r>
              <w:rPr>
                <w:rFonts w:ascii="Arial" w:cs="Arial" w:eastAsia="Arial" w:hAnsi="Arial"/>
                <w:sz w:val="16"/>
                <w:szCs w:val="16"/>
                <w:color w:val="D52B1E"/>
              </w:rPr>
              <w:t>Item 3 - Ratification of the Appointment of the</w:t>
            </w:r>
          </w:p>
        </w:tc>
        <w:tc>
          <w:tcPr>
            <w:tcW w:w="20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89"/>
              </w:rPr>
              <w:t>76</w:t>
            </w:r>
          </w:p>
        </w:tc>
        <w:tc>
          <w:tcPr>
            <w:tcW w:w="0" w:type="dxa"/>
            <w:vAlign w:val="bottom"/>
          </w:tcPr>
          <w:p>
            <w:pPr>
              <w:spacing w:after="0"/>
              <w:rPr>
                <w:sz w:val="1"/>
                <w:szCs w:val="1"/>
                <w:color w:val="auto"/>
              </w:rPr>
            </w:pPr>
          </w:p>
        </w:tc>
      </w:tr>
      <w:tr>
        <w:trPr>
          <w:trHeight w:val="195"/>
        </w:trPr>
        <w:tc>
          <w:tcPr>
            <w:tcW w:w="3920" w:type="dxa"/>
            <w:vAlign w:val="bottom"/>
          </w:tcPr>
          <w:p>
            <w:pPr>
              <w:ind w:left="420"/>
              <w:spacing w:after="0"/>
              <w:rPr>
                <w:sz w:val="20"/>
                <w:szCs w:val="20"/>
                <w:color w:val="auto"/>
              </w:rPr>
            </w:pPr>
            <w:r>
              <w:rPr>
                <w:rFonts w:ascii="Arial" w:cs="Arial" w:eastAsia="Arial" w:hAnsi="Arial"/>
                <w:sz w:val="16"/>
                <w:szCs w:val="16"/>
                <w:color w:val="D52B1E"/>
              </w:rPr>
              <w:t>Independent Auditor</w:t>
            </w:r>
          </w:p>
        </w:tc>
        <w:tc>
          <w:tcPr>
            <w:tcW w:w="200" w:type="dxa"/>
            <w:vAlign w:val="bottom"/>
            <w:gridSpan w:val="2"/>
            <w:vMerge w:val="restart"/>
          </w:tcPr>
          <w:p>
            <w:pPr>
              <w:spacing w:after="0"/>
              <w:rPr>
                <w:sz w:val="20"/>
                <w:szCs w:val="20"/>
                <w:color w:val="auto"/>
              </w:rPr>
            </w:pPr>
            <w:r>
              <w:rPr>
                <w:rFonts w:ascii="Arial" w:cs="Arial" w:eastAsia="Arial" w:hAnsi="Arial"/>
                <w:sz w:val="18"/>
                <w:szCs w:val="18"/>
                <w:color w:val="0000FF"/>
                <w:w w:val="89"/>
              </w:rPr>
              <w:t>79</w:t>
            </w:r>
          </w:p>
        </w:tc>
        <w:tc>
          <w:tcPr>
            <w:tcW w:w="0" w:type="dxa"/>
            <w:vAlign w:val="bottom"/>
          </w:tcPr>
          <w:p>
            <w:pPr>
              <w:spacing w:after="0"/>
              <w:rPr>
                <w:sz w:val="1"/>
                <w:szCs w:val="1"/>
                <w:color w:val="auto"/>
              </w:rPr>
            </w:pPr>
          </w:p>
        </w:tc>
      </w:tr>
      <w:tr>
        <w:trPr>
          <w:trHeight w:val="222"/>
        </w:trPr>
        <w:tc>
          <w:tcPr>
            <w:tcW w:w="3920" w:type="dxa"/>
            <w:vAlign w:val="bottom"/>
            <w:vMerge w:val="restart"/>
          </w:tcPr>
          <w:p>
            <w:pPr>
              <w:spacing w:after="0"/>
              <w:rPr>
                <w:sz w:val="20"/>
                <w:szCs w:val="20"/>
                <w:color w:val="auto"/>
              </w:rPr>
            </w:pPr>
            <w:r>
              <w:rPr>
                <w:rFonts w:ascii="Arial" w:cs="Arial" w:eastAsia="Arial" w:hAnsi="Arial"/>
                <w:sz w:val="19"/>
                <w:szCs w:val="19"/>
                <w:b w:val="1"/>
                <w:bCs w:val="1"/>
                <w:color w:val="auto"/>
              </w:rPr>
              <w:t>Management Proposals</w:t>
            </w:r>
          </w:p>
        </w:tc>
        <w:tc>
          <w:tcPr>
            <w:tcW w:w="200" w:type="dxa"/>
            <w:vAlign w:val="bottom"/>
            <w:tcBorders>
              <w:bottom w:val="single" w:sz="8" w:color="0000FF"/>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39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1"/>
        </w:trPr>
        <w:tc>
          <w:tcPr>
            <w:tcW w:w="3920" w:type="dxa"/>
            <w:vAlign w:val="bottom"/>
          </w:tcPr>
          <w:p>
            <w:pPr>
              <w:ind w:left="420"/>
              <w:spacing w:after="0"/>
              <w:rPr>
                <w:sz w:val="20"/>
                <w:szCs w:val="20"/>
                <w:color w:val="auto"/>
              </w:rPr>
            </w:pPr>
            <w:r>
              <w:rPr>
                <w:rFonts w:ascii="Arial" w:cs="Arial" w:eastAsia="Arial" w:hAnsi="Arial"/>
                <w:sz w:val="16"/>
                <w:szCs w:val="16"/>
                <w:color w:val="D52B1E"/>
              </w:rPr>
              <w:t>Item 4 - Proposal to Amend the Company’s</w:t>
            </w:r>
          </w:p>
        </w:tc>
        <w:tc>
          <w:tcPr>
            <w:tcW w:w="200" w:type="dxa"/>
            <w:vAlign w:val="bottom"/>
            <w:gridSpan w:val="2"/>
            <w:vMerge w:val="restart"/>
          </w:tcPr>
          <w:p>
            <w:pPr>
              <w:spacing w:after="0"/>
              <w:rPr>
                <w:sz w:val="20"/>
                <w:szCs w:val="20"/>
                <w:color w:val="auto"/>
              </w:rPr>
            </w:pPr>
            <w:r>
              <w:rPr>
                <w:rFonts w:ascii="Arial" w:cs="Arial" w:eastAsia="Arial" w:hAnsi="Arial"/>
                <w:sz w:val="18"/>
                <w:szCs w:val="18"/>
                <w:color w:val="0000FF"/>
                <w:w w:val="89"/>
              </w:rPr>
              <w:t>79</w:t>
            </w:r>
          </w:p>
        </w:tc>
        <w:tc>
          <w:tcPr>
            <w:tcW w:w="0" w:type="dxa"/>
            <w:vAlign w:val="bottom"/>
          </w:tcPr>
          <w:p>
            <w:pPr>
              <w:spacing w:after="0"/>
              <w:rPr>
                <w:sz w:val="1"/>
                <w:szCs w:val="1"/>
                <w:color w:val="auto"/>
              </w:rPr>
            </w:pPr>
          </w:p>
        </w:tc>
      </w:tr>
      <w:tr>
        <w:trPr>
          <w:trHeight w:val="195"/>
        </w:trPr>
        <w:tc>
          <w:tcPr>
            <w:tcW w:w="3920" w:type="dxa"/>
            <w:vAlign w:val="bottom"/>
          </w:tcPr>
          <w:p>
            <w:pPr>
              <w:ind w:left="420"/>
              <w:spacing w:after="0"/>
              <w:rPr>
                <w:sz w:val="20"/>
                <w:szCs w:val="20"/>
                <w:color w:val="auto"/>
              </w:rPr>
            </w:pPr>
            <w:r>
              <w:rPr>
                <w:rFonts w:ascii="Arial" w:cs="Arial" w:eastAsia="Arial" w:hAnsi="Arial"/>
                <w:sz w:val="16"/>
                <w:szCs w:val="16"/>
                <w:color w:val="D52B1E"/>
              </w:rPr>
              <w:t>Articles of Incorporation to Eliminate the</w:t>
            </w:r>
          </w:p>
        </w:tc>
        <w:tc>
          <w:tcPr>
            <w:tcW w:w="200" w:type="dxa"/>
            <w:vAlign w:val="bottom"/>
            <w:tcBorders>
              <w:bottom w:val="single" w:sz="8" w:color="0000FF"/>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920" w:type="dxa"/>
            <w:vAlign w:val="bottom"/>
          </w:tcPr>
          <w:p>
            <w:pPr>
              <w:ind w:left="420"/>
              <w:spacing w:after="0"/>
              <w:rPr>
                <w:sz w:val="20"/>
                <w:szCs w:val="20"/>
                <w:color w:val="auto"/>
              </w:rPr>
            </w:pPr>
            <w:r>
              <w:rPr>
                <w:rFonts w:ascii="Arial" w:cs="Arial" w:eastAsia="Arial" w:hAnsi="Arial"/>
                <w:sz w:val="16"/>
                <w:szCs w:val="16"/>
                <w:color w:val="D52B1E"/>
              </w:rPr>
              <w:t>Classified Board Structure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3920" w:type="dxa"/>
            <w:vAlign w:val="bottom"/>
          </w:tcPr>
          <w:p>
            <w:pPr>
              <w:ind w:left="420"/>
              <w:spacing w:after="0"/>
              <w:rPr>
                <w:sz w:val="20"/>
                <w:szCs w:val="20"/>
                <w:color w:val="auto"/>
              </w:rPr>
            </w:pPr>
            <w:r>
              <w:rPr>
                <w:rFonts w:ascii="Arial" w:cs="Arial" w:eastAsia="Arial" w:hAnsi="Arial"/>
                <w:sz w:val="16"/>
                <w:szCs w:val="16"/>
                <w:color w:val="D52B1E"/>
              </w:rPr>
              <w:t>Item 5 - Proposal to Amend the Company’s</w:t>
            </w:r>
          </w:p>
        </w:tc>
        <w:tc>
          <w:tcPr>
            <w:tcW w:w="200" w:type="dxa"/>
            <w:vAlign w:val="bottom"/>
            <w:gridSpan w:val="2"/>
            <w:vMerge w:val="restart"/>
          </w:tcPr>
          <w:p>
            <w:pPr>
              <w:spacing w:after="0"/>
              <w:rPr>
                <w:sz w:val="20"/>
                <w:szCs w:val="20"/>
                <w:color w:val="auto"/>
              </w:rPr>
            </w:pPr>
            <w:r>
              <w:rPr>
                <w:rFonts w:ascii="Arial" w:cs="Arial" w:eastAsia="Arial" w:hAnsi="Arial"/>
                <w:sz w:val="18"/>
                <w:szCs w:val="18"/>
                <w:color w:val="0000FF"/>
                <w:w w:val="89"/>
              </w:rPr>
              <w:t>80</w:t>
            </w:r>
          </w:p>
        </w:tc>
        <w:tc>
          <w:tcPr>
            <w:tcW w:w="0" w:type="dxa"/>
            <w:vAlign w:val="bottom"/>
          </w:tcPr>
          <w:p>
            <w:pPr>
              <w:spacing w:after="0"/>
              <w:rPr>
                <w:sz w:val="1"/>
                <w:szCs w:val="1"/>
                <w:color w:val="auto"/>
              </w:rPr>
            </w:pPr>
          </w:p>
        </w:tc>
      </w:tr>
      <w:tr>
        <w:trPr>
          <w:trHeight w:val="195"/>
        </w:trPr>
        <w:tc>
          <w:tcPr>
            <w:tcW w:w="3920" w:type="dxa"/>
            <w:vAlign w:val="bottom"/>
          </w:tcPr>
          <w:p>
            <w:pPr>
              <w:ind w:left="420"/>
              <w:spacing w:after="0"/>
              <w:rPr>
                <w:sz w:val="20"/>
                <w:szCs w:val="20"/>
                <w:color w:val="auto"/>
              </w:rPr>
            </w:pPr>
            <w:r>
              <w:rPr>
                <w:rFonts w:ascii="Arial" w:cs="Arial" w:eastAsia="Arial" w:hAnsi="Arial"/>
                <w:sz w:val="16"/>
                <w:szCs w:val="16"/>
                <w:color w:val="D52B1E"/>
              </w:rPr>
              <w:t>Articles of Incorporation to Eliminate</w:t>
            </w:r>
          </w:p>
        </w:tc>
        <w:tc>
          <w:tcPr>
            <w:tcW w:w="200" w:type="dxa"/>
            <w:vAlign w:val="bottom"/>
            <w:tcBorders>
              <w:bottom w:val="single" w:sz="8" w:color="0000FF"/>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920" w:type="dxa"/>
            <w:vAlign w:val="bottom"/>
          </w:tcPr>
          <w:p>
            <w:pPr>
              <w:ind w:left="420"/>
              <w:spacing w:after="0"/>
              <w:rPr>
                <w:sz w:val="20"/>
                <w:szCs w:val="20"/>
                <w:color w:val="auto"/>
              </w:rPr>
            </w:pPr>
            <w:r>
              <w:rPr>
                <w:rFonts w:ascii="Arial" w:cs="Arial" w:eastAsia="Arial" w:hAnsi="Arial"/>
                <w:sz w:val="16"/>
                <w:szCs w:val="16"/>
                <w:color w:val="D52B1E"/>
              </w:rPr>
              <w:t>Supermajority Voting Provisions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920" w:type="dxa"/>
            <w:vAlign w:val="bottom"/>
            <w:vMerge w:val="restart"/>
          </w:tcPr>
          <w:p>
            <w:pPr>
              <w:spacing w:after="0"/>
              <w:rPr>
                <w:sz w:val="20"/>
                <w:szCs w:val="20"/>
                <w:color w:val="auto"/>
              </w:rPr>
            </w:pPr>
            <w:r>
              <w:rPr>
                <w:rFonts w:ascii="Arial" w:cs="Arial" w:eastAsia="Arial" w:hAnsi="Arial"/>
                <w:sz w:val="19"/>
                <w:szCs w:val="19"/>
                <w:b w:val="1"/>
                <w:bCs w:val="1"/>
                <w:color w:val="auto"/>
              </w:rPr>
              <w:t>Other Information</w:t>
            </w:r>
          </w:p>
        </w:tc>
        <w:tc>
          <w:tcPr>
            <w:tcW w:w="280" w:type="dxa"/>
            <w:vAlign w:val="bottom"/>
            <w:gridSpan w:val="2"/>
          </w:tcPr>
          <w:p>
            <w:pPr>
              <w:spacing w:after="0"/>
              <w:rPr>
                <w:sz w:val="20"/>
                <w:szCs w:val="20"/>
                <w:color w:val="auto"/>
              </w:rPr>
            </w:pPr>
            <w:r>
              <w:rPr>
                <w:rFonts w:ascii="Arial" w:cs="Arial" w:eastAsia="Arial" w:hAnsi="Arial"/>
                <w:sz w:val="18"/>
                <w:szCs w:val="18"/>
                <w:color w:val="0000FF"/>
              </w:rPr>
              <w:t>81</w:t>
            </w:r>
          </w:p>
        </w:tc>
        <w:tc>
          <w:tcPr>
            <w:tcW w:w="0" w:type="dxa"/>
            <w:vAlign w:val="bottom"/>
          </w:tcPr>
          <w:p>
            <w:pPr>
              <w:spacing w:after="0"/>
              <w:rPr>
                <w:sz w:val="1"/>
                <w:szCs w:val="1"/>
                <w:color w:val="auto"/>
              </w:rPr>
            </w:pPr>
          </w:p>
        </w:tc>
      </w:tr>
      <w:tr>
        <w:trPr>
          <w:trHeight w:val="20"/>
        </w:trPr>
        <w:tc>
          <w:tcPr>
            <w:tcW w:w="3920" w:type="dxa"/>
            <w:vAlign w:val="bottom"/>
            <w:vMerge w:val="continue"/>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3920" w:type="dxa"/>
            <w:vAlign w:val="bottom"/>
            <w:vMerge w:val="continue"/>
          </w:tcPr>
          <w:p>
            <w:pPr>
              <w:spacing w:after="0"/>
              <w:rPr>
                <w:sz w:val="10"/>
                <w:szCs w:val="10"/>
                <w:color w:val="auto"/>
              </w:rPr>
            </w:pPr>
          </w:p>
        </w:tc>
        <w:tc>
          <w:tcPr>
            <w:tcW w:w="280" w:type="dxa"/>
            <w:vAlign w:val="bottom"/>
            <w:gridSpan w:val="2"/>
            <w:vMerge w:val="restart"/>
          </w:tcPr>
          <w:p>
            <w:pPr>
              <w:spacing w:after="0"/>
              <w:rPr>
                <w:sz w:val="20"/>
                <w:szCs w:val="20"/>
                <w:color w:val="auto"/>
              </w:rPr>
            </w:pPr>
            <w:r>
              <w:rPr>
                <w:rFonts w:ascii="Arial" w:cs="Arial" w:eastAsia="Arial" w:hAnsi="Arial"/>
                <w:sz w:val="18"/>
                <w:szCs w:val="18"/>
                <w:color w:val="0000FF"/>
              </w:rPr>
              <w:t>81</w:t>
            </w:r>
          </w:p>
        </w:tc>
        <w:tc>
          <w:tcPr>
            <w:tcW w:w="0" w:type="dxa"/>
            <w:vAlign w:val="bottom"/>
          </w:tcPr>
          <w:p>
            <w:pPr>
              <w:spacing w:after="0"/>
              <w:rPr>
                <w:sz w:val="1"/>
                <w:szCs w:val="1"/>
                <w:color w:val="auto"/>
              </w:rPr>
            </w:pPr>
          </w:p>
        </w:tc>
      </w:tr>
      <w:tr>
        <w:trPr>
          <w:trHeight w:val="294"/>
        </w:trPr>
        <w:tc>
          <w:tcPr>
            <w:tcW w:w="3920" w:type="dxa"/>
            <w:vAlign w:val="bottom"/>
            <w:vMerge w:val="restart"/>
          </w:tcPr>
          <w:p>
            <w:pPr>
              <w:ind w:left="420"/>
              <w:spacing w:after="0"/>
              <w:rPr>
                <w:sz w:val="20"/>
                <w:szCs w:val="20"/>
                <w:color w:val="auto"/>
              </w:rPr>
            </w:pPr>
            <w:r>
              <w:rPr>
                <w:rFonts w:ascii="Arial" w:cs="Arial" w:eastAsia="Arial" w:hAnsi="Arial"/>
                <w:sz w:val="16"/>
                <w:szCs w:val="16"/>
                <w:color w:val="auto"/>
              </w:rPr>
              <w:t>Meeting and Voting Logistics</w:t>
            </w:r>
          </w:p>
        </w:tc>
        <w:tc>
          <w:tcPr>
            <w:tcW w:w="2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920" w:type="dxa"/>
            <w:vAlign w:val="bottom"/>
            <w:vMerge w:val="continue"/>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920" w:type="dxa"/>
            <w:vAlign w:val="bottom"/>
            <w:vMerge w:val="continue"/>
          </w:tcPr>
          <w:p>
            <w:pPr>
              <w:spacing w:after="0"/>
              <w:rPr>
                <w:sz w:val="16"/>
                <w:szCs w:val="16"/>
                <w:color w:val="auto"/>
              </w:rPr>
            </w:pPr>
          </w:p>
        </w:tc>
        <w:tc>
          <w:tcPr>
            <w:tcW w:w="280" w:type="dxa"/>
            <w:vAlign w:val="bottom"/>
            <w:gridSpan w:val="2"/>
            <w:vMerge w:val="restart"/>
          </w:tcPr>
          <w:p>
            <w:pPr>
              <w:spacing w:after="0"/>
              <w:rPr>
                <w:sz w:val="20"/>
                <w:szCs w:val="20"/>
                <w:color w:val="auto"/>
              </w:rPr>
            </w:pPr>
            <w:r>
              <w:rPr>
                <w:rFonts w:ascii="Arial" w:cs="Arial" w:eastAsia="Arial" w:hAnsi="Arial"/>
                <w:sz w:val="18"/>
                <w:szCs w:val="18"/>
                <w:color w:val="0000FF"/>
              </w:rPr>
              <w:t>85</w:t>
            </w:r>
          </w:p>
        </w:tc>
        <w:tc>
          <w:tcPr>
            <w:tcW w:w="0" w:type="dxa"/>
            <w:vAlign w:val="bottom"/>
          </w:tcPr>
          <w:p>
            <w:pPr>
              <w:spacing w:after="0"/>
              <w:rPr>
                <w:sz w:val="1"/>
                <w:szCs w:val="1"/>
                <w:color w:val="auto"/>
              </w:rPr>
            </w:pPr>
          </w:p>
        </w:tc>
      </w:tr>
      <w:tr>
        <w:trPr>
          <w:trHeight w:val="218"/>
        </w:trPr>
        <w:tc>
          <w:tcPr>
            <w:tcW w:w="3920" w:type="dxa"/>
            <w:vAlign w:val="bottom"/>
            <w:vMerge w:val="restart"/>
          </w:tcPr>
          <w:p>
            <w:pPr>
              <w:ind w:left="420"/>
              <w:spacing w:after="0"/>
              <w:rPr>
                <w:sz w:val="20"/>
                <w:szCs w:val="20"/>
                <w:color w:val="auto"/>
              </w:rPr>
            </w:pPr>
            <w:r>
              <w:rPr>
                <w:rFonts w:ascii="Arial" w:cs="Arial" w:eastAsia="Arial" w:hAnsi="Arial"/>
                <w:sz w:val="16"/>
                <w:szCs w:val="16"/>
                <w:color w:val="auto"/>
              </w:rPr>
              <w:t>Other Matters</w:t>
            </w:r>
          </w:p>
        </w:tc>
        <w:tc>
          <w:tcPr>
            <w:tcW w:w="2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920" w:type="dxa"/>
            <w:vAlign w:val="bottom"/>
            <w:vMerge w:val="continue"/>
          </w:tcPr>
          <w:p>
            <w:pPr>
              <w:spacing w:after="0"/>
              <w:rPr>
                <w:sz w:val="16"/>
                <w:szCs w:val="16"/>
                <w:color w:val="auto"/>
              </w:rPr>
            </w:pPr>
          </w:p>
        </w:tc>
        <w:tc>
          <w:tcPr>
            <w:tcW w:w="200" w:type="dxa"/>
            <w:vAlign w:val="bottom"/>
            <w:tcBorders>
              <w:top w:val="single" w:sz="8" w:color="0000FF"/>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6"/>
        </w:trPr>
        <w:tc>
          <w:tcPr>
            <w:tcW w:w="3920" w:type="dxa"/>
            <w:vAlign w:val="bottom"/>
          </w:tcPr>
          <w:p>
            <w:pPr>
              <w:spacing w:after="0"/>
              <w:rPr>
                <w:sz w:val="20"/>
                <w:szCs w:val="20"/>
                <w:color w:val="auto"/>
              </w:rPr>
            </w:pPr>
            <w:r>
              <w:rPr>
                <w:rFonts w:ascii="Arial" w:cs="Arial" w:eastAsia="Arial" w:hAnsi="Arial"/>
                <w:sz w:val="19"/>
                <w:szCs w:val="19"/>
                <w:b w:val="1"/>
                <w:bCs w:val="1"/>
                <w:color w:val="auto"/>
              </w:rPr>
              <w:t>Appendix A - Summary of Adjustments</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920" w:type="dxa"/>
            <w:vAlign w:val="bottom"/>
          </w:tcPr>
          <w:p>
            <w:pPr>
              <w:spacing w:after="0"/>
              <w:rPr>
                <w:sz w:val="20"/>
                <w:szCs w:val="20"/>
                <w:color w:val="auto"/>
              </w:rPr>
            </w:pPr>
            <w:r>
              <w:rPr>
                <w:rFonts w:ascii="Arial" w:cs="Arial" w:eastAsia="Arial" w:hAnsi="Arial"/>
                <w:sz w:val="19"/>
                <w:szCs w:val="19"/>
                <w:b w:val="1"/>
                <w:bCs w:val="1"/>
                <w:color w:val="auto"/>
              </w:rPr>
              <w:t>Related to the Annual Cash Bonus and</w:t>
            </w:r>
          </w:p>
        </w:tc>
        <w:tc>
          <w:tcPr>
            <w:tcW w:w="280" w:type="dxa"/>
            <w:vAlign w:val="bottom"/>
            <w:gridSpan w:val="2"/>
            <w:vMerge w:val="restart"/>
          </w:tcPr>
          <w:p>
            <w:pPr>
              <w:spacing w:after="0"/>
              <w:rPr>
                <w:sz w:val="20"/>
                <w:szCs w:val="20"/>
                <w:color w:val="auto"/>
              </w:rPr>
            </w:pPr>
            <w:r>
              <w:rPr>
                <w:rFonts w:ascii="Arial" w:cs="Arial" w:eastAsia="Arial" w:hAnsi="Arial"/>
                <w:sz w:val="18"/>
                <w:szCs w:val="18"/>
                <w:color w:val="auto"/>
                <w:w w:val="92"/>
              </w:rPr>
              <w:t>A-</w:t>
            </w:r>
            <w:r>
              <w:rPr>
                <w:rFonts w:ascii="Arial" w:cs="Arial" w:eastAsia="Arial" w:hAnsi="Arial"/>
                <w:sz w:val="18"/>
                <w:szCs w:val="18"/>
                <w:color w:val="0000FF"/>
                <w:w w:val="92"/>
              </w:rPr>
              <w:t>1</w:t>
            </w:r>
          </w:p>
        </w:tc>
        <w:tc>
          <w:tcPr>
            <w:tcW w:w="0" w:type="dxa"/>
            <w:vAlign w:val="bottom"/>
          </w:tcPr>
          <w:p>
            <w:pPr>
              <w:spacing w:after="0"/>
              <w:rPr>
                <w:sz w:val="1"/>
                <w:szCs w:val="1"/>
                <w:color w:val="auto"/>
              </w:rPr>
            </w:pPr>
          </w:p>
        </w:tc>
      </w:tr>
      <w:tr>
        <w:trPr>
          <w:trHeight w:val="81"/>
        </w:trPr>
        <w:tc>
          <w:tcPr>
            <w:tcW w:w="3920" w:type="dxa"/>
            <w:vAlign w:val="bottom"/>
            <w:vMerge w:val="restart"/>
          </w:tcPr>
          <w:p>
            <w:pPr>
              <w:spacing w:after="0"/>
              <w:rPr>
                <w:sz w:val="20"/>
                <w:szCs w:val="20"/>
                <w:color w:val="auto"/>
              </w:rPr>
            </w:pPr>
            <w:r>
              <w:rPr>
                <w:rFonts w:ascii="Arial" w:cs="Arial" w:eastAsia="Arial" w:hAnsi="Arial"/>
                <w:sz w:val="19"/>
                <w:szCs w:val="19"/>
                <w:b w:val="1"/>
                <w:bCs w:val="1"/>
                <w:color w:val="auto"/>
              </w:rPr>
              <w:t>Performance Award</w:t>
            </w:r>
          </w:p>
        </w:tc>
        <w:tc>
          <w:tcPr>
            <w:tcW w:w="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392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0" w:type="dxa"/>
            <w:vAlign w:val="bottom"/>
          </w:tcPr>
          <w:p>
            <w:pPr>
              <w:spacing w:after="0"/>
              <w:rPr>
                <w:sz w:val="1"/>
                <w:szCs w:val="1"/>
                <w:color w:val="auto"/>
              </w:rPr>
            </w:pPr>
          </w:p>
        </w:tc>
      </w:tr>
      <w:tr>
        <w:trPr>
          <w:trHeight w:val="402"/>
        </w:trPr>
        <w:tc>
          <w:tcPr>
            <w:tcW w:w="3920" w:type="dxa"/>
            <w:vAlign w:val="bottom"/>
          </w:tcPr>
          <w:p>
            <w:pPr>
              <w:spacing w:after="0"/>
              <w:rPr>
                <w:sz w:val="20"/>
                <w:szCs w:val="20"/>
                <w:color w:val="auto"/>
              </w:rPr>
            </w:pPr>
            <w:r>
              <w:rPr>
                <w:rFonts w:ascii="Arial" w:cs="Arial" w:eastAsia="Arial" w:hAnsi="Arial"/>
                <w:sz w:val="19"/>
                <w:szCs w:val="19"/>
                <w:b w:val="1"/>
                <w:bCs w:val="1"/>
                <w:color w:val="auto"/>
              </w:rPr>
              <w:t>Appendix B - Proposed Amendments to</w:t>
            </w:r>
          </w:p>
        </w:tc>
        <w:tc>
          <w:tcPr>
            <w:tcW w:w="280" w:type="dxa"/>
            <w:vAlign w:val="bottom"/>
            <w:gridSpan w:val="2"/>
            <w:vMerge w:val="restart"/>
          </w:tcPr>
          <w:p>
            <w:pPr>
              <w:spacing w:after="0"/>
              <w:rPr>
                <w:sz w:val="20"/>
                <w:szCs w:val="20"/>
                <w:color w:val="auto"/>
              </w:rPr>
            </w:pPr>
            <w:r>
              <w:rPr>
                <w:rFonts w:ascii="Arial" w:cs="Arial" w:eastAsia="Arial" w:hAnsi="Arial"/>
                <w:sz w:val="18"/>
                <w:szCs w:val="18"/>
                <w:color w:val="auto"/>
                <w:w w:val="92"/>
              </w:rPr>
              <w:t>B-</w:t>
            </w:r>
            <w:r>
              <w:rPr>
                <w:rFonts w:ascii="Arial" w:cs="Arial" w:eastAsia="Arial" w:hAnsi="Arial"/>
                <w:sz w:val="18"/>
                <w:szCs w:val="18"/>
                <w:color w:val="0000FF"/>
                <w:w w:val="92"/>
              </w:rPr>
              <w:t>1</w:t>
            </w:r>
          </w:p>
        </w:tc>
        <w:tc>
          <w:tcPr>
            <w:tcW w:w="0" w:type="dxa"/>
            <w:vAlign w:val="bottom"/>
          </w:tcPr>
          <w:p>
            <w:pPr>
              <w:spacing w:after="0"/>
              <w:rPr>
                <w:sz w:val="1"/>
                <w:szCs w:val="1"/>
                <w:color w:val="auto"/>
              </w:rPr>
            </w:pPr>
          </w:p>
        </w:tc>
      </w:tr>
      <w:tr>
        <w:trPr>
          <w:trHeight w:val="95"/>
        </w:trPr>
        <w:tc>
          <w:tcPr>
            <w:tcW w:w="3920" w:type="dxa"/>
            <w:vAlign w:val="bottom"/>
            <w:vMerge w:val="restart"/>
          </w:tcPr>
          <w:p>
            <w:pPr>
              <w:spacing w:after="0"/>
              <w:rPr>
                <w:sz w:val="20"/>
                <w:szCs w:val="20"/>
                <w:color w:val="auto"/>
              </w:rPr>
            </w:pPr>
            <w:r>
              <w:rPr>
                <w:rFonts w:ascii="Arial" w:cs="Arial" w:eastAsia="Arial" w:hAnsi="Arial"/>
                <w:sz w:val="19"/>
                <w:szCs w:val="19"/>
                <w:b w:val="1"/>
                <w:bCs w:val="1"/>
                <w:color w:val="auto"/>
              </w:rPr>
              <w:t>the Company’s Articles of Incorporation</w:t>
            </w:r>
          </w:p>
        </w:tc>
        <w:tc>
          <w:tcPr>
            <w:tcW w:w="2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5"/>
        </w:trPr>
        <w:tc>
          <w:tcPr>
            <w:tcW w:w="39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060"/>
        <w:spacing w:after="0"/>
        <w:rPr>
          <w:sz w:val="20"/>
          <w:szCs w:val="20"/>
          <w:color w:val="auto"/>
        </w:rPr>
      </w:pPr>
      <w:r>
        <w:rPr>
          <w:rFonts w:ascii="Arial" w:cs="Arial" w:eastAsia="Arial" w:hAnsi="Arial"/>
          <w:sz w:val="19"/>
          <w:szCs w:val="19"/>
          <w:b w:val="1"/>
          <w:bCs w:val="1"/>
          <w:color w:val="D52B1E"/>
        </w:rPr>
        <w:t>Frequently Referenced Topics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-69215</wp:posOffset>
            </wp:positionV>
            <wp:extent cx="2837180" cy="3446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837180" cy="3446145"/>
                    </a:xfrm>
                    <a:prstGeom prst="rect">
                      <a:avLst/>
                    </a:prstGeom>
                    <a:noFill/>
                  </pic:spPr>
                </pic:pic>
              </a:graphicData>
            </a:graphic>
          </wp:anchor>
        </w:drawing>
      </w:r>
    </w:p>
    <w:p>
      <w:pPr>
        <w:spacing w:after="0" w:line="94" w:lineRule="exact"/>
        <w:rPr>
          <w:sz w:val="20"/>
          <w:szCs w:val="20"/>
          <w:color w:val="auto"/>
        </w:rPr>
      </w:pPr>
    </w:p>
    <w:p>
      <w:pPr>
        <w:ind w:left="3920"/>
        <w:spacing w:after="0"/>
        <w:rPr>
          <w:sz w:val="20"/>
          <w:szCs w:val="20"/>
          <w:color w:val="auto"/>
        </w:rPr>
      </w:pPr>
      <w:r>
        <w:rPr>
          <w:rFonts w:ascii="Arial" w:cs="Arial" w:eastAsia="Arial" w:hAnsi="Arial"/>
          <w:sz w:val="18"/>
          <w:szCs w:val="18"/>
          <w:u w:val="single" w:color="auto"/>
          <w:color w:val="0000FF"/>
        </w:rPr>
        <w:t>13</w:t>
      </w:r>
    </w:p>
    <w:p>
      <w:pPr>
        <w:spacing w:after="0" w:line="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Director Biographies</w:t>
      </w:r>
    </w:p>
    <w:p>
      <w:pPr>
        <w:spacing w:after="0" w:line="38" w:lineRule="exact"/>
        <w:rPr>
          <w:sz w:val="20"/>
          <w:szCs w:val="20"/>
          <w:color w:val="auto"/>
        </w:rPr>
      </w:pPr>
    </w:p>
    <w:p>
      <w:pPr>
        <w:ind w:left="3920"/>
        <w:spacing w:after="0"/>
        <w:rPr>
          <w:sz w:val="20"/>
          <w:szCs w:val="20"/>
          <w:color w:val="auto"/>
        </w:rPr>
      </w:pPr>
      <w:r>
        <w:rPr>
          <w:rFonts w:ascii="Arial" w:cs="Arial" w:eastAsia="Arial" w:hAnsi="Arial"/>
          <w:sz w:val="18"/>
          <w:szCs w:val="18"/>
          <w:u w:val="single" w:color="auto"/>
          <w:color w:val="0000FF"/>
        </w:rPr>
        <w:t>11</w:t>
      </w:r>
    </w:p>
    <w:p>
      <w:pPr>
        <w:spacing w:after="0" w:line="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Director Skills Matrix</w:t>
      </w:r>
    </w:p>
    <w:p>
      <w:pPr>
        <w:spacing w:after="0" w:line="38" w:lineRule="exact"/>
        <w:rPr>
          <w:sz w:val="20"/>
          <w:szCs w:val="20"/>
          <w:color w:val="auto"/>
        </w:rPr>
      </w:pPr>
    </w:p>
    <w:p>
      <w:pPr>
        <w:ind w:left="3920"/>
        <w:spacing w:after="0"/>
        <w:rPr>
          <w:sz w:val="20"/>
          <w:szCs w:val="20"/>
          <w:color w:val="auto"/>
        </w:rPr>
      </w:pPr>
      <w:r>
        <w:rPr>
          <w:rFonts w:ascii="Arial" w:cs="Arial" w:eastAsia="Arial" w:hAnsi="Arial"/>
          <w:sz w:val="18"/>
          <w:szCs w:val="18"/>
          <w:u w:val="single" w:color="auto"/>
          <w:color w:val="0000FF"/>
        </w:rPr>
        <w:t>26</w:t>
      </w:r>
    </w:p>
    <w:p>
      <w:pPr>
        <w:spacing w:after="0" w:line="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Director Compensation</w:t>
      </w:r>
    </w:p>
    <w:p>
      <w:pPr>
        <w:spacing w:after="0" w:line="38" w:lineRule="exact"/>
        <w:rPr>
          <w:sz w:val="20"/>
          <w:szCs w:val="20"/>
          <w:color w:val="auto"/>
        </w:rPr>
      </w:pPr>
    </w:p>
    <w:p>
      <w:pPr>
        <w:ind w:left="3920"/>
        <w:spacing w:after="0"/>
        <w:rPr>
          <w:sz w:val="20"/>
          <w:szCs w:val="20"/>
          <w:color w:val="auto"/>
        </w:rPr>
      </w:pPr>
      <w:r>
        <w:rPr>
          <w:rFonts w:ascii="Arial" w:cs="Arial" w:eastAsia="Arial" w:hAnsi="Arial"/>
          <w:sz w:val="18"/>
          <w:szCs w:val="18"/>
          <w:u w:val="single" w:color="auto"/>
          <w:color w:val="0000FF"/>
        </w:rPr>
        <w:t>29</w:t>
      </w:r>
    </w:p>
    <w:p>
      <w:pPr>
        <w:spacing w:after="0" w:line="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Board Leadership Structure</w:t>
      </w:r>
    </w:p>
    <w:p>
      <w:pPr>
        <w:spacing w:after="0" w:line="97" w:lineRule="exact"/>
        <w:rPr>
          <w:sz w:val="20"/>
          <w:szCs w:val="20"/>
          <w:color w:val="auto"/>
        </w:rPr>
      </w:pPr>
    </w:p>
    <w:p>
      <w:pPr>
        <w:ind w:left="180"/>
        <w:spacing w:after="0"/>
        <w:rPr>
          <w:sz w:val="20"/>
          <w:szCs w:val="20"/>
          <w:color w:val="auto"/>
        </w:rPr>
      </w:pPr>
      <w:r>
        <w:rPr>
          <w:rFonts w:ascii="Arial" w:cs="Arial" w:eastAsia="Arial" w:hAnsi="Arial"/>
          <w:sz w:val="16"/>
          <w:szCs w:val="16"/>
          <w:color w:val="auto"/>
        </w:rPr>
        <w:t>Board and Committee Oversight of:</w:t>
      </w:r>
    </w:p>
    <w:p>
      <w:pPr>
        <w:spacing w:after="0" w:line="54" w:lineRule="exact"/>
        <w:rPr>
          <w:sz w:val="20"/>
          <w:szCs w:val="20"/>
          <w:color w:val="auto"/>
        </w:rPr>
      </w:pPr>
    </w:p>
    <w:p>
      <w:pPr>
        <w:ind w:left="3920"/>
        <w:spacing w:after="0"/>
        <w:rPr>
          <w:sz w:val="20"/>
          <w:szCs w:val="20"/>
          <w:color w:val="auto"/>
        </w:rPr>
      </w:pPr>
      <w:r>
        <w:rPr>
          <w:rFonts w:ascii="Arial" w:cs="Arial" w:eastAsia="Arial" w:hAnsi="Arial"/>
          <w:sz w:val="18"/>
          <w:szCs w:val="18"/>
          <w:u w:val="single" w:color="auto"/>
          <w:color w:val="0000FF"/>
        </w:rPr>
        <w:t>37</w:t>
      </w:r>
    </w:p>
    <w:p>
      <w:pPr>
        <w:spacing w:after="0" w:line="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Sustainability</w:t>
      </w:r>
    </w:p>
    <w:p>
      <w:pPr>
        <w:spacing w:after="0" w:line="38" w:lineRule="exact"/>
        <w:rPr>
          <w:sz w:val="20"/>
          <w:szCs w:val="20"/>
          <w:color w:val="auto"/>
        </w:rPr>
      </w:pPr>
    </w:p>
    <w:p>
      <w:pPr>
        <w:ind w:left="3920"/>
        <w:spacing w:after="0"/>
        <w:rPr>
          <w:sz w:val="20"/>
          <w:szCs w:val="20"/>
          <w:color w:val="auto"/>
        </w:rPr>
      </w:pPr>
      <w:r>
        <w:rPr>
          <w:rFonts w:ascii="Arial" w:cs="Arial" w:eastAsia="Arial" w:hAnsi="Arial"/>
          <w:sz w:val="18"/>
          <w:szCs w:val="18"/>
          <w:u w:val="single" w:color="auto"/>
          <w:color w:val="0000FF"/>
        </w:rPr>
        <w:t>37</w:t>
      </w:r>
    </w:p>
    <w:p>
      <w:pPr>
        <w:spacing w:after="0" w:line="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Cybersecurity</w:t>
      </w:r>
    </w:p>
    <w:p>
      <w:pPr>
        <w:spacing w:after="0" w:line="38" w:lineRule="exact"/>
        <w:rPr>
          <w:sz w:val="20"/>
          <w:szCs w:val="20"/>
          <w:color w:val="auto"/>
        </w:rPr>
      </w:pPr>
    </w:p>
    <w:p>
      <w:pPr>
        <w:ind w:left="3920"/>
        <w:spacing w:after="0"/>
        <w:rPr>
          <w:sz w:val="20"/>
          <w:szCs w:val="20"/>
          <w:color w:val="auto"/>
        </w:rPr>
      </w:pPr>
      <w:r>
        <w:rPr>
          <w:rFonts w:ascii="Arial" w:cs="Arial" w:eastAsia="Arial" w:hAnsi="Arial"/>
          <w:sz w:val="18"/>
          <w:szCs w:val="18"/>
          <w:u w:val="single" w:color="auto"/>
          <w:color w:val="0000FF"/>
        </w:rPr>
        <w:t>39</w:t>
      </w:r>
    </w:p>
    <w:p>
      <w:pPr>
        <w:spacing w:after="0" w:line="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Human Capital Management</w:t>
      </w:r>
    </w:p>
    <w:p>
      <w:pPr>
        <w:spacing w:after="0" w:line="38" w:lineRule="exact"/>
        <w:rPr>
          <w:sz w:val="20"/>
          <w:szCs w:val="20"/>
          <w:color w:val="auto"/>
        </w:rPr>
      </w:pPr>
    </w:p>
    <w:p>
      <w:pPr>
        <w:ind w:left="3920"/>
        <w:spacing w:after="0"/>
        <w:rPr>
          <w:sz w:val="20"/>
          <w:szCs w:val="20"/>
          <w:color w:val="auto"/>
        </w:rPr>
      </w:pPr>
      <w:r>
        <w:rPr>
          <w:rFonts w:ascii="Arial" w:cs="Arial" w:eastAsia="Arial" w:hAnsi="Arial"/>
          <w:sz w:val="18"/>
          <w:szCs w:val="18"/>
          <w:u w:val="single" w:color="auto"/>
          <w:color w:val="0000FF"/>
        </w:rPr>
        <w:t>38</w:t>
      </w:r>
    </w:p>
    <w:p>
      <w:pPr>
        <w:spacing w:after="0" w:line="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Political Activities</w:t>
      </w:r>
    </w:p>
    <w:p>
      <w:pPr>
        <w:spacing w:after="0" w:line="38" w:lineRule="exact"/>
        <w:rPr>
          <w:sz w:val="20"/>
          <w:szCs w:val="20"/>
          <w:color w:val="auto"/>
        </w:rPr>
      </w:pPr>
    </w:p>
    <w:p>
      <w:pPr>
        <w:ind w:left="3920"/>
        <w:spacing w:after="0"/>
        <w:rPr>
          <w:sz w:val="20"/>
          <w:szCs w:val="20"/>
          <w:color w:val="auto"/>
        </w:rPr>
      </w:pPr>
      <w:r>
        <w:rPr>
          <w:rFonts w:ascii="Arial" w:cs="Arial" w:eastAsia="Arial" w:hAnsi="Arial"/>
          <w:sz w:val="18"/>
          <w:szCs w:val="18"/>
          <w:u w:val="single" w:color="auto"/>
          <w:color w:val="0000FF"/>
        </w:rPr>
        <w:t>40</w:t>
      </w:r>
    </w:p>
    <w:p>
      <w:pPr>
        <w:spacing w:after="0" w:line="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Transactions with Related Persons</w:t>
      </w:r>
    </w:p>
    <w:p>
      <w:pPr>
        <w:spacing w:after="0" w:line="38" w:lineRule="exact"/>
        <w:rPr>
          <w:sz w:val="20"/>
          <w:szCs w:val="20"/>
          <w:color w:val="auto"/>
        </w:rPr>
      </w:pPr>
    </w:p>
    <w:p>
      <w:pPr>
        <w:ind w:left="3920"/>
        <w:spacing w:after="0"/>
        <w:rPr>
          <w:sz w:val="20"/>
          <w:szCs w:val="20"/>
          <w:color w:val="auto"/>
        </w:rPr>
      </w:pPr>
      <w:r>
        <w:rPr>
          <w:rFonts w:ascii="Arial" w:cs="Arial" w:eastAsia="Arial" w:hAnsi="Arial"/>
          <w:sz w:val="18"/>
          <w:szCs w:val="18"/>
          <w:u w:val="single" w:color="auto"/>
          <w:color w:val="0000FF"/>
        </w:rPr>
        <w:t>59</w:t>
      </w:r>
    </w:p>
    <w:p>
      <w:pPr>
        <w:spacing w:after="0" w:line="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Share Ownership and Retention Guidelines</w:t>
      </w:r>
    </w:p>
    <w:p>
      <w:pPr>
        <w:spacing w:after="0" w:line="38" w:lineRule="exact"/>
        <w:rPr>
          <w:sz w:val="20"/>
          <w:szCs w:val="20"/>
          <w:color w:val="auto"/>
        </w:rPr>
      </w:pPr>
    </w:p>
    <w:p>
      <w:pPr>
        <w:ind w:left="3920"/>
        <w:spacing w:after="0"/>
        <w:rPr>
          <w:sz w:val="20"/>
          <w:szCs w:val="20"/>
          <w:color w:val="auto"/>
        </w:rPr>
      </w:pPr>
      <w:r>
        <w:rPr>
          <w:rFonts w:ascii="Arial" w:cs="Arial" w:eastAsia="Arial" w:hAnsi="Arial"/>
          <w:sz w:val="18"/>
          <w:szCs w:val="18"/>
          <w:u w:val="single" w:color="auto"/>
          <w:color w:val="0000FF"/>
        </w:rPr>
        <w:t>60</w:t>
      </w:r>
    </w:p>
    <w:p>
      <w:pPr>
        <w:spacing w:after="0" w:line="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Compensation Recovery Policy (Clawback)</w:t>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Statements</w:t>
      </w:r>
    </w:p>
    <w:p>
      <w:pPr>
        <w:spacing w:after="0" w:line="73" w:lineRule="exact"/>
        <w:rPr>
          <w:sz w:val="20"/>
          <w:szCs w:val="20"/>
          <w:color w:val="auto"/>
        </w:rPr>
      </w:pPr>
    </w:p>
    <w:p>
      <w:pPr>
        <w:ind w:right="120"/>
        <w:spacing w:after="0" w:line="261" w:lineRule="auto"/>
        <w:rPr>
          <w:sz w:val="20"/>
          <w:szCs w:val="20"/>
          <w:color w:val="auto"/>
        </w:rPr>
      </w:pPr>
      <w:r>
        <w:rPr>
          <w:rFonts w:ascii="Arial" w:cs="Arial" w:eastAsia="Arial" w:hAnsi="Arial"/>
          <w:sz w:val="14"/>
          <w:szCs w:val="14"/>
          <w:color w:val="auto"/>
        </w:rPr>
        <w:t>This proxy statement contains forward-looking statements, including those regarding our strategies and financial performance; our development of new products and technologies; sustainability metrics, commitments and goals; and other statements that are not historical fact, and actual results could differ materially. Risks that could cause actual results to differ are set forth in the “Risk Factors” section of, and elsewhere in, our 2024 Annual Report on Form 10-K and our other filings with the Securities and Exchange Commission (SEC). Readers are cautioned not to place undue reliance on these forward-looking statements, which speak only as of the date hereof and are based on management estimates, projections, and assumptions, and we undertake no obligation to update any such statements.</w:t>
      </w:r>
    </w:p>
    <w:p>
      <w:pPr>
        <w:spacing w:after="0" w:line="220" w:lineRule="exact"/>
        <w:rPr>
          <w:sz w:val="20"/>
          <w:szCs w:val="20"/>
          <w:color w:val="auto"/>
        </w:rPr>
      </w:pPr>
    </w:p>
    <w:p>
      <w:pPr>
        <w:spacing w:after="0" w:line="269" w:lineRule="auto"/>
        <w:rPr>
          <w:sz w:val="20"/>
          <w:szCs w:val="20"/>
          <w:color w:val="auto"/>
        </w:rPr>
      </w:pPr>
      <w:r>
        <w:rPr>
          <w:rFonts w:ascii="Arial" w:cs="Arial" w:eastAsia="Arial" w:hAnsi="Arial"/>
          <w:sz w:val="14"/>
          <w:szCs w:val="14"/>
          <w:color w:val="auto"/>
        </w:rPr>
        <w:t>Certain documents and information referenced in this proxy statement are available on our website. However, we are not including the information contained on our website, or any information that may be accessed by links on our website, as part of, or incorporating it by reference into, this proxy statement.</w:t>
      </w:r>
    </w:p>
    <w:p>
      <w:pPr>
        <w:spacing w:after="0" w:line="210" w:lineRule="exact"/>
        <w:rPr>
          <w:sz w:val="20"/>
          <w:szCs w:val="20"/>
          <w:color w:val="auto"/>
        </w:rPr>
      </w:pPr>
    </w:p>
    <w:p>
      <w:pPr>
        <w:ind w:right="140"/>
        <w:spacing w:after="0" w:line="276" w:lineRule="auto"/>
        <w:rPr>
          <w:sz w:val="20"/>
          <w:szCs w:val="20"/>
          <w:color w:val="auto"/>
        </w:rPr>
      </w:pPr>
      <w:r>
        <w:rPr>
          <w:rFonts w:ascii="Arial" w:cs="Arial" w:eastAsia="Arial" w:hAnsi="Arial"/>
          <w:sz w:val="14"/>
          <w:szCs w:val="14"/>
          <w:color w:val="auto"/>
        </w:rPr>
        <w:t>The information contained under the heading “Pay Versus Performance” shall not be incorporated by reference into any filing under the Securities Act of 1933 or the Securities Exchange Act of 1934 (the Exchange Act) except to the extent that we specifically incorporate it by reference in any such filing.</w:t>
      </w:r>
    </w:p>
    <w:p>
      <w:pPr>
        <w:spacing w:after="0" w:line="191" w:lineRule="exact"/>
        <w:rPr>
          <w:sz w:val="20"/>
          <w:szCs w:val="20"/>
          <w:color w:val="auto"/>
        </w:rPr>
      </w:pPr>
    </w:p>
    <w:p>
      <w:pPr>
        <w:ind w:right="240"/>
        <w:spacing w:after="0" w:line="305" w:lineRule="auto"/>
        <w:rPr>
          <w:sz w:val="20"/>
          <w:szCs w:val="20"/>
          <w:color w:val="auto"/>
        </w:rPr>
      </w:pPr>
      <w:r>
        <w:rPr>
          <w:rFonts w:ascii="Arial" w:cs="Arial" w:eastAsia="Arial" w:hAnsi="Arial"/>
          <w:sz w:val="14"/>
          <w:szCs w:val="14"/>
          <w:color w:val="auto"/>
        </w:rPr>
        <w:t>Unless otherwise expressly stated or context requires otherwise, information in this proxy statement is as of March 21, 2025.</w:t>
      </w:r>
    </w:p>
    <w:p>
      <w:pPr>
        <w:sectPr>
          <w:pgSz w:w="11900" w:h="16838" w:orient="portrait"/>
          <w:cols w:equalWidth="0" w:num="2">
            <w:col w:w="4900" w:space="720"/>
            <w:col w:w="5500"/>
          </w:cols>
          <w:pgMar w:left="320" w:top="747" w:right="459" w:bottom="0" w:gutter="0" w:footer="0" w:header="0"/>
        </w:sectPr>
      </w:pPr>
    </w:p>
    <w:bookmarkStart w:id="4" w:name="page5"/>
    <w:bookmarkEnd w:id="4"/>
    <w:p>
      <w:pPr>
        <w:spacing w:after="0" w:line="305"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376555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rFonts w:ascii="Arial" w:cs="Arial" w:eastAsia="Arial" w:hAnsi="Arial"/>
          <w:sz w:val="32"/>
          <w:szCs w:val="32"/>
          <w:b w:val="1"/>
          <w:bCs w:val="1"/>
          <w:color w:val="D52B1E"/>
        </w:rPr>
        <w:t>Notice of 2025 Annual Meeting of Shareholders</w:t>
      </w:r>
    </w:p>
    <w:p>
      <w:pPr>
        <w:spacing w:after="0" w:line="200" w:lineRule="exact"/>
        <w:rPr>
          <w:sz w:val="20"/>
          <w:szCs w:val="20"/>
          <w:color w:val="auto"/>
        </w:rPr>
      </w:pPr>
    </w:p>
    <w:p>
      <w:pPr>
        <w:spacing w:after="0" w:line="343"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00A1DE"/>
        </w:rPr>
        <w:t>ITEMS OF BUSINESS</w:t>
      </w:r>
    </w:p>
    <w:p>
      <w:pPr>
        <w:spacing w:after="0" w:line="72" w:lineRule="exact"/>
        <w:rPr>
          <w:sz w:val="20"/>
          <w:szCs w:val="20"/>
          <w:color w:val="auto"/>
        </w:rPr>
      </w:pPr>
    </w:p>
    <w:p>
      <w:pPr>
        <w:ind w:left="20"/>
        <w:spacing w:after="0"/>
        <w:tabs>
          <w:tab w:leader="none" w:pos="880" w:val="left"/>
        </w:tabs>
        <w:rPr>
          <w:sz w:val="20"/>
          <w:szCs w:val="20"/>
          <w:color w:val="auto"/>
        </w:rPr>
      </w:pPr>
      <w:r>
        <w:rPr>
          <w:rFonts w:ascii="Arial" w:cs="Arial" w:eastAsia="Arial" w:hAnsi="Arial"/>
          <w:sz w:val="18"/>
          <w:szCs w:val="18"/>
          <w:b w:val="1"/>
          <w:bCs w:val="1"/>
          <w:color w:val="D52B1E"/>
        </w:rPr>
        <w:t>Item 1</w:t>
      </w:r>
      <w:r>
        <w:rPr>
          <w:sz w:val="20"/>
          <w:szCs w:val="20"/>
          <w:color w:val="auto"/>
        </w:rPr>
        <w:tab/>
      </w:r>
      <w:r>
        <w:rPr>
          <w:rFonts w:ascii="Arial" w:cs="Arial" w:eastAsia="Arial" w:hAnsi="Arial"/>
          <w:sz w:val="16"/>
          <w:szCs w:val="16"/>
          <w:color w:val="auto"/>
        </w:rPr>
        <w:t>Election of each of the four director nominees to serve three-year terms</w:t>
      </w:r>
    </w:p>
    <w:p>
      <w:pPr>
        <w:spacing w:after="0" w:line="63" w:lineRule="exact"/>
        <w:rPr>
          <w:sz w:val="20"/>
          <w:szCs w:val="20"/>
          <w:color w:val="auto"/>
        </w:rPr>
      </w:pPr>
    </w:p>
    <w:p>
      <w:pPr>
        <w:ind w:left="20" w:right="2039"/>
        <w:spacing w:after="0" w:line="313" w:lineRule="auto"/>
        <w:rPr>
          <w:sz w:val="20"/>
          <w:szCs w:val="20"/>
          <w:color w:val="auto"/>
        </w:rPr>
      </w:pPr>
      <w:r>
        <w:rPr>
          <w:rFonts w:ascii="Arial" w:cs="Arial" w:eastAsia="Arial" w:hAnsi="Arial"/>
          <w:sz w:val="18"/>
          <w:szCs w:val="18"/>
          <w:b w:val="1"/>
          <w:bCs w:val="1"/>
          <w:color w:val="D52B1E"/>
        </w:rPr>
        <w:t xml:space="preserve">Item 2 </w:t>
      </w:r>
      <w:r>
        <w:rPr>
          <w:rFonts w:ascii="Arial" w:cs="Arial" w:eastAsia="Arial" w:hAnsi="Arial"/>
          <w:sz w:val="16"/>
          <w:szCs w:val="16"/>
          <w:color w:val="000000"/>
        </w:rPr>
        <w:t>Approval, on an advisory basis, of the compensation paid to the company’s named executive officers</w:t>
      </w:r>
      <w:r>
        <w:rPr>
          <w:rFonts w:ascii="Arial" w:cs="Arial" w:eastAsia="Arial" w:hAnsi="Arial"/>
          <w:sz w:val="18"/>
          <w:szCs w:val="18"/>
          <w:b w:val="1"/>
          <w:bCs w:val="1"/>
          <w:color w:val="D52B1E"/>
        </w:rPr>
        <w:t xml:space="preserve"> Item 3 </w:t>
      </w:r>
      <w:r>
        <w:rPr>
          <w:rFonts w:ascii="Arial" w:cs="Arial" w:eastAsia="Arial" w:hAnsi="Arial"/>
          <w:sz w:val="16"/>
          <w:szCs w:val="16"/>
          <w:color w:val="000000"/>
        </w:rPr>
        <w:t>Ratification of the appointment of Ernst &amp; Young LLP as the independent auditor for 2025</w:t>
      </w:r>
    </w:p>
    <w:p>
      <w:pPr>
        <w:ind w:left="20" w:right="1319"/>
        <w:spacing w:after="0" w:line="359" w:lineRule="auto"/>
        <w:rPr>
          <w:sz w:val="20"/>
          <w:szCs w:val="20"/>
          <w:color w:val="auto"/>
        </w:rPr>
      </w:pPr>
      <w:r>
        <w:rPr>
          <w:rFonts w:ascii="Arial" w:cs="Arial" w:eastAsia="Arial" w:hAnsi="Arial"/>
          <w:sz w:val="18"/>
          <w:szCs w:val="18"/>
          <w:b w:val="1"/>
          <w:bCs w:val="1"/>
          <w:color w:val="D52B1E"/>
        </w:rPr>
        <w:t xml:space="preserve">Item 4 </w:t>
      </w:r>
      <w:r>
        <w:rPr>
          <w:rFonts w:ascii="Arial" w:cs="Arial" w:eastAsia="Arial" w:hAnsi="Arial"/>
          <w:sz w:val="16"/>
          <w:szCs w:val="16"/>
          <w:color w:val="000000"/>
        </w:rPr>
        <w:t>Approval of amendments to the company’s articles of incorporation to eliminate the classified board structure</w:t>
      </w:r>
      <w:r>
        <w:rPr>
          <w:rFonts w:ascii="Arial" w:cs="Arial" w:eastAsia="Arial" w:hAnsi="Arial"/>
          <w:sz w:val="18"/>
          <w:szCs w:val="18"/>
          <w:b w:val="1"/>
          <w:bCs w:val="1"/>
          <w:color w:val="D52B1E"/>
        </w:rPr>
        <w:t xml:space="preserve"> Item 5 </w:t>
      </w:r>
      <w:r>
        <w:rPr>
          <w:rFonts w:ascii="Arial" w:cs="Arial" w:eastAsia="Arial" w:hAnsi="Arial"/>
          <w:sz w:val="16"/>
          <w:szCs w:val="16"/>
          <w:color w:val="000000"/>
        </w:rPr>
        <w:t>Approval of amendments to the company’s articles of incorporation to eliminate supermajority voting provisions</w:t>
      </w:r>
    </w:p>
    <w:p>
      <w:pPr>
        <w:sectPr>
          <w:pgSz w:w="11900" w:h="16838" w:orient="portrait"/>
          <w:cols w:equalWidth="0" w:num="1">
            <w:col w:w="10139"/>
          </w:cols>
          <w:pgMar w:left="320" w:top="1135" w:right="1440" w:bottom="1440" w:gutter="0" w:footer="0" w:header="0"/>
        </w:sectPr>
      </w:pPr>
    </w:p>
    <w:p>
      <w:pPr>
        <w:spacing w:after="0" w:line="380"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00A1DE"/>
        </w:rPr>
        <w:t>ADMISSION</w:t>
      </w:r>
    </w:p>
    <w:p>
      <w:pPr>
        <w:spacing w:after="0" w:line="55" w:lineRule="exact"/>
        <w:rPr>
          <w:sz w:val="20"/>
          <w:szCs w:val="20"/>
          <w:color w:val="auto"/>
        </w:rPr>
      </w:pPr>
    </w:p>
    <w:p>
      <w:pPr>
        <w:ind w:left="20" w:right="20"/>
        <w:spacing w:after="0" w:line="287" w:lineRule="auto"/>
        <w:rPr>
          <w:sz w:val="20"/>
          <w:szCs w:val="20"/>
          <w:color w:val="auto"/>
        </w:rPr>
      </w:pPr>
      <w:r>
        <w:rPr>
          <w:rFonts w:ascii="Arial" w:cs="Arial" w:eastAsia="Arial" w:hAnsi="Arial"/>
          <w:sz w:val="18"/>
          <w:szCs w:val="18"/>
          <w:color w:val="auto"/>
        </w:rPr>
        <w:t>The 2025 annual meeting of shareholders (the Annual Meeting) of Eli Lilly and Company will be held virtually via live webcast.</w:t>
      </w:r>
    </w:p>
    <w:p>
      <w:pPr>
        <w:spacing w:after="0" w:line="99" w:lineRule="exact"/>
        <w:rPr>
          <w:sz w:val="20"/>
          <w:szCs w:val="20"/>
          <w:color w:val="auto"/>
        </w:rPr>
      </w:pPr>
    </w:p>
    <w:p>
      <w:pPr>
        <w:ind w:left="20"/>
        <w:spacing w:after="0" w:line="255" w:lineRule="auto"/>
        <w:rPr>
          <w:sz w:val="20"/>
          <w:szCs w:val="20"/>
          <w:color w:val="auto"/>
        </w:rPr>
      </w:pPr>
      <w:r>
        <w:rPr>
          <w:rFonts w:ascii="Arial" w:cs="Arial" w:eastAsia="Arial" w:hAnsi="Arial"/>
          <w:sz w:val="18"/>
          <w:szCs w:val="18"/>
          <w:color w:val="auto"/>
        </w:rPr>
        <w:t xml:space="preserve">The webcast is designed to provide shareholders the opportunity to participate virtually to facilitate shareholder attendance and to provide a consistent experience to all shareholders, regardless of location. You will be able to attend the Annual Meeting, vote, and submit questions virtually via webcast by visiting </w:t>
      </w:r>
      <w:r>
        <w:rPr>
          <w:rFonts w:ascii="Arial" w:cs="Arial" w:eastAsia="Arial" w:hAnsi="Arial"/>
          <w:sz w:val="18"/>
          <w:szCs w:val="18"/>
          <w:color w:val="D52B1E"/>
        </w:rPr>
        <w:t>virtualshareholdermeeting.com/LLY2025</w:t>
      </w:r>
      <w:r>
        <w:rPr>
          <w:rFonts w:ascii="Arial" w:cs="Arial" w:eastAsia="Arial" w:hAnsi="Arial"/>
          <w:sz w:val="18"/>
          <w:szCs w:val="18"/>
          <w:color w:val="auto"/>
        </w:rPr>
        <w:t xml:space="preserve"> and entering the 16-digit control number found on the proxy card, voting instruction form, or notice you received. For further information on Annual Meeting logistics, see the section titled “</w:t>
      </w:r>
      <w:r>
        <w:rPr>
          <w:rFonts w:ascii="Arial" w:cs="Arial" w:eastAsia="Arial" w:hAnsi="Arial"/>
          <w:sz w:val="18"/>
          <w:szCs w:val="18"/>
          <w:u w:val="single" w:color="auto"/>
          <w:color w:val="0000FF"/>
        </w:rPr>
        <w:t>Other Information—Meeting and Voting Logistics</w:t>
      </w:r>
      <w:r>
        <w:rPr>
          <w:rFonts w:ascii="Arial" w:cs="Arial" w:eastAsia="Arial" w:hAnsi="Arial"/>
          <w:sz w:val="18"/>
          <w:szCs w:val="18"/>
          <w:color w:val="auto"/>
        </w:rPr>
        <w:t>.”</w:t>
      </w:r>
    </w:p>
    <w:p>
      <w:pPr>
        <w:spacing w:after="0" w:line="131" w:lineRule="exact"/>
        <w:rPr>
          <w:sz w:val="20"/>
          <w:szCs w:val="20"/>
          <w:color w:val="auto"/>
        </w:rPr>
      </w:pPr>
    </w:p>
    <w:p>
      <w:pPr>
        <w:ind w:left="20" w:right="100"/>
        <w:spacing w:after="0" w:line="259" w:lineRule="auto"/>
        <w:rPr>
          <w:sz w:val="20"/>
          <w:szCs w:val="20"/>
          <w:color w:val="auto"/>
        </w:rPr>
      </w:pPr>
      <w:r>
        <w:rPr>
          <w:rFonts w:ascii="Arial" w:cs="Arial" w:eastAsia="Arial" w:hAnsi="Arial"/>
          <w:sz w:val="18"/>
          <w:szCs w:val="18"/>
          <w:color w:val="auto"/>
        </w:rPr>
        <w:t>This proxy statement is dated March 21, 2025. We mailed a notice of internet availability of proxy materials on or about that date to our shareholders of record as of February 26, 2025 (other than those who previously requested electronic or paper delivery of our proxy materials and certain participants in The Lilly Employee 401(k) plan (401(k) Plan)).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119"/>
        <w:spacing w:after="0"/>
        <w:rPr>
          <w:sz w:val="20"/>
          <w:szCs w:val="20"/>
          <w:color w:val="auto"/>
        </w:rPr>
      </w:pPr>
      <w:r>
        <w:rPr>
          <w:rFonts w:ascii="Arial" w:cs="Arial" w:eastAsia="Arial" w:hAnsi="Arial"/>
          <w:sz w:val="20"/>
          <w:szCs w:val="20"/>
          <w:b w:val="1"/>
          <w:bCs w:val="1"/>
          <w:color w:val="D52B1E"/>
        </w:rPr>
        <w:t>WHEN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524510</wp:posOffset>
            </wp:positionH>
            <wp:positionV relativeFrom="paragraph">
              <wp:posOffset>-678815</wp:posOffset>
            </wp:positionV>
            <wp:extent cx="488950" cy="4889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88950" cy="488950"/>
                    </a:xfrm>
                    <a:prstGeom prst="rect">
                      <a:avLst/>
                    </a:prstGeom>
                    <a:noFill/>
                  </pic:spPr>
                </pic:pic>
              </a:graphicData>
            </a:graphic>
          </wp:anchor>
        </w:drawing>
      </w:r>
    </w:p>
    <w:p>
      <w:pPr>
        <w:spacing w:after="0" w:line="21" w:lineRule="exact"/>
        <w:rPr>
          <w:sz w:val="20"/>
          <w:szCs w:val="20"/>
          <w:color w:val="auto"/>
        </w:rPr>
      </w:pPr>
    </w:p>
    <w:p>
      <w:pPr>
        <w:jc w:val="center"/>
        <w:ind w:right="1119"/>
        <w:spacing w:after="0"/>
        <w:rPr>
          <w:sz w:val="20"/>
          <w:szCs w:val="20"/>
          <w:color w:val="auto"/>
        </w:rPr>
      </w:pPr>
      <w:r>
        <w:rPr>
          <w:rFonts w:ascii="Arial" w:cs="Arial" w:eastAsia="Arial" w:hAnsi="Arial"/>
          <w:sz w:val="14"/>
          <w:szCs w:val="14"/>
          <w:b w:val="1"/>
          <w:bCs w:val="1"/>
          <w:color w:val="auto"/>
        </w:rPr>
        <w:t>8:30 a.m. EDT</w:t>
      </w:r>
    </w:p>
    <w:p>
      <w:pPr>
        <w:spacing w:after="0" w:line="15" w:lineRule="exact"/>
        <w:rPr>
          <w:sz w:val="20"/>
          <w:szCs w:val="20"/>
          <w:color w:val="auto"/>
        </w:rPr>
      </w:pPr>
    </w:p>
    <w:p>
      <w:pPr>
        <w:jc w:val="center"/>
        <w:ind w:right="1119"/>
        <w:spacing w:after="0"/>
        <w:rPr>
          <w:sz w:val="20"/>
          <w:szCs w:val="20"/>
          <w:color w:val="auto"/>
        </w:rPr>
      </w:pPr>
      <w:r>
        <w:rPr>
          <w:rFonts w:ascii="Arial" w:cs="Arial" w:eastAsia="Arial" w:hAnsi="Arial"/>
          <w:sz w:val="14"/>
          <w:szCs w:val="14"/>
          <w:b w:val="1"/>
          <w:bCs w:val="1"/>
          <w:color w:val="auto"/>
        </w:rPr>
        <w:t>Monday, May 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541655</wp:posOffset>
            </wp:positionH>
            <wp:positionV relativeFrom="paragraph">
              <wp:posOffset>117475</wp:posOffset>
            </wp:positionV>
            <wp:extent cx="445770" cy="4457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4577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119"/>
        <w:spacing w:after="0"/>
        <w:rPr>
          <w:sz w:val="20"/>
          <w:szCs w:val="20"/>
          <w:color w:val="auto"/>
        </w:rPr>
      </w:pPr>
      <w:r>
        <w:rPr>
          <w:rFonts w:ascii="Arial" w:cs="Arial" w:eastAsia="Arial" w:hAnsi="Arial"/>
          <w:sz w:val="20"/>
          <w:szCs w:val="20"/>
          <w:b w:val="1"/>
          <w:bCs w:val="1"/>
          <w:color w:val="D52B1E"/>
        </w:rPr>
        <w:t>WHERE</w:t>
      </w:r>
    </w:p>
    <w:p>
      <w:pPr>
        <w:spacing w:after="0" w:line="41" w:lineRule="exact"/>
        <w:rPr>
          <w:sz w:val="20"/>
          <w:szCs w:val="20"/>
          <w:color w:val="auto"/>
        </w:rPr>
      </w:pPr>
    </w:p>
    <w:p>
      <w:pPr>
        <w:jc w:val="center"/>
        <w:ind w:right="1119"/>
        <w:spacing w:after="0"/>
        <w:rPr>
          <w:sz w:val="20"/>
          <w:szCs w:val="20"/>
          <w:color w:val="auto"/>
        </w:rPr>
      </w:pPr>
      <w:r>
        <w:rPr>
          <w:rFonts w:ascii="Arial" w:cs="Arial" w:eastAsia="Arial" w:hAnsi="Arial"/>
          <w:sz w:val="14"/>
          <w:szCs w:val="14"/>
          <w:b w:val="1"/>
          <w:bCs w:val="1"/>
          <w:color w:val="auto"/>
        </w:rPr>
        <w:t>Virtually at www.virtualshareholder</w:t>
      </w:r>
    </w:p>
    <w:p>
      <w:pPr>
        <w:spacing w:after="0" w:line="15" w:lineRule="exact"/>
        <w:rPr>
          <w:sz w:val="20"/>
          <w:szCs w:val="20"/>
          <w:color w:val="auto"/>
        </w:rPr>
      </w:pPr>
    </w:p>
    <w:p>
      <w:pPr>
        <w:jc w:val="center"/>
        <w:ind w:right="1119"/>
        <w:spacing w:after="0"/>
        <w:rPr>
          <w:sz w:val="20"/>
          <w:szCs w:val="20"/>
          <w:color w:val="auto"/>
        </w:rPr>
      </w:pPr>
      <w:r>
        <w:rPr>
          <w:rFonts w:ascii="Arial" w:cs="Arial" w:eastAsia="Arial" w:hAnsi="Arial"/>
          <w:sz w:val="14"/>
          <w:szCs w:val="14"/>
          <w:b w:val="1"/>
          <w:bCs w:val="1"/>
          <w:color w:val="auto"/>
        </w:rPr>
        <w:t>meeting.com/LLY2025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wp:posOffset>
            </wp:positionH>
            <wp:positionV relativeFrom="paragraph">
              <wp:posOffset>100330</wp:posOffset>
            </wp:positionV>
            <wp:extent cx="411480" cy="4540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11480" cy="454025"/>
                    </a:xfrm>
                    <a:prstGeom prst="rect">
                      <a:avLst/>
                    </a:prstGeom>
                    <a:noFill/>
                  </pic:spPr>
                </pic:pic>
              </a:graphicData>
            </a:graphic>
          </wp:anchor>
        </w:drawing>
      </w:r>
    </w:p>
    <w:p>
      <w:pPr>
        <w:spacing w:after="0" w:line="944" w:lineRule="exact"/>
        <w:rPr>
          <w:sz w:val="20"/>
          <w:szCs w:val="20"/>
          <w:color w:val="auto"/>
        </w:rPr>
      </w:pPr>
    </w:p>
    <w:p>
      <w:pPr>
        <w:sectPr>
          <w:pgSz w:w="11900" w:h="16838" w:orient="portrait"/>
          <w:cols w:equalWidth="0" w:num="2">
            <w:col w:w="6260" w:space="360"/>
            <w:col w:w="3519"/>
          </w:cols>
          <w:pgMar w:left="320" w:top="1135" w:right="1440" w:bottom="1440" w:gutter="0" w:footer="0" w:header="0"/>
          <w:type w:val="continuous"/>
        </w:sectPr>
      </w:pPr>
    </w:p>
    <w:p>
      <w:pPr>
        <w:ind w:left="7100"/>
        <w:spacing w:after="0"/>
        <w:rPr>
          <w:sz w:val="20"/>
          <w:szCs w:val="20"/>
          <w:color w:val="auto"/>
        </w:rPr>
      </w:pPr>
      <w:r>
        <w:rPr>
          <w:rFonts w:ascii="Arial" w:cs="Arial" w:eastAsia="Arial" w:hAnsi="Arial"/>
          <w:sz w:val="19"/>
          <w:szCs w:val="19"/>
          <w:b w:val="1"/>
          <w:bCs w:val="1"/>
          <w:color w:val="D52B1E"/>
        </w:rPr>
        <w:t>RECORD DATE</w:t>
      </w:r>
    </w:p>
    <w:p>
      <w:pPr>
        <w:sectPr>
          <w:pgSz w:w="11900" w:h="16838" w:orient="portrait"/>
          <w:cols w:equalWidth="0" w:num="1">
            <w:col w:w="10139"/>
          </w:cols>
          <w:pgMar w:left="320" w:top="1135" w:right="1440" w:bottom="1440" w:gutter="0" w:footer="0" w:header="0"/>
          <w:type w:val="continuous"/>
        </w:sectPr>
      </w:pPr>
    </w:p>
    <w:p>
      <w:pPr>
        <w:spacing w:after="0" w:line="124"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00A1DE"/>
        </w:rPr>
        <w:t>YOUR VOTE IS IMPORTANT</w:t>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February 26, 2025</w:t>
      </w:r>
    </w:p>
    <w:p>
      <w:pPr>
        <w:spacing w:after="0" w:line="314" w:lineRule="exact"/>
        <w:rPr>
          <w:sz w:val="20"/>
          <w:szCs w:val="20"/>
          <w:color w:val="auto"/>
        </w:rPr>
      </w:pPr>
    </w:p>
    <w:p>
      <w:pPr>
        <w:sectPr>
          <w:pgSz w:w="11900" w:h="16838" w:orient="portrait"/>
          <w:cols w:equalWidth="0" w:num="2">
            <w:col w:w="6500" w:space="720"/>
            <w:col w:w="2919"/>
          </w:cols>
          <w:pgMar w:left="320" w:top="1135" w:right="1440" w:bottom="1440" w:gutter="0" w:footer="0" w:header="0"/>
          <w:type w:val="continuous"/>
        </w:sectPr>
      </w:pPr>
    </w:p>
    <w:p>
      <w:pPr>
        <w:ind w:left="20" w:right="1239"/>
        <w:spacing w:after="0" w:line="262" w:lineRule="auto"/>
        <w:rPr>
          <w:sz w:val="20"/>
          <w:szCs w:val="20"/>
          <w:color w:val="auto"/>
        </w:rPr>
      </w:pPr>
      <w:r>
        <w:rPr>
          <w:rFonts w:ascii="Arial" w:cs="Arial" w:eastAsia="Arial" w:hAnsi="Arial"/>
          <w:sz w:val="18"/>
          <w:szCs w:val="18"/>
          <w:color w:val="auto"/>
        </w:rPr>
        <w:t>Every shareholder vote is important. Even if you plan to attend the Annual Meeting, we encourage you to vote promptly online, by telephone, or, if you received or requested paper copies of your proxy materials, by signing, dating, and returning your proxy card or voting instruction form by mail, so that a quorum may be represented at the meeting.</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176" w:lineRule="exact"/>
        <w:rPr>
          <w:sz w:val="20"/>
          <w:szCs w:val="20"/>
          <w:color w:val="auto"/>
        </w:rPr>
      </w:pPr>
    </w:p>
    <w:p>
      <w:pPr>
        <w:spacing w:after="0"/>
        <w:rPr>
          <w:sz w:val="20"/>
          <w:szCs w:val="20"/>
          <w:color w:val="auto"/>
        </w:rPr>
      </w:pPr>
      <w:r>
        <w:rPr>
          <w:rFonts w:ascii="Arial" w:cs="Arial" w:eastAsia="Arial" w:hAnsi="Arial"/>
          <w:sz w:val="19"/>
          <w:szCs w:val="19"/>
          <w:b w:val="1"/>
          <w:bCs w:val="1"/>
          <w:color w:val="00A1DE"/>
        </w:rPr>
        <w:t>Anat Hakim</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General Counsel and 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1343660</wp:posOffset>
            </wp:positionV>
            <wp:extent cx="5760720" cy="5746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60720"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left="500"/>
        <w:spacing w:after="0" w:line="230" w:lineRule="auto"/>
        <w:rPr>
          <w:sz w:val="20"/>
          <w:szCs w:val="20"/>
          <w:color w:val="auto"/>
        </w:rPr>
      </w:pPr>
      <w:r>
        <w:rPr>
          <w:rFonts w:ascii="Arial" w:cs="Arial" w:eastAsia="Arial" w:hAnsi="Arial"/>
          <w:sz w:val="16"/>
          <w:szCs w:val="16"/>
          <w:color w:val="FFFFFF"/>
        </w:rPr>
        <w:t>IMPORTANT NOTICE REGARDING THE AVAILABILITY OF PROXY MATERIALS FOR THE SHAREHOLDER MEETING TO BE HELD MAY 5, 2025:</w:t>
      </w:r>
    </w:p>
    <w:p>
      <w:pPr>
        <w:jc w:val="center"/>
        <w:ind w:right="1059"/>
        <w:spacing w:after="0" w:line="212" w:lineRule="auto"/>
        <w:rPr>
          <w:sz w:val="20"/>
          <w:szCs w:val="20"/>
          <w:color w:val="auto"/>
        </w:rPr>
      </w:pPr>
      <w:r>
        <w:rPr>
          <w:rFonts w:ascii="Arial" w:cs="Arial" w:eastAsia="Arial" w:hAnsi="Arial"/>
          <w:sz w:val="16"/>
          <w:szCs w:val="16"/>
          <w:color w:val="FFFFFF"/>
        </w:rPr>
        <w:t>The annual report to shareholders and proxy statement are available at ProxyVote.com</w:t>
      </w:r>
    </w:p>
    <w:p>
      <w:pPr>
        <w:jc w:val="center"/>
        <w:ind w:right="1059"/>
        <w:spacing w:after="0"/>
        <w:rPr>
          <w:sz w:val="20"/>
          <w:szCs w:val="20"/>
          <w:color w:val="auto"/>
        </w:rPr>
      </w:pPr>
      <w:r>
        <w:rPr>
          <w:rFonts w:ascii="Arial" w:cs="Arial" w:eastAsia="Arial" w:hAnsi="Arial"/>
          <w:sz w:val="16"/>
          <w:szCs w:val="16"/>
          <w:color w:val="FFFFFF"/>
        </w:rPr>
        <w:t>as well as on our website at lilly.com/policies-reports/annual-report.</w:t>
      </w:r>
    </w:p>
    <w:p>
      <w:pPr>
        <w:sectPr>
          <w:pgSz w:w="11900" w:h="16838" w:orient="portrait"/>
          <w:cols w:equalWidth="0" w:num="1">
            <w:col w:w="10139"/>
          </w:cols>
          <w:pgMar w:left="320" w:top="1135"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35" w:right="1440" w:bottom="1440" w:gutter="0" w:footer="0" w:header="0"/>
          <w:type w:val="continuous"/>
        </w:sectPr>
      </w:pPr>
    </w:p>
    <w:bookmarkStart w:id="6" w:name="page7"/>
    <w:bookmarkEnd w:id="6"/>
    <w:p>
      <w:pPr>
        <w:spacing w:after="0"/>
        <w:rPr>
          <w:sz w:val="20"/>
          <w:szCs w:val="20"/>
          <w:color w:val="auto"/>
        </w:rPr>
      </w:pPr>
      <w:r>
        <w:rPr>
          <w:rFonts w:ascii="Arial" w:cs="Arial" w:eastAsia="Arial" w:hAnsi="Arial"/>
          <w:sz w:val="52"/>
          <w:szCs w:val="52"/>
          <w:b w:val="1"/>
          <w:bCs w:val="1"/>
          <w:color w:val="auto"/>
        </w:rPr>
        <w:t>Proxy Statement Summary</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32"/>
          <w:szCs w:val="32"/>
          <w:b w:val="1"/>
          <w:bCs w:val="1"/>
          <w:color w:val="D52B1E"/>
        </w:rPr>
        <w:t>Powered by Purpose</w:t>
      </w:r>
    </w:p>
    <w:p>
      <w:pPr>
        <w:spacing w:after="0" w:line="89"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Our purpose is to unite caring with discovery to create medicines that make life better for people around the world. This purpose fuels every aspect of our business, as we aspire to:</w:t>
      </w:r>
    </w:p>
    <w:p>
      <w:pPr>
        <w:spacing w:after="0" w:line="104" w:lineRule="exact"/>
        <w:rPr>
          <w:sz w:val="20"/>
          <w:szCs w:val="20"/>
          <w:color w:val="auto"/>
        </w:rPr>
      </w:pPr>
    </w:p>
    <w:p>
      <w:pPr>
        <w:ind w:left="420" w:right="380" w:hanging="404"/>
        <w:spacing w:after="0" w:line="268" w:lineRule="auto"/>
        <w:rPr>
          <w:sz w:val="20"/>
          <w:szCs w:val="20"/>
          <w:color w:val="auto"/>
        </w:rPr>
      </w:pPr>
      <w:r>
        <w:rPr>
          <w:rFonts w:ascii="Arial" w:cs="Arial" w:eastAsia="Arial" w:hAnsi="Arial"/>
          <w:sz w:val="19"/>
          <w:szCs w:val="19"/>
          <w:b w:val="1"/>
          <w:bCs w:val="1"/>
          <w:color w:val="00A1DE"/>
        </w:rPr>
        <w:t xml:space="preserve">Discover </w:t>
      </w:r>
      <w:r>
        <w:rPr>
          <w:rFonts w:ascii="Arial" w:cs="Arial" w:eastAsia="Arial" w:hAnsi="Arial"/>
          <w:sz w:val="17"/>
          <w:szCs w:val="17"/>
          <w:color w:val="000000"/>
        </w:rPr>
        <w:t>first or best-in-class molecules from internal and external sources that address significant unmet needs by integrating disease</w:t>
      </w:r>
      <w:r>
        <w:rPr>
          <w:rFonts w:ascii="Arial" w:cs="Arial" w:eastAsia="Arial" w:hAnsi="Arial"/>
          <w:sz w:val="19"/>
          <w:szCs w:val="19"/>
          <w:b w:val="1"/>
          <w:bCs w:val="1"/>
          <w:color w:val="00A1DE"/>
        </w:rPr>
        <w:t xml:space="preserve"> </w:t>
      </w:r>
      <w:r>
        <w:rPr>
          <w:rFonts w:ascii="Arial" w:cs="Arial" w:eastAsia="Arial" w:hAnsi="Arial"/>
          <w:sz w:val="17"/>
          <w:szCs w:val="17"/>
          <w:color w:val="000000"/>
        </w:rPr>
        <w:t>understanding with innovative scientific capabilities;</w:t>
      </w:r>
    </w:p>
    <w:p>
      <w:pPr>
        <w:spacing w:after="0" w:line="12" w:lineRule="exact"/>
        <w:rPr>
          <w:sz w:val="20"/>
          <w:szCs w:val="20"/>
          <w:color w:val="auto"/>
        </w:rPr>
      </w:pPr>
    </w:p>
    <w:p>
      <w:pPr>
        <w:ind w:left="420" w:right="240" w:hanging="404"/>
        <w:spacing w:after="0" w:line="268" w:lineRule="auto"/>
        <w:rPr>
          <w:sz w:val="20"/>
          <w:szCs w:val="20"/>
          <w:color w:val="auto"/>
        </w:rPr>
      </w:pPr>
      <w:r>
        <w:rPr>
          <w:rFonts w:ascii="Arial" w:cs="Arial" w:eastAsia="Arial" w:hAnsi="Arial"/>
          <w:sz w:val="19"/>
          <w:szCs w:val="19"/>
          <w:b w:val="1"/>
          <w:bCs w:val="1"/>
          <w:color w:val="00A1DE"/>
        </w:rPr>
        <w:t xml:space="preserve">Develop </w:t>
      </w:r>
      <w:r>
        <w:rPr>
          <w:rFonts w:ascii="Arial" w:cs="Arial" w:eastAsia="Arial" w:hAnsi="Arial"/>
          <w:sz w:val="17"/>
          <w:szCs w:val="17"/>
          <w:color w:val="000000"/>
        </w:rPr>
        <w:t>molecules faster than competitors by executing clinical plans that maximize the human and economic value of the medicines we</w:t>
      </w:r>
      <w:r>
        <w:rPr>
          <w:rFonts w:ascii="Arial" w:cs="Arial" w:eastAsia="Arial" w:hAnsi="Arial"/>
          <w:sz w:val="19"/>
          <w:szCs w:val="19"/>
          <w:b w:val="1"/>
          <w:bCs w:val="1"/>
          <w:color w:val="00A1DE"/>
        </w:rPr>
        <w:t xml:space="preserve"> </w:t>
      </w:r>
      <w:r>
        <w:rPr>
          <w:rFonts w:ascii="Arial" w:cs="Arial" w:eastAsia="Arial" w:hAnsi="Arial"/>
          <w:sz w:val="17"/>
          <w:szCs w:val="17"/>
          <w:color w:val="000000"/>
        </w:rPr>
        <w:t>launch;</w:t>
      </w:r>
    </w:p>
    <w:p>
      <w:pPr>
        <w:spacing w:after="0" w:line="12" w:lineRule="exact"/>
        <w:rPr>
          <w:sz w:val="20"/>
          <w:szCs w:val="20"/>
          <w:color w:val="auto"/>
        </w:rPr>
      </w:pPr>
    </w:p>
    <w:p>
      <w:pPr>
        <w:spacing w:after="0"/>
        <w:rPr>
          <w:sz w:val="20"/>
          <w:szCs w:val="20"/>
          <w:color w:val="auto"/>
        </w:rPr>
      </w:pPr>
      <w:r>
        <w:rPr>
          <w:rFonts w:ascii="Arial" w:cs="Arial" w:eastAsia="Arial" w:hAnsi="Arial"/>
          <w:sz w:val="19"/>
          <w:szCs w:val="19"/>
          <w:b w:val="1"/>
          <w:bCs w:val="1"/>
          <w:color w:val="00A1DE"/>
        </w:rPr>
        <w:t xml:space="preserve">Reach </w:t>
      </w:r>
      <w:r>
        <w:rPr>
          <w:rFonts w:ascii="Arial" w:cs="Arial" w:eastAsia="Arial" w:hAnsi="Arial"/>
          <w:sz w:val="17"/>
          <w:szCs w:val="17"/>
          <w:color w:val="000000"/>
        </w:rPr>
        <w:t>people around the world by creating volume-driven uptake and broad access to a safe and reliable supply of life-changing medicines;</w:t>
      </w:r>
    </w:p>
    <w:p>
      <w:pPr>
        <w:spacing w:after="0" w:line="79" w:lineRule="exact"/>
        <w:rPr>
          <w:sz w:val="20"/>
          <w:szCs w:val="20"/>
          <w:color w:val="auto"/>
        </w:rPr>
      </w:pPr>
    </w:p>
    <w:p>
      <w:pPr>
        <w:ind w:left="420" w:right="20" w:hanging="404"/>
        <w:spacing w:after="0" w:line="300" w:lineRule="auto"/>
        <w:rPr>
          <w:sz w:val="20"/>
          <w:szCs w:val="20"/>
          <w:color w:val="auto"/>
        </w:rPr>
      </w:pPr>
      <w:r>
        <w:rPr>
          <w:rFonts w:ascii="Arial" w:cs="Arial" w:eastAsia="Arial" w:hAnsi="Arial"/>
          <w:sz w:val="19"/>
          <w:szCs w:val="19"/>
          <w:b w:val="1"/>
          <w:bCs w:val="1"/>
          <w:color w:val="00A1DE"/>
        </w:rPr>
        <w:t xml:space="preserve">Scale </w:t>
      </w:r>
      <w:r>
        <w:rPr>
          <w:rFonts w:ascii="Arial" w:cs="Arial" w:eastAsia="Arial" w:hAnsi="Arial"/>
          <w:sz w:val="17"/>
          <w:szCs w:val="17"/>
          <w:color w:val="000000"/>
        </w:rPr>
        <w:t>our business by prioritizing investments into medicines and manufacturing capacity that can deliver the greatest value for patients and</w:t>
      </w:r>
      <w:r>
        <w:rPr>
          <w:rFonts w:ascii="Arial" w:cs="Arial" w:eastAsia="Arial" w:hAnsi="Arial"/>
          <w:sz w:val="19"/>
          <w:szCs w:val="19"/>
          <w:b w:val="1"/>
          <w:bCs w:val="1"/>
          <w:color w:val="00A1DE"/>
        </w:rPr>
        <w:t xml:space="preserve"> </w:t>
      </w:r>
      <w:r>
        <w:rPr>
          <w:rFonts w:ascii="Arial" w:cs="Arial" w:eastAsia="Arial" w:hAnsi="Arial"/>
          <w:sz w:val="17"/>
          <w:szCs w:val="17"/>
          <w:color w:val="000000"/>
        </w:rPr>
        <w:t>can drive long-term sustainable growth; and</w:t>
      </w:r>
    </w:p>
    <w:p>
      <w:pPr>
        <w:spacing w:after="0" w:line="36" w:lineRule="exact"/>
        <w:rPr>
          <w:sz w:val="20"/>
          <w:szCs w:val="20"/>
          <w:color w:val="auto"/>
        </w:rPr>
      </w:pPr>
    </w:p>
    <w:p>
      <w:pPr>
        <w:spacing w:after="0"/>
        <w:rPr>
          <w:sz w:val="20"/>
          <w:szCs w:val="20"/>
          <w:color w:val="auto"/>
        </w:rPr>
      </w:pPr>
      <w:r>
        <w:rPr>
          <w:rFonts w:ascii="Arial" w:cs="Arial" w:eastAsia="Arial" w:hAnsi="Arial"/>
          <w:sz w:val="19"/>
          <w:szCs w:val="19"/>
          <w:b w:val="1"/>
          <w:bCs w:val="1"/>
          <w:color w:val="00A1DE"/>
        </w:rPr>
        <w:t xml:space="preserve">Reinvest </w:t>
      </w:r>
      <w:r>
        <w:rPr>
          <w:rFonts w:ascii="Arial" w:cs="Arial" w:eastAsia="Arial" w:hAnsi="Arial"/>
          <w:sz w:val="17"/>
          <w:szCs w:val="17"/>
          <w:color w:val="000000"/>
        </w:rPr>
        <w:t>profits into our next wave of innovation and generate value for our investors.</w:t>
      </w:r>
    </w:p>
    <w:p>
      <w:pPr>
        <w:spacing w:after="0" w:line="318" w:lineRule="exact"/>
        <w:rPr>
          <w:sz w:val="20"/>
          <w:szCs w:val="20"/>
          <w:color w:val="auto"/>
        </w:rPr>
      </w:pPr>
    </w:p>
    <w:p>
      <w:pPr>
        <w:spacing w:after="0"/>
        <w:rPr>
          <w:sz w:val="20"/>
          <w:szCs w:val="20"/>
          <w:color w:val="auto"/>
        </w:rPr>
      </w:pPr>
      <w:r>
        <w:rPr>
          <w:rFonts w:ascii="Arial" w:cs="Arial" w:eastAsia="Arial" w:hAnsi="Arial"/>
          <w:sz w:val="32"/>
          <w:szCs w:val="32"/>
          <w:b w:val="1"/>
          <w:bCs w:val="1"/>
          <w:color w:val="D52B1E"/>
        </w:rPr>
        <w:t>Highlights of 2024 Performance</w:t>
      </w:r>
    </w:p>
    <w:p>
      <w:pPr>
        <w:spacing w:after="0" w:line="89"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We continued to progress our strategy in 2024, with respect to operating performance, shareholder return (both absolute and relative), our innovation pipeline and other business development, and sustainability matters. See our Annual Report on Form 10-K for the fiscal year ended December 31, 2024, for more details on our financial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57607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ind w:left="80"/>
        <w:spacing w:after="0"/>
        <w:rPr>
          <w:sz w:val="20"/>
          <w:szCs w:val="20"/>
          <w:color w:val="auto"/>
        </w:rPr>
      </w:pPr>
      <w:r>
        <w:rPr>
          <w:sz w:val="1"/>
          <w:szCs w:val="1"/>
          <w:color w:val="auto"/>
        </w:rPr>
        <w:drawing>
          <wp:inline distT="0" distB="0" distL="0" distR="0">
            <wp:extent cx="360045" cy="36004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60045" cy="360045"/>
                    </a:xfrm>
                    <a:prstGeom prst="rect">
                      <a:avLst/>
                    </a:prstGeom>
                    <a:noFill/>
                    <a:ln>
                      <a:noFill/>
                    </a:ln>
                  </pic:spPr>
                </pic:pic>
              </a:graphicData>
            </a:graphic>
          </wp:inline>
        </w:drawing>
      </w:r>
      <w:r>
        <w:rPr>
          <w:rFonts w:ascii="Arial" w:cs="Arial" w:eastAsia="Arial" w:hAnsi="Arial"/>
          <w:sz w:val="25"/>
          <w:szCs w:val="25"/>
          <w:b w:val="1"/>
          <w:bCs w:val="1"/>
          <w:color w:val="auto"/>
        </w:rPr>
        <w:t xml:space="preserve"> Operating Performance</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373"/>
        </w:trPr>
        <w:tc>
          <w:tcPr>
            <w:tcW w:w="3100" w:type="dxa"/>
            <w:vAlign w:val="bottom"/>
            <w:tcBorders>
              <w:top w:val="single" w:sz="8" w:color="6D6D6D"/>
              <w:right w:val="single" w:sz="8" w:color="DBDBDB"/>
            </w:tcBorders>
          </w:tcPr>
          <w:p>
            <w:pPr>
              <w:jc w:val="center"/>
              <w:spacing w:after="0"/>
              <w:rPr>
                <w:sz w:val="20"/>
                <w:szCs w:val="20"/>
                <w:color w:val="auto"/>
              </w:rPr>
            </w:pPr>
            <w:r>
              <w:rPr>
                <w:rFonts w:ascii="Arial" w:cs="Arial" w:eastAsia="Arial" w:hAnsi="Arial"/>
                <w:sz w:val="25"/>
                <w:szCs w:val="25"/>
                <w:b w:val="1"/>
                <w:bCs w:val="1"/>
                <w:color w:val="D52B1E"/>
                <w:w w:val="99"/>
              </w:rPr>
              <w:t>$45.0</w:t>
            </w:r>
          </w:p>
        </w:tc>
        <w:tc>
          <w:tcPr>
            <w:tcW w:w="3020" w:type="dxa"/>
            <w:vAlign w:val="bottom"/>
            <w:tcBorders>
              <w:top w:val="single" w:sz="8" w:color="6D6D6D"/>
              <w:right w:val="single" w:sz="8" w:color="DBDBDB"/>
            </w:tcBorders>
          </w:tcPr>
          <w:p>
            <w:pPr>
              <w:jc w:val="center"/>
              <w:spacing w:after="0"/>
              <w:rPr>
                <w:sz w:val="20"/>
                <w:szCs w:val="20"/>
                <w:color w:val="auto"/>
              </w:rPr>
            </w:pPr>
            <w:r>
              <w:rPr>
                <w:rFonts w:ascii="Arial" w:cs="Arial" w:eastAsia="Arial" w:hAnsi="Arial"/>
                <w:sz w:val="25"/>
                <w:szCs w:val="25"/>
                <w:b w:val="1"/>
                <w:bCs w:val="1"/>
                <w:color w:val="D52B1E"/>
                <w:w w:val="99"/>
              </w:rPr>
              <w:t>$11.71</w:t>
            </w:r>
          </w:p>
        </w:tc>
        <w:tc>
          <w:tcPr>
            <w:tcW w:w="2960" w:type="dxa"/>
            <w:vAlign w:val="bottom"/>
            <w:tcBorders>
              <w:top w:val="single" w:sz="8" w:color="6D6D6D"/>
            </w:tcBorders>
          </w:tcPr>
          <w:p>
            <w:pPr>
              <w:jc w:val="center"/>
              <w:spacing w:after="0"/>
              <w:rPr>
                <w:sz w:val="20"/>
                <w:szCs w:val="20"/>
                <w:color w:val="auto"/>
              </w:rPr>
            </w:pPr>
            <w:r>
              <w:rPr>
                <w:rFonts w:ascii="Arial" w:cs="Arial" w:eastAsia="Arial" w:hAnsi="Arial"/>
                <w:sz w:val="25"/>
                <w:szCs w:val="25"/>
                <w:b w:val="1"/>
                <w:bCs w:val="1"/>
                <w:color w:val="D52B1E"/>
                <w:w w:val="99"/>
              </w:rPr>
              <w:t>$12.99</w:t>
            </w:r>
          </w:p>
        </w:tc>
      </w:tr>
      <w:tr>
        <w:trPr>
          <w:trHeight w:val="262"/>
        </w:trPr>
        <w:tc>
          <w:tcPr>
            <w:tcW w:w="3100" w:type="dxa"/>
            <w:vAlign w:val="bottom"/>
            <w:tcBorders>
              <w:right w:val="single" w:sz="8" w:color="DBDBDB"/>
            </w:tcBorders>
          </w:tcPr>
          <w:p>
            <w:pPr>
              <w:jc w:val="center"/>
              <w:spacing w:after="0"/>
              <w:rPr>
                <w:sz w:val="20"/>
                <w:szCs w:val="20"/>
                <w:color w:val="auto"/>
              </w:rPr>
            </w:pPr>
            <w:r>
              <w:rPr>
                <w:rFonts w:ascii="Arial" w:cs="Arial" w:eastAsia="Arial" w:hAnsi="Arial"/>
                <w:sz w:val="19"/>
                <w:szCs w:val="19"/>
                <w:b w:val="1"/>
                <w:bCs w:val="1"/>
                <w:color w:val="auto"/>
                <w:w w:val="99"/>
              </w:rPr>
              <w:t>billion</w:t>
            </w:r>
          </w:p>
        </w:tc>
        <w:tc>
          <w:tcPr>
            <w:tcW w:w="3020" w:type="dxa"/>
            <w:vAlign w:val="bottom"/>
            <w:tcBorders>
              <w:right w:val="single" w:sz="8" w:color="DBDBDB"/>
            </w:tcBorders>
          </w:tcPr>
          <w:p>
            <w:pPr>
              <w:jc w:val="center"/>
              <w:spacing w:after="0"/>
              <w:rPr>
                <w:sz w:val="20"/>
                <w:szCs w:val="20"/>
                <w:color w:val="auto"/>
              </w:rPr>
            </w:pPr>
            <w:r>
              <w:rPr>
                <w:rFonts w:ascii="Arial" w:cs="Arial" w:eastAsia="Arial" w:hAnsi="Arial"/>
                <w:sz w:val="18"/>
                <w:szCs w:val="18"/>
                <w:b w:val="1"/>
                <w:bCs w:val="1"/>
                <w:color w:val="auto"/>
                <w:w w:val="99"/>
              </w:rPr>
              <w:t xml:space="preserve">earnings per share </w:t>
            </w:r>
            <w:r>
              <w:rPr>
                <w:rFonts w:ascii="Arial" w:cs="Arial" w:eastAsia="Arial" w:hAnsi="Arial"/>
                <w:sz w:val="18"/>
                <w:szCs w:val="18"/>
                <w:color w:val="auto"/>
                <w:w w:val="99"/>
              </w:rPr>
              <w:t>(EPS)</w:t>
            </w:r>
          </w:p>
        </w:tc>
        <w:tc>
          <w:tcPr>
            <w:tcW w:w="2960" w:type="dxa"/>
            <w:vAlign w:val="bottom"/>
          </w:tcPr>
          <w:p>
            <w:pPr>
              <w:jc w:val="center"/>
              <w:spacing w:after="0"/>
              <w:rPr>
                <w:sz w:val="20"/>
                <w:szCs w:val="20"/>
                <w:color w:val="auto"/>
              </w:rPr>
            </w:pPr>
            <w:r>
              <w:rPr>
                <w:rFonts w:ascii="Arial" w:cs="Arial" w:eastAsia="Arial" w:hAnsi="Arial"/>
                <w:sz w:val="18"/>
                <w:szCs w:val="18"/>
                <w:b w:val="1"/>
                <w:bCs w:val="1"/>
                <w:color w:val="auto"/>
                <w:w w:val="99"/>
              </w:rPr>
              <w:t>EPS on a</w:t>
            </w:r>
          </w:p>
        </w:tc>
      </w:tr>
      <w:tr>
        <w:trPr>
          <w:trHeight w:val="274"/>
        </w:trPr>
        <w:tc>
          <w:tcPr>
            <w:tcW w:w="3100" w:type="dxa"/>
            <w:vAlign w:val="bottom"/>
            <w:tcBorders>
              <w:right w:val="single" w:sz="8" w:color="DBDBDB"/>
            </w:tcBorders>
          </w:tcPr>
          <w:p>
            <w:pPr>
              <w:jc w:val="center"/>
              <w:spacing w:after="0"/>
              <w:rPr>
                <w:sz w:val="20"/>
                <w:szCs w:val="20"/>
                <w:color w:val="auto"/>
              </w:rPr>
            </w:pPr>
            <w:r>
              <w:rPr>
                <w:rFonts w:ascii="Arial" w:cs="Arial" w:eastAsia="Arial" w:hAnsi="Arial"/>
                <w:sz w:val="18"/>
                <w:szCs w:val="18"/>
                <w:color w:val="auto"/>
              </w:rPr>
              <w:t>in 2024 revenue</w:t>
            </w:r>
          </w:p>
        </w:tc>
        <w:tc>
          <w:tcPr>
            <w:tcW w:w="3020" w:type="dxa"/>
            <w:vAlign w:val="bottom"/>
            <w:tcBorders>
              <w:right w:val="single" w:sz="8" w:color="DBDBDB"/>
            </w:tcBorders>
          </w:tcPr>
          <w:p>
            <w:pPr>
              <w:jc w:val="center"/>
              <w:spacing w:after="0"/>
              <w:rPr>
                <w:sz w:val="20"/>
                <w:szCs w:val="20"/>
                <w:color w:val="auto"/>
              </w:rPr>
            </w:pPr>
            <w:r>
              <w:rPr>
                <w:rFonts w:ascii="Arial" w:cs="Arial" w:eastAsia="Arial" w:hAnsi="Arial"/>
                <w:sz w:val="18"/>
                <w:szCs w:val="18"/>
                <w:color w:val="auto"/>
                <w:w w:val="99"/>
              </w:rPr>
              <w:t>in 2024 on a reported basis</w:t>
            </w:r>
          </w:p>
        </w:tc>
        <w:tc>
          <w:tcPr>
            <w:tcW w:w="2960" w:type="dxa"/>
            <w:vAlign w:val="bottom"/>
          </w:tcPr>
          <w:p>
            <w:pPr>
              <w:jc w:val="center"/>
              <w:spacing w:after="0"/>
              <w:rPr>
                <w:sz w:val="20"/>
                <w:szCs w:val="20"/>
                <w:color w:val="auto"/>
              </w:rPr>
            </w:pPr>
            <w:r>
              <w:rPr>
                <w:rFonts w:ascii="Arial" w:cs="Arial" w:eastAsia="Arial" w:hAnsi="Arial"/>
                <w:sz w:val="18"/>
                <w:szCs w:val="18"/>
                <w:b w:val="1"/>
                <w:bCs w:val="1"/>
                <w:color w:val="auto"/>
                <w:w w:val="99"/>
              </w:rPr>
              <w:t xml:space="preserve">non-GAAP basis </w:t>
            </w:r>
            <w:r>
              <w:rPr>
                <w:rFonts w:ascii="Arial" w:cs="Arial" w:eastAsia="Arial" w:hAnsi="Arial"/>
                <w:sz w:val="18"/>
                <w:szCs w:val="18"/>
                <w:color w:val="auto"/>
                <w:w w:val="99"/>
              </w:rPr>
              <w:t>in 2024</w:t>
            </w:r>
          </w:p>
        </w:tc>
      </w:tr>
      <w:tr>
        <w:trPr>
          <w:trHeight w:val="104"/>
        </w:trPr>
        <w:tc>
          <w:tcPr>
            <w:tcW w:w="3100" w:type="dxa"/>
            <w:vAlign w:val="bottom"/>
            <w:tcBorders>
              <w:right w:val="single" w:sz="8" w:color="DBDBDB"/>
            </w:tcBorders>
          </w:tcPr>
          <w:p>
            <w:pPr>
              <w:spacing w:after="0"/>
              <w:rPr>
                <w:sz w:val="9"/>
                <w:szCs w:val="9"/>
                <w:color w:val="auto"/>
              </w:rPr>
            </w:pPr>
          </w:p>
        </w:tc>
        <w:tc>
          <w:tcPr>
            <w:tcW w:w="3020" w:type="dxa"/>
            <w:vAlign w:val="bottom"/>
            <w:tcBorders>
              <w:right w:val="single" w:sz="8" w:color="DBDBDB"/>
            </w:tcBorders>
          </w:tcPr>
          <w:p>
            <w:pPr>
              <w:spacing w:after="0"/>
              <w:rPr>
                <w:sz w:val="9"/>
                <w:szCs w:val="9"/>
                <w:color w:val="auto"/>
              </w:rPr>
            </w:pPr>
          </w:p>
        </w:tc>
        <w:tc>
          <w:tcPr>
            <w:tcW w:w="2960" w:type="dxa"/>
            <w:vAlign w:val="bottom"/>
          </w:tcPr>
          <w:p>
            <w:pPr>
              <w:spacing w:after="0"/>
              <w:rPr>
                <w:sz w:val="9"/>
                <w:szCs w:val="9"/>
                <w:color w:val="auto"/>
              </w:rPr>
            </w:pPr>
          </w:p>
        </w:tc>
      </w:tr>
    </w:tbl>
    <w:p>
      <w:pPr>
        <w:spacing w:after="0" w:line="8" w:lineRule="exact"/>
        <w:rPr>
          <w:sz w:val="20"/>
          <w:szCs w:val="20"/>
          <w:color w:val="auto"/>
        </w:rPr>
      </w:pPr>
    </w:p>
    <w:p>
      <w:pPr>
        <w:jc w:val="both"/>
        <w:ind w:left="20" w:right="2360"/>
        <w:spacing w:after="0" w:line="268" w:lineRule="auto"/>
        <w:rPr>
          <w:sz w:val="20"/>
          <w:szCs w:val="20"/>
          <w:color w:val="auto"/>
        </w:rPr>
      </w:pPr>
      <w:r>
        <w:rPr>
          <w:rFonts w:ascii="Arial" w:cs="Arial" w:eastAsia="Arial" w:hAnsi="Arial"/>
          <w:sz w:val="18"/>
          <w:szCs w:val="18"/>
          <w:color w:val="auto"/>
        </w:rPr>
        <w:t xml:space="preserve">Reported results were prepared in accordance with U.S. generally accepted accounting principles (GAAP) and include all revenue and expenses recognized during the periods. A reconciliation of EPS on a reported basis to EPS on a non-GAAP basis is included in </w:t>
      </w:r>
      <w:r>
        <w:rPr>
          <w:rFonts w:ascii="Arial" w:cs="Arial" w:eastAsia="Arial" w:hAnsi="Arial"/>
          <w:sz w:val="18"/>
          <w:szCs w:val="18"/>
          <w:u w:val="single" w:color="auto"/>
          <w:color w:val="0000FF"/>
        </w:rPr>
        <w:t>Appendix A</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57607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607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283210</wp:posOffset>
            </wp:positionV>
            <wp:extent cx="57607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386" w:lineRule="exact"/>
        <w:rPr>
          <w:sz w:val="20"/>
          <w:szCs w:val="20"/>
          <w:color w:val="auto"/>
        </w:rPr>
      </w:pPr>
    </w:p>
    <w:p>
      <w:pPr>
        <w:ind w:left="40"/>
        <w:spacing w:after="0"/>
        <w:rPr>
          <w:sz w:val="20"/>
          <w:szCs w:val="20"/>
          <w:color w:val="auto"/>
        </w:rPr>
      </w:pPr>
      <w:r>
        <w:rPr>
          <w:sz w:val="1"/>
          <w:szCs w:val="1"/>
          <w:color w:val="auto"/>
        </w:rPr>
        <w:drawing>
          <wp:inline distT="0" distB="0" distL="0" distR="0">
            <wp:extent cx="411480" cy="41148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11480" cy="411480"/>
                    </a:xfrm>
                    <a:prstGeom prst="rect">
                      <a:avLst/>
                    </a:prstGeom>
                    <a:noFill/>
                    <a:ln>
                      <a:noFill/>
                    </a:ln>
                  </pic:spPr>
                </pic:pic>
              </a:graphicData>
            </a:graphic>
          </wp:inline>
        </w:drawing>
      </w:r>
      <w:r>
        <w:rPr>
          <w:rFonts w:ascii="Arial" w:cs="Arial" w:eastAsia="Arial" w:hAnsi="Arial"/>
          <w:sz w:val="25"/>
          <w:szCs w:val="25"/>
          <w:b w:val="1"/>
          <w:bCs w:val="1"/>
          <w:color w:val="auto"/>
        </w:rPr>
        <w:t xml:space="preserve"> Shareholder Return</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351"/>
        </w:trPr>
        <w:tc>
          <w:tcPr>
            <w:tcW w:w="2340" w:type="dxa"/>
            <w:vAlign w:val="bottom"/>
            <w:tcBorders>
              <w:top w:val="single" w:sz="8" w:color="6D6D6D"/>
            </w:tcBorders>
            <w:shd w:val="clear" w:color="auto" w:fill="F2F2F2"/>
          </w:tcPr>
          <w:p>
            <w:pPr>
              <w:jc w:val="center"/>
              <w:spacing w:after="0"/>
              <w:rPr>
                <w:sz w:val="20"/>
                <w:szCs w:val="20"/>
                <w:color w:val="auto"/>
              </w:rPr>
            </w:pPr>
            <w:r>
              <w:rPr>
                <w:rFonts w:ascii="Arial" w:cs="Arial" w:eastAsia="Arial" w:hAnsi="Arial"/>
                <w:sz w:val="25"/>
                <w:szCs w:val="25"/>
                <w:b w:val="1"/>
                <w:bCs w:val="1"/>
                <w:color w:val="D52B1E"/>
                <w:w w:val="99"/>
              </w:rPr>
              <w:t>33%</w:t>
            </w:r>
          </w:p>
        </w:tc>
        <w:tc>
          <w:tcPr>
            <w:tcW w:w="6740" w:type="dxa"/>
            <w:vAlign w:val="bottom"/>
            <w:tcBorders>
              <w:top w:val="single" w:sz="8" w:color="6D6D6D"/>
            </w:tcBorders>
            <w:shd w:val="clear" w:color="auto" w:fill="F2F2F2"/>
          </w:tcPr>
          <w:p>
            <w:pPr>
              <w:jc w:val="center"/>
              <w:spacing w:after="0"/>
              <w:rPr>
                <w:sz w:val="20"/>
                <w:szCs w:val="20"/>
                <w:color w:val="auto"/>
              </w:rPr>
            </w:pPr>
            <w:r>
              <w:rPr>
                <w:rFonts w:ascii="Arial" w:cs="Arial" w:eastAsia="Arial" w:hAnsi="Arial"/>
                <w:sz w:val="22"/>
                <w:szCs w:val="22"/>
                <w:b w:val="1"/>
                <w:bCs w:val="1"/>
                <w:color w:val="D52B1E"/>
                <w:w w:val="98"/>
              </w:rPr>
              <w:t>Consistently Exceeded S&amp;P 500 and Compensation Peer Group</w:t>
            </w:r>
          </w:p>
        </w:tc>
      </w:tr>
      <w:tr>
        <w:trPr>
          <w:trHeight w:val="229"/>
        </w:trPr>
        <w:tc>
          <w:tcPr>
            <w:tcW w:w="2340" w:type="dxa"/>
            <w:vAlign w:val="bottom"/>
            <w:shd w:val="clear" w:color="auto" w:fill="F2F2F2"/>
          </w:tcPr>
          <w:p>
            <w:pPr>
              <w:jc w:val="center"/>
              <w:spacing w:after="0"/>
              <w:rPr>
                <w:sz w:val="20"/>
                <w:szCs w:val="20"/>
                <w:color w:val="auto"/>
              </w:rPr>
            </w:pPr>
            <w:r>
              <w:rPr>
                <w:rFonts w:ascii="Arial" w:cs="Arial" w:eastAsia="Arial" w:hAnsi="Arial"/>
                <w:sz w:val="18"/>
                <w:szCs w:val="18"/>
                <w:b w:val="1"/>
                <w:bCs w:val="1"/>
                <w:color w:val="auto"/>
                <w:w w:val="99"/>
              </w:rPr>
              <w:t>2024 Total Shareholder</w:t>
            </w:r>
          </w:p>
        </w:tc>
        <w:tc>
          <w:tcPr>
            <w:tcW w:w="6740" w:type="dxa"/>
            <w:vAlign w:val="bottom"/>
            <w:shd w:val="clear" w:color="auto" w:fill="F2F2F2"/>
          </w:tcPr>
          <w:p>
            <w:pPr>
              <w:jc w:val="center"/>
              <w:spacing w:after="0"/>
              <w:rPr>
                <w:sz w:val="20"/>
                <w:szCs w:val="20"/>
                <w:color w:val="auto"/>
              </w:rPr>
            </w:pPr>
            <w:r>
              <w:rPr>
                <w:rFonts w:ascii="Arial" w:cs="Arial" w:eastAsia="Arial" w:hAnsi="Arial"/>
                <w:sz w:val="20"/>
                <w:szCs w:val="20"/>
                <w:b w:val="1"/>
                <w:bCs w:val="1"/>
                <w:color w:val="auto"/>
                <w:w w:val="98"/>
              </w:rPr>
              <w:t xml:space="preserve">TSR </w:t>
            </w:r>
            <w:r>
              <w:rPr>
                <w:rFonts w:ascii="Arial" w:cs="Arial" w:eastAsia="Arial" w:hAnsi="Arial"/>
                <w:sz w:val="20"/>
                <w:szCs w:val="20"/>
                <w:color w:val="auto"/>
                <w:w w:val="98"/>
              </w:rPr>
              <w:t>in 2024 and the three- and five-year periods shown below</w:t>
            </w:r>
          </w:p>
        </w:tc>
      </w:tr>
      <w:tr>
        <w:trPr>
          <w:trHeight w:val="216"/>
        </w:trPr>
        <w:tc>
          <w:tcPr>
            <w:tcW w:w="2340" w:type="dxa"/>
            <w:vAlign w:val="bottom"/>
            <w:shd w:val="clear" w:color="auto" w:fill="F2F2F2"/>
          </w:tcPr>
          <w:p>
            <w:pPr>
              <w:jc w:val="center"/>
              <w:spacing w:after="0"/>
              <w:rPr>
                <w:sz w:val="20"/>
                <w:szCs w:val="20"/>
                <w:color w:val="auto"/>
              </w:rPr>
            </w:pPr>
            <w:r>
              <w:rPr>
                <w:rFonts w:ascii="Arial" w:cs="Arial" w:eastAsia="Arial" w:hAnsi="Arial"/>
                <w:sz w:val="18"/>
                <w:szCs w:val="18"/>
                <w:b w:val="1"/>
                <w:bCs w:val="1"/>
                <w:color w:val="auto"/>
                <w:w w:val="99"/>
              </w:rPr>
              <w:t>Return (TSR)</w:t>
            </w:r>
          </w:p>
        </w:tc>
        <w:tc>
          <w:tcPr>
            <w:tcW w:w="6740" w:type="dxa"/>
            <w:vAlign w:val="bottom"/>
            <w:shd w:val="clear" w:color="auto" w:fill="F2F2F2"/>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0</wp:posOffset>
            </wp:positionV>
            <wp:extent cx="3531870" cy="19113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531870" cy="1911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left="4280"/>
        <w:spacing w:after="0"/>
        <w:rPr>
          <w:sz w:val="20"/>
          <w:szCs w:val="20"/>
          <w:color w:val="auto"/>
        </w:rPr>
      </w:pPr>
      <w:r>
        <w:rPr>
          <w:rFonts w:ascii="Arial" w:cs="Arial" w:eastAsia="Arial" w:hAnsi="Arial"/>
          <w:sz w:val="18"/>
          <w:szCs w:val="18"/>
          <w:color w:val="auto"/>
        </w:rPr>
        <w:t>TSR includes both stock price</w:t>
      </w:r>
    </w:p>
    <w:p>
      <w:pPr>
        <w:spacing w:after="0" w:line="27" w:lineRule="exact"/>
        <w:rPr>
          <w:sz w:val="20"/>
          <w:szCs w:val="20"/>
          <w:color w:val="auto"/>
        </w:rPr>
      </w:pPr>
    </w:p>
    <w:p>
      <w:pPr>
        <w:jc w:val="center"/>
        <w:ind w:left="4280"/>
        <w:spacing w:after="0"/>
        <w:rPr>
          <w:sz w:val="20"/>
          <w:szCs w:val="20"/>
          <w:color w:val="auto"/>
        </w:rPr>
      </w:pPr>
      <w:r>
        <w:rPr>
          <w:rFonts w:ascii="Arial" w:cs="Arial" w:eastAsia="Arial" w:hAnsi="Arial"/>
          <w:sz w:val="18"/>
          <w:szCs w:val="18"/>
          <w:color w:val="auto"/>
        </w:rPr>
        <w:t>changes and dividends.</w:t>
      </w:r>
    </w:p>
    <w:p>
      <w:pPr>
        <w:spacing w:after="0" w:line="9" w:lineRule="exact"/>
        <w:rPr>
          <w:sz w:val="20"/>
          <w:szCs w:val="20"/>
          <w:color w:val="auto"/>
        </w:rPr>
      </w:pPr>
    </w:p>
    <w:p>
      <w:pPr>
        <w:jc w:val="center"/>
        <w:ind w:left="4280"/>
        <w:spacing w:after="0"/>
        <w:rPr>
          <w:sz w:val="20"/>
          <w:szCs w:val="20"/>
          <w:color w:val="auto"/>
        </w:rPr>
      </w:pPr>
      <w:r>
        <w:rPr>
          <w:rFonts w:ascii="Arial" w:cs="Arial" w:eastAsia="Arial" w:hAnsi="Arial"/>
          <w:sz w:val="18"/>
          <w:szCs w:val="18"/>
          <w:color w:val="auto"/>
        </w:rPr>
        <w:t>Dividends are assumed to be</w:t>
      </w:r>
    </w:p>
    <w:p>
      <w:pPr>
        <w:spacing w:after="0" w:line="9" w:lineRule="exact"/>
        <w:rPr>
          <w:sz w:val="20"/>
          <w:szCs w:val="20"/>
          <w:color w:val="auto"/>
        </w:rPr>
      </w:pPr>
    </w:p>
    <w:p>
      <w:pPr>
        <w:jc w:val="center"/>
        <w:ind w:left="4280"/>
        <w:spacing w:after="0"/>
        <w:rPr>
          <w:sz w:val="20"/>
          <w:szCs w:val="20"/>
          <w:color w:val="auto"/>
        </w:rPr>
      </w:pPr>
      <w:r>
        <w:rPr>
          <w:rFonts w:ascii="Arial" w:cs="Arial" w:eastAsia="Arial" w:hAnsi="Arial"/>
          <w:sz w:val="18"/>
          <w:szCs w:val="18"/>
          <w:color w:val="auto"/>
        </w:rPr>
        <w:t>immediately reinvested in</w:t>
      </w:r>
    </w:p>
    <w:p>
      <w:pPr>
        <w:spacing w:after="0" w:line="9"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company stock. TSR results for</w:t>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the Compensation Peer Group</w:t>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were calculated using a market</w:t>
      </w:r>
    </w:p>
    <w:p>
      <w:pPr>
        <w:spacing w:after="0" w:line="9"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capitalization weighted average.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57607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ectPr>
          <w:pgSz w:w="11900" w:h="16838" w:orient="portrait"/>
          <w:cols w:equalWidth="0" w:num="1">
            <w:col w:w="11200"/>
          </w:cols>
          <w:pgMar w:left="320" w:top="963"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63" w:right="379" w:bottom="1440" w:gutter="0" w:footer="0" w:header="0"/>
          <w:type w:val="continuous"/>
        </w:sectPr>
      </w:pPr>
    </w:p>
    <w:bookmarkStart w:id="7" w:name="page8"/>
    <w:bookmarkEnd w:id="7"/>
    <w:p>
      <w:pPr>
        <w:ind w:left="20"/>
        <w:spacing w:after="0"/>
        <w:rPr>
          <w:sz w:val="20"/>
          <w:szCs w:val="20"/>
          <w:color w:val="auto"/>
        </w:rPr>
      </w:pPr>
      <w:r>
        <w:rPr>
          <w:sz w:val="1"/>
          <w:szCs w:val="1"/>
          <w:color w:val="auto"/>
        </w:rPr>
        <w:drawing>
          <wp:anchor simplePos="0" relativeHeight="251657728" behindDoc="1" locked="0" layoutInCell="0" allowOverlap="1">
            <wp:simplePos x="0" y="0"/>
            <wp:positionH relativeFrom="page">
              <wp:posOffset>208280</wp:posOffset>
            </wp:positionH>
            <wp:positionV relativeFrom="page">
              <wp:posOffset>791845</wp:posOffset>
            </wp:positionV>
            <wp:extent cx="57607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60720" cy="8255"/>
                    </a:xfrm>
                    <a:prstGeom prst="rect">
                      <a:avLst/>
                    </a:prstGeom>
                    <a:noFill/>
                  </pic:spPr>
                </pic:pic>
              </a:graphicData>
            </a:graphic>
          </wp:anchor>
        </w:drawing>
        <w:drawing>
          <wp:inline distT="0" distB="0" distL="0" distR="0">
            <wp:extent cx="402590" cy="36893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02590" cy="368935"/>
                    </a:xfrm>
                    <a:prstGeom prst="rect">
                      <a:avLst/>
                    </a:prstGeom>
                    <a:noFill/>
                    <a:ln>
                      <a:noFill/>
                    </a:ln>
                  </pic:spPr>
                </pic:pic>
              </a:graphicData>
            </a:graphic>
          </wp:inline>
        </w:drawing>
      </w:r>
      <w:r>
        <w:rPr>
          <w:rFonts w:ascii="Arial" w:cs="Arial" w:eastAsia="Arial" w:hAnsi="Arial"/>
          <w:sz w:val="24"/>
          <w:szCs w:val="24"/>
          <w:b w:val="1"/>
          <w:bCs w:val="1"/>
          <w:color w:val="auto"/>
        </w:rPr>
        <w:t xml:space="preserve"> Innovation Pipeline and Other Business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5760720" cy="1974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60720" cy="197485"/>
                    </a:xfrm>
                    <a:prstGeom prst="rect">
                      <a:avLst/>
                    </a:prstGeom>
                    <a:noFill/>
                  </pic:spPr>
                </pic:pic>
              </a:graphicData>
            </a:graphic>
          </wp:anchor>
        </w:drawing>
      </w:r>
    </w:p>
    <w:p>
      <w:pPr>
        <w:spacing w:after="0" w:line="91" w:lineRule="exact"/>
        <w:rPr>
          <w:sz w:val="20"/>
          <w:szCs w:val="20"/>
          <w:color w:val="auto"/>
        </w:rPr>
      </w:pPr>
    </w:p>
    <w:p>
      <w:pPr>
        <w:ind w:left="2440"/>
        <w:spacing w:after="0"/>
        <w:rPr>
          <w:sz w:val="20"/>
          <w:szCs w:val="20"/>
          <w:color w:val="auto"/>
        </w:rPr>
      </w:pPr>
      <w:r>
        <w:rPr>
          <w:rFonts w:ascii="Arial" w:cs="Arial" w:eastAsia="Arial" w:hAnsi="Arial"/>
          <w:sz w:val="20"/>
          <w:szCs w:val="20"/>
          <w:b w:val="1"/>
          <w:bCs w:val="1"/>
          <w:color w:val="929292"/>
        </w:rPr>
        <w:t>Highlights for New Products and Indications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532130</wp:posOffset>
            </wp:positionH>
            <wp:positionV relativeFrom="paragraph">
              <wp:posOffset>48895</wp:posOffset>
            </wp:positionV>
            <wp:extent cx="986155" cy="7029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86155" cy="702945"/>
                    </a:xfrm>
                    <a:prstGeom prst="rect">
                      <a:avLst/>
                    </a:prstGeom>
                    <a:noFill/>
                  </pic:spPr>
                </pic:pic>
              </a:graphicData>
            </a:graphic>
          </wp:anchor>
        </w:drawing>
        <w:drawing>
          <wp:anchor simplePos="0" relativeHeight="251657728" behindDoc="1" locked="0" layoutInCell="0" allowOverlap="1">
            <wp:simplePos x="0" y="0"/>
            <wp:positionH relativeFrom="column">
              <wp:posOffset>2349500</wp:posOffset>
            </wp:positionH>
            <wp:positionV relativeFrom="paragraph">
              <wp:posOffset>109220</wp:posOffset>
            </wp:positionV>
            <wp:extent cx="3248660" cy="5143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248660" cy="514350"/>
                    </a:xfrm>
                    <a:prstGeom prst="rect">
                      <a:avLst/>
                    </a:prstGeom>
                    <a:noFill/>
                  </pic:spPr>
                </pic:pic>
              </a:graphicData>
            </a:graphic>
          </wp:anchor>
        </w:drawing>
      </w:r>
    </w:p>
    <w:p>
      <w:pPr>
        <w:sectPr>
          <w:pgSz w:w="11900" w:h="16838" w:orient="portrait"/>
          <w:cols w:equalWidth="0" w:num="1">
            <w:col w:w="10119"/>
          </w:cols>
          <w:pgMar w:left="340" w:top="120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U.S. Food and Drug Administration (FDA) approved Kisunla™ (donanemab-azbt) for the treatment of Alzheimer’s disease; Kisunla was also approved in China, Japan, and Great Britain for the treatment of early symptomatic Alzheimer's disease.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line="278" w:lineRule="auto"/>
        <w:rPr>
          <w:sz w:val="20"/>
          <w:szCs w:val="20"/>
          <w:color w:val="auto"/>
        </w:rPr>
      </w:pPr>
      <w:r>
        <w:rPr>
          <w:rFonts w:ascii="Arial" w:cs="Arial" w:eastAsia="Arial" w:hAnsi="Arial"/>
          <w:sz w:val="17"/>
          <w:szCs w:val="17"/>
          <w:color w:val="auto"/>
        </w:rPr>
        <w:t>The FDA approved Ebglyss™, a first-line biologic for the treatment of adults and children 12 years of age or older with moderate-to-severe atopic dermatitis.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-2115185</wp:posOffset>
            </wp:positionH>
            <wp:positionV relativeFrom="paragraph">
              <wp:posOffset>270510</wp:posOffset>
            </wp:positionV>
            <wp:extent cx="5760720" cy="1968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60720" cy="1968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1179"/>
        <w:spacing w:after="0" w:line="278" w:lineRule="auto"/>
        <w:rPr>
          <w:sz w:val="20"/>
          <w:szCs w:val="20"/>
          <w:color w:val="auto"/>
        </w:rPr>
      </w:pPr>
      <w:r>
        <w:rPr>
          <w:rFonts w:ascii="Arial" w:cs="Arial" w:eastAsia="Arial" w:hAnsi="Arial"/>
          <w:sz w:val="17"/>
          <w:szCs w:val="17"/>
          <w:color w:val="auto"/>
        </w:rPr>
        <w:t>The FDA approved Zepbound® (tirzepatide) as the first and only prescription medicine for moderate-to-severe obstructive sleep apnea in adults with obesity.</w:t>
      </w:r>
    </w:p>
    <w:p>
      <w:pPr>
        <w:spacing w:after="0" w:line="442" w:lineRule="exact"/>
        <w:rPr>
          <w:sz w:val="20"/>
          <w:szCs w:val="20"/>
          <w:color w:val="auto"/>
        </w:rPr>
      </w:pPr>
    </w:p>
    <w:p>
      <w:pPr>
        <w:sectPr>
          <w:pgSz w:w="11900" w:h="16838" w:orient="portrait"/>
          <w:cols w:equalWidth="0" w:num="3">
            <w:col w:w="3160" w:space="160"/>
            <w:col w:w="2660" w:space="240"/>
            <w:col w:w="3899"/>
          </w:cols>
          <w:pgMar w:left="340" w:top="1209" w:right="1440" w:bottom="1440" w:gutter="0" w:footer="0" w:header="0"/>
          <w:type w:val="continuous"/>
        </w:sectPr>
      </w:pPr>
    </w:p>
    <w:p>
      <w:pPr>
        <w:ind w:left="3620"/>
        <w:spacing w:after="0"/>
        <w:rPr>
          <w:sz w:val="20"/>
          <w:szCs w:val="20"/>
          <w:color w:val="auto"/>
        </w:rPr>
      </w:pPr>
      <w:r>
        <w:rPr>
          <w:rFonts w:ascii="Arial" w:cs="Arial" w:eastAsia="Arial" w:hAnsi="Arial"/>
          <w:sz w:val="20"/>
          <w:szCs w:val="20"/>
          <w:b w:val="1"/>
          <w:bCs w:val="1"/>
          <w:color w:val="929292"/>
        </w:rPr>
        <w:t>Key Data Readouts</w:t>
      </w:r>
    </w:p>
    <w:p>
      <w:pPr>
        <w:spacing w:after="0" w:line="72" w:lineRule="exact"/>
        <w:rPr>
          <w:sz w:val="20"/>
          <w:szCs w:val="20"/>
          <w:color w:val="auto"/>
        </w:rPr>
      </w:pPr>
    </w:p>
    <w:p>
      <w:pPr>
        <w:ind w:left="160" w:right="1099" w:hanging="154"/>
        <w:spacing w:after="0" w:line="287" w:lineRule="auto"/>
        <w:tabs>
          <w:tab w:leader="none" w:pos="111" w:val="left"/>
        </w:tabs>
        <w:numPr>
          <w:ilvl w:val="0"/>
          <w:numId w:val="6"/>
        </w:numPr>
        <w:rPr>
          <w:rFonts w:ascii="Arial" w:cs="Arial" w:eastAsia="Arial" w:hAnsi="Arial"/>
          <w:sz w:val="18"/>
          <w:szCs w:val="18"/>
          <w:color w:val="auto"/>
        </w:rPr>
      </w:pPr>
      <w:r>
        <w:rPr>
          <w:rFonts w:ascii="Arial" w:cs="Arial" w:eastAsia="Arial" w:hAnsi="Arial"/>
          <w:sz w:val="18"/>
          <w:szCs w:val="18"/>
          <w:color w:val="auto"/>
        </w:rPr>
        <w:t>ADmirable, a Phase 3 study of lebrikizumab, specifically designed for people with skin of color and moderate-to-severe atopic dermatitis, showed improvement in skin clearance and itch relief.</w:t>
      </w:r>
    </w:p>
    <w:p>
      <w:pPr>
        <w:spacing w:after="0" w:line="44" w:lineRule="exact"/>
        <w:rPr>
          <w:rFonts w:ascii="Arial" w:cs="Arial" w:eastAsia="Arial" w:hAnsi="Arial"/>
          <w:sz w:val="18"/>
          <w:szCs w:val="18"/>
          <w:color w:val="auto"/>
        </w:rPr>
      </w:pPr>
    </w:p>
    <w:p>
      <w:pPr>
        <w:ind w:left="160" w:right="1139" w:hanging="154"/>
        <w:spacing w:after="0" w:line="268" w:lineRule="auto"/>
        <w:tabs>
          <w:tab w:leader="none" w:pos="111" w:val="left"/>
        </w:tabs>
        <w:numPr>
          <w:ilvl w:val="0"/>
          <w:numId w:val="6"/>
        </w:numPr>
        <w:rPr>
          <w:rFonts w:ascii="Arial" w:cs="Arial" w:eastAsia="Arial" w:hAnsi="Arial"/>
          <w:sz w:val="18"/>
          <w:szCs w:val="18"/>
          <w:color w:val="auto"/>
        </w:rPr>
      </w:pPr>
      <w:r>
        <w:rPr>
          <w:rFonts w:ascii="Arial" w:cs="Arial" w:eastAsia="Arial" w:hAnsi="Arial"/>
          <w:sz w:val="18"/>
          <w:szCs w:val="18"/>
          <w:color w:val="auto"/>
        </w:rPr>
        <w:t>Positive topline results from the QWINT-2 and QWINT-4 Phase 3 clinical trials that showed once-a-week dosing of insulin efsitora alfa in adults with type 2 diabetes delivers A1C reduction and safety profile consistent with daily insulin.</w:t>
      </w:r>
    </w:p>
    <w:p>
      <w:pPr>
        <w:spacing w:after="0" w:line="62" w:lineRule="exact"/>
        <w:rPr>
          <w:rFonts w:ascii="Arial" w:cs="Arial" w:eastAsia="Arial" w:hAnsi="Arial"/>
          <w:sz w:val="18"/>
          <w:szCs w:val="18"/>
          <w:color w:val="auto"/>
        </w:rPr>
      </w:pPr>
    </w:p>
    <w:p>
      <w:pPr>
        <w:ind w:left="160" w:right="1299" w:hanging="154"/>
        <w:spacing w:after="0" w:line="268" w:lineRule="auto"/>
        <w:tabs>
          <w:tab w:leader="none" w:pos="111" w:val="left"/>
        </w:tabs>
        <w:numPr>
          <w:ilvl w:val="0"/>
          <w:numId w:val="6"/>
        </w:numPr>
        <w:rPr>
          <w:rFonts w:ascii="Arial" w:cs="Arial" w:eastAsia="Arial" w:hAnsi="Arial"/>
          <w:sz w:val="18"/>
          <w:szCs w:val="18"/>
          <w:color w:val="auto"/>
        </w:rPr>
      </w:pPr>
      <w:r>
        <w:rPr>
          <w:rFonts w:ascii="Arial" w:cs="Arial" w:eastAsia="Arial" w:hAnsi="Arial"/>
          <w:sz w:val="18"/>
          <w:szCs w:val="18"/>
          <w:color w:val="auto"/>
        </w:rPr>
        <w:t>Positive topline results from the SURMOUNT-1 Phase 3 176-week study of tirzepatide (Zepbound® and Mounjaro®), showing 94% reduction in the risk of developing type 2 diabetes in adults with pre-diabetes, and obesity or overweight.</w:t>
      </w:r>
    </w:p>
    <w:p>
      <w:pPr>
        <w:spacing w:after="0" w:line="62" w:lineRule="exact"/>
        <w:rPr>
          <w:rFonts w:ascii="Arial" w:cs="Arial" w:eastAsia="Arial" w:hAnsi="Arial"/>
          <w:sz w:val="18"/>
          <w:szCs w:val="18"/>
          <w:color w:val="auto"/>
        </w:rPr>
      </w:pPr>
    </w:p>
    <w:p>
      <w:pPr>
        <w:ind w:left="160" w:right="1159" w:hanging="154"/>
        <w:spacing w:after="0" w:line="268" w:lineRule="auto"/>
        <w:tabs>
          <w:tab w:leader="none" w:pos="111" w:val="left"/>
        </w:tabs>
        <w:numPr>
          <w:ilvl w:val="0"/>
          <w:numId w:val="6"/>
        </w:numPr>
        <w:rPr>
          <w:rFonts w:ascii="Arial" w:cs="Arial" w:eastAsia="Arial" w:hAnsi="Arial"/>
          <w:sz w:val="18"/>
          <w:szCs w:val="18"/>
          <w:color w:val="auto"/>
        </w:rPr>
      </w:pPr>
      <w:r>
        <w:rPr>
          <w:rFonts w:ascii="Arial" w:cs="Arial" w:eastAsia="Arial" w:hAnsi="Arial"/>
          <w:sz w:val="18"/>
          <w:szCs w:val="18"/>
          <w:color w:val="auto"/>
        </w:rPr>
        <w:t>Positive six-month Phase 3 primary endpoint data from the TRAILBLAZER-ALZ 6 trial showing that modified titration achieved similar levels of amyloid plaque removal while also reducing the incidence of ARIA-E to 14%, compared with 24% in the standard dosing regimen.</w:t>
      </w:r>
    </w:p>
    <w:p>
      <w:pPr>
        <w:spacing w:after="0" w:line="62" w:lineRule="exact"/>
        <w:rPr>
          <w:rFonts w:ascii="Arial" w:cs="Arial" w:eastAsia="Arial" w:hAnsi="Arial"/>
          <w:sz w:val="18"/>
          <w:szCs w:val="18"/>
          <w:color w:val="auto"/>
        </w:rPr>
      </w:pPr>
    </w:p>
    <w:p>
      <w:pPr>
        <w:ind w:left="160" w:right="1159" w:hanging="154"/>
        <w:spacing w:after="0" w:line="268" w:lineRule="auto"/>
        <w:tabs>
          <w:tab w:leader="none" w:pos="111" w:val="left"/>
        </w:tabs>
        <w:numPr>
          <w:ilvl w:val="0"/>
          <w:numId w:val="6"/>
        </w:numPr>
        <w:rPr>
          <w:rFonts w:ascii="Arial" w:cs="Arial" w:eastAsia="Arial" w:hAnsi="Arial"/>
          <w:sz w:val="18"/>
          <w:szCs w:val="18"/>
          <w:color w:val="auto"/>
        </w:rPr>
      </w:pPr>
      <w:r>
        <w:rPr>
          <w:rFonts w:ascii="Arial" w:cs="Arial" w:eastAsia="Arial" w:hAnsi="Arial"/>
          <w:sz w:val="18"/>
          <w:szCs w:val="18"/>
          <w:color w:val="auto"/>
        </w:rPr>
        <w:t>Positive results from the ADjoin long-term extension study for Ebglyss showing sustained disease control for up to three years in more than 80% of adults and adolescents with moderate-to-severe atopic dermatitis who responded to Ebglyss treatment.</w:t>
      </w:r>
    </w:p>
    <w:p>
      <w:pPr>
        <w:spacing w:after="0" w:line="62" w:lineRule="exact"/>
        <w:rPr>
          <w:rFonts w:ascii="Arial" w:cs="Arial" w:eastAsia="Arial" w:hAnsi="Arial"/>
          <w:sz w:val="18"/>
          <w:szCs w:val="18"/>
          <w:color w:val="auto"/>
        </w:rPr>
      </w:pPr>
    </w:p>
    <w:p>
      <w:pPr>
        <w:ind w:left="160" w:right="1239" w:hanging="154"/>
        <w:spacing w:after="0" w:line="287" w:lineRule="auto"/>
        <w:tabs>
          <w:tab w:leader="none" w:pos="149" w:val="left"/>
        </w:tabs>
        <w:numPr>
          <w:ilvl w:val="0"/>
          <w:numId w:val="6"/>
        </w:numPr>
        <w:rPr>
          <w:rFonts w:ascii="Arial" w:cs="Arial" w:eastAsia="Arial" w:hAnsi="Arial"/>
          <w:sz w:val="16"/>
          <w:szCs w:val="16"/>
          <w:color w:val="auto"/>
        </w:rPr>
      </w:pPr>
      <w:r>
        <w:rPr>
          <w:rFonts w:ascii="Arial" w:cs="Arial" w:eastAsia="Arial" w:hAnsi="Arial"/>
          <w:sz w:val="18"/>
          <w:szCs w:val="18"/>
          <w:color w:val="auto"/>
        </w:rPr>
        <w:t>Positive Phase 3 EMBER-3 study evaluating imlunestrant oral SERD in patients with second-line ER+, HER2-metastatic breast cancer.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5760720" cy="1968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60720" cy="196850"/>
                    </a:xfrm>
                    <a:prstGeom prst="rect">
                      <a:avLst/>
                    </a:prstGeom>
                    <a:noFill/>
                  </pic:spPr>
                </pic:pic>
              </a:graphicData>
            </a:graphic>
          </wp:anchor>
        </w:drawing>
      </w:r>
    </w:p>
    <w:p>
      <w:pPr>
        <w:spacing w:after="0" w:line="88" w:lineRule="exact"/>
        <w:rPr>
          <w:sz w:val="20"/>
          <w:szCs w:val="20"/>
          <w:color w:val="auto"/>
        </w:rPr>
      </w:pPr>
    </w:p>
    <w:p>
      <w:pPr>
        <w:ind w:left="2680"/>
        <w:spacing w:after="0"/>
        <w:rPr>
          <w:sz w:val="20"/>
          <w:szCs w:val="20"/>
          <w:color w:val="auto"/>
        </w:rPr>
      </w:pPr>
      <w:r>
        <w:rPr>
          <w:rFonts w:ascii="Arial" w:cs="Arial" w:eastAsia="Arial" w:hAnsi="Arial"/>
          <w:sz w:val="20"/>
          <w:szCs w:val="20"/>
          <w:b w:val="1"/>
          <w:bCs w:val="1"/>
          <w:color w:val="929292"/>
        </w:rPr>
        <w:t>Other Business Development Activities</w:t>
      </w:r>
    </w:p>
    <w:p>
      <w:pPr>
        <w:spacing w:after="0" w:line="72" w:lineRule="exact"/>
        <w:rPr>
          <w:sz w:val="20"/>
          <w:szCs w:val="20"/>
          <w:color w:val="auto"/>
        </w:rPr>
      </w:pPr>
    </w:p>
    <w:p>
      <w:pPr>
        <w:ind w:left="160" w:hanging="154"/>
        <w:spacing w:after="0"/>
        <w:tabs>
          <w:tab w:leader="none" w:pos="160" w:val="left"/>
        </w:tabs>
        <w:numPr>
          <w:ilvl w:val="0"/>
          <w:numId w:val="7"/>
        </w:numPr>
        <w:rPr>
          <w:rFonts w:ascii="Arial" w:cs="Arial" w:eastAsia="Arial" w:hAnsi="Arial"/>
          <w:sz w:val="16"/>
          <w:szCs w:val="16"/>
          <w:color w:val="auto"/>
        </w:rPr>
      </w:pPr>
      <w:r>
        <w:rPr>
          <w:rFonts w:ascii="Arial" w:cs="Arial" w:eastAsia="Arial" w:hAnsi="Arial"/>
          <w:sz w:val="18"/>
          <w:szCs w:val="18"/>
          <w:color w:val="auto"/>
        </w:rPr>
        <w:t>Continued investments to accelerate development and create additional capacity, for example:</w:t>
      </w:r>
    </w:p>
    <w:p>
      <w:pPr>
        <w:spacing w:after="0" w:line="63" w:lineRule="exact"/>
        <w:rPr>
          <w:rFonts w:ascii="Arial" w:cs="Arial" w:eastAsia="Arial" w:hAnsi="Arial"/>
          <w:sz w:val="16"/>
          <w:szCs w:val="16"/>
          <w:color w:val="auto"/>
        </w:rPr>
      </w:pPr>
    </w:p>
    <w:p>
      <w:pPr>
        <w:ind w:left="500" w:right="1379" w:hanging="162"/>
        <w:spacing w:after="0" w:line="298" w:lineRule="auto"/>
        <w:rPr>
          <w:rFonts w:ascii="Arial" w:cs="Arial" w:eastAsia="Arial" w:hAnsi="Arial"/>
          <w:sz w:val="16"/>
          <w:szCs w:val="16"/>
          <w:color w:val="auto"/>
        </w:rPr>
      </w:pPr>
      <w:r>
        <w:rPr>
          <w:rFonts w:ascii="Arial" w:cs="Arial" w:eastAsia="Arial" w:hAnsi="Arial"/>
          <w:sz w:val="17"/>
          <w:szCs w:val="17"/>
          <w:color w:val="auto"/>
        </w:rPr>
        <w:t>– Announcement of $4.5 billion investment to develop the Lilly Medicine Foundry in Indiana, a facility to combine research and manufacturing in a single location to increase capacity for clinical trial medicines;</w:t>
      </w:r>
    </w:p>
    <w:p>
      <w:pPr>
        <w:ind w:left="500" w:right="1299" w:hanging="162"/>
        <w:spacing w:after="0" w:line="281" w:lineRule="auto"/>
        <w:rPr>
          <w:rFonts w:ascii="Arial" w:cs="Arial" w:eastAsia="Arial" w:hAnsi="Arial"/>
          <w:sz w:val="16"/>
          <w:szCs w:val="16"/>
          <w:color w:val="auto"/>
        </w:rPr>
      </w:pPr>
      <w:r>
        <w:rPr>
          <w:rFonts w:ascii="Arial" w:cs="Arial" w:eastAsia="Arial" w:hAnsi="Arial"/>
          <w:sz w:val="18"/>
          <w:szCs w:val="18"/>
          <w:color w:val="auto"/>
        </w:rPr>
        <w:t>– Committed an additional $5.3 billion manufacturing investment in the company’s Lebanon, Indiana site to boost API production for tirzepatide and pipeline medicines;</w:t>
      </w:r>
    </w:p>
    <w:p>
      <w:pPr>
        <w:spacing w:after="0" w:line="1" w:lineRule="exact"/>
        <w:rPr>
          <w:rFonts w:ascii="Arial" w:cs="Arial" w:eastAsia="Arial" w:hAnsi="Arial"/>
          <w:sz w:val="16"/>
          <w:szCs w:val="16"/>
          <w:color w:val="auto"/>
        </w:rPr>
      </w:pPr>
    </w:p>
    <w:p>
      <w:pPr>
        <w:ind w:left="500" w:right="1679" w:hanging="162"/>
        <w:spacing w:after="0" w:line="281" w:lineRule="auto"/>
        <w:rPr>
          <w:rFonts w:ascii="Arial" w:cs="Arial" w:eastAsia="Arial" w:hAnsi="Arial"/>
          <w:sz w:val="16"/>
          <w:szCs w:val="16"/>
          <w:color w:val="auto"/>
        </w:rPr>
      </w:pPr>
      <w:r>
        <w:rPr>
          <w:rFonts w:ascii="Arial" w:cs="Arial" w:eastAsia="Arial" w:hAnsi="Arial"/>
          <w:sz w:val="18"/>
          <w:szCs w:val="18"/>
          <w:color w:val="auto"/>
        </w:rPr>
        <w:t>– Announced $1.8 billion in investments in Ireland to expand the company’s manufacturing footprint to enhance global medicine production; and</w:t>
      </w:r>
    </w:p>
    <w:p>
      <w:pPr>
        <w:spacing w:after="0" w:line="1" w:lineRule="exact"/>
        <w:rPr>
          <w:rFonts w:ascii="Arial" w:cs="Arial" w:eastAsia="Arial" w:hAnsi="Arial"/>
          <w:sz w:val="16"/>
          <w:szCs w:val="16"/>
          <w:color w:val="auto"/>
        </w:rPr>
      </w:pPr>
    </w:p>
    <w:p>
      <w:pPr>
        <w:ind w:left="500" w:right="1519" w:hanging="162"/>
        <w:spacing w:after="0" w:line="287" w:lineRule="auto"/>
        <w:rPr>
          <w:rFonts w:ascii="Arial" w:cs="Arial" w:eastAsia="Arial" w:hAnsi="Arial"/>
          <w:sz w:val="16"/>
          <w:szCs w:val="16"/>
          <w:color w:val="auto"/>
        </w:rPr>
      </w:pPr>
      <w:r>
        <w:rPr>
          <w:rFonts w:ascii="Arial" w:cs="Arial" w:eastAsia="Arial" w:hAnsi="Arial"/>
          <w:sz w:val="18"/>
          <w:szCs w:val="18"/>
          <w:color w:val="auto"/>
        </w:rPr>
        <w:t>– Announced a $3 billion expansion of a facility in Kenosha County, Wisconsin, to extend the company's global parenteral (injectable) product manufacturing network.</w:t>
      </w:r>
    </w:p>
    <w:p>
      <w:pPr>
        <w:spacing w:after="0" w:line="98" w:lineRule="exact"/>
        <w:rPr>
          <w:rFonts w:ascii="Arial" w:cs="Arial" w:eastAsia="Arial" w:hAnsi="Arial"/>
          <w:sz w:val="16"/>
          <w:szCs w:val="16"/>
          <w:color w:val="auto"/>
        </w:rPr>
      </w:pPr>
    </w:p>
    <w:p>
      <w:pPr>
        <w:ind w:left="160" w:right="1179" w:hanging="154"/>
        <w:spacing w:after="0" w:line="287" w:lineRule="auto"/>
        <w:tabs>
          <w:tab w:leader="none" w:pos="149" w:val="left"/>
        </w:tabs>
        <w:numPr>
          <w:ilvl w:val="0"/>
          <w:numId w:val="7"/>
        </w:numPr>
        <w:rPr>
          <w:rFonts w:ascii="Arial" w:cs="Arial" w:eastAsia="Arial" w:hAnsi="Arial"/>
          <w:sz w:val="16"/>
          <w:szCs w:val="16"/>
          <w:color w:val="auto"/>
        </w:rPr>
      </w:pPr>
      <w:r>
        <w:rPr>
          <w:rFonts w:ascii="Arial" w:cs="Arial" w:eastAsia="Arial" w:hAnsi="Arial"/>
          <w:sz w:val="18"/>
          <w:szCs w:val="18"/>
          <w:color w:val="auto"/>
        </w:rPr>
        <w:t>Opened the Lilly Seaport Innovation Center, a research and development facility that serves as the central hub for Lilly's genetic medicines efforts.</w:t>
      </w:r>
    </w:p>
    <w:p>
      <w:pPr>
        <w:spacing w:after="0" w:line="98" w:lineRule="exact"/>
        <w:rPr>
          <w:rFonts w:ascii="Arial" w:cs="Arial" w:eastAsia="Arial" w:hAnsi="Arial"/>
          <w:sz w:val="16"/>
          <w:szCs w:val="16"/>
          <w:color w:val="auto"/>
        </w:rPr>
      </w:pPr>
    </w:p>
    <w:p>
      <w:pPr>
        <w:ind w:left="160" w:hanging="154"/>
        <w:spacing w:after="0"/>
        <w:tabs>
          <w:tab w:leader="none" w:pos="160" w:val="left"/>
        </w:tabs>
        <w:numPr>
          <w:ilvl w:val="0"/>
          <w:numId w:val="7"/>
        </w:numPr>
        <w:rPr>
          <w:rFonts w:ascii="Arial" w:cs="Arial" w:eastAsia="Arial" w:hAnsi="Arial"/>
          <w:sz w:val="16"/>
          <w:szCs w:val="16"/>
          <w:color w:val="auto"/>
        </w:rPr>
      </w:pPr>
      <w:r>
        <w:rPr>
          <w:rFonts w:ascii="Arial" w:cs="Arial" w:eastAsia="Arial" w:hAnsi="Arial"/>
          <w:sz w:val="18"/>
          <w:szCs w:val="18"/>
          <w:color w:val="auto"/>
        </w:rPr>
        <w:t>Announced a collaboration with OpenAI to use their generative AI to invent novel microbials.</w:t>
      </w:r>
    </w:p>
    <w:p>
      <w:pPr>
        <w:spacing w:after="0" w:line="171" w:lineRule="exact"/>
        <w:rPr>
          <w:rFonts w:ascii="Arial" w:cs="Arial" w:eastAsia="Arial" w:hAnsi="Arial"/>
          <w:sz w:val="16"/>
          <w:szCs w:val="16"/>
          <w:color w:val="auto"/>
        </w:rPr>
      </w:pPr>
    </w:p>
    <w:p>
      <w:pPr>
        <w:ind w:left="160" w:right="1179" w:hanging="154"/>
        <w:spacing w:after="0" w:line="287" w:lineRule="auto"/>
        <w:tabs>
          <w:tab w:leader="none" w:pos="149" w:val="left"/>
        </w:tabs>
        <w:numPr>
          <w:ilvl w:val="0"/>
          <w:numId w:val="7"/>
        </w:numPr>
        <w:rPr>
          <w:rFonts w:ascii="Arial" w:cs="Arial" w:eastAsia="Arial" w:hAnsi="Arial"/>
          <w:sz w:val="16"/>
          <w:szCs w:val="16"/>
          <w:color w:val="auto"/>
        </w:rPr>
      </w:pPr>
      <w:r>
        <w:rPr>
          <w:rFonts w:ascii="Arial" w:cs="Arial" w:eastAsia="Arial" w:hAnsi="Arial"/>
          <w:sz w:val="18"/>
          <w:szCs w:val="18"/>
          <w:color w:val="auto"/>
        </w:rPr>
        <w:t>Acquired Morphic Holding, Inc., expanding Lilly's immunology pipeline with oral integrin therapies for treatment of serious chronic diseases.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57607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ectPr>
          <w:pgSz w:w="11900" w:h="16838" w:orient="portrait"/>
          <w:cols w:equalWidth="0" w:num="1">
            <w:col w:w="10119"/>
          </w:cols>
          <w:pgMar w:left="340" w:top="1209"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149225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209" w:right="1440" w:bottom="1440" w:gutter="0" w:footer="0" w:header="0"/>
          <w:type w:val="continuous"/>
        </w:sectPr>
      </w:pPr>
    </w:p>
    <w:bookmarkStart w:id="8" w:name="page9"/>
    <w:bookmarkEnd w:id="8"/>
    <w:p>
      <w:pPr>
        <w:ind w:left="100"/>
        <w:spacing w:after="0"/>
        <w:rPr>
          <w:sz w:val="20"/>
          <w:szCs w:val="20"/>
          <w:color w:val="auto"/>
        </w:rPr>
      </w:pPr>
      <w:r>
        <w:rPr>
          <w:sz w:val="1"/>
          <w:szCs w:val="1"/>
          <w:color w:val="auto"/>
        </w:rPr>
        <w:drawing>
          <wp:anchor simplePos="0" relativeHeight="251657728" behindDoc="1" locked="0" layoutInCell="0" allowOverlap="1">
            <wp:simplePos x="0" y="0"/>
            <wp:positionH relativeFrom="page">
              <wp:posOffset>208280</wp:posOffset>
            </wp:positionH>
            <wp:positionV relativeFrom="page">
              <wp:posOffset>654685</wp:posOffset>
            </wp:positionV>
            <wp:extent cx="57607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60720" cy="8255"/>
                    </a:xfrm>
                    <a:prstGeom prst="rect">
                      <a:avLst/>
                    </a:prstGeom>
                    <a:noFill/>
                  </pic:spPr>
                </pic:pic>
              </a:graphicData>
            </a:graphic>
          </wp:anchor>
        </w:drawing>
        <w:drawing>
          <wp:inline distT="0" distB="0" distL="0" distR="0">
            <wp:extent cx="308610" cy="30861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08610" cy="308610"/>
                    </a:xfrm>
                    <a:prstGeom prst="rect">
                      <a:avLst/>
                    </a:prstGeom>
                    <a:noFill/>
                    <a:ln>
                      <a:noFill/>
                    </a:ln>
                  </pic:spPr>
                </pic:pic>
              </a:graphicData>
            </a:graphic>
          </wp:inline>
        </w:drawing>
      </w:r>
      <w:r>
        <w:rPr>
          <w:rFonts w:ascii="Arial" w:cs="Arial" w:eastAsia="Arial" w:hAnsi="Arial"/>
          <w:sz w:val="25"/>
          <w:szCs w:val="25"/>
          <w:b w:val="1"/>
          <w:bCs w:val="1"/>
          <w:color w:val="auto"/>
        </w:rPr>
        <w:t xml:space="preserve"> Sustainability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57607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pacing w:after="0" w:line="44" w:lineRule="exact"/>
        <w:rPr>
          <w:sz w:val="20"/>
          <w:szCs w:val="20"/>
          <w:color w:val="auto"/>
        </w:rPr>
      </w:pPr>
    </w:p>
    <w:tbl>
      <w:tblPr>
        <w:tblLayout w:type="fixed"/>
        <w:tblInd w:w="40" w:type="dxa"/>
        <w:tblCellMar>
          <w:top w:w="0" w:type="dxa"/>
          <w:left w:w="0" w:type="dxa"/>
          <w:bottom w:w="0" w:type="dxa"/>
          <w:right w:w="0" w:type="dxa"/>
        </w:tblCellMar>
      </w:tblPr>
      <w:tr>
        <w:trPr>
          <w:trHeight w:val="287"/>
        </w:trPr>
        <w:tc>
          <w:tcPr>
            <w:tcW w:w="3340" w:type="dxa"/>
            <w:vAlign w:val="bottom"/>
          </w:tcPr>
          <w:p>
            <w:pPr>
              <w:jc w:val="center"/>
              <w:ind w:right="3"/>
              <w:spacing w:after="0"/>
              <w:rPr>
                <w:sz w:val="20"/>
                <w:szCs w:val="20"/>
                <w:color w:val="auto"/>
              </w:rPr>
            </w:pPr>
            <w:r>
              <w:rPr>
                <w:rFonts w:ascii="Arial" w:cs="Arial" w:eastAsia="Arial" w:hAnsi="Arial"/>
                <w:sz w:val="25"/>
                <w:szCs w:val="25"/>
                <w:b w:val="1"/>
                <w:bCs w:val="1"/>
                <w:color w:val="D52B1E"/>
              </w:rPr>
              <w:t>27</w:t>
            </w:r>
          </w:p>
        </w:tc>
        <w:tc>
          <w:tcPr>
            <w:tcW w:w="2900" w:type="dxa"/>
            <w:vAlign w:val="bottom"/>
          </w:tcPr>
          <w:p>
            <w:pPr>
              <w:jc w:val="center"/>
              <w:ind w:right="63"/>
              <w:spacing w:after="0"/>
              <w:rPr>
                <w:sz w:val="20"/>
                <w:szCs w:val="20"/>
                <w:color w:val="auto"/>
              </w:rPr>
            </w:pPr>
            <w:r>
              <w:rPr>
                <w:rFonts w:ascii="Arial" w:cs="Arial" w:eastAsia="Arial" w:hAnsi="Arial"/>
                <w:sz w:val="18"/>
                <w:szCs w:val="18"/>
                <w:color w:val="auto"/>
              </w:rPr>
              <w:t>Entered into a power purchase</w:t>
            </w:r>
          </w:p>
        </w:tc>
        <w:tc>
          <w:tcPr>
            <w:tcW w:w="2440" w:type="dxa"/>
            <w:vAlign w:val="bottom"/>
          </w:tcPr>
          <w:p>
            <w:pPr>
              <w:jc w:val="center"/>
              <w:ind w:left="141"/>
              <w:spacing w:after="0"/>
              <w:rPr>
                <w:sz w:val="20"/>
                <w:szCs w:val="20"/>
                <w:color w:val="auto"/>
              </w:rPr>
            </w:pPr>
            <w:r>
              <w:rPr>
                <w:rFonts w:ascii="Arial" w:cs="Arial" w:eastAsia="Arial" w:hAnsi="Arial"/>
                <w:sz w:val="18"/>
                <w:szCs w:val="18"/>
                <w:color w:val="auto"/>
                <w:w w:val="99"/>
              </w:rPr>
              <w:t>Started up a new</w:t>
            </w:r>
          </w:p>
        </w:tc>
        <w:tc>
          <w:tcPr>
            <w:tcW w:w="0" w:type="dxa"/>
            <w:vAlign w:val="bottom"/>
          </w:tcPr>
          <w:p>
            <w:pPr>
              <w:spacing w:after="0"/>
              <w:rPr>
                <w:sz w:val="1"/>
                <w:szCs w:val="1"/>
                <w:color w:val="auto"/>
              </w:rPr>
            </w:pPr>
          </w:p>
        </w:tc>
      </w:tr>
      <w:tr>
        <w:trPr>
          <w:trHeight w:val="239"/>
        </w:trPr>
        <w:tc>
          <w:tcPr>
            <w:tcW w:w="33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 xml:space="preserve">active global health initiatives </w:t>
            </w:r>
            <w:r>
              <w:rPr>
                <w:rFonts w:ascii="Arial" w:cs="Arial" w:eastAsia="Arial" w:hAnsi="Arial"/>
                <w:sz w:val="18"/>
                <w:szCs w:val="18"/>
                <w:color w:val="auto"/>
                <w:w w:val="99"/>
              </w:rPr>
              <w:t>focusing</w:t>
            </w:r>
          </w:p>
        </w:tc>
        <w:tc>
          <w:tcPr>
            <w:tcW w:w="2900" w:type="dxa"/>
            <w:vAlign w:val="bottom"/>
          </w:tcPr>
          <w:p>
            <w:pPr>
              <w:jc w:val="center"/>
              <w:ind w:right="83"/>
              <w:spacing w:after="0"/>
              <w:rPr>
                <w:sz w:val="20"/>
                <w:szCs w:val="20"/>
                <w:color w:val="auto"/>
              </w:rPr>
            </w:pPr>
            <w:r>
              <w:rPr>
                <w:rFonts w:ascii="Arial" w:cs="Arial" w:eastAsia="Arial" w:hAnsi="Arial"/>
                <w:sz w:val="18"/>
                <w:szCs w:val="18"/>
                <w:color w:val="auto"/>
                <w:w w:val="99"/>
              </w:rPr>
              <w:t>agreement for</w:t>
            </w:r>
          </w:p>
        </w:tc>
        <w:tc>
          <w:tcPr>
            <w:tcW w:w="2440" w:type="dxa"/>
            <w:vAlign w:val="bottom"/>
            <w:vMerge w:val="restart"/>
          </w:tcPr>
          <w:p>
            <w:pPr>
              <w:jc w:val="center"/>
              <w:ind w:left="161"/>
              <w:spacing w:after="0"/>
              <w:rPr>
                <w:sz w:val="20"/>
                <w:szCs w:val="20"/>
                <w:color w:val="auto"/>
              </w:rPr>
            </w:pPr>
            <w:r>
              <w:rPr>
                <w:rFonts w:ascii="Arial" w:cs="Arial" w:eastAsia="Arial" w:hAnsi="Arial"/>
                <w:sz w:val="25"/>
                <w:szCs w:val="25"/>
                <w:b w:val="1"/>
                <w:bCs w:val="1"/>
                <w:color w:val="D52B1E"/>
              </w:rPr>
              <w:t>on-site solar array</w:t>
            </w:r>
          </w:p>
        </w:tc>
        <w:tc>
          <w:tcPr>
            <w:tcW w:w="0" w:type="dxa"/>
            <w:vAlign w:val="bottom"/>
          </w:tcPr>
          <w:p>
            <w:pPr>
              <w:spacing w:after="0"/>
              <w:rPr>
                <w:sz w:val="1"/>
                <w:szCs w:val="1"/>
                <w:color w:val="auto"/>
              </w:rPr>
            </w:pPr>
          </w:p>
        </w:tc>
      </w:tr>
      <w:tr>
        <w:trPr>
          <w:trHeight w:val="93"/>
        </w:trPr>
        <w:tc>
          <w:tcPr>
            <w:tcW w:w="3340" w:type="dxa"/>
            <w:vAlign w:val="bottom"/>
            <w:vMerge w:val="continue"/>
          </w:tcPr>
          <w:p>
            <w:pPr>
              <w:spacing w:after="0"/>
              <w:rPr>
                <w:sz w:val="8"/>
                <w:szCs w:val="8"/>
                <w:color w:val="auto"/>
              </w:rPr>
            </w:pPr>
          </w:p>
        </w:tc>
        <w:tc>
          <w:tcPr>
            <w:tcW w:w="2900" w:type="dxa"/>
            <w:vAlign w:val="bottom"/>
            <w:vMerge w:val="restart"/>
          </w:tcPr>
          <w:p>
            <w:pPr>
              <w:jc w:val="center"/>
              <w:ind w:right="63"/>
              <w:spacing w:after="0"/>
              <w:rPr>
                <w:sz w:val="20"/>
                <w:szCs w:val="20"/>
                <w:color w:val="auto"/>
              </w:rPr>
            </w:pPr>
            <w:r>
              <w:rPr>
                <w:rFonts w:ascii="Arial" w:cs="Arial" w:eastAsia="Arial" w:hAnsi="Arial"/>
                <w:sz w:val="25"/>
                <w:szCs w:val="25"/>
                <w:b w:val="1"/>
                <w:bCs w:val="1"/>
                <w:color w:val="D52B1E"/>
                <w:w w:val="99"/>
              </w:rPr>
              <w:t>450,000</w:t>
            </w:r>
          </w:p>
        </w:tc>
        <w:tc>
          <w:tcPr>
            <w:tcW w:w="2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3340" w:type="dxa"/>
            <w:vAlign w:val="bottom"/>
          </w:tcPr>
          <w:p>
            <w:pPr>
              <w:jc w:val="center"/>
              <w:ind w:right="3"/>
              <w:spacing w:after="0"/>
              <w:rPr>
                <w:sz w:val="20"/>
                <w:szCs w:val="20"/>
                <w:color w:val="auto"/>
              </w:rPr>
            </w:pPr>
            <w:r>
              <w:rPr>
                <w:rFonts w:ascii="Arial" w:cs="Arial" w:eastAsia="Arial" w:hAnsi="Arial"/>
                <w:sz w:val="18"/>
                <w:szCs w:val="18"/>
                <w:color w:val="auto"/>
                <w:w w:val="99"/>
              </w:rPr>
              <w:t>on noncommunicable diseases,</w:t>
            </w:r>
          </w:p>
        </w:tc>
        <w:tc>
          <w:tcPr>
            <w:tcW w:w="2900" w:type="dxa"/>
            <w:vAlign w:val="bottom"/>
            <w:vMerge w:val="continue"/>
          </w:tcPr>
          <w:p>
            <w:pPr>
              <w:spacing w:after="0"/>
              <w:rPr>
                <w:sz w:val="20"/>
                <w:szCs w:val="20"/>
                <w:color w:val="auto"/>
              </w:rPr>
            </w:pPr>
          </w:p>
        </w:tc>
        <w:tc>
          <w:tcPr>
            <w:tcW w:w="2440" w:type="dxa"/>
            <w:vAlign w:val="bottom"/>
          </w:tcPr>
          <w:p>
            <w:pPr>
              <w:jc w:val="center"/>
              <w:ind w:left="141"/>
              <w:spacing w:after="0"/>
              <w:rPr>
                <w:sz w:val="20"/>
                <w:szCs w:val="20"/>
                <w:color w:val="auto"/>
              </w:rPr>
            </w:pPr>
            <w:r>
              <w:rPr>
                <w:rFonts w:ascii="Arial" w:cs="Arial" w:eastAsia="Arial" w:hAnsi="Arial"/>
                <w:sz w:val="18"/>
                <w:szCs w:val="18"/>
                <w:color w:val="auto"/>
                <w:w w:val="99"/>
              </w:rPr>
              <w:t>at our Corporate Center in</w:t>
            </w:r>
          </w:p>
        </w:tc>
        <w:tc>
          <w:tcPr>
            <w:tcW w:w="0" w:type="dxa"/>
            <w:vAlign w:val="bottom"/>
          </w:tcPr>
          <w:p>
            <w:pPr>
              <w:spacing w:after="0"/>
              <w:rPr>
                <w:sz w:val="1"/>
                <w:szCs w:val="1"/>
                <w:color w:val="auto"/>
              </w:rPr>
            </w:pPr>
          </w:p>
        </w:tc>
      </w:tr>
      <w:tr>
        <w:trPr>
          <w:trHeight w:val="216"/>
        </w:trPr>
        <w:tc>
          <w:tcPr>
            <w:tcW w:w="3340" w:type="dxa"/>
            <w:vAlign w:val="bottom"/>
          </w:tcPr>
          <w:p>
            <w:pPr>
              <w:jc w:val="center"/>
              <w:spacing w:after="0"/>
              <w:rPr>
                <w:sz w:val="20"/>
                <w:szCs w:val="20"/>
                <w:color w:val="auto"/>
              </w:rPr>
            </w:pPr>
            <w:r>
              <w:rPr>
                <w:rFonts w:ascii="Arial" w:cs="Arial" w:eastAsia="Arial" w:hAnsi="Arial"/>
                <w:sz w:val="18"/>
                <w:szCs w:val="18"/>
                <w:color w:val="auto"/>
                <w:w w:val="99"/>
              </w:rPr>
              <w:t>strengthening health systems, and</w:t>
            </w:r>
          </w:p>
        </w:tc>
        <w:tc>
          <w:tcPr>
            <w:tcW w:w="2900" w:type="dxa"/>
            <w:vAlign w:val="bottom"/>
          </w:tcPr>
          <w:p>
            <w:pPr>
              <w:jc w:val="center"/>
              <w:ind w:right="83"/>
              <w:spacing w:after="0"/>
              <w:rPr>
                <w:sz w:val="20"/>
                <w:szCs w:val="20"/>
                <w:color w:val="auto"/>
              </w:rPr>
            </w:pPr>
            <w:r>
              <w:rPr>
                <w:rFonts w:ascii="Arial" w:cs="Arial" w:eastAsia="Arial" w:hAnsi="Arial"/>
                <w:sz w:val="18"/>
                <w:szCs w:val="18"/>
                <w:color w:val="auto"/>
                <w:w w:val="99"/>
              </w:rPr>
              <w:t>megawatt-hours per year from a</w:t>
            </w:r>
          </w:p>
        </w:tc>
        <w:tc>
          <w:tcPr>
            <w:tcW w:w="2440" w:type="dxa"/>
            <w:vAlign w:val="bottom"/>
          </w:tcPr>
          <w:p>
            <w:pPr>
              <w:jc w:val="center"/>
              <w:ind w:left="141"/>
              <w:spacing w:after="0"/>
              <w:rPr>
                <w:sz w:val="20"/>
                <w:szCs w:val="20"/>
                <w:color w:val="auto"/>
              </w:rPr>
            </w:pPr>
            <w:r>
              <w:rPr>
                <w:rFonts w:ascii="Arial" w:cs="Arial" w:eastAsia="Arial" w:hAnsi="Arial"/>
                <w:sz w:val="18"/>
                <w:szCs w:val="18"/>
                <w:color w:val="auto"/>
                <w:w w:val="99"/>
              </w:rPr>
              <w:t>Indianapolis</w:t>
            </w:r>
          </w:p>
        </w:tc>
        <w:tc>
          <w:tcPr>
            <w:tcW w:w="0" w:type="dxa"/>
            <w:vAlign w:val="bottom"/>
          </w:tcPr>
          <w:p>
            <w:pPr>
              <w:spacing w:after="0"/>
              <w:rPr>
                <w:sz w:val="1"/>
                <w:szCs w:val="1"/>
                <w:color w:val="auto"/>
              </w:rPr>
            </w:pPr>
          </w:p>
        </w:tc>
      </w:tr>
      <w:tr>
        <w:trPr>
          <w:trHeight w:val="239"/>
        </w:trPr>
        <w:tc>
          <w:tcPr>
            <w:tcW w:w="3340" w:type="dxa"/>
            <w:vAlign w:val="bottom"/>
          </w:tcPr>
          <w:p>
            <w:pPr>
              <w:jc w:val="center"/>
              <w:spacing w:after="0"/>
              <w:rPr>
                <w:sz w:val="20"/>
                <w:szCs w:val="20"/>
                <w:color w:val="auto"/>
              </w:rPr>
            </w:pPr>
            <w:r>
              <w:rPr>
                <w:rFonts w:ascii="Arial" w:cs="Arial" w:eastAsia="Arial" w:hAnsi="Arial"/>
                <w:sz w:val="18"/>
                <w:szCs w:val="18"/>
                <w:color w:val="auto"/>
              </w:rPr>
              <w:t>capacity building</w:t>
            </w:r>
          </w:p>
        </w:tc>
        <w:tc>
          <w:tcPr>
            <w:tcW w:w="2900" w:type="dxa"/>
            <w:vAlign w:val="bottom"/>
          </w:tcPr>
          <w:p>
            <w:pPr>
              <w:jc w:val="center"/>
              <w:ind w:right="83"/>
              <w:spacing w:after="0"/>
              <w:rPr>
                <w:sz w:val="20"/>
                <w:szCs w:val="20"/>
                <w:color w:val="auto"/>
              </w:rPr>
            </w:pPr>
            <w:r>
              <w:rPr>
                <w:rFonts w:ascii="Arial" w:cs="Arial" w:eastAsia="Arial" w:hAnsi="Arial"/>
                <w:sz w:val="18"/>
                <w:szCs w:val="18"/>
                <w:color w:val="auto"/>
                <w:w w:val="99"/>
              </w:rPr>
              <w:t>US wind farm</w:t>
            </w:r>
          </w:p>
        </w:tc>
        <w:tc>
          <w:tcPr>
            <w:tcW w:w="24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5760720" cy="1974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60720" cy="197485"/>
                    </a:xfrm>
                    <a:prstGeom prst="rect">
                      <a:avLst/>
                    </a:prstGeom>
                    <a:noFill/>
                  </pic:spPr>
                </pic:pic>
              </a:graphicData>
            </a:graphic>
          </wp:anchor>
        </w:drawing>
      </w:r>
    </w:p>
    <w:p>
      <w:pPr>
        <w:spacing w:after="0" w:line="64" w:lineRule="exact"/>
        <w:rPr>
          <w:sz w:val="20"/>
          <w:szCs w:val="20"/>
          <w:color w:val="auto"/>
        </w:rPr>
      </w:pPr>
    </w:p>
    <w:p>
      <w:pPr>
        <w:ind w:left="3280"/>
        <w:spacing w:after="0"/>
        <w:rPr>
          <w:sz w:val="20"/>
          <w:szCs w:val="20"/>
          <w:color w:val="auto"/>
        </w:rPr>
      </w:pPr>
      <w:r>
        <w:rPr>
          <w:rFonts w:ascii="Arial" w:cs="Arial" w:eastAsia="Arial" w:hAnsi="Arial"/>
          <w:sz w:val="22"/>
          <w:szCs w:val="22"/>
          <w:b w:val="1"/>
          <w:bCs w:val="1"/>
          <w:color w:val="242424"/>
        </w:rPr>
        <w:t>Access and Affordability</w:t>
      </w:r>
    </w:p>
    <w:p>
      <w:pPr>
        <w:spacing w:after="0" w:line="54" w:lineRule="exact"/>
        <w:rPr>
          <w:sz w:val="20"/>
          <w:szCs w:val="20"/>
          <w:color w:val="auto"/>
        </w:rPr>
      </w:pPr>
    </w:p>
    <w:p>
      <w:pPr>
        <w:ind w:left="2280" w:right="1079"/>
        <w:spacing w:after="0" w:line="257" w:lineRule="auto"/>
        <w:rPr>
          <w:sz w:val="20"/>
          <w:szCs w:val="20"/>
          <w:color w:val="auto"/>
        </w:rPr>
      </w:pPr>
      <w:r>
        <w:rPr>
          <w:rFonts w:ascii="Arial" w:cs="Arial" w:eastAsia="Arial" w:hAnsi="Arial"/>
          <w:sz w:val="18"/>
          <w:szCs w:val="18"/>
          <w:color w:val="auto"/>
        </w:rPr>
        <w:t>LillyDirect™, is our direct-to-customer digital healthcare experience for patients in the U.S. living with obesity, migraines and diabetes. Lilly launched Zepbound 2.5 mg and 5 mg single-dose vials in the U.S. exclusively through LillyDirect in August to offer millions of adults with obesity access to the medicine they need, including those not eligible for the Zepbound savings card program, those without employer coverage, and those who need to self-pay outside of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57607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60720" cy="171450"/>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-703580</wp:posOffset>
            </wp:positionV>
            <wp:extent cx="1234440" cy="3175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34440" cy="317500"/>
                    </a:xfrm>
                    <a:prstGeom prst="rect">
                      <a:avLst/>
                    </a:prstGeom>
                    <a:noFill/>
                  </pic:spPr>
                </pic:pic>
              </a:graphicData>
            </a:graphic>
          </wp:anchor>
        </w:drawing>
      </w:r>
    </w:p>
    <w:p>
      <w:pPr>
        <w:ind w:left="1540"/>
        <w:spacing w:after="0"/>
        <w:tabs>
          <w:tab w:leader="none" w:pos="6240" w:val="left"/>
        </w:tabs>
        <w:rPr>
          <w:sz w:val="20"/>
          <w:szCs w:val="20"/>
          <w:color w:val="auto"/>
        </w:rPr>
      </w:pPr>
      <w:r>
        <w:rPr>
          <w:rFonts w:ascii="Arial" w:cs="Arial" w:eastAsia="Arial" w:hAnsi="Arial"/>
          <w:sz w:val="18"/>
          <w:szCs w:val="18"/>
          <w:b w:val="1"/>
          <w:bCs w:val="1"/>
          <w:color w:val="6D6D6D"/>
        </w:rPr>
        <w:t>Asia</w:t>
      </w:r>
      <w:r>
        <w:rPr>
          <w:sz w:val="20"/>
          <w:szCs w:val="20"/>
          <w:color w:val="auto"/>
        </w:rPr>
        <w:tab/>
      </w:r>
      <w:r>
        <w:rPr>
          <w:rFonts w:ascii="Arial" w:cs="Arial" w:eastAsia="Arial" w:hAnsi="Arial"/>
          <w:sz w:val="18"/>
          <w:szCs w:val="18"/>
          <w:b w:val="1"/>
          <w:bCs w:val="1"/>
          <w:color w:val="6D6D6D"/>
        </w:rPr>
        <w:t>Africa</w:t>
      </w:r>
    </w:p>
    <w:p>
      <w:pPr>
        <w:sectPr>
          <w:pgSz w:w="11900" w:h="16838" w:orient="portrait"/>
          <w:cols w:equalWidth="0" w:num="1">
            <w:col w:w="10139"/>
          </w:cols>
          <w:pgMar w:left="320" w:top="991" w:right="1440" w:bottom="1440" w:gutter="0" w:footer="0" w:header="0"/>
        </w:sectPr>
      </w:pPr>
    </w:p>
    <w:p>
      <w:pPr>
        <w:spacing w:after="0" w:line="225" w:lineRule="exact"/>
        <w:rPr>
          <w:sz w:val="20"/>
          <w:szCs w:val="20"/>
          <w:color w:val="auto"/>
        </w:rPr>
      </w:pPr>
    </w:p>
    <w:p>
      <w:pPr>
        <w:ind w:left="20"/>
        <w:spacing w:after="0" w:line="257" w:lineRule="auto"/>
        <w:rPr>
          <w:sz w:val="20"/>
          <w:szCs w:val="20"/>
          <w:color w:val="auto"/>
        </w:rPr>
      </w:pPr>
      <w:r>
        <w:rPr>
          <w:rFonts w:ascii="Arial" w:cs="Arial" w:eastAsia="Arial" w:hAnsi="Arial"/>
          <w:sz w:val="18"/>
          <w:szCs w:val="18"/>
          <w:color w:val="auto"/>
        </w:rPr>
        <w:t>Donated $6.5 million to the United States Fund for UNICEF to expand UNICEF's work to improve the health outcomes of millions of children and youth at risk of noncommunicable diseases living in resource-limited settings in India.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-694690</wp:posOffset>
            </wp:positionV>
            <wp:extent cx="240030" cy="3860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40030" cy="3860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ind w:left="166" w:right="1219" w:hanging="166"/>
        <w:spacing w:after="0" w:line="262" w:lineRule="auto"/>
        <w:tabs>
          <w:tab w:leader="none" w:pos="155" w:val="left"/>
        </w:tabs>
        <w:numPr>
          <w:ilvl w:val="0"/>
          <w:numId w:val="8"/>
        </w:numPr>
        <w:rPr>
          <w:rFonts w:ascii="Arial" w:cs="Arial" w:eastAsia="Arial" w:hAnsi="Arial"/>
          <w:sz w:val="16"/>
          <w:szCs w:val="16"/>
          <w:color w:val="auto"/>
        </w:rPr>
      </w:pPr>
      <w:r>
        <w:rPr>
          <w:rFonts w:ascii="Arial" w:cs="Arial" w:eastAsia="Arial" w:hAnsi="Arial"/>
          <w:sz w:val="18"/>
          <w:szCs w:val="18"/>
          <w:color w:val="auto"/>
        </w:rPr>
        <w:t>EVA Pharma obtained regulatory approval and began supplying insulin glargine in Egypt under a collaboration with Lilly that was launched in 2022 to deliver high-quality, affordable human and analogue insulin in Africa.</w:t>
      </w:r>
    </w:p>
    <w:p>
      <w:pPr>
        <w:spacing w:after="0" w:line="68" w:lineRule="exact"/>
        <w:rPr>
          <w:rFonts w:ascii="Arial" w:cs="Arial" w:eastAsia="Arial" w:hAnsi="Arial"/>
          <w:sz w:val="16"/>
          <w:szCs w:val="16"/>
          <w:color w:val="auto"/>
        </w:rPr>
      </w:pPr>
    </w:p>
    <w:p>
      <w:pPr>
        <w:ind w:left="166" w:right="1159" w:hanging="166"/>
        <w:spacing w:after="0" w:line="268" w:lineRule="auto"/>
        <w:tabs>
          <w:tab w:leader="none" w:pos="155" w:val="left"/>
        </w:tabs>
        <w:numPr>
          <w:ilvl w:val="0"/>
          <w:numId w:val="8"/>
        </w:numPr>
        <w:rPr>
          <w:rFonts w:ascii="Arial" w:cs="Arial" w:eastAsia="Arial" w:hAnsi="Arial"/>
          <w:sz w:val="16"/>
          <w:szCs w:val="16"/>
          <w:color w:val="auto"/>
        </w:rPr>
      </w:pPr>
      <w:r>
        <w:rPr>
          <w:rFonts w:ascii="Arial" w:cs="Arial" w:eastAsia="Arial" w:hAnsi="Arial"/>
          <w:sz w:val="18"/>
          <w:szCs w:val="18"/>
          <w:color w:val="auto"/>
        </w:rPr>
        <w:t>Entered into an agreement with EVA Pharma to expand access to baricitinib to an estimated 20,000 people in 49 low-to middle-income countries in Africa by 2030.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-2505075</wp:posOffset>
            </wp:positionH>
            <wp:positionV relativeFrom="paragraph">
              <wp:posOffset>0</wp:posOffset>
            </wp:positionV>
            <wp:extent cx="57607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300" w:space="654"/>
            <w:col w:w="6185"/>
          </w:cols>
          <w:pgMar w:left="320" w:top="991" w:right="1440" w:bottom="1440" w:gutter="0" w:footer="0" w:header="0"/>
          <w:type w:val="continuous"/>
        </w:sectPr>
      </w:pPr>
    </w:p>
    <w:p>
      <w:pPr>
        <w:spacing w:after="0" w:line="256" w:lineRule="exact"/>
        <w:rPr>
          <w:sz w:val="20"/>
          <w:szCs w:val="20"/>
          <w:color w:val="auto"/>
        </w:rPr>
      </w:pPr>
    </w:p>
    <w:p>
      <w:pPr>
        <w:spacing w:after="0"/>
        <w:rPr>
          <w:sz w:val="20"/>
          <w:szCs w:val="20"/>
          <w:color w:val="auto"/>
        </w:rPr>
      </w:pPr>
      <w:r>
        <w:rPr>
          <w:rFonts w:ascii="Arial" w:cs="Arial" w:eastAsia="Arial" w:hAnsi="Arial"/>
          <w:sz w:val="32"/>
          <w:szCs w:val="32"/>
          <w:b w:val="1"/>
          <w:bCs w:val="1"/>
          <w:color w:val="D52B1E"/>
        </w:rPr>
        <w:t>Board Leadership and Composition Highlights</w:t>
      </w:r>
    </w:p>
    <w:p>
      <w:pPr>
        <w:spacing w:after="0" w:line="178" w:lineRule="exact"/>
        <w:rPr>
          <w:sz w:val="20"/>
          <w:szCs w:val="20"/>
          <w:color w:val="auto"/>
        </w:rPr>
      </w:pPr>
    </w:p>
    <w:p>
      <w:pPr>
        <w:spacing w:after="0"/>
        <w:rPr>
          <w:sz w:val="20"/>
          <w:szCs w:val="20"/>
          <w:color w:val="auto"/>
        </w:rPr>
      </w:pPr>
      <w:r>
        <w:rPr>
          <w:rFonts w:ascii="Arial" w:cs="Arial" w:eastAsia="Arial" w:hAnsi="Arial"/>
          <w:sz w:val="25"/>
          <w:szCs w:val="25"/>
          <w:b w:val="1"/>
          <w:bCs w:val="1"/>
          <w:color w:val="00A1DE"/>
        </w:rPr>
        <w:t>Director Nominee Snapshot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57607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99"/>
              </w:rPr>
              <w:t>Other</w:t>
            </w:r>
          </w:p>
        </w:tc>
        <w:tc>
          <w:tcPr>
            <w:tcW w:w="21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rPr>
              <w:t>Director</w:t>
            </w: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99"/>
              </w:rPr>
              <w:t>Public</w:t>
            </w:r>
          </w:p>
        </w:tc>
        <w:tc>
          <w:tcPr>
            <w:tcW w:w="2140" w:type="dxa"/>
            <w:vAlign w:val="bottom"/>
          </w:tcPr>
          <w:p>
            <w:pPr>
              <w:spacing w:after="0"/>
              <w:rPr>
                <w:sz w:val="18"/>
                <w:szCs w:val="18"/>
                <w:color w:val="auto"/>
              </w:rPr>
            </w:pPr>
          </w:p>
        </w:tc>
        <w:tc>
          <w:tcPr>
            <w:tcW w:w="1620" w:type="dxa"/>
            <w:vAlign w:val="bottom"/>
          </w:tcPr>
          <w:p>
            <w:pPr>
              <w:ind w:left="440"/>
              <w:spacing w:after="0"/>
              <w:rPr>
                <w:sz w:val="20"/>
                <w:szCs w:val="20"/>
                <w:color w:val="auto"/>
              </w:rPr>
            </w:pPr>
            <w:r>
              <w:rPr>
                <w:rFonts w:ascii="Arial" w:cs="Arial" w:eastAsia="Arial" w:hAnsi="Arial"/>
                <w:sz w:val="18"/>
                <w:szCs w:val="18"/>
                <w:b w:val="1"/>
                <w:bCs w:val="1"/>
                <w:color w:val="auto"/>
              </w:rPr>
              <w:t>Committee</w:t>
            </w:r>
          </w:p>
        </w:tc>
        <w:tc>
          <w:tcPr>
            <w:tcW w:w="0" w:type="dxa"/>
            <w:vAlign w:val="bottom"/>
          </w:tcPr>
          <w:p>
            <w:pPr>
              <w:spacing w:after="0"/>
              <w:rPr>
                <w:sz w:val="1"/>
                <w:szCs w:val="1"/>
                <w:color w:val="auto"/>
              </w:rPr>
            </w:pPr>
          </w:p>
        </w:tc>
      </w:tr>
      <w:tr>
        <w:trPr>
          <w:trHeight w:val="255"/>
        </w:trPr>
        <w:tc>
          <w:tcPr>
            <w:tcW w:w="1260" w:type="dxa"/>
            <w:vAlign w:val="bottom"/>
            <w:tcBorders>
              <w:bottom w:val="single" w:sz="8" w:color="6D6D6D"/>
            </w:tcBorders>
          </w:tcPr>
          <w:p>
            <w:pPr>
              <w:spacing w:after="0"/>
              <w:rPr>
                <w:sz w:val="22"/>
                <w:szCs w:val="22"/>
                <w:color w:val="auto"/>
              </w:rPr>
            </w:pPr>
          </w:p>
        </w:tc>
        <w:tc>
          <w:tcPr>
            <w:tcW w:w="1840" w:type="dxa"/>
            <w:vAlign w:val="bottom"/>
            <w:tcBorders>
              <w:bottom w:val="single" w:sz="8" w:color="6D6D6D"/>
            </w:tcBorders>
          </w:tcPr>
          <w:p>
            <w:pPr>
              <w:ind w:left="660"/>
              <w:spacing w:after="0"/>
              <w:rPr>
                <w:sz w:val="20"/>
                <w:szCs w:val="20"/>
                <w:color w:val="auto"/>
              </w:rPr>
            </w:pPr>
            <w:r>
              <w:rPr>
                <w:rFonts w:ascii="Arial" w:cs="Arial" w:eastAsia="Arial" w:hAnsi="Arial"/>
                <w:sz w:val="18"/>
                <w:szCs w:val="18"/>
                <w:b w:val="1"/>
                <w:bCs w:val="1"/>
                <w:color w:val="auto"/>
              </w:rPr>
              <w:t>Name</w:t>
            </w:r>
          </w:p>
        </w:tc>
        <w:tc>
          <w:tcPr>
            <w:tcW w:w="540" w:type="dxa"/>
            <w:vAlign w:val="bottom"/>
            <w:tcBorders>
              <w:bottom w:val="single" w:sz="8" w:color="6D6D6D"/>
            </w:tcBorders>
          </w:tcPr>
          <w:p>
            <w:pPr>
              <w:jc w:val="center"/>
              <w:spacing w:after="0"/>
              <w:rPr>
                <w:sz w:val="20"/>
                <w:szCs w:val="20"/>
                <w:color w:val="auto"/>
              </w:rPr>
            </w:pPr>
            <w:r>
              <w:rPr>
                <w:rFonts w:ascii="Arial" w:cs="Arial" w:eastAsia="Arial" w:hAnsi="Arial"/>
                <w:sz w:val="18"/>
                <w:szCs w:val="18"/>
                <w:b w:val="1"/>
                <w:bCs w:val="1"/>
                <w:color w:val="auto"/>
                <w:w w:val="99"/>
              </w:rPr>
              <w:t>Age</w:t>
            </w:r>
          </w:p>
        </w:tc>
        <w:tc>
          <w:tcPr>
            <w:tcW w:w="900" w:type="dxa"/>
            <w:vAlign w:val="bottom"/>
            <w:tcBorders>
              <w:bottom w:val="single" w:sz="8" w:color="6D6D6D"/>
            </w:tcBorders>
          </w:tcPr>
          <w:p>
            <w:pPr>
              <w:jc w:val="center"/>
              <w:spacing w:after="0"/>
              <w:rPr>
                <w:sz w:val="20"/>
                <w:szCs w:val="20"/>
                <w:color w:val="auto"/>
              </w:rPr>
            </w:pPr>
            <w:r>
              <w:rPr>
                <w:rFonts w:ascii="Arial" w:cs="Arial" w:eastAsia="Arial" w:hAnsi="Arial"/>
                <w:sz w:val="18"/>
                <w:szCs w:val="18"/>
                <w:b w:val="1"/>
                <w:bCs w:val="1"/>
                <w:color w:val="auto"/>
                <w:w w:val="99"/>
              </w:rPr>
              <w:t>Since</w:t>
            </w:r>
          </w:p>
        </w:tc>
        <w:tc>
          <w:tcPr>
            <w:tcW w:w="780" w:type="dxa"/>
            <w:vAlign w:val="bottom"/>
            <w:tcBorders>
              <w:bottom w:val="single" w:sz="8" w:color="6D6D6D"/>
            </w:tcBorders>
          </w:tcPr>
          <w:p>
            <w:pPr>
              <w:jc w:val="center"/>
              <w:spacing w:after="0"/>
              <w:rPr>
                <w:sz w:val="20"/>
                <w:szCs w:val="20"/>
                <w:color w:val="auto"/>
              </w:rPr>
            </w:pPr>
            <w:r>
              <w:rPr>
                <w:rFonts w:ascii="Arial" w:cs="Arial" w:eastAsia="Arial" w:hAnsi="Arial"/>
                <w:sz w:val="18"/>
                <w:szCs w:val="18"/>
                <w:b w:val="1"/>
                <w:bCs w:val="1"/>
                <w:color w:val="auto"/>
                <w:w w:val="99"/>
              </w:rPr>
              <w:t>Boards</w:t>
            </w:r>
          </w:p>
        </w:tc>
        <w:tc>
          <w:tcPr>
            <w:tcW w:w="2140" w:type="dxa"/>
            <w:vAlign w:val="bottom"/>
            <w:tcBorders>
              <w:bottom w:val="single" w:sz="8" w:color="6D6D6D"/>
            </w:tcBorders>
          </w:tcPr>
          <w:p>
            <w:pPr>
              <w:ind w:left="160"/>
              <w:spacing w:after="0"/>
              <w:rPr>
                <w:sz w:val="20"/>
                <w:szCs w:val="20"/>
                <w:color w:val="auto"/>
              </w:rPr>
            </w:pPr>
            <w:r>
              <w:rPr>
                <w:rFonts w:ascii="Arial" w:cs="Arial" w:eastAsia="Arial" w:hAnsi="Arial"/>
                <w:sz w:val="18"/>
                <w:szCs w:val="18"/>
                <w:b w:val="1"/>
                <w:bCs w:val="1"/>
                <w:color w:val="auto"/>
              </w:rPr>
              <w:t>Principal Occupation</w:t>
            </w:r>
          </w:p>
        </w:tc>
        <w:tc>
          <w:tcPr>
            <w:tcW w:w="1620" w:type="dxa"/>
            <w:vAlign w:val="bottom"/>
            <w:tcBorders>
              <w:bottom w:val="single" w:sz="8" w:color="6D6D6D"/>
            </w:tcBorders>
          </w:tcPr>
          <w:p>
            <w:pPr>
              <w:ind w:left="380"/>
              <w:spacing w:after="0"/>
              <w:rPr>
                <w:sz w:val="20"/>
                <w:szCs w:val="20"/>
                <w:color w:val="auto"/>
              </w:rPr>
            </w:pPr>
            <w:r>
              <w:rPr>
                <w:rFonts w:ascii="Arial" w:cs="Arial" w:eastAsia="Arial" w:hAnsi="Arial"/>
                <w:sz w:val="18"/>
                <w:szCs w:val="18"/>
                <w:b w:val="1"/>
                <w:bCs w:val="1"/>
                <w:color w:val="auto"/>
              </w:rPr>
              <w:t>Membership</w:t>
            </w:r>
          </w:p>
        </w:tc>
        <w:tc>
          <w:tcPr>
            <w:tcW w:w="0" w:type="dxa"/>
            <w:vAlign w:val="bottom"/>
          </w:tcPr>
          <w:p>
            <w:pPr>
              <w:spacing w:after="0"/>
              <w:rPr>
                <w:sz w:val="1"/>
                <w:szCs w:val="1"/>
                <w:color w:val="auto"/>
              </w:rPr>
            </w:pPr>
          </w:p>
        </w:tc>
      </w:tr>
      <w:tr>
        <w:trPr>
          <w:trHeight w:val="275"/>
        </w:trPr>
        <w:tc>
          <w:tcPr>
            <w:tcW w:w="1260" w:type="dxa"/>
            <w:vAlign w:val="bottom"/>
          </w:tcPr>
          <w:p>
            <w:pPr>
              <w:spacing w:after="0"/>
              <w:rPr>
                <w:sz w:val="23"/>
                <w:szCs w:val="23"/>
                <w:color w:val="auto"/>
              </w:rPr>
            </w:pPr>
          </w:p>
        </w:tc>
        <w:tc>
          <w:tcPr>
            <w:tcW w:w="1840" w:type="dxa"/>
            <w:vAlign w:val="bottom"/>
            <w:shd w:val="clear" w:color="auto" w:fill="F2F2F2"/>
          </w:tcPr>
          <w:p>
            <w:pPr>
              <w:spacing w:after="0"/>
              <w:rPr>
                <w:sz w:val="23"/>
                <w:szCs w:val="23"/>
                <w:color w:val="auto"/>
              </w:rPr>
            </w:pPr>
          </w:p>
        </w:tc>
        <w:tc>
          <w:tcPr>
            <w:tcW w:w="540" w:type="dxa"/>
            <w:vAlign w:val="bottom"/>
            <w:shd w:val="clear" w:color="auto" w:fill="F2F2F2"/>
          </w:tcPr>
          <w:p>
            <w:pPr>
              <w:spacing w:after="0"/>
              <w:rPr>
                <w:sz w:val="23"/>
                <w:szCs w:val="23"/>
                <w:color w:val="auto"/>
              </w:rPr>
            </w:pPr>
          </w:p>
        </w:tc>
        <w:tc>
          <w:tcPr>
            <w:tcW w:w="900" w:type="dxa"/>
            <w:vAlign w:val="bottom"/>
            <w:shd w:val="clear" w:color="auto" w:fill="F2F2F2"/>
          </w:tcPr>
          <w:p>
            <w:pPr>
              <w:spacing w:after="0"/>
              <w:rPr>
                <w:sz w:val="23"/>
                <w:szCs w:val="23"/>
                <w:color w:val="auto"/>
              </w:rPr>
            </w:pPr>
          </w:p>
        </w:tc>
        <w:tc>
          <w:tcPr>
            <w:tcW w:w="780" w:type="dxa"/>
            <w:vAlign w:val="bottom"/>
            <w:shd w:val="clear" w:color="auto" w:fill="F2F2F2"/>
          </w:tcPr>
          <w:p>
            <w:pPr>
              <w:spacing w:after="0"/>
              <w:rPr>
                <w:sz w:val="23"/>
                <w:szCs w:val="23"/>
                <w:color w:val="auto"/>
              </w:rPr>
            </w:pPr>
          </w:p>
        </w:tc>
        <w:tc>
          <w:tcPr>
            <w:tcW w:w="2140" w:type="dxa"/>
            <w:vAlign w:val="bottom"/>
            <w:shd w:val="clear" w:color="auto" w:fill="F2F2F2"/>
          </w:tcPr>
          <w:p>
            <w:pPr>
              <w:spacing w:after="0"/>
              <w:rPr>
                <w:sz w:val="23"/>
                <w:szCs w:val="23"/>
                <w:color w:val="auto"/>
              </w:rPr>
            </w:pPr>
          </w:p>
        </w:tc>
        <w:tc>
          <w:tcPr>
            <w:tcW w:w="1620" w:type="dxa"/>
            <w:vAlign w:val="bottom"/>
            <w:shd w:val="clear" w:color="auto" w:fill="F2F2F2"/>
          </w:tcPr>
          <w:p>
            <w:pPr>
              <w:ind w:left="120"/>
              <w:spacing w:after="0"/>
              <w:rPr>
                <w:sz w:val="20"/>
                <w:szCs w:val="20"/>
                <w:color w:val="auto"/>
              </w:rPr>
            </w:pPr>
            <w:r>
              <w:rPr>
                <w:rFonts w:ascii="Arial" w:cs="Arial" w:eastAsia="Arial" w:hAnsi="Arial"/>
                <w:sz w:val="14"/>
                <w:szCs w:val="14"/>
                <w:color w:val="auto"/>
              </w:rPr>
              <w:t>Audit</w:t>
            </w:r>
          </w:p>
        </w:tc>
        <w:tc>
          <w:tcPr>
            <w:tcW w:w="0" w:type="dxa"/>
            <w:vAlign w:val="bottom"/>
          </w:tcPr>
          <w:p>
            <w:pPr>
              <w:spacing w:after="0"/>
              <w:rPr>
                <w:sz w:val="1"/>
                <w:szCs w:val="1"/>
                <w:color w:val="auto"/>
              </w:rPr>
            </w:pPr>
          </w:p>
        </w:tc>
      </w:tr>
      <w:tr>
        <w:trPr>
          <w:trHeight w:val="323"/>
        </w:trPr>
        <w:tc>
          <w:tcPr>
            <w:tcW w:w="1260" w:type="dxa"/>
            <w:vAlign w:val="bottom"/>
          </w:tcPr>
          <w:p>
            <w:pPr>
              <w:spacing w:after="0"/>
              <w:rPr>
                <w:sz w:val="24"/>
                <w:szCs w:val="24"/>
                <w:color w:val="auto"/>
              </w:rPr>
            </w:pPr>
          </w:p>
        </w:tc>
        <w:tc>
          <w:tcPr>
            <w:tcW w:w="1840" w:type="dxa"/>
            <w:vAlign w:val="bottom"/>
            <w:vMerge w:val="restart"/>
            <w:shd w:val="clear" w:color="auto" w:fill="F2F2F2"/>
          </w:tcPr>
          <w:p>
            <w:pPr>
              <w:ind w:left="20"/>
              <w:spacing w:after="0"/>
              <w:rPr>
                <w:sz w:val="20"/>
                <w:szCs w:val="20"/>
                <w:color w:val="auto"/>
              </w:rPr>
            </w:pPr>
            <w:r>
              <w:rPr>
                <w:rFonts w:ascii="Arial" w:cs="Arial" w:eastAsia="Arial" w:hAnsi="Arial"/>
                <w:sz w:val="22"/>
                <w:szCs w:val="22"/>
                <w:b w:val="1"/>
                <w:bCs w:val="1"/>
                <w:color w:val="auto"/>
              </w:rPr>
              <w:t>Ralph Alvarez</w:t>
            </w:r>
          </w:p>
        </w:tc>
        <w:tc>
          <w:tcPr>
            <w:tcW w:w="540" w:type="dxa"/>
            <w:vAlign w:val="bottom"/>
            <w:vMerge w:val="restart"/>
            <w:shd w:val="clear" w:color="auto" w:fill="F2F2F2"/>
          </w:tcPr>
          <w:p>
            <w:pPr>
              <w:jc w:val="center"/>
              <w:spacing w:after="0"/>
              <w:rPr>
                <w:sz w:val="20"/>
                <w:szCs w:val="20"/>
                <w:color w:val="auto"/>
              </w:rPr>
            </w:pPr>
            <w:r>
              <w:rPr>
                <w:rFonts w:ascii="Arial" w:cs="Arial" w:eastAsia="Arial" w:hAnsi="Arial"/>
                <w:sz w:val="14"/>
                <w:szCs w:val="14"/>
                <w:color w:val="auto"/>
              </w:rPr>
              <w:t>69</w:t>
            </w:r>
          </w:p>
        </w:tc>
        <w:tc>
          <w:tcPr>
            <w:tcW w:w="900" w:type="dxa"/>
            <w:vAlign w:val="bottom"/>
            <w:vMerge w:val="restart"/>
            <w:shd w:val="clear" w:color="auto" w:fill="F2F2F2"/>
          </w:tcPr>
          <w:p>
            <w:pPr>
              <w:jc w:val="center"/>
              <w:spacing w:after="0"/>
              <w:rPr>
                <w:sz w:val="20"/>
                <w:szCs w:val="20"/>
                <w:color w:val="auto"/>
              </w:rPr>
            </w:pPr>
            <w:r>
              <w:rPr>
                <w:rFonts w:ascii="Arial" w:cs="Arial" w:eastAsia="Arial" w:hAnsi="Arial"/>
                <w:sz w:val="14"/>
                <w:szCs w:val="14"/>
                <w:color w:val="auto"/>
              </w:rPr>
              <w:t>2009</w:t>
            </w:r>
          </w:p>
        </w:tc>
        <w:tc>
          <w:tcPr>
            <w:tcW w:w="780" w:type="dxa"/>
            <w:vAlign w:val="bottom"/>
            <w:vMerge w:val="restart"/>
            <w:shd w:val="clear" w:color="auto" w:fill="F2F2F2"/>
          </w:tcPr>
          <w:p>
            <w:pPr>
              <w:jc w:val="center"/>
              <w:spacing w:after="0"/>
              <w:rPr>
                <w:sz w:val="20"/>
                <w:szCs w:val="20"/>
                <w:color w:val="auto"/>
              </w:rPr>
            </w:pPr>
            <w:r>
              <w:rPr>
                <w:rFonts w:ascii="Arial" w:cs="Arial" w:eastAsia="Arial" w:hAnsi="Arial"/>
                <w:sz w:val="14"/>
                <w:szCs w:val="14"/>
                <w:color w:val="auto"/>
              </w:rPr>
              <w:t>3</w:t>
            </w:r>
          </w:p>
        </w:tc>
        <w:tc>
          <w:tcPr>
            <w:tcW w:w="2140" w:type="dxa"/>
            <w:vAlign w:val="bottom"/>
            <w:shd w:val="clear" w:color="auto" w:fill="F2F2F2"/>
          </w:tcPr>
          <w:p>
            <w:pPr>
              <w:ind w:left="80"/>
              <w:spacing w:after="0"/>
              <w:rPr>
                <w:sz w:val="20"/>
                <w:szCs w:val="20"/>
                <w:color w:val="auto"/>
              </w:rPr>
            </w:pPr>
            <w:r>
              <w:rPr>
                <w:rFonts w:ascii="Arial" w:cs="Arial" w:eastAsia="Arial" w:hAnsi="Arial"/>
                <w:sz w:val="14"/>
                <w:szCs w:val="14"/>
                <w:color w:val="auto"/>
              </w:rPr>
              <w:t>Operating Partner, Advent</w:t>
            </w:r>
          </w:p>
        </w:tc>
        <w:tc>
          <w:tcPr>
            <w:tcW w:w="1620" w:type="dxa"/>
            <w:vAlign w:val="bottom"/>
            <w:vMerge w:val="restart"/>
            <w:shd w:val="clear" w:color="auto" w:fill="F2F2F2"/>
          </w:tcPr>
          <w:p>
            <w:pPr>
              <w:ind w:left="120"/>
              <w:spacing w:after="0"/>
              <w:rPr>
                <w:sz w:val="20"/>
                <w:szCs w:val="20"/>
                <w:color w:val="auto"/>
              </w:rPr>
            </w:pPr>
            <w:r>
              <w:rPr>
                <w:rFonts w:ascii="Arial" w:cs="Arial" w:eastAsia="Arial" w:hAnsi="Arial"/>
                <w:sz w:val="14"/>
                <w:szCs w:val="14"/>
                <w:color w:val="auto"/>
              </w:rPr>
              <w:t>Talent and</w:t>
            </w:r>
          </w:p>
        </w:tc>
        <w:tc>
          <w:tcPr>
            <w:tcW w:w="0" w:type="dxa"/>
            <w:vAlign w:val="bottom"/>
          </w:tcPr>
          <w:p>
            <w:pPr>
              <w:spacing w:after="0"/>
              <w:rPr>
                <w:sz w:val="1"/>
                <w:szCs w:val="1"/>
                <w:color w:val="auto"/>
              </w:rPr>
            </w:pPr>
          </w:p>
        </w:tc>
      </w:tr>
      <w:tr>
        <w:trPr>
          <w:trHeight w:val="144"/>
        </w:trPr>
        <w:tc>
          <w:tcPr>
            <w:tcW w:w="1260" w:type="dxa"/>
            <w:vAlign w:val="bottom"/>
          </w:tcPr>
          <w:p>
            <w:pPr>
              <w:spacing w:after="0"/>
              <w:rPr>
                <w:sz w:val="12"/>
                <w:szCs w:val="12"/>
                <w:color w:val="auto"/>
              </w:rPr>
            </w:pPr>
          </w:p>
        </w:tc>
        <w:tc>
          <w:tcPr>
            <w:tcW w:w="1840" w:type="dxa"/>
            <w:vAlign w:val="bottom"/>
            <w:vMerge w:val="continue"/>
            <w:shd w:val="clear" w:color="auto" w:fill="F2F2F2"/>
          </w:tcPr>
          <w:p>
            <w:pPr>
              <w:spacing w:after="0"/>
              <w:rPr>
                <w:sz w:val="12"/>
                <w:szCs w:val="12"/>
                <w:color w:val="auto"/>
              </w:rPr>
            </w:pPr>
          </w:p>
        </w:tc>
        <w:tc>
          <w:tcPr>
            <w:tcW w:w="540" w:type="dxa"/>
            <w:vAlign w:val="bottom"/>
            <w:vMerge w:val="continue"/>
            <w:shd w:val="clear" w:color="auto" w:fill="F2F2F2"/>
          </w:tcPr>
          <w:p>
            <w:pPr>
              <w:spacing w:after="0"/>
              <w:rPr>
                <w:sz w:val="12"/>
                <w:szCs w:val="12"/>
                <w:color w:val="auto"/>
              </w:rPr>
            </w:pPr>
          </w:p>
        </w:tc>
        <w:tc>
          <w:tcPr>
            <w:tcW w:w="900" w:type="dxa"/>
            <w:vAlign w:val="bottom"/>
            <w:vMerge w:val="continue"/>
            <w:shd w:val="clear" w:color="auto" w:fill="F2F2F2"/>
          </w:tcPr>
          <w:p>
            <w:pPr>
              <w:spacing w:after="0"/>
              <w:rPr>
                <w:sz w:val="12"/>
                <w:szCs w:val="12"/>
                <w:color w:val="auto"/>
              </w:rPr>
            </w:pPr>
          </w:p>
        </w:tc>
        <w:tc>
          <w:tcPr>
            <w:tcW w:w="780" w:type="dxa"/>
            <w:vAlign w:val="bottom"/>
            <w:vMerge w:val="continue"/>
            <w:shd w:val="clear" w:color="auto" w:fill="F2F2F2"/>
          </w:tcPr>
          <w:p>
            <w:pPr>
              <w:spacing w:after="0"/>
              <w:rPr>
                <w:sz w:val="12"/>
                <w:szCs w:val="12"/>
                <w:color w:val="auto"/>
              </w:rPr>
            </w:pPr>
          </w:p>
        </w:tc>
        <w:tc>
          <w:tcPr>
            <w:tcW w:w="2140" w:type="dxa"/>
            <w:vAlign w:val="bottom"/>
            <w:shd w:val="clear" w:color="auto" w:fill="F2F2F2"/>
          </w:tcPr>
          <w:p>
            <w:pPr>
              <w:ind w:left="80"/>
              <w:spacing w:after="0" w:line="145" w:lineRule="exact"/>
              <w:rPr>
                <w:sz w:val="20"/>
                <w:szCs w:val="20"/>
                <w:color w:val="auto"/>
              </w:rPr>
            </w:pPr>
            <w:r>
              <w:rPr>
                <w:rFonts w:ascii="Arial" w:cs="Arial" w:eastAsia="Arial" w:hAnsi="Arial"/>
                <w:sz w:val="14"/>
                <w:szCs w:val="14"/>
                <w:color w:val="auto"/>
              </w:rPr>
              <w:t>International Corporation</w:t>
            </w:r>
          </w:p>
        </w:tc>
        <w:tc>
          <w:tcPr>
            <w:tcW w:w="1620" w:type="dxa"/>
            <w:vAlign w:val="bottom"/>
            <w:vMerge w:val="continue"/>
            <w:shd w:val="clear" w:color="auto" w:fill="F2F2F2"/>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260" w:type="dxa"/>
            <w:vAlign w:val="bottom"/>
          </w:tcPr>
          <w:p>
            <w:pPr>
              <w:spacing w:after="0"/>
              <w:rPr>
                <w:sz w:val="16"/>
                <w:szCs w:val="16"/>
                <w:color w:val="auto"/>
              </w:rPr>
            </w:pPr>
          </w:p>
        </w:tc>
        <w:tc>
          <w:tcPr>
            <w:tcW w:w="1840" w:type="dxa"/>
            <w:vAlign w:val="bottom"/>
            <w:shd w:val="clear" w:color="auto" w:fill="F2F2F2"/>
          </w:tcPr>
          <w:p>
            <w:pPr>
              <w:ind w:left="20"/>
              <w:spacing w:after="0"/>
              <w:rPr>
                <w:sz w:val="20"/>
                <w:szCs w:val="20"/>
                <w:color w:val="auto"/>
              </w:rPr>
            </w:pPr>
            <w:r>
              <w:rPr>
                <w:rFonts w:ascii="Arial" w:cs="Arial" w:eastAsia="Arial" w:hAnsi="Arial"/>
                <w:sz w:val="14"/>
                <w:szCs w:val="14"/>
                <w:color w:val="auto"/>
              </w:rPr>
              <w:t>Independent Director</w:t>
            </w:r>
          </w:p>
        </w:tc>
        <w:tc>
          <w:tcPr>
            <w:tcW w:w="540" w:type="dxa"/>
            <w:vAlign w:val="bottom"/>
            <w:shd w:val="clear" w:color="auto" w:fill="F2F2F2"/>
          </w:tcPr>
          <w:p>
            <w:pPr>
              <w:spacing w:after="0"/>
              <w:rPr>
                <w:sz w:val="16"/>
                <w:szCs w:val="16"/>
                <w:color w:val="auto"/>
              </w:rPr>
            </w:pPr>
          </w:p>
        </w:tc>
        <w:tc>
          <w:tcPr>
            <w:tcW w:w="900" w:type="dxa"/>
            <w:vAlign w:val="bottom"/>
            <w:shd w:val="clear" w:color="auto" w:fill="F2F2F2"/>
          </w:tcPr>
          <w:p>
            <w:pPr>
              <w:spacing w:after="0"/>
              <w:rPr>
                <w:sz w:val="16"/>
                <w:szCs w:val="16"/>
                <w:color w:val="auto"/>
              </w:rPr>
            </w:pPr>
          </w:p>
        </w:tc>
        <w:tc>
          <w:tcPr>
            <w:tcW w:w="780" w:type="dxa"/>
            <w:vAlign w:val="bottom"/>
            <w:shd w:val="clear" w:color="auto" w:fill="F2F2F2"/>
          </w:tcPr>
          <w:p>
            <w:pPr>
              <w:spacing w:after="0"/>
              <w:rPr>
                <w:sz w:val="16"/>
                <w:szCs w:val="16"/>
                <w:color w:val="auto"/>
              </w:rPr>
            </w:pPr>
          </w:p>
        </w:tc>
        <w:tc>
          <w:tcPr>
            <w:tcW w:w="2140" w:type="dxa"/>
            <w:vAlign w:val="bottom"/>
            <w:shd w:val="clear" w:color="auto" w:fill="F2F2F2"/>
          </w:tcPr>
          <w:p>
            <w:pPr>
              <w:spacing w:after="0"/>
              <w:rPr>
                <w:sz w:val="16"/>
                <w:szCs w:val="16"/>
                <w:color w:val="auto"/>
              </w:rPr>
            </w:pPr>
          </w:p>
        </w:tc>
        <w:tc>
          <w:tcPr>
            <w:tcW w:w="1620" w:type="dxa"/>
            <w:vAlign w:val="bottom"/>
            <w:shd w:val="clear" w:color="auto" w:fill="F2F2F2"/>
          </w:tcPr>
          <w:p>
            <w:pPr>
              <w:ind w:left="120"/>
              <w:spacing w:after="0"/>
              <w:rPr>
                <w:sz w:val="20"/>
                <w:szCs w:val="20"/>
                <w:color w:val="auto"/>
              </w:rPr>
            </w:pPr>
            <w:r>
              <w:rPr>
                <w:rFonts w:ascii="Arial" w:cs="Arial" w:eastAsia="Arial" w:hAnsi="Arial"/>
                <w:sz w:val="14"/>
                <w:szCs w:val="14"/>
                <w:color w:val="auto"/>
              </w:rPr>
              <w:t>Compensation (Chair)</w:t>
            </w:r>
          </w:p>
        </w:tc>
        <w:tc>
          <w:tcPr>
            <w:tcW w:w="0" w:type="dxa"/>
            <w:vAlign w:val="bottom"/>
          </w:tcPr>
          <w:p>
            <w:pPr>
              <w:spacing w:after="0"/>
              <w:rPr>
                <w:sz w:val="1"/>
                <w:szCs w:val="1"/>
                <w:color w:val="auto"/>
              </w:rPr>
            </w:pPr>
          </w:p>
        </w:tc>
      </w:tr>
      <w:tr>
        <w:trPr>
          <w:trHeight w:val="292"/>
        </w:trPr>
        <w:tc>
          <w:tcPr>
            <w:tcW w:w="1260" w:type="dxa"/>
            <w:vAlign w:val="bottom"/>
          </w:tcPr>
          <w:p>
            <w:pPr>
              <w:spacing w:after="0"/>
              <w:rPr>
                <w:sz w:val="24"/>
                <w:szCs w:val="24"/>
                <w:color w:val="auto"/>
              </w:rPr>
            </w:pPr>
          </w:p>
        </w:tc>
        <w:tc>
          <w:tcPr>
            <w:tcW w:w="1840" w:type="dxa"/>
            <w:vAlign w:val="bottom"/>
            <w:shd w:val="clear" w:color="auto" w:fill="F2F2F2"/>
          </w:tcPr>
          <w:p>
            <w:pPr>
              <w:spacing w:after="0"/>
              <w:rPr>
                <w:sz w:val="24"/>
                <w:szCs w:val="24"/>
                <w:color w:val="auto"/>
              </w:rPr>
            </w:pPr>
          </w:p>
        </w:tc>
        <w:tc>
          <w:tcPr>
            <w:tcW w:w="540" w:type="dxa"/>
            <w:vAlign w:val="bottom"/>
            <w:shd w:val="clear" w:color="auto" w:fill="F2F2F2"/>
          </w:tcPr>
          <w:p>
            <w:pPr>
              <w:spacing w:after="0"/>
              <w:rPr>
                <w:sz w:val="24"/>
                <w:szCs w:val="24"/>
                <w:color w:val="auto"/>
              </w:rPr>
            </w:pPr>
          </w:p>
        </w:tc>
        <w:tc>
          <w:tcPr>
            <w:tcW w:w="900" w:type="dxa"/>
            <w:vAlign w:val="bottom"/>
            <w:shd w:val="clear" w:color="auto" w:fill="F2F2F2"/>
          </w:tcPr>
          <w:p>
            <w:pPr>
              <w:spacing w:after="0"/>
              <w:rPr>
                <w:sz w:val="24"/>
                <w:szCs w:val="24"/>
                <w:color w:val="auto"/>
              </w:rPr>
            </w:pPr>
          </w:p>
        </w:tc>
        <w:tc>
          <w:tcPr>
            <w:tcW w:w="780" w:type="dxa"/>
            <w:vAlign w:val="bottom"/>
            <w:shd w:val="clear" w:color="auto" w:fill="F2F2F2"/>
          </w:tcPr>
          <w:p>
            <w:pPr>
              <w:spacing w:after="0"/>
              <w:rPr>
                <w:sz w:val="24"/>
                <w:szCs w:val="24"/>
                <w:color w:val="auto"/>
              </w:rPr>
            </w:pPr>
          </w:p>
        </w:tc>
        <w:tc>
          <w:tcPr>
            <w:tcW w:w="2140" w:type="dxa"/>
            <w:vAlign w:val="bottom"/>
            <w:shd w:val="clear" w:color="auto" w:fill="F2F2F2"/>
          </w:tcPr>
          <w:p>
            <w:pPr>
              <w:spacing w:after="0"/>
              <w:rPr>
                <w:sz w:val="24"/>
                <w:szCs w:val="24"/>
                <w:color w:val="auto"/>
              </w:rPr>
            </w:pPr>
          </w:p>
        </w:tc>
        <w:tc>
          <w:tcPr>
            <w:tcW w:w="1620" w:type="dxa"/>
            <w:vAlign w:val="bottom"/>
            <w:shd w:val="clear" w:color="auto" w:fill="F2F2F2"/>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1260" w:type="dxa"/>
            <w:vAlign w:val="bottom"/>
          </w:tcPr>
          <w:p>
            <w:pPr>
              <w:spacing w:after="0"/>
              <w:rPr>
                <w:sz w:val="23"/>
                <w:szCs w:val="23"/>
                <w:color w:val="auto"/>
              </w:rPr>
            </w:pPr>
          </w:p>
        </w:tc>
        <w:tc>
          <w:tcPr>
            <w:tcW w:w="1840" w:type="dxa"/>
            <w:vAlign w:val="bottom"/>
            <w:vMerge w:val="restart"/>
          </w:tcPr>
          <w:p>
            <w:pPr>
              <w:ind w:left="20"/>
              <w:spacing w:after="0"/>
              <w:rPr>
                <w:sz w:val="20"/>
                <w:szCs w:val="20"/>
                <w:color w:val="auto"/>
              </w:rPr>
            </w:pPr>
            <w:r>
              <w:rPr>
                <w:rFonts w:ascii="Arial" w:cs="Arial" w:eastAsia="Arial" w:hAnsi="Arial"/>
                <w:sz w:val="20"/>
                <w:szCs w:val="20"/>
                <w:b w:val="1"/>
                <w:bCs w:val="1"/>
                <w:color w:val="auto"/>
              </w:rPr>
              <w:t>Mary Lynne</w:t>
            </w:r>
          </w:p>
        </w:tc>
        <w:tc>
          <w:tcPr>
            <w:tcW w:w="5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140" w:type="dxa"/>
            <w:vAlign w:val="bottom"/>
            <w:vMerge w:val="restart"/>
          </w:tcPr>
          <w:p>
            <w:pPr>
              <w:ind w:left="80"/>
              <w:spacing w:after="0"/>
              <w:rPr>
                <w:sz w:val="20"/>
                <w:szCs w:val="20"/>
                <w:color w:val="auto"/>
              </w:rPr>
            </w:pPr>
            <w:r>
              <w:rPr>
                <w:rFonts w:ascii="Arial" w:cs="Arial" w:eastAsia="Arial" w:hAnsi="Arial"/>
                <w:sz w:val="14"/>
                <w:szCs w:val="14"/>
                <w:color w:val="auto"/>
              </w:rPr>
              <w:t>Senior Scientific Fellow, Broad</w:t>
            </w:r>
          </w:p>
        </w:tc>
        <w:tc>
          <w:tcPr>
            <w:tcW w:w="1620" w:type="dxa"/>
            <w:vAlign w:val="bottom"/>
          </w:tcPr>
          <w:p>
            <w:pPr>
              <w:ind w:left="120"/>
              <w:spacing w:after="0"/>
              <w:rPr>
                <w:sz w:val="20"/>
                <w:szCs w:val="20"/>
                <w:color w:val="auto"/>
              </w:rPr>
            </w:pPr>
            <w:r>
              <w:rPr>
                <w:rFonts w:ascii="Arial" w:cs="Arial" w:eastAsia="Arial" w:hAnsi="Arial"/>
                <w:sz w:val="14"/>
                <w:szCs w:val="14"/>
                <w:color w:val="auto"/>
              </w:rPr>
              <w:t>Ethics and Compliance</w:t>
            </w:r>
          </w:p>
        </w:tc>
        <w:tc>
          <w:tcPr>
            <w:tcW w:w="0" w:type="dxa"/>
            <w:vAlign w:val="bottom"/>
          </w:tcPr>
          <w:p>
            <w:pPr>
              <w:spacing w:after="0"/>
              <w:rPr>
                <w:sz w:val="1"/>
                <w:szCs w:val="1"/>
                <w:color w:val="auto"/>
              </w:rPr>
            </w:pPr>
          </w:p>
        </w:tc>
      </w:tr>
      <w:tr>
        <w:trPr>
          <w:trHeight w:val="170"/>
        </w:trPr>
        <w:tc>
          <w:tcPr>
            <w:tcW w:w="1260" w:type="dxa"/>
            <w:vAlign w:val="bottom"/>
          </w:tcPr>
          <w:p>
            <w:pPr>
              <w:spacing w:after="0"/>
              <w:rPr>
                <w:sz w:val="14"/>
                <w:szCs w:val="14"/>
                <w:color w:val="auto"/>
              </w:rPr>
            </w:pPr>
          </w:p>
        </w:tc>
        <w:tc>
          <w:tcPr>
            <w:tcW w:w="184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140" w:type="dxa"/>
            <w:vAlign w:val="bottom"/>
            <w:vMerge w:val="continue"/>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260" w:type="dxa"/>
            <w:vAlign w:val="bottom"/>
          </w:tcPr>
          <w:p>
            <w:pPr>
              <w:spacing w:after="0"/>
              <w:rPr>
                <w:sz w:val="13"/>
                <w:szCs w:val="13"/>
                <w:color w:val="auto"/>
              </w:rPr>
            </w:pPr>
          </w:p>
        </w:tc>
        <w:tc>
          <w:tcPr>
            <w:tcW w:w="1840" w:type="dxa"/>
            <w:vAlign w:val="bottom"/>
            <w:vMerge w:val="restart"/>
          </w:tcPr>
          <w:p>
            <w:pPr>
              <w:ind w:left="20"/>
              <w:spacing w:after="0"/>
              <w:rPr>
                <w:sz w:val="20"/>
                <w:szCs w:val="20"/>
                <w:color w:val="auto"/>
              </w:rPr>
            </w:pPr>
            <w:r>
              <w:rPr>
                <w:rFonts w:ascii="Arial" w:cs="Arial" w:eastAsia="Arial" w:hAnsi="Arial"/>
                <w:sz w:val="20"/>
                <w:szCs w:val="20"/>
                <w:b w:val="1"/>
                <w:bCs w:val="1"/>
                <w:color w:val="auto"/>
              </w:rPr>
              <w:t>Hedley</w:t>
            </w:r>
          </w:p>
        </w:tc>
        <w:tc>
          <w:tcPr>
            <w:tcW w:w="540" w:type="dxa"/>
            <w:vAlign w:val="bottom"/>
            <w:vMerge w:val="restart"/>
          </w:tcPr>
          <w:p>
            <w:pPr>
              <w:jc w:val="center"/>
              <w:spacing w:after="0"/>
              <w:rPr>
                <w:sz w:val="20"/>
                <w:szCs w:val="20"/>
                <w:color w:val="auto"/>
              </w:rPr>
            </w:pPr>
            <w:r>
              <w:rPr>
                <w:rFonts w:ascii="Arial" w:cs="Arial" w:eastAsia="Arial" w:hAnsi="Arial"/>
                <w:sz w:val="14"/>
                <w:szCs w:val="14"/>
                <w:color w:val="auto"/>
              </w:rPr>
              <w:t>62</w:t>
            </w:r>
          </w:p>
        </w:tc>
        <w:tc>
          <w:tcPr>
            <w:tcW w:w="900" w:type="dxa"/>
            <w:vAlign w:val="bottom"/>
            <w:vMerge w:val="restart"/>
          </w:tcPr>
          <w:p>
            <w:pPr>
              <w:jc w:val="center"/>
              <w:spacing w:after="0"/>
              <w:rPr>
                <w:sz w:val="20"/>
                <w:szCs w:val="20"/>
                <w:color w:val="auto"/>
              </w:rPr>
            </w:pPr>
            <w:r>
              <w:rPr>
                <w:rFonts w:ascii="Arial" w:cs="Arial" w:eastAsia="Arial" w:hAnsi="Arial"/>
                <w:sz w:val="14"/>
                <w:szCs w:val="14"/>
                <w:color w:val="auto"/>
              </w:rPr>
              <w:t>2022</w:t>
            </w:r>
          </w:p>
        </w:tc>
        <w:tc>
          <w:tcPr>
            <w:tcW w:w="780" w:type="dxa"/>
            <w:vAlign w:val="bottom"/>
            <w:vMerge w:val="restart"/>
          </w:tcPr>
          <w:p>
            <w:pPr>
              <w:jc w:val="center"/>
              <w:spacing w:after="0"/>
              <w:rPr>
                <w:sz w:val="20"/>
                <w:szCs w:val="20"/>
                <w:color w:val="auto"/>
              </w:rPr>
            </w:pPr>
            <w:r>
              <w:rPr>
                <w:rFonts w:ascii="Arial" w:cs="Arial" w:eastAsia="Arial" w:hAnsi="Arial"/>
                <w:sz w:val="14"/>
                <w:szCs w:val="14"/>
                <w:color w:val="auto"/>
              </w:rPr>
              <w:t>2</w:t>
            </w:r>
          </w:p>
        </w:tc>
        <w:tc>
          <w:tcPr>
            <w:tcW w:w="2140" w:type="dxa"/>
            <w:vAlign w:val="bottom"/>
          </w:tcPr>
          <w:p>
            <w:pPr>
              <w:ind w:left="80"/>
              <w:spacing w:after="0" w:line="153" w:lineRule="exact"/>
              <w:rPr>
                <w:sz w:val="20"/>
                <w:szCs w:val="20"/>
                <w:color w:val="auto"/>
              </w:rPr>
            </w:pPr>
            <w:r>
              <w:rPr>
                <w:rFonts w:ascii="Arial" w:cs="Arial" w:eastAsia="Arial" w:hAnsi="Arial"/>
                <w:sz w:val="14"/>
                <w:szCs w:val="14"/>
                <w:color w:val="auto"/>
              </w:rPr>
              <w:t>Institute of Harvard and MIT</w:t>
            </w:r>
          </w:p>
        </w:tc>
        <w:tc>
          <w:tcPr>
            <w:tcW w:w="1620" w:type="dxa"/>
            <w:vAlign w:val="bottom"/>
            <w:vMerge w:val="restart"/>
          </w:tcPr>
          <w:p>
            <w:pPr>
              <w:ind w:left="120"/>
              <w:spacing w:after="0"/>
              <w:rPr>
                <w:sz w:val="20"/>
                <w:szCs w:val="20"/>
                <w:color w:val="auto"/>
              </w:rPr>
            </w:pPr>
            <w:r>
              <w:rPr>
                <w:rFonts w:ascii="Arial" w:cs="Arial" w:eastAsia="Arial" w:hAnsi="Arial"/>
                <w:sz w:val="14"/>
                <w:szCs w:val="14"/>
                <w:color w:val="auto"/>
              </w:rPr>
              <w:t>Science and</w:t>
            </w:r>
          </w:p>
        </w:tc>
        <w:tc>
          <w:tcPr>
            <w:tcW w:w="0" w:type="dxa"/>
            <w:vAlign w:val="bottom"/>
          </w:tcPr>
          <w:p>
            <w:pPr>
              <w:spacing w:after="0"/>
              <w:rPr>
                <w:sz w:val="1"/>
                <w:szCs w:val="1"/>
                <w:color w:val="auto"/>
              </w:rPr>
            </w:pPr>
          </w:p>
        </w:tc>
      </w:tr>
      <w:tr>
        <w:trPr>
          <w:trHeight w:val="144"/>
        </w:trPr>
        <w:tc>
          <w:tcPr>
            <w:tcW w:w="1260" w:type="dxa"/>
            <w:vAlign w:val="bottom"/>
          </w:tcPr>
          <w:p>
            <w:pPr>
              <w:spacing w:after="0"/>
              <w:rPr>
                <w:sz w:val="12"/>
                <w:szCs w:val="12"/>
                <w:color w:val="auto"/>
              </w:rPr>
            </w:pPr>
          </w:p>
        </w:tc>
        <w:tc>
          <w:tcPr>
            <w:tcW w:w="184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2140" w:type="dxa"/>
            <w:vAlign w:val="bottom"/>
          </w:tcPr>
          <w:p>
            <w:pPr>
              <w:ind w:left="80"/>
              <w:spacing w:after="0" w:line="145" w:lineRule="exact"/>
              <w:rPr>
                <w:sz w:val="20"/>
                <w:szCs w:val="20"/>
                <w:color w:val="auto"/>
              </w:rPr>
            </w:pPr>
            <w:r>
              <w:rPr>
                <w:rFonts w:ascii="Arial" w:cs="Arial" w:eastAsia="Arial" w:hAnsi="Arial"/>
                <w:sz w:val="14"/>
                <w:szCs w:val="14"/>
                <w:color w:val="auto"/>
              </w:rPr>
              <w:t>and Venture Partner, Third</w:t>
            </w:r>
          </w:p>
        </w:tc>
        <w:tc>
          <w:tcPr>
            <w:tcW w:w="1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35"/>
        </w:trPr>
        <w:tc>
          <w:tcPr>
            <w:tcW w:w="1260" w:type="dxa"/>
            <w:vAlign w:val="bottom"/>
          </w:tcPr>
          <w:p>
            <w:pPr>
              <w:spacing w:after="0"/>
              <w:rPr>
                <w:sz w:val="20"/>
                <w:szCs w:val="20"/>
                <w:color w:val="auto"/>
              </w:rPr>
            </w:pPr>
          </w:p>
        </w:tc>
        <w:tc>
          <w:tcPr>
            <w:tcW w:w="1840" w:type="dxa"/>
            <w:vAlign w:val="bottom"/>
          </w:tcPr>
          <w:p>
            <w:pPr>
              <w:ind w:left="20"/>
              <w:spacing w:after="0"/>
              <w:rPr>
                <w:sz w:val="20"/>
                <w:szCs w:val="20"/>
                <w:color w:val="auto"/>
              </w:rPr>
            </w:pPr>
            <w:r>
              <w:rPr>
                <w:rFonts w:ascii="Arial" w:cs="Arial" w:eastAsia="Arial" w:hAnsi="Arial"/>
                <w:sz w:val="14"/>
                <w:szCs w:val="14"/>
                <w:color w:val="auto"/>
              </w:rPr>
              <w:t>Independent Director</w:t>
            </w:r>
          </w:p>
        </w:tc>
        <w:tc>
          <w:tcPr>
            <w:tcW w:w="5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140" w:type="dxa"/>
            <w:vAlign w:val="bottom"/>
          </w:tcPr>
          <w:p>
            <w:pPr>
              <w:ind w:left="80"/>
              <w:spacing w:after="0"/>
              <w:rPr>
                <w:sz w:val="20"/>
                <w:szCs w:val="20"/>
                <w:color w:val="auto"/>
              </w:rPr>
            </w:pPr>
            <w:r>
              <w:rPr>
                <w:rFonts w:ascii="Arial" w:cs="Arial" w:eastAsia="Arial" w:hAnsi="Arial"/>
                <w:sz w:val="14"/>
                <w:szCs w:val="14"/>
                <w:color w:val="auto"/>
              </w:rPr>
              <w:t>Rock Ventures</w:t>
            </w:r>
          </w:p>
        </w:tc>
        <w:tc>
          <w:tcPr>
            <w:tcW w:w="1620" w:type="dxa"/>
            <w:vAlign w:val="bottom"/>
          </w:tcPr>
          <w:p>
            <w:pPr>
              <w:ind w:left="120"/>
              <w:spacing w:after="0"/>
              <w:rPr>
                <w:sz w:val="20"/>
                <w:szCs w:val="20"/>
                <w:color w:val="auto"/>
              </w:rPr>
            </w:pPr>
            <w:r>
              <w:rPr>
                <w:rFonts w:ascii="Arial" w:cs="Arial" w:eastAsia="Arial" w:hAnsi="Arial"/>
                <w:sz w:val="14"/>
                <w:szCs w:val="14"/>
                <w:color w:val="auto"/>
              </w:rPr>
              <w:t>Technology</w:t>
            </w:r>
          </w:p>
        </w:tc>
        <w:tc>
          <w:tcPr>
            <w:tcW w:w="0" w:type="dxa"/>
            <w:vAlign w:val="bottom"/>
          </w:tcPr>
          <w:p>
            <w:pPr>
              <w:spacing w:after="0"/>
              <w:rPr>
                <w:sz w:val="1"/>
                <w:szCs w:val="1"/>
                <w:color w:val="auto"/>
              </w:rPr>
            </w:pPr>
          </w:p>
        </w:tc>
      </w:tr>
      <w:tr>
        <w:trPr>
          <w:trHeight w:val="251"/>
        </w:trPr>
        <w:tc>
          <w:tcPr>
            <w:tcW w:w="126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1"/>
        </w:trPr>
        <w:tc>
          <w:tcPr>
            <w:tcW w:w="1260" w:type="dxa"/>
            <w:vAlign w:val="bottom"/>
          </w:tcPr>
          <w:p>
            <w:pPr>
              <w:spacing w:after="0"/>
              <w:rPr>
                <w:sz w:val="22"/>
                <w:szCs w:val="22"/>
                <w:color w:val="auto"/>
              </w:rPr>
            </w:pPr>
          </w:p>
        </w:tc>
        <w:tc>
          <w:tcPr>
            <w:tcW w:w="1840" w:type="dxa"/>
            <w:vAlign w:val="bottom"/>
            <w:shd w:val="clear" w:color="auto" w:fill="F2F2F2"/>
          </w:tcPr>
          <w:p>
            <w:pPr>
              <w:spacing w:after="0"/>
              <w:rPr>
                <w:sz w:val="22"/>
                <w:szCs w:val="22"/>
                <w:color w:val="auto"/>
              </w:rPr>
            </w:pPr>
          </w:p>
        </w:tc>
        <w:tc>
          <w:tcPr>
            <w:tcW w:w="540" w:type="dxa"/>
            <w:vAlign w:val="bottom"/>
            <w:shd w:val="clear" w:color="auto" w:fill="F2F2F2"/>
          </w:tcPr>
          <w:p>
            <w:pPr>
              <w:spacing w:after="0"/>
              <w:rPr>
                <w:sz w:val="22"/>
                <w:szCs w:val="22"/>
                <w:color w:val="auto"/>
              </w:rPr>
            </w:pPr>
          </w:p>
        </w:tc>
        <w:tc>
          <w:tcPr>
            <w:tcW w:w="900" w:type="dxa"/>
            <w:vAlign w:val="bottom"/>
            <w:shd w:val="clear" w:color="auto" w:fill="F2F2F2"/>
          </w:tcPr>
          <w:p>
            <w:pPr>
              <w:spacing w:after="0"/>
              <w:rPr>
                <w:sz w:val="22"/>
                <w:szCs w:val="22"/>
                <w:color w:val="auto"/>
              </w:rPr>
            </w:pPr>
          </w:p>
        </w:tc>
        <w:tc>
          <w:tcPr>
            <w:tcW w:w="780" w:type="dxa"/>
            <w:vAlign w:val="bottom"/>
            <w:shd w:val="clear" w:color="auto" w:fill="F2F2F2"/>
          </w:tcPr>
          <w:p>
            <w:pPr>
              <w:spacing w:after="0"/>
              <w:rPr>
                <w:sz w:val="22"/>
                <w:szCs w:val="22"/>
                <w:color w:val="auto"/>
              </w:rPr>
            </w:pPr>
          </w:p>
        </w:tc>
        <w:tc>
          <w:tcPr>
            <w:tcW w:w="2140" w:type="dxa"/>
            <w:vAlign w:val="bottom"/>
            <w:shd w:val="clear" w:color="auto" w:fill="F2F2F2"/>
          </w:tcPr>
          <w:p>
            <w:pPr>
              <w:spacing w:after="0"/>
              <w:rPr>
                <w:sz w:val="22"/>
                <w:szCs w:val="22"/>
                <w:color w:val="auto"/>
              </w:rPr>
            </w:pPr>
          </w:p>
        </w:tc>
        <w:tc>
          <w:tcPr>
            <w:tcW w:w="1620" w:type="dxa"/>
            <w:vAlign w:val="bottom"/>
            <w:shd w:val="clear" w:color="auto" w:fill="F2F2F2"/>
          </w:tcPr>
          <w:p>
            <w:pPr>
              <w:ind w:left="120"/>
              <w:spacing w:after="0"/>
              <w:rPr>
                <w:sz w:val="20"/>
                <w:szCs w:val="20"/>
                <w:color w:val="auto"/>
              </w:rPr>
            </w:pPr>
            <w:r>
              <w:rPr>
                <w:rFonts w:ascii="Arial" w:cs="Arial" w:eastAsia="Arial" w:hAnsi="Arial"/>
                <w:sz w:val="14"/>
                <w:szCs w:val="14"/>
                <w:color w:val="auto"/>
              </w:rPr>
              <w:t>Talent and</w:t>
            </w:r>
          </w:p>
        </w:tc>
        <w:tc>
          <w:tcPr>
            <w:tcW w:w="0" w:type="dxa"/>
            <w:vAlign w:val="bottom"/>
          </w:tcPr>
          <w:p>
            <w:pPr>
              <w:spacing w:after="0"/>
              <w:rPr>
                <w:sz w:val="1"/>
                <w:szCs w:val="1"/>
                <w:color w:val="auto"/>
              </w:rPr>
            </w:pPr>
          </w:p>
        </w:tc>
      </w:tr>
      <w:tr>
        <w:trPr>
          <w:trHeight w:val="190"/>
        </w:trPr>
        <w:tc>
          <w:tcPr>
            <w:tcW w:w="1260" w:type="dxa"/>
            <w:vAlign w:val="bottom"/>
          </w:tcPr>
          <w:p>
            <w:pPr>
              <w:spacing w:after="0"/>
              <w:rPr>
                <w:sz w:val="16"/>
                <w:szCs w:val="16"/>
                <w:color w:val="auto"/>
              </w:rPr>
            </w:pPr>
          </w:p>
        </w:tc>
        <w:tc>
          <w:tcPr>
            <w:tcW w:w="1840" w:type="dxa"/>
            <w:vAlign w:val="bottom"/>
            <w:shd w:val="clear" w:color="auto" w:fill="F2F2F2"/>
          </w:tcPr>
          <w:p>
            <w:pPr>
              <w:spacing w:after="0"/>
              <w:rPr>
                <w:sz w:val="16"/>
                <w:szCs w:val="16"/>
                <w:color w:val="auto"/>
              </w:rPr>
            </w:pPr>
          </w:p>
        </w:tc>
        <w:tc>
          <w:tcPr>
            <w:tcW w:w="540" w:type="dxa"/>
            <w:vAlign w:val="bottom"/>
            <w:shd w:val="clear" w:color="auto" w:fill="F2F2F2"/>
          </w:tcPr>
          <w:p>
            <w:pPr>
              <w:spacing w:after="0"/>
              <w:rPr>
                <w:sz w:val="16"/>
                <w:szCs w:val="16"/>
                <w:color w:val="auto"/>
              </w:rPr>
            </w:pPr>
          </w:p>
        </w:tc>
        <w:tc>
          <w:tcPr>
            <w:tcW w:w="900" w:type="dxa"/>
            <w:vAlign w:val="bottom"/>
            <w:shd w:val="clear" w:color="auto" w:fill="F2F2F2"/>
          </w:tcPr>
          <w:p>
            <w:pPr>
              <w:spacing w:after="0"/>
              <w:rPr>
                <w:sz w:val="16"/>
                <w:szCs w:val="16"/>
                <w:color w:val="auto"/>
              </w:rPr>
            </w:pPr>
          </w:p>
        </w:tc>
        <w:tc>
          <w:tcPr>
            <w:tcW w:w="780" w:type="dxa"/>
            <w:vAlign w:val="bottom"/>
            <w:shd w:val="clear" w:color="auto" w:fill="F2F2F2"/>
          </w:tcPr>
          <w:p>
            <w:pPr>
              <w:spacing w:after="0"/>
              <w:rPr>
                <w:sz w:val="16"/>
                <w:szCs w:val="16"/>
                <w:color w:val="auto"/>
              </w:rPr>
            </w:pPr>
          </w:p>
        </w:tc>
        <w:tc>
          <w:tcPr>
            <w:tcW w:w="2140" w:type="dxa"/>
            <w:vAlign w:val="bottom"/>
            <w:vMerge w:val="restart"/>
            <w:shd w:val="clear" w:color="auto" w:fill="F2F2F2"/>
          </w:tcPr>
          <w:p>
            <w:pPr>
              <w:ind w:left="80"/>
              <w:spacing w:after="0"/>
              <w:rPr>
                <w:sz w:val="20"/>
                <w:szCs w:val="20"/>
                <w:color w:val="auto"/>
              </w:rPr>
            </w:pPr>
            <w:r>
              <w:rPr>
                <w:rFonts w:ascii="Arial" w:cs="Arial" w:eastAsia="Arial" w:hAnsi="Arial"/>
                <w:sz w:val="14"/>
                <w:szCs w:val="14"/>
                <w:color w:val="auto"/>
              </w:rPr>
              <w:t>Vice President and Chief</w:t>
            </w:r>
          </w:p>
        </w:tc>
        <w:tc>
          <w:tcPr>
            <w:tcW w:w="1620" w:type="dxa"/>
            <w:vAlign w:val="bottom"/>
            <w:shd w:val="clear" w:color="auto" w:fill="F2F2F2"/>
          </w:tcPr>
          <w:p>
            <w:pPr>
              <w:ind w:left="120"/>
              <w:spacing w:after="0"/>
              <w:rPr>
                <w:sz w:val="20"/>
                <w:szCs w:val="20"/>
                <w:color w:val="auto"/>
              </w:rPr>
            </w:pPr>
            <w:r>
              <w:rPr>
                <w:rFonts w:ascii="Arial" w:cs="Arial" w:eastAsia="Arial" w:hAnsi="Arial"/>
                <w:sz w:val="14"/>
                <w:szCs w:val="14"/>
                <w:color w:val="auto"/>
              </w:rPr>
              <w:t>Compensation</w:t>
            </w:r>
          </w:p>
        </w:tc>
        <w:tc>
          <w:tcPr>
            <w:tcW w:w="0" w:type="dxa"/>
            <w:vAlign w:val="bottom"/>
          </w:tcPr>
          <w:p>
            <w:pPr>
              <w:spacing w:after="0"/>
              <w:rPr>
                <w:sz w:val="1"/>
                <w:szCs w:val="1"/>
                <w:color w:val="auto"/>
              </w:rPr>
            </w:pPr>
          </w:p>
        </w:tc>
      </w:tr>
      <w:tr>
        <w:trPr>
          <w:trHeight w:val="66"/>
        </w:trPr>
        <w:tc>
          <w:tcPr>
            <w:tcW w:w="1260" w:type="dxa"/>
            <w:vAlign w:val="bottom"/>
          </w:tcPr>
          <w:p>
            <w:pPr>
              <w:spacing w:after="0"/>
              <w:rPr>
                <w:sz w:val="5"/>
                <w:szCs w:val="5"/>
                <w:color w:val="auto"/>
              </w:rPr>
            </w:pPr>
          </w:p>
        </w:tc>
        <w:tc>
          <w:tcPr>
            <w:tcW w:w="1840" w:type="dxa"/>
            <w:vAlign w:val="bottom"/>
            <w:vMerge w:val="restart"/>
            <w:shd w:val="clear" w:color="auto" w:fill="F2F2F2"/>
          </w:tcPr>
          <w:p>
            <w:pPr>
              <w:ind w:left="20"/>
              <w:spacing w:after="0"/>
              <w:rPr>
                <w:sz w:val="20"/>
                <w:szCs w:val="20"/>
                <w:color w:val="auto"/>
              </w:rPr>
            </w:pPr>
            <w:r>
              <w:rPr>
                <w:rFonts w:ascii="Arial" w:cs="Arial" w:eastAsia="Arial" w:hAnsi="Arial"/>
                <w:sz w:val="20"/>
                <w:szCs w:val="20"/>
                <w:b w:val="1"/>
                <w:bCs w:val="1"/>
                <w:color w:val="auto"/>
              </w:rPr>
              <w:t>Kimberly Johnson</w:t>
            </w:r>
          </w:p>
        </w:tc>
        <w:tc>
          <w:tcPr>
            <w:tcW w:w="540" w:type="dxa"/>
            <w:vAlign w:val="bottom"/>
            <w:shd w:val="clear" w:color="auto" w:fill="F2F2F2"/>
          </w:tcPr>
          <w:p>
            <w:pPr>
              <w:spacing w:after="0"/>
              <w:rPr>
                <w:sz w:val="5"/>
                <w:szCs w:val="5"/>
                <w:color w:val="auto"/>
              </w:rPr>
            </w:pPr>
          </w:p>
        </w:tc>
        <w:tc>
          <w:tcPr>
            <w:tcW w:w="900" w:type="dxa"/>
            <w:vAlign w:val="bottom"/>
            <w:shd w:val="clear" w:color="auto" w:fill="F2F2F2"/>
          </w:tcPr>
          <w:p>
            <w:pPr>
              <w:spacing w:after="0"/>
              <w:rPr>
                <w:sz w:val="5"/>
                <w:szCs w:val="5"/>
                <w:color w:val="auto"/>
              </w:rPr>
            </w:pPr>
          </w:p>
        </w:tc>
        <w:tc>
          <w:tcPr>
            <w:tcW w:w="780" w:type="dxa"/>
            <w:vAlign w:val="bottom"/>
            <w:shd w:val="clear" w:color="auto" w:fill="F2F2F2"/>
          </w:tcPr>
          <w:p>
            <w:pPr>
              <w:spacing w:after="0"/>
              <w:rPr>
                <w:sz w:val="5"/>
                <w:szCs w:val="5"/>
                <w:color w:val="auto"/>
              </w:rPr>
            </w:pPr>
          </w:p>
        </w:tc>
        <w:tc>
          <w:tcPr>
            <w:tcW w:w="2140" w:type="dxa"/>
            <w:vAlign w:val="bottom"/>
            <w:vMerge w:val="continue"/>
            <w:shd w:val="clear" w:color="auto" w:fill="F2F2F2"/>
          </w:tcPr>
          <w:p>
            <w:pPr>
              <w:spacing w:after="0"/>
              <w:rPr>
                <w:sz w:val="5"/>
                <w:szCs w:val="5"/>
                <w:color w:val="auto"/>
              </w:rPr>
            </w:pPr>
          </w:p>
        </w:tc>
        <w:tc>
          <w:tcPr>
            <w:tcW w:w="1620" w:type="dxa"/>
            <w:vAlign w:val="bottom"/>
            <w:shd w:val="clear" w:color="auto" w:fill="F2F2F2"/>
          </w:tcPr>
          <w:p>
            <w:pPr>
              <w:spacing w:after="0"/>
              <w:rPr>
                <w:sz w:val="5"/>
                <w:szCs w:val="5"/>
                <w:color w:val="auto"/>
              </w:rPr>
            </w:pPr>
          </w:p>
        </w:tc>
        <w:tc>
          <w:tcPr>
            <w:tcW w:w="0" w:type="dxa"/>
            <w:vAlign w:val="bottom"/>
          </w:tcPr>
          <w:p>
            <w:pPr>
              <w:spacing w:after="0"/>
              <w:rPr>
                <w:sz w:val="1"/>
                <w:szCs w:val="1"/>
                <w:color w:val="auto"/>
              </w:rPr>
            </w:pPr>
          </w:p>
        </w:tc>
      </w:tr>
      <w:tr>
        <w:trPr>
          <w:trHeight w:val="185"/>
        </w:trPr>
        <w:tc>
          <w:tcPr>
            <w:tcW w:w="1260" w:type="dxa"/>
            <w:vAlign w:val="bottom"/>
          </w:tcPr>
          <w:p>
            <w:pPr>
              <w:spacing w:after="0"/>
              <w:rPr>
                <w:sz w:val="16"/>
                <w:szCs w:val="16"/>
                <w:color w:val="auto"/>
              </w:rPr>
            </w:pPr>
          </w:p>
        </w:tc>
        <w:tc>
          <w:tcPr>
            <w:tcW w:w="1840" w:type="dxa"/>
            <w:vAlign w:val="bottom"/>
            <w:vMerge w:val="continue"/>
            <w:shd w:val="clear" w:color="auto" w:fill="F2F2F2"/>
          </w:tcPr>
          <w:p>
            <w:pPr>
              <w:spacing w:after="0"/>
              <w:rPr>
                <w:sz w:val="16"/>
                <w:szCs w:val="16"/>
                <w:color w:val="auto"/>
              </w:rPr>
            </w:pPr>
          </w:p>
        </w:tc>
        <w:tc>
          <w:tcPr>
            <w:tcW w:w="54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52</w:t>
            </w:r>
          </w:p>
        </w:tc>
        <w:tc>
          <w:tcPr>
            <w:tcW w:w="90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2021</w:t>
            </w:r>
          </w:p>
        </w:tc>
        <w:tc>
          <w:tcPr>
            <w:tcW w:w="78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0</w:t>
            </w:r>
          </w:p>
        </w:tc>
        <w:tc>
          <w:tcPr>
            <w:tcW w:w="2140" w:type="dxa"/>
            <w:vAlign w:val="bottom"/>
            <w:shd w:val="clear" w:color="auto" w:fill="F2F2F2"/>
          </w:tcPr>
          <w:p>
            <w:pPr>
              <w:ind w:left="80"/>
              <w:spacing w:after="0"/>
              <w:rPr>
                <w:sz w:val="20"/>
                <w:szCs w:val="20"/>
                <w:color w:val="auto"/>
              </w:rPr>
            </w:pPr>
            <w:r>
              <w:rPr>
                <w:rFonts w:ascii="Arial" w:cs="Arial" w:eastAsia="Arial" w:hAnsi="Arial"/>
                <w:sz w:val="14"/>
                <w:szCs w:val="14"/>
                <w:color w:val="auto"/>
              </w:rPr>
              <w:t>Operating Officer, T. Rowe</w:t>
            </w:r>
          </w:p>
        </w:tc>
        <w:tc>
          <w:tcPr>
            <w:tcW w:w="1620" w:type="dxa"/>
            <w:vAlign w:val="bottom"/>
            <w:shd w:val="clear" w:color="auto" w:fill="F2F2F2"/>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260" w:type="dxa"/>
            <w:vAlign w:val="bottom"/>
          </w:tcPr>
          <w:p>
            <w:pPr>
              <w:spacing w:after="0"/>
              <w:rPr>
                <w:sz w:val="16"/>
                <w:szCs w:val="16"/>
                <w:color w:val="auto"/>
              </w:rPr>
            </w:pPr>
          </w:p>
        </w:tc>
        <w:tc>
          <w:tcPr>
            <w:tcW w:w="1840" w:type="dxa"/>
            <w:vAlign w:val="bottom"/>
            <w:vMerge w:val="restart"/>
            <w:shd w:val="clear" w:color="auto" w:fill="F2F2F2"/>
          </w:tcPr>
          <w:p>
            <w:pPr>
              <w:ind w:left="20"/>
              <w:spacing w:after="0"/>
              <w:rPr>
                <w:sz w:val="20"/>
                <w:szCs w:val="20"/>
                <w:color w:val="auto"/>
              </w:rPr>
            </w:pPr>
            <w:r>
              <w:rPr>
                <w:rFonts w:ascii="Arial" w:cs="Arial" w:eastAsia="Arial" w:hAnsi="Arial"/>
                <w:sz w:val="14"/>
                <w:szCs w:val="14"/>
                <w:color w:val="auto"/>
              </w:rPr>
              <w:t>Independent Director</w:t>
            </w:r>
          </w:p>
        </w:tc>
        <w:tc>
          <w:tcPr>
            <w:tcW w:w="540" w:type="dxa"/>
            <w:vAlign w:val="bottom"/>
            <w:shd w:val="clear" w:color="auto" w:fill="F2F2F2"/>
          </w:tcPr>
          <w:p>
            <w:pPr>
              <w:spacing w:after="0"/>
              <w:rPr>
                <w:sz w:val="16"/>
                <w:szCs w:val="16"/>
                <w:color w:val="auto"/>
              </w:rPr>
            </w:pPr>
          </w:p>
        </w:tc>
        <w:tc>
          <w:tcPr>
            <w:tcW w:w="900" w:type="dxa"/>
            <w:vAlign w:val="bottom"/>
            <w:shd w:val="clear" w:color="auto" w:fill="F2F2F2"/>
          </w:tcPr>
          <w:p>
            <w:pPr>
              <w:spacing w:after="0"/>
              <w:rPr>
                <w:sz w:val="16"/>
                <w:szCs w:val="16"/>
                <w:color w:val="auto"/>
              </w:rPr>
            </w:pPr>
          </w:p>
        </w:tc>
        <w:tc>
          <w:tcPr>
            <w:tcW w:w="780" w:type="dxa"/>
            <w:vAlign w:val="bottom"/>
            <w:shd w:val="clear" w:color="auto" w:fill="F2F2F2"/>
          </w:tcPr>
          <w:p>
            <w:pPr>
              <w:spacing w:after="0"/>
              <w:rPr>
                <w:sz w:val="16"/>
                <w:szCs w:val="16"/>
                <w:color w:val="auto"/>
              </w:rPr>
            </w:pPr>
          </w:p>
        </w:tc>
        <w:tc>
          <w:tcPr>
            <w:tcW w:w="2140" w:type="dxa"/>
            <w:vAlign w:val="bottom"/>
            <w:shd w:val="clear" w:color="auto" w:fill="F2F2F2"/>
          </w:tcPr>
          <w:p>
            <w:pPr>
              <w:ind w:left="80"/>
              <w:spacing w:after="0"/>
              <w:rPr>
                <w:sz w:val="20"/>
                <w:szCs w:val="20"/>
                <w:color w:val="auto"/>
              </w:rPr>
            </w:pPr>
            <w:r>
              <w:rPr>
                <w:rFonts w:ascii="Arial" w:cs="Arial" w:eastAsia="Arial" w:hAnsi="Arial"/>
                <w:sz w:val="14"/>
                <w:szCs w:val="14"/>
                <w:color w:val="auto"/>
              </w:rPr>
              <w:t>Price Group, Inc.</w:t>
            </w:r>
          </w:p>
        </w:tc>
        <w:tc>
          <w:tcPr>
            <w:tcW w:w="1620" w:type="dxa"/>
            <w:vAlign w:val="bottom"/>
            <w:vMerge w:val="restart"/>
            <w:shd w:val="clear" w:color="auto" w:fill="F2F2F2"/>
          </w:tcPr>
          <w:p>
            <w:pPr>
              <w:ind w:left="120"/>
              <w:spacing w:after="0"/>
              <w:rPr>
                <w:sz w:val="20"/>
                <w:szCs w:val="20"/>
                <w:color w:val="auto"/>
              </w:rPr>
            </w:pPr>
            <w:r>
              <w:rPr>
                <w:rFonts w:ascii="Arial" w:cs="Arial" w:eastAsia="Arial" w:hAnsi="Arial"/>
                <w:sz w:val="14"/>
                <w:szCs w:val="14"/>
                <w:color w:val="auto"/>
              </w:rPr>
              <w:t>Ethics and Compliance</w:t>
            </w:r>
          </w:p>
        </w:tc>
        <w:tc>
          <w:tcPr>
            <w:tcW w:w="0" w:type="dxa"/>
            <w:vAlign w:val="bottom"/>
          </w:tcPr>
          <w:p>
            <w:pPr>
              <w:spacing w:after="0"/>
              <w:rPr>
                <w:sz w:val="1"/>
                <w:szCs w:val="1"/>
                <w:color w:val="auto"/>
              </w:rPr>
            </w:pPr>
          </w:p>
        </w:tc>
      </w:tr>
      <w:tr>
        <w:trPr>
          <w:trHeight w:val="58"/>
        </w:trPr>
        <w:tc>
          <w:tcPr>
            <w:tcW w:w="1260" w:type="dxa"/>
            <w:vAlign w:val="bottom"/>
          </w:tcPr>
          <w:p>
            <w:pPr>
              <w:spacing w:after="0"/>
              <w:rPr>
                <w:sz w:val="5"/>
                <w:szCs w:val="5"/>
                <w:color w:val="auto"/>
              </w:rPr>
            </w:pPr>
          </w:p>
        </w:tc>
        <w:tc>
          <w:tcPr>
            <w:tcW w:w="1840" w:type="dxa"/>
            <w:vAlign w:val="bottom"/>
            <w:vMerge w:val="continue"/>
            <w:shd w:val="clear" w:color="auto" w:fill="F2F2F2"/>
          </w:tcPr>
          <w:p>
            <w:pPr>
              <w:spacing w:after="0"/>
              <w:rPr>
                <w:sz w:val="5"/>
                <w:szCs w:val="5"/>
                <w:color w:val="auto"/>
              </w:rPr>
            </w:pPr>
          </w:p>
        </w:tc>
        <w:tc>
          <w:tcPr>
            <w:tcW w:w="540" w:type="dxa"/>
            <w:vAlign w:val="bottom"/>
            <w:shd w:val="clear" w:color="auto" w:fill="F2F2F2"/>
          </w:tcPr>
          <w:p>
            <w:pPr>
              <w:spacing w:after="0"/>
              <w:rPr>
                <w:sz w:val="5"/>
                <w:szCs w:val="5"/>
                <w:color w:val="auto"/>
              </w:rPr>
            </w:pPr>
          </w:p>
        </w:tc>
        <w:tc>
          <w:tcPr>
            <w:tcW w:w="900" w:type="dxa"/>
            <w:vAlign w:val="bottom"/>
            <w:shd w:val="clear" w:color="auto" w:fill="F2F2F2"/>
          </w:tcPr>
          <w:p>
            <w:pPr>
              <w:spacing w:after="0"/>
              <w:rPr>
                <w:sz w:val="5"/>
                <w:szCs w:val="5"/>
                <w:color w:val="auto"/>
              </w:rPr>
            </w:pPr>
          </w:p>
        </w:tc>
        <w:tc>
          <w:tcPr>
            <w:tcW w:w="780" w:type="dxa"/>
            <w:vAlign w:val="bottom"/>
            <w:shd w:val="clear" w:color="auto" w:fill="F2F2F2"/>
          </w:tcPr>
          <w:p>
            <w:pPr>
              <w:spacing w:after="0"/>
              <w:rPr>
                <w:sz w:val="5"/>
                <w:szCs w:val="5"/>
                <w:color w:val="auto"/>
              </w:rPr>
            </w:pPr>
          </w:p>
        </w:tc>
        <w:tc>
          <w:tcPr>
            <w:tcW w:w="2140" w:type="dxa"/>
            <w:vAlign w:val="bottom"/>
            <w:shd w:val="clear" w:color="auto" w:fill="F2F2F2"/>
          </w:tcPr>
          <w:p>
            <w:pPr>
              <w:spacing w:after="0"/>
              <w:rPr>
                <w:sz w:val="5"/>
                <w:szCs w:val="5"/>
                <w:color w:val="auto"/>
              </w:rPr>
            </w:pPr>
          </w:p>
        </w:tc>
        <w:tc>
          <w:tcPr>
            <w:tcW w:w="1620" w:type="dxa"/>
            <w:vAlign w:val="bottom"/>
            <w:vMerge w:val="continue"/>
            <w:shd w:val="clear" w:color="auto" w:fill="F2F2F2"/>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1260" w:type="dxa"/>
            <w:vAlign w:val="bottom"/>
          </w:tcPr>
          <w:p>
            <w:pPr>
              <w:spacing w:after="0"/>
              <w:rPr>
                <w:sz w:val="24"/>
                <w:szCs w:val="24"/>
                <w:color w:val="auto"/>
              </w:rPr>
            </w:pPr>
          </w:p>
        </w:tc>
        <w:tc>
          <w:tcPr>
            <w:tcW w:w="1840" w:type="dxa"/>
            <w:vAlign w:val="bottom"/>
            <w:shd w:val="clear" w:color="auto" w:fill="F2F2F2"/>
          </w:tcPr>
          <w:p>
            <w:pPr>
              <w:spacing w:after="0"/>
              <w:rPr>
                <w:sz w:val="24"/>
                <w:szCs w:val="24"/>
                <w:color w:val="auto"/>
              </w:rPr>
            </w:pPr>
          </w:p>
        </w:tc>
        <w:tc>
          <w:tcPr>
            <w:tcW w:w="540" w:type="dxa"/>
            <w:vAlign w:val="bottom"/>
            <w:shd w:val="clear" w:color="auto" w:fill="F2F2F2"/>
          </w:tcPr>
          <w:p>
            <w:pPr>
              <w:spacing w:after="0"/>
              <w:rPr>
                <w:sz w:val="24"/>
                <w:szCs w:val="24"/>
                <w:color w:val="auto"/>
              </w:rPr>
            </w:pPr>
          </w:p>
        </w:tc>
        <w:tc>
          <w:tcPr>
            <w:tcW w:w="900" w:type="dxa"/>
            <w:vAlign w:val="bottom"/>
            <w:shd w:val="clear" w:color="auto" w:fill="F2F2F2"/>
          </w:tcPr>
          <w:p>
            <w:pPr>
              <w:spacing w:after="0"/>
              <w:rPr>
                <w:sz w:val="24"/>
                <w:szCs w:val="24"/>
                <w:color w:val="auto"/>
              </w:rPr>
            </w:pPr>
          </w:p>
        </w:tc>
        <w:tc>
          <w:tcPr>
            <w:tcW w:w="780" w:type="dxa"/>
            <w:vAlign w:val="bottom"/>
            <w:shd w:val="clear" w:color="auto" w:fill="F2F2F2"/>
          </w:tcPr>
          <w:p>
            <w:pPr>
              <w:spacing w:after="0"/>
              <w:rPr>
                <w:sz w:val="24"/>
                <w:szCs w:val="24"/>
                <w:color w:val="auto"/>
              </w:rPr>
            </w:pPr>
          </w:p>
        </w:tc>
        <w:tc>
          <w:tcPr>
            <w:tcW w:w="2140" w:type="dxa"/>
            <w:vAlign w:val="bottom"/>
            <w:shd w:val="clear" w:color="auto" w:fill="F2F2F2"/>
          </w:tcPr>
          <w:p>
            <w:pPr>
              <w:spacing w:after="0"/>
              <w:rPr>
                <w:sz w:val="24"/>
                <w:szCs w:val="24"/>
                <w:color w:val="auto"/>
              </w:rPr>
            </w:pPr>
          </w:p>
        </w:tc>
        <w:tc>
          <w:tcPr>
            <w:tcW w:w="1620" w:type="dxa"/>
            <w:vAlign w:val="bottom"/>
            <w:shd w:val="clear" w:color="auto" w:fill="F2F2F2"/>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126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1620" w:type="dxa"/>
            <w:vAlign w:val="bottom"/>
          </w:tcPr>
          <w:p>
            <w:pPr>
              <w:ind w:left="120"/>
              <w:spacing w:after="0"/>
              <w:rPr>
                <w:sz w:val="20"/>
                <w:szCs w:val="20"/>
                <w:color w:val="auto"/>
              </w:rPr>
            </w:pPr>
            <w:r>
              <w:rPr>
                <w:rFonts w:ascii="Arial" w:cs="Arial" w:eastAsia="Arial" w:hAnsi="Arial"/>
                <w:sz w:val="14"/>
                <w:szCs w:val="14"/>
                <w:color w:val="auto"/>
              </w:rPr>
              <w:t>Directors and</w:t>
            </w:r>
          </w:p>
        </w:tc>
        <w:tc>
          <w:tcPr>
            <w:tcW w:w="0" w:type="dxa"/>
            <w:vAlign w:val="bottom"/>
          </w:tcPr>
          <w:p>
            <w:pPr>
              <w:spacing w:after="0"/>
              <w:rPr>
                <w:sz w:val="1"/>
                <w:szCs w:val="1"/>
                <w:color w:val="auto"/>
              </w:rPr>
            </w:pPr>
          </w:p>
        </w:tc>
      </w:tr>
      <w:tr>
        <w:trPr>
          <w:trHeight w:val="162"/>
        </w:trPr>
        <w:tc>
          <w:tcPr>
            <w:tcW w:w="12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140" w:type="dxa"/>
            <w:vAlign w:val="bottom"/>
            <w:vMerge w:val="restart"/>
          </w:tcPr>
          <w:p>
            <w:pPr>
              <w:ind w:left="80"/>
              <w:spacing w:after="0"/>
              <w:rPr>
                <w:sz w:val="20"/>
                <w:szCs w:val="20"/>
                <w:color w:val="auto"/>
              </w:rPr>
            </w:pPr>
            <w:r>
              <w:rPr>
                <w:rFonts w:ascii="Arial" w:cs="Arial" w:eastAsia="Arial" w:hAnsi="Arial"/>
                <w:sz w:val="14"/>
                <w:szCs w:val="14"/>
                <w:color w:val="auto"/>
              </w:rPr>
              <w:t>Chairman, Chief Executive</w:t>
            </w:r>
          </w:p>
        </w:tc>
        <w:tc>
          <w:tcPr>
            <w:tcW w:w="1620" w:type="dxa"/>
            <w:vAlign w:val="bottom"/>
          </w:tcPr>
          <w:p>
            <w:pPr>
              <w:ind w:left="120"/>
              <w:spacing w:after="0"/>
              <w:rPr>
                <w:sz w:val="20"/>
                <w:szCs w:val="20"/>
                <w:color w:val="auto"/>
              </w:rPr>
            </w:pPr>
            <w:r>
              <w:rPr>
                <w:rFonts w:ascii="Arial" w:cs="Arial" w:eastAsia="Arial" w:hAnsi="Arial"/>
                <w:sz w:val="14"/>
                <w:szCs w:val="14"/>
                <w:color w:val="auto"/>
              </w:rPr>
              <w:t>Corporate Governance</w:t>
            </w:r>
          </w:p>
        </w:tc>
        <w:tc>
          <w:tcPr>
            <w:tcW w:w="0" w:type="dxa"/>
            <w:vAlign w:val="bottom"/>
          </w:tcPr>
          <w:p>
            <w:pPr>
              <w:spacing w:after="0"/>
              <w:rPr>
                <w:sz w:val="1"/>
                <w:szCs w:val="1"/>
                <w:color w:val="auto"/>
              </w:rPr>
            </w:pPr>
          </w:p>
        </w:tc>
      </w:tr>
      <w:tr>
        <w:trPr>
          <w:trHeight w:val="144"/>
        </w:trPr>
        <w:tc>
          <w:tcPr>
            <w:tcW w:w="1260" w:type="dxa"/>
            <w:vAlign w:val="bottom"/>
          </w:tcPr>
          <w:p>
            <w:pPr>
              <w:spacing w:after="0"/>
              <w:rPr>
                <w:sz w:val="12"/>
                <w:szCs w:val="12"/>
                <w:color w:val="auto"/>
              </w:rPr>
            </w:pPr>
          </w:p>
        </w:tc>
        <w:tc>
          <w:tcPr>
            <w:tcW w:w="1840" w:type="dxa"/>
            <w:vAlign w:val="bottom"/>
            <w:vMerge w:val="restart"/>
          </w:tcPr>
          <w:p>
            <w:pPr>
              <w:ind w:left="20"/>
              <w:spacing w:after="0"/>
              <w:rPr>
                <w:sz w:val="20"/>
                <w:szCs w:val="20"/>
                <w:color w:val="auto"/>
              </w:rPr>
            </w:pPr>
            <w:r>
              <w:rPr>
                <w:rFonts w:ascii="Arial" w:cs="Arial" w:eastAsia="Arial" w:hAnsi="Arial"/>
                <w:sz w:val="20"/>
                <w:szCs w:val="20"/>
                <w:b w:val="1"/>
                <w:bCs w:val="1"/>
                <w:color w:val="auto"/>
              </w:rPr>
              <w:t>Juan Luciano</w:t>
            </w:r>
          </w:p>
        </w:tc>
        <w:tc>
          <w:tcPr>
            <w:tcW w:w="540" w:type="dxa"/>
            <w:vAlign w:val="bottom"/>
            <w:vMerge w:val="restart"/>
          </w:tcPr>
          <w:p>
            <w:pPr>
              <w:jc w:val="center"/>
              <w:spacing w:after="0"/>
              <w:rPr>
                <w:sz w:val="20"/>
                <w:szCs w:val="20"/>
                <w:color w:val="auto"/>
              </w:rPr>
            </w:pPr>
            <w:r>
              <w:rPr>
                <w:rFonts w:ascii="Arial" w:cs="Arial" w:eastAsia="Arial" w:hAnsi="Arial"/>
                <w:sz w:val="14"/>
                <w:szCs w:val="14"/>
                <w:color w:val="auto"/>
              </w:rPr>
              <w:t>63</w:t>
            </w:r>
          </w:p>
        </w:tc>
        <w:tc>
          <w:tcPr>
            <w:tcW w:w="900" w:type="dxa"/>
            <w:vAlign w:val="bottom"/>
            <w:vMerge w:val="restart"/>
          </w:tcPr>
          <w:p>
            <w:pPr>
              <w:jc w:val="center"/>
              <w:spacing w:after="0"/>
              <w:rPr>
                <w:sz w:val="20"/>
                <w:szCs w:val="20"/>
                <w:color w:val="auto"/>
              </w:rPr>
            </w:pPr>
            <w:r>
              <w:rPr>
                <w:rFonts w:ascii="Arial" w:cs="Arial" w:eastAsia="Arial" w:hAnsi="Arial"/>
                <w:sz w:val="14"/>
                <w:szCs w:val="14"/>
                <w:color w:val="auto"/>
              </w:rPr>
              <w:t>2016</w:t>
            </w:r>
          </w:p>
        </w:tc>
        <w:tc>
          <w:tcPr>
            <w:tcW w:w="780" w:type="dxa"/>
            <w:vAlign w:val="bottom"/>
            <w:vMerge w:val="restart"/>
          </w:tcPr>
          <w:p>
            <w:pPr>
              <w:jc w:val="center"/>
              <w:spacing w:after="0"/>
              <w:rPr>
                <w:sz w:val="20"/>
                <w:szCs w:val="20"/>
                <w:color w:val="auto"/>
              </w:rPr>
            </w:pPr>
            <w:r>
              <w:rPr>
                <w:rFonts w:ascii="Arial" w:cs="Arial" w:eastAsia="Arial" w:hAnsi="Arial"/>
                <w:sz w:val="14"/>
                <w:szCs w:val="14"/>
                <w:color w:val="auto"/>
              </w:rPr>
              <w:t>1</w:t>
            </w:r>
          </w:p>
        </w:tc>
        <w:tc>
          <w:tcPr>
            <w:tcW w:w="2140" w:type="dxa"/>
            <w:vAlign w:val="bottom"/>
            <w:vMerge w:val="continue"/>
          </w:tcPr>
          <w:p>
            <w:pPr>
              <w:spacing w:after="0"/>
              <w:rPr>
                <w:sz w:val="12"/>
                <w:szCs w:val="12"/>
                <w:color w:val="auto"/>
              </w:rPr>
            </w:pPr>
          </w:p>
        </w:tc>
        <w:tc>
          <w:tcPr>
            <w:tcW w:w="1620" w:type="dxa"/>
            <w:vAlign w:val="bottom"/>
          </w:tcPr>
          <w:p>
            <w:pPr>
              <w:ind w:left="120"/>
              <w:spacing w:after="0" w:line="145" w:lineRule="exact"/>
              <w:rPr>
                <w:sz w:val="20"/>
                <w:szCs w:val="20"/>
                <w:color w:val="auto"/>
              </w:rPr>
            </w:pPr>
            <w:r>
              <w:rPr>
                <w:rFonts w:ascii="Arial" w:cs="Arial" w:eastAsia="Arial" w:hAnsi="Arial"/>
                <w:sz w:val="14"/>
                <w:szCs w:val="14"/>
                <w:color w:val="auto"/>
              </w:rPr>
              <w:t>(Chair)</w:t>
            </w:r>
          </w:p>
        </w:tc>
        <w:tc>
          <w:tcPr>
            <w:tcW w:w="0" w:type="dxa"/>
            <w:vAlign w:val="bottom"/>
          </w:tcPr>
          <w:p>
            <w:pPr>
              <w:spacing w:after="0"/>
              <w:rPr>
                <w:sz w:val="1"/>
                <w:szCs w:val="1"/>
                <w:color w:val="auto"/>
              </w:rPr>
            </w:pPr>
          </w:p>
        </w:tc>
      </w:tr>
      <w:tr>
        <w:trPr>
          <w:trHeight w:val="167"/>
        </w:trPr>
        <w:tc>
          <w:tcPr>
            <w:tcW w:w="1260" w:type="dxa"/>
            <w:vAlign w:val="bottom"/>
          </w:tcPr>
          <w:p>
            <w:pPr>
              <w:spacing w:after="0"/>
              <w:rPr>
                <w:sz w:val="14"/>
                <w:szCs w:val="14"/>
                <w:color w:val="auto"/>
              </w:rPr>
            </w:pPr>
          </w:p>
        </w:tc>
        <w:tc>
          <w:tcPr>
            <w:tcW w:w="184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2140" w:type="dxa"/>
            <w:vAlign w:val="bottom"/>
          </w:tcPr>
          <w:p>
            <w:pPr>
              <w:ind w:left="80"/>
              <w:spacing w:after="0"/>
              <w:rPr>
                <w:sz w:val="20"/>
                <w:szCs w:val="20"/>
                <w:color w:val="auto"/>
              </w:rPr>
            </w:pPr>
            <w:r>
              <w:rPr>
                <w:rFonts w:ascii="Arial" w:cs="Arial" w:eastAsia="Arial" w:hAnsi="Arial"/>
                <w:sz w:val="14"/>
                <w:szCs w:val="14"/>
                <w:color w:val="auto"/>
              </w:rPr>
              <w:t>Officer and President, Archer-</w:t>
            </w: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-2805430</wp:posOffset>
            </wp:positionV>
            <wp:extent cx="4791710" cy="30772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791710" cy="307721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5"/>
        </w:trPr>
        <w:tc>
          <w:tcPr>
            <w:tcW w:w="4200" w:type="dxa"/>
            <w:vAlign w:val="bottom"/>
            <w:vMerge w:val="restart"/>
          </w:tcPr>
          <w:p>
            <w:pPr>
              <w:ind w:left="1280"/>
              <w:spacing w:after="0"/>
              <w:rPr>
                <w:sz w:val="20"/>
                <w:szCs w:val="20"/>
                <w:color w:val="auto"/>
              </w:rPr>
            </w:pPr>
            <w:r>
              <w:rPr>
                <w:rFonts w:ascii="Arial" w:cs="Arial" w:eastAsia="Arial" w:hAnsi="Arial"/>
                <w:sz w:val="14"/>
                <w:szCs w:val="14"/>
                <w:color w:val="auto"/>
              </w:rPr>
              <w:t>Lead Independent Director</w:t>
            </w:r>
          </w:p>
        </w:tc>
        <w:tc>
          <w:tcPr>
            <w:tcW w:w="4880" w:type="dxa"/>
            <w:vAlign w:val="bottom"/>
          </w:tcPr>
          <w:p>
            <w:pPr>
              <w:ind w:left="1200"/>
              <w:spacing w:after="0"/>
              <w:rPr>
                <w:sz w:val="20"/>
                <w:szCs w:val="20"/>
                <w:color w:val="auto"/>
              </w:rPr>
            </w:pPr>
            <w:r>
              <w:rPr>
                <w:rFonts w:ascii="Arial" w:cs="Arial" w:eastAsia="Arial" w:hAnsi="Arial"/>
                <w:sz w:val="14"/>
                <w:szCs w:val="14"/>
                <w:color w:val="auto"/>
              </w:rPr>
              <w:t>Daniels-Midland Company</w:t>
            </w:r>
          </w:p>
        </w:tc>
        <w:tc>
          <w:tcPr>
            <w:tcW w:w="0" w:type="dxa"/>
            <w:vAlign w:val="bottom"/>
          </w:tcPr>
          <w:p>
            <w:pPr>
              <w:spacing w:after="0"/>
              <w:rPr>
                <w:sz w:val="1"/>
                <w:szCs w:val="1"/>
                <w:color w:val="auto"/>
              </w:rPr>
            </w:pPr>
          </w:p>
        </w:tc>
      </w:tr>
      <w:tr>
        <w:trPr>
          <w:trHeight w:val="69"/>
        </w:trPr>
        <w:tc>
          <w:tcPr>
            <w:tcW w:w="4200" w:type="dxa"/>
            <w:vAlign w:val="bottom"/>
            <w:vMerge w:val="continue"/>
          </w:tcPr>
          <w:p>
            <w:pPr>
              <w:spacing w:after="0"/>
              <w:rPr>
                <w:sz w:val="5"/>
                <w:szCs w:val="5"/>
                <w:color w:val="auto"/>
              </w:rPr>
            </w:pPr>
          </w:p>
        </w:tc>
        <w:tc>
          <w:tcPr>
            <w:tcW w:w="4880" w:type="dxa"/>
            <w:vAlign w:val="bottom"/>
            <w:vMerge w:val="restart"/>
          </w:tcPr>
          <w:p>
            <w:pPr>
              <w:ind w:left="3380"/>
              <w:spacing w:after="0"/>
              <w:rPr>
                <w:sz w:val="20"/>
                <w:szCs w:val="20"/>
                <w:color w:val="auto"/>
              </w:rPr>
            </w:pPr>
            <w:r>
              <w:rPr>
                <w:rFonts w:ascii="Arial" w:cs="Arial" w:eastAsia="Arial" w:hAnsi="Arial"/>
                <w:sz w:val="14"/>
                <w:szCs w:val="14"/>
                <w:color w:val="auto"/>
              </w:rPr>
              <w:t>Talent and</w:t>
            </w:r>
          </w:p>
        </w:tc>
        <w:tc>
          <w:tcPr>
            <w:tcW w:w="0" w:type="dxa"/>
            <w:vAlign w:val="bottom"/>
          </w:tcPr>
          <w:p>
            <w:pPr>
              <w:spacing w:after="0"/>
              <w:rPr>
                <w:sz w:val="1"/>
                <w:szCs w:val="1"/>
                <w:color w:val="auto"/>
              </w:rPr>
            </w:pPr>
          </w:p>
        </w:tc>
      </w:tr>
      <w:tr>
        <w:trPr>
          <w:trHeight w:val="107"/>
        </w:trPr>
        <w:tc>
          <w:tcPr>
            <w:tcW w:w="4200" w:type="dxa"/>
            <w:vAlign w:val="bottom"/>
          </w:tcPr>
          <w:p>
            <w:pPr>
              <w:spacing w:after="0"/>
              <w:rPr>
                <w:sz w:val="9"/>
                <w:szCs w:val="9"/>
                <w:color w:val="auto"/>
              </w:rPr>
            </w:pPr>
          </w:p>
        </w:tc>
        <w:tc>
          <w:tcPr>
            <w:tcW w:w="4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0"/>
        </w:trPr>
        <w:tc>
          <w:tcPr>
            <w:tcW w:w="4200" w:type="dxa"/>
            <w:vAlign w:val="bottom"/>
          </w:tcPr>
          <w:p>
            <w:pPr>
              <w:spacing w:after="0"/>
              <w:rPr>
                <w:sz w:val="16"/>
                <w:szCs w:val="16"/>
                <w:color w:val="auto"/>
              </w:rPr>
            </w:pPr>
          </w:p>
        </w:tc>
        <w:tc>
          <w:tcPr>
            <w:tcW w:w="4880" w:type="dxa"/>
            <w:vAlign w:val="bottom"/>
          </w:tcPr>
          <w:p>
            <w:pPr>
              <w:ind w:left="3380"/>
              <w:spacing w:after="0"/>
              <w:rPr>
                <w:sz w:val="20"/>
                <w:szCs w:val="20"/>
                <w:color w:val="auto"/>
              </w:rPr>
            </w:pPr>
            <w:r>
              <w:rPr>
                <w:rFonts w:ascii="Arial" w:cs="Arial" w:eastAsia="Arial" w:hAnsi="Arial"/>
                <w:sz w:val="14"/>
                <w:szCs w:val="14"/>
                <w:color w:val="auto"/>
              </w:rPr>
              <w:t>Compensation</w:t>
            </w:r>
          </w:p>
        </w:tc>
        <w:tc>
          <w:tcPr>
            <w:tcW w:w="0" w:type="dxa"/>
            <w:vAlign w:val="bottom"/>
          </w:tcPr>
          <w:p>
            <w:pPr>
              <w:spacing w:after="0"/>
              <w:rPr>
                <w:sz w:val="1"/>
                <w:szCs w:val="1"/>
                <w:color w:val="auto"/>
              </w:rPr>
            </w:pPr>
          </w:p>
        </w:tc>
      </w:tr>
      <w:tr>
        <w:trPr>
          <w:trHeight w:val="21"/>
        </w:trPr>
        <w:tc>
          <w:tcPr>
            <w:tcW w:w="4200" w:type="dxa"/>
            <w:vAlign w:val="bottom"/>
            <w:tcBorders>
              <w:bottom w:val="single" w:sz="8" w:color="6D6D6D"/>
            </w:tcBorders>
          </w:tcPr>
          <w:p>
            <w:pPr>
              <w:spacing w:after="0" w:line="20" w:lineRule="exact"/>
              <w:rPr>
                <w:sz w:val="1"/>
                <w:szCs w:val="1"/>
                <w:color w:val="auto"/>
              </w:rPr>
            </w:pPr>
          </w:p>
        </w:tc>
        <w:tc>
          <w:tcPr>
            <w:tcW w:w="4880" w:type="dxa"/>
            <w:vAlign w:val="bottom"/>
            <w:tcBorders>
              <w:bottom w:val="single" w:sz="8" w:color="6D6D6D"/>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4702810</wp:posOffset>
            </wp:positionH>
            <wp:positionV relativeFrom="paragraph">
              <wp:posOffset>-290830</wp:posOffset>
            </wp:positionV>
            <wp:extent cx="102870" cy="946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clrChange>
                        <a:clrFrom>
                          <a:srgbClr val="000000"/>
                        </a:clrFrom>
                        <a:clrTo>
                          <a:srgbClr val="000000">
                            <a:alpha val="0"/>
                          </a:srgbClr>
                        </a:clrTo>
                      </a:clrChange>
                      <a:extLst>
                        <a:ext uri="{28A0092B-C50C-407E-A947-70E740481C1C}"/>
                      </a:extLst>
                    </a:blip>
                    <a:srcRect/>
                    <a:stretch>
                      <a:fillRect/>
                    </a:stretch>
                  </pic:blipFill>
                  <pic:spPr bwMode="auto">
                    <a:xfrm>
                      <a:off x="0" y="0"/>
                      <a:ext cx="102870" cy="9461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-290830</wp:posOffset>
            </wp:positionV>
            <wp:extent cx="102870" cy="946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102870" cy="94615"/>
                    </a:xfrm>
                    <a:prstGeom prst="rect">
                      <a:avLst/>
                    </a:prstGeom>
                    <a:noFill/>
                  </pic:spPr>
                </pic:pic>
              </a:graphicData>
            </a:graphic>
          </wp:anchor>
        </w:drawing>
      </w:r>
    </w:p>
    <w:p>
      <w:pPr>
        <w:sectPr>
          <w:pgSz w:w="11900" w:h="16838" w:orient="portrait"/>
          <w:cols w:equalWidth="0" w:num="1">
            <w:col w:w="10139"/>
          </w:cols>
          <w:pgMar w:left="320" w:top="99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991" w:right="1440" w:bottom="1440" w:gutter="0" w:footer="0" w:header="0"/>
          <w:type w:val="continuous"/>
        </w:sectPr>
      </w:pPr>
    </w:p>
    <w:bookmarkStart w:id="9" w:name="page10"/>
    <w:bookmarkEnd w:id="9"/>
    <w:p>
      <w:pPr>
        <w:spacing w:after="0"/>
        <w:rPr>
          <w:sz w:val="20"/>
          <w:szCs w:val="20"/>
          <w:color w:val="auto"/>
        </w:rPr>
      </w:pPr>
      <w:r>
        <w:rPr>
          <w:rFonts w:ascii="Arial" w:cs="Arial" w:eastAsia="Arial" w:hAnsi="Arial"/>
          <w:sz w:val="25"/>
          <w:szCs w:val="25"/>
          <w:b w:val="1"/>
          <w:bCs w:val="1"/>
          <w:color w:val="00A1DE"/>
        </w:rPr>
        <w:t>Board Leadership and Structure Information</w:t>
      </w:r>
    </w:p>
    <w:p>
      <w:pPr>
        <w:spacing w:after="0" w:line="128" w:lineRule="exact"/>
        <w:rPr>
          <w:sz w:val="20"/>
          <w:szCs w:val="20"/>
          <w:color w:val="auto"/>
        </w:rPr>
      </w:pPr>
    </w:p>
    <w:p>
      <w:pPr>
        <w:ind w:left="160" w:hanging="152"/>
        <w:spacing w:after="0"/>
        <w:tabs>
          <w:tab w:leader="none" w:pos="160" w:val="left"/>
        </w:tabs>
        <w:numPr>
          <w:ilvl w:val="0"/>
          <w:numId w:val="9"/>
        </w:numPr>
        <w:rPr>
          <w:rFonts w:ascii="Calibri" w:cs="Calibri" w:eastAsia="Calibri" w:hAnsi="Calibri"/>
          <w:sz w:val="16"/>
          <w:szCs w:val="16"/>
          <w:b w:val="1"/>
          <w:bCs w:val="1"/>
          <w:color w:val="auto"/>
        </w:rPr>
      </w:pPr>
      <w:r>
        <w:rPr>
          <w:rFonts w:ascii="Arial" w:cs="Arial" w:eastAsia="Arial" w:hAnsi="Arial"/>
          <w:sz w:val="19"/>
          <w:szCs w:val="19"/>
          <w:b w:val="1"/>
          <w:bCs w:val="1"/>
          <w:color w:val="auto"/>
        </w:rPr>
        <w:t xml:space="preserve">Lead Independent Director: </w:t>
      </w:r>
      <w:r>
        <w:rPr>
          <w:rFonts w:ascii="Arial" w:cs="Arial" w:eastAsia="Arial" w:hAnsi="Arial"/>
          <w:sz w:val="17"/>
          <w:szCs w:val="17"/>
          <w:color w:val="auto"/>
        </w:rPr>
        <w:t>We have a strong lead independent director empowered with clearly defined responsibilities.</w:t>
      </w:r>
    </w:p>
    <w:p>
      <w:pPr>
        <w:spacing w:after="0" w:line="129" w:lineRule="exact"/>
        <w:rPr>
          <w:rFonts w:ascii="Calibri" w:cs="Calibri" w:eastAsia="Calibri" w:hAnsi="Calibri"/>
          <w:sz w:val="16"/>
          <w:szCs w:val="16"/>
          <w:b w:val="1"/>
          <w:bCs w:val="1"/>
          <w:color w:val="auto"/>
        </w:rPr>
      </w:pPr>
    </w:p>
    <w:p>
      <w:pPr>
        <w:ind w:left="180" w:right="560" w:hanging="172"/>
        <w:spacing w:after="0" w:line="268" w:lineRule="auto"/>
        <w:tabs>
          <w:tab w:leader="none" w:pos="169" w:val="left"/>
        </w:tabs>
        <w:numPr>
          <w:ilvl w:val="0"/>
          <w:numId w:val="9"/>
        </w:numPr>
        <w:rPr>
          <w:rFonts w:ascii="Arial" w:cs="Arial" w:eastAsia="Arial" w:hAnsi="Arial"/>
          <w:sz w:val="16"/>
          <w:szCs w:val="16"/>
          <w:b w:val="1"/>
          <w:bCs w:val="1"/>
          <w:color w:val="auto"/>
        </w:rPr>
      </w:pPr>
      <w:r>
        <w:rPr>
          <w:rFonts w:ascii="Arial" w:cs="Arial" w:eastAsia="Arial" w:hAnsi="Arial"/>
          <w:sz w:val="19"/>
          <w:szCs w:val="19"/>
          <w:b w:val="1"/>
          <w:bCs w:val="1"/>
          <w:color w:val="auto"/>
        </w:rPr>
        <w:t xml:space="preserve">Independent Committees: </w:t>
      </w:r>
      <w:r>
        <w:rPr>
          <w:rFonts w:ascii="Arial" w:cs="Arial" w:eastAsia="Arial" w:hAnsi="Arial"/>
          <w:sz w:val="17"/>
          <w:szCs w:val="17"/>
          <w:color w:val="auto"/>
        </w:rPr>
        <w:t>All standing board committees are composed solely of independent directors and led by independent</w:t>
      </w:r>
      <w:r>
        <w:rPr>
          <w:rFonts w:ascii="Arial" w:cs="Arial" w:eastAsia="Arial" w:hAnsi="Arial"/>
          <w:sz w:val="19"/>
          <w:szCs w:val="19"/>
          <w:b w:val="1"/>
          <w:bCs w:val="1"/>
          <w:color w:val="auto"/>
        </w:rPr>
        <w:t xml:space="preserve"> </w:t>
      </w:r>
      <w:r>
        <w:rPr>
          <w:rFonts w:ascii="Arial" w:cs="Arial" w:eastAsia="Arial" w:hAnsi="Arial"/>
          <w:sz w:val="17"/>
          <w:szCs w:val="17"/>
          <w:color w:val="auto"/>
        </w:rPr>
        <w:t>committee chairs.</w:t>
      </w:r>
    </w:p>
    <w:p>
      <w:pPr>
        <w:spacing w:after="0" w:line="65" w:lineRule="exact"/>
        <w:rPr>
          <w:rFonts w:ascii="Arial" w:cs="Arial" w:eastAsia="Arial" w:hAnsi="Arial"/>
          <w:sz w:val="16"/>
          <w:szCs w:val="16"/>
          <w:b w:val="1"/>
          <w:bCs w:val="1"/>
          <w:color w:val="auto"/>
        </w:rPr>
      </w:pPr>
    </w:p>
    <w:p>
      <w:pPr>
        <w:ind w:left="180" w:right="820" w:hanging="172"/>
        <w:spacing w:after="0" w:line="268" w:lineRule="auto"/>
        <w:tabs>
          <w:tab w:leader="none" w:pos="169" w:val="left"/>
        </w:tabs>
        <w:numPr>
          <w:ilvl w:val="0"/>
          <w:numId w:val="9"/>
        </w:numPr>
        <w:rPr>
          <w:rFonts w:ascii="Arial" w:cs="Arial" w:eastAsia="Arial" w:hAnsi="Arial"/>
          <w:sz w:val="16"/>
          <w:szCs w:val="16"/>
          <w:b w:val="1"/>
          <w:bCs w:val="1"/>
          <w:color w:val="auto"/>
        </w:rPr>
      </w:pPr>
      <w:r>
        <w:rPr>
          <w:rFonts w:ascii="Arial" w:cs="Arial" w:eastAsia="Arial" w:hAnsi="Arial"/>
          <w:sz w:val="19"/>
          <w:szCs w:val="19"/>
          <w:b w:val="1"/>
          <w:bCs w:val="1"/>
          <w:color w:val="auto"/>
        </w:rPr>
        <w:t xml:space="preserve">Executive Sessions: </w:t>
      </w:r>
      <w:r>
        <w:rPr>
          <w:rFonts w:ascii="Arial" w:cs="Arial" w:eastAsia="Arial" w:hAnsi="Arial"/>
          <w:sz w:val="17"/>
          <w:szCs w:val="17"/>
          <w:color w:val="auto"/>
        </w:rPr>
        <w:t>Our board schedules executive sessions of the independent directors that are presided over by the lead</w:t>
      </w:r>
      <w:r>
        <w:rPr>
          <w:rFonts w:ascii="Arial" w:cs="Arial" w:eastAsia="Arial" w:hAnsi="Arial"/>
          <w:sz w:val="19"/>
          <w:szCs w:val="19"/>
          <w:b w:val="1"/>
          <w:bCs w:val="1"/>
          <w:color w:val="auto"/>
        </w:rPr>
        <w:t xml:space="preserve"> </w:t>
      </w:r>
      <w:r>
        <w:rPr>
          <w:rFonts w:ascii="Arial" w:cs="Arial" w:eastAsia="Arial" w:hAnsi="Arial"/>
          <w:sz w:val="17"/>
          <w:szCs w:val="17"/>
          <w:color w:val="auto"/>
        </w:rPr>
        <w:t>independent director at every regular board meeting.</w:t>
      </w:r>
    </w:p>
    <w:p>
      <w:pPr>
        <w:spacing w:after="0" w:line="65" w:lineRule="exact"/>
        <w:rPr>
          <w:rFonts w:ascii="Arial" w:cs="Arial" w:eastAsia="Arial" w:hAnsi="Arial"/>
          <w:sz w:val="16"/>
          <w:szCs w:val="16"/>
          <w:b w:val="1"/>
          <w:bCs w:val="1"/>
          <w:color w:val="auto"/>
        </w:rPr>
      </w:pPr>
    </w:p>
    <w:p>
      <w:pPr>
        <w:ind w:left="180" w:right="820" w:hanging="172"/>
        <w:spacing w:after="0" w:line="268" w:lineRule="auto"/>
        <w:tabs>
          <w:tab w:leader="none" w:pos="169" w:val="left"/>
        </w:tabs>
        <w:numPr>
          <w:ilvl w:val="0"/>
          <w:numId w:val="9"/>
        </w:numPr>
        <w:rPr>
          <w:rFonts w:ascii="Arial" w:cs="Arial" w:eastAsia="Arial" w:hAnsi="Arial"/>
          <w:sz w:val="16"/>
          <w:szCs w:val="16"/>
          <w:b w:val="1"/>
          <w:bCs w:val="1"/>
          <w:color w:val="auto"/>
        </w:rPr>
      </w:pPr>
      <w:r>
        <w:rPr>
          <w:rFonts w:ascii="Arial" w:cs="Arial" w:eastAsia="Arial" w:hAnsi="Arial"/>
          <w:sz w:val="19"/>
          <w:szCs w:val="19"/>
          <w:b w:val="1"/>
          <w:bCs w:val="1"/>
          <w:color w:val="auto"/>
        </w:rPr>
        <w:t xml:space="preserve">Access to Management and Advisors: </w:t>
      </w:r>
      <w:r>
        <w:rPr>
          <w:rFonts w:ascii="Arial" w:cs="Arial" w:eastAsia="Arial" w:hAnsi="Arial"/>
          <w:sz w:val="17"/>
          <w:szCs w:val="17"/>
          <w:color w:val="auto"/>
        </w:rPr>
        <w:t>Our independent directors actively engage in board meetings, have direct access to</w:t>
      </w:r>
      <w:r>
        <w:rPr>
          <w:rFonts w:ascii="Arial" w:cs="Arial" w:eastAsia="Arial" w:hAnsi="Arial"/>
          <w:sz w:val="19"/>
          <w:szCs w:val="19"/>
          <w:b w:val="1"/>
          <w:bCs w:val="1"/>
          <w:color w:val="auto"/>
        </w:rPr>
        <w:t xml:space="preserve"> </w:t>
      </w:r>
      <w:r>
        <w:rPr>
          <w:rFonts w:ascii="Arial" w:cs="Arial" w:eastAsia="Arial" w:hAnsi="Arial"/>
          <w:sz w:val="17"/>
          <w:szCs w:val="17"/>
          <w:color w:val="auto"/>
        </w:rPr>
        <w:t>management, and, along with our board committees, have discretion to hire independent advisors at the company’s expense.</w:t>
      </w:r>
    </w:p>
    <w:p>
      <w:pPr>
        <w:spacing w:after="0" w:line="65" w:lineRule="exact"/>
        <w:rPr>
          <w:rFonts w:ascii="Arial" w:cs="Arial" w:eastAsia="Arial" w:hAnsi="Arial"/>
          <w:sz w:val="16"/>
          <w:szCs w:val="16"/>
          <w:b w:val="1"/>
          <w:bCs w:val="1"/>
          <w:color w:val="auto"/>
        </w:rPr>
      </w:pPr>
    </w:p>
    <w:p>
      <w:pPr>
        <w:ind w:left="180" w:hanging="172"/>
        <w:spacing w:after="0" w:line="268" w:lineRule="auto"/>
        <w:tabs>
          <w:tab w:leader="none" w:pos="169" w:val="left"/>
        </w:tabs>
        <w:numPr>
          <w:ilvl w:val="0"/>
          <w:numId w:val="9"/>
        </w:numPr>
        <w:rPr>
          <w:rFonts w:ascii="Arial" w:cs="Arial" w:eastAsia="Arial" w:hAnsi="Arial"/>
          <w:sz w:val="16"/>
          <w:szCs w:val="16"/>
          <w:b w:val="1"/>
          <w:bCs w:val="1"/>
          <w:color w:val="auto"/>
        </w:rPr>
      </w:pPr>
      <w:r>
        <w:rPr>
          <w:rFonts w:ascii="Arial" w:cs="Arial" w:eastAsia="Arial" w:hAnsi="Arial"/>
          <w:sz w:val="19"/>
          <w:szCs w:val="19"/>
          <w:b w:val="1"/>
          <w:bCs w:val="1"/>
          <w:color w:val="auto"/>
        </w:rPr>
        <w:t xml:space="preserve">Conflict of Interest Management: </w:t>
      </w:r>
      <w:r>
        <w:rPr>
          <w:rFonts w:ascii="Arial" w:cs="Arial" w:eastAsia="Arial" w:hAnsi="Arial"/>
          <w:sz w:val="17"/>
          <w:szCs w:val="17"/>
          <w:color w:val="auto"/>
        </w:rPr>
        <w:t>Our conflict of interest policy requires disclosures of potential conflicts to Lilly and clarifies when Lilly</w:t>
      </w:r>
      <w:r>
        <w:rPr>
          <w:rFonts w:ascii="Arial" w:cs="Arial" w:eastAsia="Arial" w:hAnsi="Arial"/>
          <w:sz w:val="19"/>
          <w:szCs w:val="19"/>
          <w:b w:val="1"/>
          <w:bCs w:val="1"/>
          <w:color w:val="auto"/>
        </w:rPr>
        <w:t xml:space="preserve"> </w:t>
      </w:r>
      <w:r>
        <w:rPr>
          <w:rFonts w:ascii="Arial" w:cs="Arial" w:eastAsia="Arial" w:hAnsi="Arial"/>
          <w:sz w:val="17"/>
          <w:szCs w:val="17"/>
          <w:color w:val="auto"/>
        </w:rPr>
        <w:t>board service must be disclosed to others.</w:t>
      </w:r>
    </w:p>
    <w:p>
      <w:pPr>
        <w:spacing w:after="0" w:line="65" w:lineRule="exact"/>
        <w:rPr>
          <w:rFonts w:ascii="Arial" w:cs="Arial" w:eastAsia="Arial" w:hAnsi="Arial"/>
          <w:sz w:val="16"/>
          <w:szCs w:val="16"/>
          <w:b w:val="1"/>
          <w:bCs w:val="1"/>
          <w:color w:val="auto"/>
        </w:rPr>
      </w:pPr>
    </w:p>
    <w:p>
      <w:pPr>
        <w:ind w:left="180" w:right="140" w:hanging="172"/>
        <w:spacing w:after="0" w:line="267" w:lineRule="auto"/>
        <w:tabs>
          <w:tab w:leader="none" w:pos="169" w:val="left"/>
        </w:tabs>
        <w:numPr>
          <w:ilvl w:val="0"/>
          <w:numId w:val="9"/>
        </w:numPr>
        <w:rPr>
          <w:rFonts w:ascii="Arial" w:cs="Arial" w:eastAsia="Arial" w:hAnsi="Arial"/>
          <w:sz w:val="16"/>
          <w:szCs w:val="16"/>
          <w:b w:val="1"/>
          <w:bCs w:val="1"/>
          <w:color w:val="auto"/>
        </w:rPr>
      </w:pPr>
      <w:r>
        <w:rPr>
          <w:rFonts w:ascii="Arial" w:cs="Arial" w:eastAsia="Arial" w:hAnsi="Arial"/>
          <w:sz w:val="19"/>
          <w:szCs w:val="19"/>
          <w:b w:val="1"/>
          <w:bCs w:val="1"/>
          <w:color w:val="auto"/>
        </w:rPr>
        <w:t xml:space="preserve">CEO Selection and Compensation: </w:t>
      </w:r>
      <w:r>
        <w:rPr>
          <w:rFonts w:ascii="Arial" w:cs="Arial" w:eastAsia="Arial" w:hAnsi="Arial"/>
          <w:sz w:val="17"/>
          <w:szCs w:val="17"/>
          <w:color w:val="auto"/>
        </w:rPr>
        <w:t>Our independent directors lead the board’s process for selecting the CEO. Our Talent and</w:t>
      </w:r>
      <w:r>
        <w:rPr>
          <w:rFonts w:ascii="Arial" w:cs="Arial" w:eastAsia="Arial" w:hAnsi="Arial"/>
          <w:sz w:val="19"/>
          <w:szCs w:val="19"/>
          <w:b w:val="1"/>
          <w:bCs w:val="1"/>
          <w:color w:val="auto"/>
        </w:rPr>
        <w:t xml:space="preserve"> </w:t>
      </w:r>
      <w:r>
        <w:rPr>
          <w:rFonts w:ascii="Arial" w:cs="Arial" w:eastAsia="Arial" w:hAnsi="Arial"/>
          <w:sz w:val="17"/>
          <w:szCs w:val="17"/>
          <w:color w:val="auto"/>
        </w:rPr>
        <w:t>Compensation Committee (and, in the case of our CEO, in consultation with other independent directors and our external compensation consultant) establishes the compensation for our CEO and other executive officers.</w:t>
      </w:r>
    </w:p>
    <w:p>
      <w:pPr>
        <w:spacing w:after="0" w:line="65" w:lineRule="exact"/>
        <w:rPr>
          <w:rFonts w:ascii="Arial" w:cs="Arial" w:eastAsia="Arial" w:hAnsi="Arial"/>
          <w:sz w:val="16"/>
          <w:szCs w:val="16"/>
          <w:b w:val="1"/>
          <w:bCs w:val="1"/>
          <w:color w:val="auto"/>
        </w:rPr>
      </w:pPr>
    </w:p>
    <w:p>
      <w:pPr>
        <w:ind w:left="180" w:right="60" w:hanging="172"/>
        <w:spacing w:after="0" w:line="267" w:lineRule="auto"/>
        <w:tabs>
          <w:tab w:leader="none" w:pos="169" w:val="left"/>
        </w:tabs>
        <w:numPr>
          <w:ilvl w:val="0"/>
          <w:numId w:val="9"/>
        </w:numPr>
        <w:rPr>
          <w:rFonts w:ascii="Arial" w:cs="Arial" w:eastAsia="Arial" w:hAnsi="Arial"/>
          <w:sz w:val="16"/>
          <w:szCs w:val="16"/>
          <w:b w:val="1"/>
          <w:bCs w:val="1"/>
          <w:color w:val="auto"/>
        </w:rPr>
      </w:pPr>
      <w:r>
        <w:rPr>
          <w:rFonts w:ascii="Arial" w:cs="Arial" w:eastAsia="Arial" w:hAnsi="Arial"/>
          <w:sz w:val="19"/>
          <w:szCs w:val="19"/>
          <w:b w:val="1"/>
          <w:bCs w:val="1"/>
          <w:color w:val="auto"/>
        </w:rPr>
        <w:t xml:space="preserve">Refreshment: </w:t>
      </w:r>
      <w:r>
        <w:rPr>
          <w:rFonts w:ascii="Arial" w:cs="Arial" w:eastAsia="Arial" w:hAnsi="Arial"/>
          <w:sz w:val="17"/>
          <w:szCs w:val="17"/>
          <w:color w:val="auto"/>
        </w:rPr>
        <w:t>We are committed to maintaining an active and insightful board and seek to balance continuity of experience with fresh</w:t>
      </w:r>
      <w:r>
        <w:rPr>
          <w:rFonts w:ascii="Arial" w:cs="Arial" w:eastAsia="Arial" w:hAnsi="Arial"/>
          <w:sz w:val="19"/>
          <w:szCs w:val="19"/>
          <w:b w:val="1"/>
          <w:bCs w:val="1"/>
          <w:color w:val="auto"/>
        </w:rPr>
        <w:t xml:space="preserve"> </w:t>
      </w:r>
      <w:r>
        <w:rPr>
          <w:rFonts w:ascii="Arial" w:cs="Arial" w:eastAsia="Arial" w:hAnsi="Arial"/>
          <w:sz w:val="17"/>
          <w:szCs w:val="17"/>
          <w:color w:val="auto"/>
        </w:rPr>
        <w:t>perspectives. We also have robust board and committee education programs that cultivate the evolution of director skills as the company evolves.</w:t>
      </w:r>
    </w:p>
    <w:p>
      <w:pPr>
        <w:spacing w:after="0" w:line="65" w:lineRule="exact"/>
        <w:rPr>
          <w:rFonts w:ascii="Arial" w:cs="Arial" w:eastAsia="Arial" w:hAnsi="Arial"/>
          <w:sz w:val="16"/>
          <w:szCs w:val="16"/>
          <w:b w:val="1"/>
          <w:bCs w:val="1"/>
          <w:color w:val="auto"/>
        </w:rPr>
      </w:pPr>
    </w:p>
    <w:p>
      <w:pPr>
        <w:ind w:left="180" w:hanging="172"/>
        <w:spacing w:after="0" w:line="267" w:lineRule="auto"/>
        <w:tabs>
          <w:tab w:leader="none" w:pos="169" w:val="left"/>
        </w:tabs>
        <w:numPr>
          <w:ilvl w:val="0"/>
          <w:numId w:val="9"/>
        </w:numPr>
        <w:rPr>
          <w:rFonts w:ascii="Arial" w:cs="Arial" w:eastAsia="Arial" w:hAnsi="Arial"/>
          <w:sz w:val="16"/>
          <w:szCs w:val="16"/>
          <w:b w:val="1"/>
          <w:bCs w:val="1"/>
          <w:color w:val="auto"/>
        </w:rPr>
      </w:pPr>
      <w:r>
        <w:rPr>
          <w:rFonts w:ascii="Arial" w:cs="Arial" w:eastAsia="Arial" w:hAnsi="Arial"/>
          <w:sz w:val="19"/>
          <w:szCs w:val="19"/>
          <w:b w:val="1"/>
          <w:bCs w:val="1"/>
          <w:color w:val="auto"/>
        </w:rPr>
        <w:t xml:space="preserve">Robust Annual Assessment: </w:t>
      </w:r>
      <w:r>
        <w:rPr>
          <w:rFonts w:ascii="Arial" w:cs="Arial" w:eastAsia="Arial" w:hAnsi="Arial"/>
          <w:sz w:val="17"/>
          <w:szCs w:val="17"/>
          <w:color w:val="auto"/>
        </w:rPr>
        <w:t>Our board conducts a robust annual assessment of its performance led by the lead independent director,</w:t>
      </w:r>
      <w:r>
        <w:rPr>
          <w:rFonts w:ascii="Arial" w:cs="Arial" w:eastAsia="Arial" w:hAnsi="Arial"/>
          <w:sz w:val="19"/>
          <w:szCs w:val="19"/>
          <w:b w:val="1"/>
          <w:bCs w:val="1"/>
          <w:color w:val="auto"/>
        </w:rPr>
        <w:t xml:space="preserve"> </w:t>
      </w:r>
      <w:r>
        <w:rPr>
          <w:rFonts w:ascii="Arial" w:cs="Arial" w:eastAsia="Arial" w:hAnsi="Arial"/>
          <w:sz w:val="17"/>
          <w:szCs w:val="17"/>
          <w:color w:val="auto"/>
        </w:rPr>
        <w:t>Directors and Corporate Governance Committee and board chair, including an annual assessment of each director. These assessments help provide the board with valuable perspectives to drive effectiveness and leadership.</w:t>
      </w:r>
    </w:p>
    <w:p>
      <w:pPr>
        <w:spacing w:after="0" w:line="109" w:lineRule="exact"/>
        <w:rPr>
          <w:sz w:val="20"/>
          <w:szCs w:val="20"/>
          <w:color w:val="auto"/>
        </w:rPr>
      </w:pPr>
    </w:p>
    <w:p>
      <w:pPr>
        <w:spacing w:after="0"/>
        <w:rPr>
          <w:sz w:val="20"/>
          <w:szCs w:val="20"/>
          <w:color w:val="auto"/>
        </w:rPr>
      </w:pPr>
      <w:r>
        <w:rPr>
          <w:rFonts w:ascii="Arial" w:cs="Arial" w:eastAsia="Arial" w:hAnsi="Arial"/>
          <w:sz w:val="25"/>
          <w:szCs w:val="25"/>
          <w:b w:val="1"/>
          <w:bCs w:val="1"/>
          <w:color w:val="00A1DE"/>
        </w:rPr>
        <w:t>Board Demographics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1230630</wp:posOffset>
            </wp:positionH>
            <wp:positionV relativeFrom="paragraph">
              <wp:posOffset>21590</wp:posOffset>
            </wp:positionV>
            <wp:extent cx="4688840" cy="40201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688840" cy="4020185"/>
                    </a:xfrm>
                    <a:prstGeom prst="rect">
                      <a:avLst/>
                    </a:prstGeom>
                    <a:noFill/>
                  </pic:spPr>
                </pic:pic>
              </a:graphicData>
            </a:graphic>
          </wp:anchor>
        </w:drawing>
      </w:r>
    </w:p>
    <w:p>
      <w:pPr>
        <w:sectPr>
          <w:pgSz w:w="11900" w:h="16838" w:orient="portrait"/>
          <w:cols w:equalWidth="0" w:num="1">
            <w:col w:w="11100"/>
          </w:cols>
          <w:pgMar w:left="320" w:top="1033"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033" w:right="47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25"/>
          <w:szCs w:val="25"/>
          <w:b w:val="1"/>
          <w:bCs w:val="1"/>
          <w:color w:val="00A1DE"/>
        </w:rPr>
        <w:t>Strategy and Risk Oversight</w:t>
      </w:r>
    </w:p>
    <w:p>
      <w:pPr>
        <w:spacing w:after="0" w:line="181" w:lineRule="exact"/>
        <w:rPr>
          <w:sz w:val="20"/>
          <w:szCs w:val="20"/>
          <w:color w:val="auto"/>
        </w:rPr>
      </w:pPr>
    </w:p>
    <w:p>
      <w:pPr>
        <w:ind w:left="260" w:right="280" w:hanging="171"/>
        <w:spacing w:after="0" w:line="281" w:lineRule="auto"/>
        <w:tabs>
          <w:tab w:leader="none" w:pos="249" w:val="left"/>
        </w:tabs>
        <w:numPr>
          <w:ilvl w:val="0"/>
          <w:numId w:val="10"/>
        </w:numPr>
        <w:rPr>
          <w:rFonts w:ascii="Arial" w:cs="Arial" w:eastAsia="Arial" w:hAnsi="Arial"/>
          <w:sz w:val="16"/>
          <w:szCs w:val="16"/>
          <w:b w:val="1"/>
          <w:bCs w:val="1"/>
          <w:color w:val="auto"/>
        </w:rPr>
      </w:pPr>
      <w:r>
        <w:rPr>
          <w:rFonts w:ascii="Arial" w:cs="Arial" w:eastAsia="Arial" w:hAnsi="Arial"/>
          <w:sz w:val="22"/>
          <w:szCs w:val="22"/>
          <w:b w:val="1"/>
          <w:bCs w:val="1"/>
          <w:color w:val="auto"/>
        </w:rPr>
        <w:t xml:space="preserve">Strategy: </w:t>
      </w:r>
      <w:r>
        <w:rPr>
          <w:rFonts w:ascii="Arial" w:cs="Arial" w:eastAsia="Arial" w:hAnsi="Arial"/>
          <w:sz w:val="17"/>
          <w:szCs w:val="17"/>
          <w:color w:val="auto"/>
        </w:rPr>
        <w:t>Our board approves and actively oversees our corporate long-term strategy. Our board and committee meetings are</w:t>
      </w:r>
      <w:r>
        <w:rPr>
          <w:rFonts w:ascii="Arial" w:cs="Arial" w:eastAsia="Arial" w:hAnsi="Arial"/>
          <w:sz w:val="22"/>
          <w:szCs w:val="22"/>
          <w:b w:val="1"/>
          <w:bCs w:val="1"/>
          <w:color w:val="auto"/>
        </w:rPr>
        <w:t xml:space="preserve"> </w:t>
      </w:r>
      <w:r>
        <w:rPr>
          <w:rFonts w:ascii="Arial" w:cs="Arial" w:eastAsia="Arial" w:hAnsi="Arial"/>
          <w:sz w:val="17"/>
          <w:szCs w:val="17"/>
          <w:color w:val="auto"/>
        </w:rPr>
        <w:t>structured to engage our directors in informed reviews of strategic and forward-looking issues, as well as in constructive challenges to management initiatives and programs.</w:t>
      </w:r>
    </w:p>
    <w:p>
      <w:pPr>
        <w:spacing w:after="0" w:line="110" w:lineRule="exact"/>
        <w:rPr>
          <w:rFonts w:ascii="Arial" w:cs="Arial" w:eastAsia="Arial" w:hAnsi="Arial"/>
          <w:sz w:val="16"/>
          <w:szCs w:val="16"/>
          <w:b w:val="1"/>
          <w:bCs w:val="1"/>
          <w:color w:val="auto"/>
        </w:rPr>
      </w:pPr>
    </w:p>
    <w:p>
      <w:pPr>
        <w:ind w:left="260" w:right="120" w:hanging="171"/>
        <w:spacing w:after="0" w:line="271" w:lineRule="auto"/>
        <w:tabs>
          <w:tab w:leader="none" w:pos="249" w:val="left"/>
        </w:tabs>
        <w:numPr>
          <w:ilvl w:val="0"/>
          <w:numId w:val="10"/>
        </w:numPr>
        <w:rPr>
          <w:rFonts w:ascii="Arial" w:cs="Arial" w:eastAsia="Arial" w:hAnsi="Arial"/>
          <w:sz w:val="16"/>
          <w:szCs w:val="16"/>
          <w:b w:val="1"/>
          <w:bCs w:val="1"/>
          <w:color w:val="auto"/>
        </w:rPr>
      </w:pPr>
      <w:r>
        <w:rPr>
          <w:rFonts w:ascii="Arial" w:cs="Arial" w:eastAsia="Arial" w:hAnsi="Arial"/>
          <w:sz w:val="22"/>
          <w:szCs w:val="22"/>
          <w:b w:val="1"/>
          <w:bCs w:val="1"/>
          <w:color w:val="auto"/>
        </w:rPr>
        <w:t xml:space="preserve">Code of Conduct: </w:t>
      </w:r>
      <w:r>
        <w:rPr>
          <w:rFonts w:ascii="Arial" w:cs="Arial" w:eastAsia="Arial" w:hAnsi="Arial"/>
          <w:sz w:val="17"/>
          <w:szCs w:val="17"/>
          <w:color w:val="auto"/>
        </w:rPr>
        <w:t>Our code of business conduct reflects principles that are consistent with our company values of integrity,</w:t>
      </w:r>
      <w:r>
        <w:rPr>
          <w:rFonts w:ascii="Arial" w:cs="Arial" w:eastAsia="Arial" w:hAnsi="Arial"/>
          <w:sz w:val="22"/>
          <w:szCs w:val="22"/>
          <w:b w:val="1"/>
          <w:bCs w:val="1"/>
          <w:color w:val="auto"/>
        </w:rPr>
        <w:t xml:space="preserve"> </w:t>
      </w:r>
      <w:r>
        <w:rPr>
          <w:rFonts w:ascii="Arial" w:cs="Arial" w:eastAsia="Arial" w:hAnsi="Arial"/>
          <w:sz w:val="17"/>
          <w:szCs w:val="17"/>
          <w:color w:val="auto"/>
        </w:rPr>
        <w:t>excellence, and respect for people. This code applies to our board and all employees worldwide and is reviewed and approved annually by the board. We have a supplemental code of conduct for our CEO and all members of financial management, in recognition of their unique responsibilities to ensure proper accounting, financial reporting, internal controls, and financial stewardship.</w:t>
      </w:r>
    </w:p>
    <w:p>
      <w:pPr>
        <w:spacing w:after="0" w:line="118" w:lineRule="exact"/>
        <w:rPr>
          <w:rFonts w:ascii="Arial" w:cs="Arial" w:eastAsia="Arial" w:hAnsi="Arial"/>
          <w:sz w:val="16"/>
          <w:szCs w:val="16"/>
          <w:b w:val="1"/>
          <w:bCs w:val="1"/>
          <w:color w:val="auto"/>
        </w:rPr>
      </w:pPr>
    </w:p>
    <w:p>
      <w:pPr>
        <w:ind w:left="240" w:hanging="151"/>
        <w:spacing w:after="0"/>
        <w:tabs>
          <w:tab w:leader="none" w:pos="240" w:val="left"/>
        </w:tabs>
        <w:numPr>
          <w:ilvl w:val="0"/>
          <w:numId w:val="10"/>
        </w:numPr>
        <w:rPr>
          <w:rFonts w:ascii="Arial" w:cs="Arial" w:eastAsia="Arial" w:hAnsi="Arial"/>
          <w:sz w:val="16"/>
          <w:szCs w:val="16"/>
          <w:b w:val="1"/>
          <w:bCs w:val="1"/>
          <w:color w:val="auto"/>
        </w:rPr>
      </w:pPr>
      <w:r>
        <w:rPr>
          <w:rFonts w:ascii="Arial" w:cs="Arial" w:eastAsia="Arial" w:hAnsi="Arial"/>
          <w:sz w:val="22"/>
          <w:szCs w:val="22"/>
          <w:b w:val="1"/>
          <w:bCs w:val="1"/>
          <w:color w:val="auto"/>
        </w:rPr>
        <w:t xml:space="preserve">Corporate Governance: </w:t>
      </w:r>
      <w:r>
        <w:rPr>
          <w:rFonts w:ascii="Arial" w:cs="Arial" w:eastAsia="Arial" w:hAnsi="Arial"/>
          <w:sz w:val="17"/>
          <w:szCs w:val="17"/>
          <w:color w:val="auto"/>
        </w:rPr>
        <w:t>The charter of each of our board committees clearly establishes the committee’s roles and responsibilities.</w:t>
      </w:r>
    </w:p>
    <w:p>
      <w:pPr>
        <w:spacing w:after="0" w:line="165" w:lineRule="exact"/>
        <w:rPr>
          <w:rFonts w:ascii="Arial" w:cs="Arial" w:eastAsia="Arial" w:hAnsi="Arial"/>
          <w:sz w:val="16"/>
          <w:szCs w:val="16"/>
          <w:b w:val="1"/>
          <w:bCs w:val="1"/>
          <w:color w:val="auto"/>
        </w:rPr>
      </w:pPr>
    </w:p>
    <w:p>
      <w:pPr>
        <w:ind w:left="260" w:hanging="171"/>
        <w:spacing w:after="0"/>
        <w:tabs>
          <w:tab w:leader="none" w:pos="255" w:val="left"/>
        </w:tabs>
        <w:numPr>
          <w:ilvl w:val="0"/>
          <w:numId w:val="10"/>
        </w:numPr>
        <w:rPr>
          <w:rFonts w:ascii="Arial" w:cs="Arial" w:eastAsia="Arial" w:hAnsi="Arial"/>
          <w:sz w:val="18"/>
          <w:szCs w:val="18"/>
          <w:b w:val="1"/>
          <w:bCs w:val="1"/>
          <w:color w:val="auto"/>
        </w:rPr>
      </w:pPr>
      <w:r>
        <w:rPr>
          <w:rFonts w:ascii="Arial" w:cs="Arial" w:eastAsia="Arial" w:hAnsi="Arial"/>
          <w:sz w:val="22"/>
          <w:szCs w:val="22"/>
          <w:b w:val="1"/>
          <w:bCs w:val="1"/>
          <w:color w:val="auto"/>
        </w:rPr>
        <w:t xml:space="preserve">Compliance Program and Enterprise Risk Reviews: </w:t>
      </w:r>
      <w:r>
        <w:rPr>
          <w:rFonts w:ascii="Arial" w:cs="Arial" w:eastAsia="Arial" w:hAnsi="Arial"/>
          <w:sz w:val="17"/>
          <w:szCs w:val="17"/>
          <w:color w:val="auto"/>
        </w:rPr>
        <w:t>Our board reviews the overall state of our compliance program at least</w:t>
      </w:r>
      <w:r>
        <w:rPr>
          <w:rFonts w:ascii="Arial" w:cs="Arial" w:eastAsia="Arial" w:hAnsi="Arial"/>
          <w:sz w:val="22"/>
          <w:szCs w:val="22"/>
          <w:b w:val="1"/>
          <w:bCs w:val="1"/>
          <w:color w:val="auto"/>
        </w:rPr>
        <w:t xml:space="preserve"> </w:t>
      </w:r>
      <w:r>
        <w:rPr>
          <w:rFonts w:ascii="Arial" w:cs="Arial" w:eastAsia="Arial" w:hAnsi="Arial"/>
          <w:sz w:val="17"/>
          <w:szCs w:val="17"/>
          <w:color w:val="auto"/>
        </w:rPr>
        <w:t>annually and reviews our enterprise-level risks on a regular basis and as matters arise. Our Audit Committee oversees the process by which we identify and create mitigation plans for enterprise-level risks. See “</w:t>
      </w:r>
      <w:r>
        <w:rPr>
          <w:rFonts w:ascii="Arial" w:cs="Arial" w:eastAsia="Arial" w:hAnsi="Arial"/>
          <w:sz w:val="17"/>
          <w:szCs w:val="17"/>
          <w:u w:val="single" w:color="auto"/>
          <w:color w:val="0000FF"/>
        </w:rPr>
        <w:t>Governance Practices—Board Oversight</w:t>
      </w:r>
      <w:r>
        <w:rPr>
          <w:rFonts w:ascii="Arial" w:cs="Arial" w:eastAsia="Arial" w:hAnsi="Arial"/>
          <w:sz w:val="17"/>
          <w:szCs w:val="17"/>
          <w:color w:val="auto"/>
        </w:rPr>
        <w:t>” for additional information.</w:t>
      </w:r>
    </w:p>
    <w:p>
      <w:pPr>
        <w:spacing w:after="0" w:line="200" w:lineRule="exact"/>
        <w:rPr>
          <w:rFonts w:ascii="Arial" w:cs="Arial" w:eastAsia="Arial" w:hAnsi="Arial"/>
          <w:sz w:val="18"/>
          <w:szCs w:val="18"/>
          <w:b w:val="1"/>
          <w:bCs w:val="1"/>
          <w:color w:val="auto"/>
        </w:rPr>
      </w:pPr>
    </w:p>
    <w:p>
      <w:pPr>
        <w:spacing w:after="0" w:line="232" w:lineRule="exact"/>
        <w:rPr>
          <w:rFonts w:ascii="Arial" w:cs="Arial" w:eastAsia="Arial" w:hAnsi="Arial"/>
          <w:sz w:val="18"/>
          <w:szCs w:val="18"/>
          <w:b w:val="1"/>
          <w:bCs w:val="1"/>
          <w:color w:val="auto"/>
        </w:rPr>
      </w:pPr>
    </w:p>
    <w:p>
      <w:pPr>
        <w:ind w:left="240" w:hanging="151"/>
        <w:spacing w:after="0"/>
        <w:tabs>
          <w:tab w:leader="none" w:pos="240" w:val="left"/>
        </w:tabs>
        <w:numPr>
          <w:ilvl w:val="0"/>
          <w:numId w:val="10"/>
        </w:numPr>
        <w:rPr>
          <w:rFonts w:ascii="Arial" w:cs="Arial" w:eastAsia="Arial" w:hAnsi="Arial"/>
          <w:sz w:val="16"/>
          <w:szCs w:val="16"/>
          <w:b w:val="1"/>
          <w:bCs w:val="1"/>
          <w:color w:val="auto"/>
        </w:rPr>
      </w:pPr>
      <w:r>
        <w:rPr>
          <w:rFonts w:ascii="Arial" w:cs="Arial" w:eastAsia="Arial" w:hAnsi="Arial"/>
          <w:sz w:val="22"/>
          <w:szCs w:val="22"/>
          <w:b w:val="1"/>
          <w:bCs w:val="1"/>
          <w:color w:val="auto"/>
        </w:rPr>
        <w:t>Board Oversight of Certain Areas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106045</wp:posOffset>
            </wp:positionV>
            <wp:extent cx="514350" cy="5143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14350" cy="514350"/>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106045</wp:posOffset>
            </wp:positionV>
            <wp:extent cx="514350" cy="5143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4350" cy="514350"/>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106045</wp:posOffset>
            </wp:positionV>
            <wp:extent cx="514350" cy="5143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4350" cy="51435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97790</wp:posOffset>
            </wp:positionV>
            <wp:extent cx="557530" cy="5403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57530"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10" w:type="dxa"/>
        <w:tblCellMar>
          <w:top w:w="0" w:type="dxa"/>
          <w:left w:w="0" w:type="dxa"/>
          <w:bottom w:w="0" w:type="dxa"/>
          <w:right w:w="0" w:type="dxa"/>
        </w:tblCellMar>
      </w:tblPr>
      <w:tr>
        <w:trPr>
          <w:trHeight w:val="20"/>
        </w:trPr>
        <w:tc>
          <w:tcPr>
            <w:tcW w:w="620" w:type="dxa"/>
            <w:vAlign w:val="bottom"/>
            <w:tcBorders>
              <w:left w:val="single" w:sz="8" w:color="auto"/>
            </w:tcBorders>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r>
      <w:tr>
        <w:trPr>
          <w:trHeight w:val="725"/>
        </w:trPr>
        <w:tc>
          <w:tcPr>
            <w:tcW w:w="2080" w:type="dxa"/>
            <w:vAlign w:val="bottom"/>
            <w:tcBorders>
              <w:left w:val="single" w:sz="8" w:color="auto"/>
              <w:right w:val="single" w:sz="8" w:color="auto"/>
            </w:tcBorders>
            <w:gridSpan w:val="3"/>
          </w:tcPr>
          <w:p>
            <w:pPr>
              <w:ind w:left="420"/>
              <w:spacing w:after="0"/>
              <w:rPr>
                <w:sz w:val="20"/>
                <w:szCs w:val="20"/>
                <w:color w:val="auto"/>
              </w:rPr>
            </w:pPr>
            <w:r>
              <w:rPr>
                <w:rFonts w:ascii="Arial" w:cs="Arial" w:eastAsia="Arial" w:hAnsi="Arial"/>
                <w:sz w:val="19"/>
                <w:szCs w:val="19"/>
                <w:b w:val="1"/>
                <w:bCs w:val="1"/>
                <w:color w:val="D52B1E"/>
              </w:rPr>
              <w:t>Cybersecurity</w:t>
            </w:r>
          </w:p>
        </w:tc>
        <w:tc>
          <w:tcPr>
            <w:tcW w:w="180" w:type="dxa"/>
            <w:vAlign w:val="bottom"/>
            <w:tcBorders>
              <w:right w:val="single" w:sz="8" w:color="auto"/>
            </w:tcBorders>
          </w:tcPr>
          <w:p>
            <w:pPr>
              <w:spacing w:after="0"/>
              <w:rPr>
                <w:sz w:val="24"/>
                <w:szCs w:val="24"/>
                <w:color w:val="auto"/>
              </w:rPr>
            </w:pPr>
          </w:p>
        </w:tc>
        <w:tc>
          <w:tcPr>
            <w:tcW w:w="2120" w:type="dxa"/>
            <w:vAlign w:val="bottom"/>
            <w:tcBorders>
              <w:right w:val="single" w:sz="8" w:color="auto"/>
            </w:tcBorders>
            <w:gridSpan w:val="3"/>
          </w:tcPr>
          <w:p>
            <w:pPr>
              <w:ind w:left="320"/>
              <w:spacing w:after="0"/>
              <w:rPr>
                <w:sz w:val="20"/>
                <w:szCs w:val="20"/>
                <w:color w:val="auto"/>
              </w:rPr>
            </w:pPr>
            <w:r>
              <w:rPr>
                <w:rFonts w:ascii="Arial" w:cs="Arial" w:eastAsia="Arial" w:hAnsi="Arial"/>
                <w:sz w:val="19"/>
                <w:szCs w:val="19"/>
                <w:b w:val="1"/>
                <w:bCs w:val="1"/>
                <w:color w:val="D52B1E"/>
              </w:rPr>
              <w:t>Political Activity</w:t>
            </w:r>
          </w:p>
        </w:tc>
        <w:tc>
          <w:tcPr>
            <w:tcW w:w="200" w:type="dxa"/>
            <w:vAlign w:val="bottom"/>
            <w:tcBorders>
              <w:right w:val="single" w:sz="8" w:color="auto"/>
            </w:tcBorders>
          </w:tcPr>
          <w:p>
            <w:pPr>
              <w:spacing w:after="0"/>
              <w:rPr>
                <w:sz w:val="24"/>
                <w:szCs w:val="24"/>
                <w:color w:val="auto"/>
              </w:rPr>
            </w:pPr>
          </w:p>
        </w:tc>
        <w:tc>
          <w:tcPr>
            <w:tcW w:w="2140" w:type="dxa"/>
            <w:vAlign w:val="bottom"/>
            <w:tcBorders>
              <w:right w:val="single" w:sz="8" w:color="auto"/>
            </w:tcBorders>
            <w:gridSpan w:val="3"/>
          </w:tcPr>
          <w:p>
            <w:pPr>
              <w:ind w:left="440"/>
              <w:spacing w:after="0"/>
              <w:rPr>
                <w:sz w:val="20"/>
                <w:szCs w:val="20"/>
                <w:color w:val="auto"/>
              </w:rPr>
            </w:pPr>
            <w:r>
              <w:rPr>
                <w:rFonts w:ascii="Arial" w:cs="Arial" w:eastAsia="Arial" w:hAnsi="Arial"/>
                <w:sz w:val="19"/>
                <w:szCs w:val="19"/>
                <w:b w:val="1"/>
                <w:bCs w:val="1"/>
                <w:color w:val="D52B1E"/>
              </w:rPr>
              <w:t>Sustainability</w:t>
            </w:r>
          </w:p>
        </w:tc>
        <w:tc>
          <w:tcPr>
            <w:tcW w:w="200" w:type="dxa"/>
            <w:vAlign w:val="bottom"/>
            <w:tcBorders>
              <w:right w:val="single" w:sz="8" w:color="auto"/>
            </w:tcBorders>
          </w:tcPr>
          <w:p>
            <w:pPr>
              <w:spacing w:after="0"/>
              <w:rPr>
                <w:sz w:val="24"/>
                <w:szCs w:val="24"/>
                <w:color w:val="auto"/>
              </w:rPr>
            </w:pPr>
          </w:p>
        </w:tc>
        <w:tc>
          <w:tcPr>
            <w:tcW w:w="2140" w:type="dxa"/>
            <w:vAlign w:val="bottom"/>
            <w:tcBorders>
              <w:right w:val="single" w:sz="8" w:color="auto"/>
            </w:tcBorders>
            <w:gridSpan w:val="3"/>
          </w:tcPr>
          <w:p>
            <w:pPr>
              <w:ind w:left="180"/>
              <w:spacing w:after="0"/>
              <w:rPr>
                <w:sz w:val="20"/>
                <w:szCs w:val="20"/>
                <w:color w:val="auto"/>
              </w:rPr>
            </w:pPr>
            <w:r>
              <w:rPr>
                <w:rFonts w:ascii="Arial" w:cs="Arial" w:eastAsia="Arial" w:hAnsi="Arial"/>
                <w:sz w:val="19"/>
                <w:szCs w:val="19"/>
                <w:b w:val="1"/>
                <w:bCs w:val="1"/>
                <w:color w:val="D52B1E"/>
              </w:rPr>
              <w:t>Talent Management</w:t>
            </w:r>
          </w:p>
        </w:tc>
      </w:tr>
      <w:tr>
        <w:trPr>
          <w:trHeight w:val="235"/>
        </w:trPr>
        <w:tc>
          <w:tcPr>
            <w:tcW w:w="2080" w:type="dxa"/>
            <w:vAlign w:val="bottom"/>
            <w:tcBorders>
              <w:left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Our Audit Committee is</w:t>
            </w:r>
          </w:p>
        </w:tc>
        <w:tc>
          <w:tcPr>
            <w:tcW w:w="180" w:type="dxa"/>
            <w:vAlign w:val="bottom"/>
            <w:tcBorders>
              <w:right w:val="single" w:sz="8" w:color="auto"/>
            </w:tcBorders>
          </w:tcPr>
          <w:p>
            <w:pPr>
              <w:spacing w:after="0"/>
              <w:rPr>
                <w:sz w:val="20"/>
                <w:szCs w:val="20"/>
                <w:color w:val="auto"/>
              </w:rPr>
            </w:pPr>
          </w:p>
        </w:tc>
        <w:tc>
          <w:tcPr>
            <w:tcW w:w="212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Our board oversees our</w:t>
            </w:r>
          </w:p>
        </w:tc>
        <w:tc>
          <w:tcPr>
            <w:tcW w:w="200" w:type="dxa"/>
            <w:vAlign w:val="bottom"/>
            <w:tcBorders>
              <w:right w:val="single" w:sz="8" w:color="auto"/>
            </w:tcBorders>
          </w:tcPr>
          <w:p>
            <w:pPr>
              <w:spacing w:after="0"/>
              <w:rPr>
                <w:sz w:val="20"/>
                <w:szCs w:val="20"/>
                <w:color w:val="auto"/>
              </w:rPr>
            </w:pPr>
          </w:p>
        </w:tc>
        <w:tc>
          <w:tcPr>
            <w:tcW w:w="214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Our board, including its</w:t>
            </w:r>
          </w:p>
        </w:tc>
        <w:tc>
          <w:tcPr>
            <w:tcW w:w="200" w:type="dxa"/>
            <w:vAlign w:val="bottom"/>
            <w:tcBorders>
              <w:right w:val="single" w:sz="8" w:color="auto"/>
            </w:tcBorders>
          </w:tcPr>
          <w:p>
            <w:pPr>
              <w:spacing w:after="0"/>
              <w:rPr>
                <w:sz w:val="20"/>
                <w:szCs w:val="20"/>
                <w:color w:val="auto"/>
              </w:rPr>
            </w:pPr>
          </w:p>
        </w:tc>
        <w:tc>
          <w:tcPr>
            <w:tcW w:w="214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Our board exercises</w:t>
            </w:r>
          </w:p>
        </w:tc>
      </w:tr>
      <w:tr>
        <w:trPr>
          <w:trHeight w:val="216"/>
        </w:trPr>
        <w:tc>
          <w:tcPr>
            <w:tcW w:w="2080" w:type="dxa"/>
            <w:vAlign w:val="bottom"/>
            <w:tcBorders>
              <w:left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responsible for</w:t>
            </w:r>
          </w:p>
        </w:tc>
        <w:tc>
          <w:tcPr>
            <w:tcW w:w="180" w:type="dxa"/>
            <w:vAlign w:val="bottom"/>
            <w:tcBorders>
              <w:right w:val="single" w:sz="8" w:color="auto"/>
            </w:tcBorders>
          </w:tcPr>
          <w:p>
            <w:pPr>
              <w:spacing w:after="0"/>
              <w:rPr>
                <w:sz w:val="18"/>
                <w:szCs w:val="18"/>
                <w:color w:val="auto"/>
              </w:rPr>
            </w:pPr>
          </w:p>
        </w:tc>
        <w:tc>
          <w:tcPr>
            <w:tcW w:w="212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political expenditures</w:t>
            </w:r>
          </w:p>
        </w:tc>
        <w:tc>
          <w:tcPr>
            <w:tcW w:w="200" w:type="dxa"/>
            <w:vAlign w:val="bottom"/>
            <w:tcBorders>
              <w:right w:val="single" w:sz="8" w:color="auto"/>
            </w:tcBorders>
          </w:tcPr>
          <w:p>
            <w:pPr>
              <w:spacing w:after="0"/>
              <w:rPr>
                <w:sz w:val="18"/>
                <w:szCs w:val="18"/>
                <w:color w:val="auto"/>
              </w:rPr>
            </w:pPr>
          </w:p>
        </w:tc>
        <w:tc>
          <w:tcPr>
            <w:tcW w:w="214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Directors and Corporate</w:t>
            </w:r>
          </w:p>
        </w:tc>
        <w:tc>
          <w:tcPr>
            <w:tcW w:w="200" w:type="dxa"/>
            <w:vAlign w:val="bottom"/>
            <w:tcBorders>
              <w:right w:val="single" w:sz="8" w:color="auto"/>
            </w:tcBorders>
          </w:tcPr>
          <w:p>
            <w:pPr>
              <w:spacing w:after="0"/>
              <w:rPr>
                <w:sz w:val="18"/>
                <w:szCs w:val="18"/>
                <w:color w:val="auto"/>
              </w:rPr>
            </w:pPr>
          </w:p>
        </w:tc>
        <w:tc>
          <w:tcPr>
            <w:tcW w:w="214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active oversight of the</w:t>
            </w:r>
          </w:p>
        </w:tc>
      </w:tr>
      <w:tr>
        <w:trPr>
          <w:trHeight w:val="216"/>
        </w:trPr>
        <w:tc>
          <w:tcPr>
            <w:tcW w:w="2080" w:type="dxa"/>
            <w:vAlign w:val="bottom"/>
            <w:tcBorders>
              <w:left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oversight of our</w:t>
            </w:r>
          </w:p>
        </w:tc>
        <w:tc>
          <w:tcPr>
            <w:tcW w:w="180" w:type="dxa"/>
            <w:vAlign w:val="bottom"/>
            <w:tcBorders>
              <w:right w:val="single" w:sz="8" w:color="auto"/>
            </w:tcBorders>
          </w:tcPr>
          <w:p>
            <w:pPr>
              <w:spacing w:after="0"/>
              <w:rPr>
                <w:sz w:val="18"/>
                <w:szCs w:val="18"/>
                <w:color w:val="auto"/>
              </w:rPr>
            </w:pPr>
          </w:p>
        </w:tc>
        <w:tc>
          <w:tcPr>
            <w:tcW w:w="212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and lobbying activities.</w:t>
            </w:r>
          </w:p>
        </w:tc>
        <w:tc>
          <w:tcPr>
            <w:tcW w:w="200" w:type="dxa"/>
            <w:vAlign w:val="bottom"/>
            <w:tcBorders>
              <w:right w:val="single" w:sz="8" w:color="auto"/>
            </w:tcBorders>
          </w:tcPr>
          <w:p>
            <w:pPr>
              <w:spacing w:after="0"/>
              <w:rPr>
                <w:sz w:val="18"/>
                <w:szCs w:val="18"/>
                <w:color w:val="auto"/>
              </w:rPr>
            </w:pPr>
          </w:p>
        </w:tc>
        <w:tc>
          <w:tcPr>
            <w:tcW w:w="214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Governance Committee,</w:t>
            </w:r>
          </w:p>
        </w:tc>
        <w:tc>
          <w:tcPr>
            <w:tcW w:w="200" w:type="dxa"/>
            <w:vAlign w:val="bottom"/>
            <w:tcBorders>
              <w:right w:val="single" w:sz="8" w:color="auto"/>
            </w:tcBorders>
          </w:tcPr>
          <w:p>
            <w:pPr>
              <w:spacing w:after="0"/>
              <w:rPr>
                <w:sz w:val="18"/>
                <w:szCs w:val="18"/>
                <w:color w:val="auto"/>
              </w:rPr>
            </w:pPr>
          </w:p>
        </w:tc>
        <w:tc>
          <w:tcPr>
            <w:tcW w:w="214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overall talent</w:t>
            </w:r>
          </w:p>
        </w:tc>
      </w:tr>
      <w:tr>
        <w:trPr>
          <w:trHeight w:val="216"/>
        </w:trPr>
        <w:tc>
          <w:tcPr>
            <w:tcW w:w="2080" w:type="dxa"/>
            <w:vAlign w:val="bottom"/>
            <w:tcBorders>
              <w:left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programs, policies,</w:t>
            </w:r>
          </w:p>
        </w:tc>
        <w:tc>
          <w:tcPr>
            <w:tcW w:w="180" w:type="dxa"/>
            <w:vAlign w:val="bottom"/>
            <w:tcBorders>
              <w:right w:val="single" w:sz="8" w:color="auto"/>
            </w:tcBorders>
          </w:tcPr>
          <w:p>
            <w:pPr>
              <w:spacing w:after="0"/>
              <w:rPr>
                <w:sz w:val="18"/>
                <w:szCs w:val="18"/>
                <w:color w:val="auto"/>
              </w:rPr>
            </w:pPr>
          </w:p>
        </w:tc>
        <w:tc>
          <w:tcPr>
            <w:tcW w:w="212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Directors receive regular</w:t>
            </w:r>
          </w:p>
        </w:tc>
        <w:tc>
          <w:tcPr>
            <w:tcW w:w="200" w:type="dxa"/>
            <w:vAlign w:val="bottom"/>
            <w:tcBorders>
              <w:right w:val="single" w:sz="8" w:color="auto"/>
            </w:tcBorders>
          </w:tcPr>
          <w:p>
            <w:pPr>
              <w:spacing w:after="0"/>
              <w:rPr>
                <w:sz w:val="18"/>
                <w:szCs w:val="18"/>
                <w:color w:val="auto"/>
              </w:rPr>
            </w:pPr>
          </w:p>
        </w:tc>
        <w:tc>
          <w:tcPr>
            <w:tcW w:w="214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oversees and maintains</w:t>
            </w:r>
          </w:p>
        </w:tc>
        <w:tc>
          <w:tcPr>
            <w:tcW w:w="200" w:type="dxa"/>
            <w:vAlign w:val="bottom"/>
            <w:tcBorders>
              <w:right w:val="single" w:sz="8" w:color="auto"/>
            </w:tcBorders>
          </w:tcPr>
          <w:p>
            <w:pPr>
              <w:spacing w:after="0"/>
              <w:rPr>
                <w:sz w:val="18"/>
                <w:szCs w:val="18"/>
                <w:color w:val="auto"/>
              </w:rPr>
            </w:pPr>
          </w:p>
        </w:tc>
        <w:tc>
          <w:tcPr>
            <w:tcW w:w="214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management process,</w:t>
            </w:r>
          </w:p>
        </w:tc>
      </w:tr>
      <w:tr>
        <w:trPr>
          <w:trHeight w:val="216"/>
        </w:trPr>
        <w:tc>
          <w:tcPr>
            <w:tcW w:w="2080" w:type="dxa"/>
            <w:vAlign w:val="bottom"/>
            <w:tcBorders>
              <w:left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procedures, and risk</w:t>
            </w:r>
          </w:p>
        </w:tc>
        <w:tc>
          <w:tcPr>
            <w:tcW w:w="180" w:type="dxa"/>
            <w:vAlign w:val="bottom"/>
            <w:tcBorders>
              <w:right w:val="single" w:sz="8" w:color="auto"/>
            </w:tcBorders>
          </w:tcPr>
          <w:p>
            <w:pPr>
              <w:spacing w:after="0"/>
              <w:rPr>
                <w:sz w:val="18"/>
                <w:szCs w:val="18"/>
                <w:color w:val="auto"/>
              </w:rPr>
            </w:pPr>
          </w:p>
        </w:tc>
        <w:tc>
          <w:tcPr>
            <w:tcW w:w="212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updates on public policy</w:t>
            </w:r>
          </w:p>
        </w:tc>
        <w:tc>
          <w:tcPr>
            <w:tcW w:w="200" w:type="dxa"/>
            <w:vAlign w:val="bottom"/>
            <w:tcBorders>
              <w:right w:val="single" w:sz="8" w:color="auto"/>
            </w:tcBorders>
          </w:tcPr>
          <w:p>
            <w:pPr>
              <w:spacing w:after="0"/>
              <w:rPr>
                <w:sz w:val="18"/>
                <w:szCs w:val="18"/>
                <w:color w:val="auto"/>
              </w:rPr>
            </w:pPr>
          </w:p>
        </w:tc>
        <w:tc>
          <w:tcPr>
            <w:tcW w:w="214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ongoing engagement on</w:t>
            </w:r>
          </w:p>
        </w:tc>
        <w:tc>
          <w:tcPr>
            <w:tcW w:w="200" w:type="dxa"/>
            <w:vAlign w:val="bottom"/>
            <w:tcBorders>
              <w:right w:val="single" w:sz="8" w:color="auto"/>
            </w:tcBorders>
          </w:tcPr>
          <w:p>
            <w:pPr>
              <w:spacing w:after="0"/>
              <w:rPr>
                <w:sz w:val="18"/>
                <w:szCs w:val="18"/>
                <w:color w:val="auto"/>
              </w:rPr>
            </w:pPr>
          </w:p>
        </w:tc>
        <w:tc>
          <w:tcPr>
            <w:tcW w:w="214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including human capital</w:t>
            </w:r>
          </w:p>
        </w:tc>
      </w:tr>
      <w:tr>
        <w:trPr>
          <w:trHeight w:val="216"/>
        </w:trPr>
        <w:tc>
          <w:tcPr>
            <w:tcW w:w="2080" w:type="dxa"/>
            <w:vAlign w:val="bottom"/>
            <w:tcBorders>
              <w:left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management activities</w:t>
            </w:r>
          </w:p>
        </w:tc>
        <w:tc>
          <w:tcPr>
            <w:tcW w:w="180" w:type="dxa"/>
            <w:vAlign w:val="bottom"/>
            <w:tcBorders>
              <w:right w:val="single" w:sz="8" w:color="auto"/>
            </w:tcBorders>
          </w:tcPr>
          <w:p>
            <w:pPr>
              <w:spacing w:after="0"/>
              <w:rPr>
                <w:sz w:val="18"/>
                <w:szCs w:val="18"/>
                <w:color w:val="auto"/>
              </w:rPr>
            </w:pPr>
          </w:p>
        </w:tc>
        <w:tc>
          <w:tcPr>
            <w:tcW w:w="212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issues and on the</w:t>
            </w:r>
          </w:p>
        </w:tc>
        <w:tc>
          <w:tcPr>
            <w:tcW w:w="200" w:type="dxa"/>
            <w:vAlign w:val="bottom"/>
            <w:tcBorders>
              <w:right w:val="single" w:sz="8" w:color="auto"/>
            </w:tcBorders>
          </w:tcPr>
          <w:p>
            <w:pPr>
              <w:spacing w:after="0"/>
              <w:rPr>
                <w:sz w:val="18"/>
                <w:szCs w:val="18"/>
                <w:color w:val="auto"/>
              </w:rPr>
            </w:pPr>
          </w:p>
        </w:tc>
        <w:tc>
          <w:tcPr>
            <w:tcW w:w="214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key climate and</w:t>
            </w:r>
          </w:p>
        </w:tc>
        <w:tc>
          <w:tcPr>
            <w:tcW w:w="200" w:type="dxa"/>
            <w:vAlign w:val="bottom"/>
            <w:tcBorders>
              <w:right w:val="single" w:sz="8" w:color="auto"/>
            </w:tcBorders>
          </w:tcPr>
          <w:p>
            <w:pPr>
              <w:spacing w:after="0"/>
              <w:rPr>
                <w:sz w:val="18"/>
                <w:szCs w:val="18"/>
                <w:color w:val="auto"/>
              </w:rPr>
            </w:pPr>
          </w:p>
        </w:tc>
        <w:tc>
          <w:tcPr>
            <w:tcW w:w="214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management strategies,</w:t>
            </w:r>
          </w:p>
        </w:tc>
      </w:tr>
      <w:tr>
        <w:trPr>
          <w:trHeight w:val="216"/>
        </w:trPr>
        <w:tc>
          <w:tcPr>
            <w:tcW w:w="2080" w:type="dxa"/>
            <w:vAlign w:val="bottom"/>
            <w:tcBorders>
              <w:left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related to information</w:t>
            </w:r>
          </w:p>
        </w:tc>
        <w:tc>
          <w:tcPr>
            <w:tcW w:w="180" w:type="dxa"/>
            <w:vAlign w:val="bottom"/>
            <w:tcBorders>
              <w:right w:val="single" w:sz="8" w:color="auto"/>
            </w:tcBorders>
          </w:tcPr>
          <w:p>
            <w:pPr>
              <w:spacing w:after="0"/>
              <w:rPr>
                <w:sz w:val="18"/>
                <w:szCs w:val="18"/>
                <w:color w:val="auto"/>
              </w:rPr>
            </w:pPr>
          </w:p>
        </w:tc>
        <w:tc>
          <w:tcPr>
            <w:tcW w:w="212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company’s political</w:t>
            </w:r>
          </w:p>
        </w:tc>
        <w:tc>
          <w:tcPr>
            <w:tcW w:w="200" w:type="dxa"/>
            <w:vAlign w:val="bottom"/>
            <w:tcBorders>
              <w:right w:val="single" w:sz="8" w:color="auto"/>
            </w:tcBorders>
          </w:tcPr>
          <w:p>
            <w:pPr>
              <w:spacing w:after="0"/>
              <w:rPr>
                <w:sz w:val="18"/>
                <w:szCs w:val="18"/>
                <w:color w:val="auto"/>
              </w:rPr>
            </w:pPr>
          </w:p>
        </w:tc>
        <w:tc>
          <w:tcPr>
            <w:tcW w:w="214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sustainability matters.</w:t>
            </w:r>
          </w:p>
        </w:tc>
        <w:tc>
          <w:tcPr>
            <w:tcW w:w="200" w:type="dxa"/>
            <w:vAlign w:val="bottom"/>
            <w:tcBorders>
              <w:right w:val="single" w:sz="8" w:color="auto"/>
            </w:tcBorders>
          </w:tcPr>
          <w:p>
            <w:pPr>
              <w:spacing w:after="0"/>
              <w:rPr>
                <w:sz w:val="18"/>
                <w:szCs w:val="18"/>
                <w:color w:val="auto"/>
              </w:rPr>
            </w:pPr>
          </w:p>
        </w:tc>
        <w:tc>
          <w:tcPr>
            <w:tcW w:w="214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corporate culture, and</w:t>
            </w:r>
          </w:p>
        </w:tc>
      </w:tr>
      <w:tr>
        <w:trPr>
          <w:trHeight w:val="216"/>
        </w:trPr>
        <w:tc>
          <w:tcPr>
            <w:tcW w:w="2080" w:type="dxa"/>
            <w:vAlign w:val="bottom"/>
            <w:tcBorders>
              <w:left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security, cybersecurity</w:t>
            </w:r>
          </w:p>
        </w:tc>
        <w:tc>
          <w:tcPr>
            <w:tcW w:w="180" w:type="dxa"/>
            <w:vAlign w:val="bottom"/>
            <w:tcBorders>
              <w:right w:val="single" w:sz="8" w:color="auto"/>
            </w:tcBorders>
          </w:tcPr>
          <w:p>
            <w:pPr>
              <w:spacing w:after="0"/>
              <w:rPr>
                <w:sz w:val="18"/>
                <w:szCs w:val="18"/>
                <w:color w:val="auto"/>
              </w:rPr>
            </w:pPr>
          </w:p>
        </w:tc>
        <w:tc>
          <w:tcPr>
            <w:tcW w:w="212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activity. The board also</w:t>
            </w:r>
          </w:p>
        </w:tc>
        <w:tc>
          <w:tcPr>
            <w:tcW w:w="200" w:type="dxa"/>
            <w:vAlign w:val="bottom"/>
            <w:tcBorders>
              <w:right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214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inclusion efforts. The</w:t>
            </w:r>
          </w:p>
        </w:tc>
      </w:tr>
      <w:tr>
        <w:trPr>
          <w:trHeight w:val="216"/>
        </w:trPr>
        <w:tc>
          <w:tcPr>
            <w:tcW w:w="2080" w:type="dxa"/>
            <w:vAlign w:val="bottom"/>
            <w:tcBorders>
              <w:left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and data protection. It</w:t>
            </w:r>
          </w:p>
        </w:tc>
        <w:tc>
          <w:tcPr>
            <w:tcW w:w="180" w:type="dxa"/>
            <w:vAlign w:val="bottom"/>
            <w:tcBorders>
              <w:right w:val="single" w:sz="8" w:color="auto"/>
            </w:tcBorders>
          </w:tcPr>
          <w:p>
            <w:pPr>
              <w:spacing w:after="0"/>
              <w:rPr>
                <w:sz w:val="18"/>
                <w:szCs w:val="18"/>
                <w:color w:val="auto"/>
              </w:rPr>
            </w:pPr>
          </w:p>
        </w:tc>
        <w:tc>
          <w:tcPr>
            <w:tcW w:w="212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receives semi-annual</w:t>
            </w:r>
          </w:p>
        </w:tc>
        <w:tc>
          <w:tcPr>
            <w:tcW w:w="200" w:type="dxa"/>
            <w:vAlign w:val="bottom"/>
            <w:tcBorders>
              <w:right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214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board also oversees the</w:t>
            </w:r>
          </w:p>
        </w:tc>
      </w:tr>
      <w:tr>
        <w:trPr>
          <w:trHeight w:val="216"/>
        </w:trPr>
        <w:tc>
          <w:tcPr>
            <w:tcW w:w="2080" w:type="dxa"/>
            <w:vAlign w:val="bottom"/>
            <w:tcBorders>
              <w:left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meets regularly with</w:t>
            </w:r>
          </w:p>
        </w:tc>
        <w:tc>
          <w:tcPr>
            <w:tcW w:w="180" w:type="dxa"/>
            <w:vAlign w:val="bottom"/>
            <w:tcBorders>
              <w:right w:val="single" w:sz="8" w:color="auto"/>
            </w:tcBorders>
          </w:tcPr>
          <w:p>
            <w:pPr>
              <w:spacing w:after="0"/>
              <w:rPr>
                <w:sz w:val="18"/>
                <w:szCs w:val="18"/>
                <w:color w:val="auto"/>
              </w:rPr>
            </w:pPr>
          </w:p>
        </w:tc>
        <w:tc>
          <w:tcPr>
            <w:tcW w:w="212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updates on political</w:t>
            </w:r>
          </w:p>
        </w:tc>
        <w:tc>
          <w:tcPr>
            <w:tcW w:w="200" w:type="dxa"/>
            <w:vAlign w:val="bottom"/>
            <w:tcBorders>
              <w:right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214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work of its committees in</w:t>
            </w:r>
          </w:p>
        </w:tc>
      </w:tr>
      <w:tr>
        <w:trPr>
          <w:trHeight w:val="216"/>
        </w:trPr>
        <w:tc>
          <w:tcPr>
            <w:tcW w:w="2080" w:type="dxa"/>
            <w:vAlign w:val="bottom"/>
            <w:tcBorders>
              <w:left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management to</w:t>
            </w:r>
          </w:p>
        </w:tc>
        <w:tc>
          <w:tcPr>
            <w:tcW w:w="180" w:type="dxa"/>
            <w:vAlign w:val="bottom"/>
            <w:tcBorders>
              <w:right w:val="single" w:sz="8" w:color="auto"/>
            </w:tcBorders>
          </w:tcPr>
          <w:p>
            <w:pPr>
              <w:spacing w:after="0"/>
              <w:rPr>
                <w:sz w:val="18"/>
                <w:szCs w:val="18"/>
                <w:color w:val="auto"/>
              </w:rPr>
            </w:pPr>
          </w:p>
        </w:tc>
        <w:tc>
          <w:tcPr>
            <w:tcW w:w="212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engagement, including</w:t>
            </w:r>
          </w:p>
        </w:tc>
        <w:tc>
          <w:tcPr>
            <w:tcW w:w="200" w:type="dxa"/>
            <w:vAlign w:val="bottom"/>
            <w:tcBorders>
              <w:right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214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connection with the</w:t>
            </w:r>
          </w:p>
        </w:tc>
      </w:tr>
      <w:tr>
        <w:trPr>
          <w:trHeight w:val="216"/>
        </w:trPr>
        <w:tc>
          <w:tcPr>
            <w:tcW w:w="2080" w:type="dxa"/>
            <w:vAlign w:val="bottom"/>
            <w:tcBorders>
              <w:left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discuss, among other</w:t>
            </w:r>
          </w:p>
        </w:tc>
        <w:tc>
          <w:tcPr>
            <w:tcW w:w="180" w:type="dxa"/>
            <w:vAlign w:val="bottom"/>
            <w:tcBorders>
              <w:right w:val="single" w:sz="8" w:color="auto"/>
            </w:tcBorders>
          </w:tcPr>
          <w:p>
            <w:pPr>
              <w:spacing w:after="0"/>
              <w:rPr>
                <w:sz w:val="18"/>
                <w:szCs w:val="18"/>
                <w:color w:val="auto"/>
              </w:rPr>
            </w:pPr>
          </w:p>
        </w:tc>
        <w:tc>
          <w:tcPr>
            <w:tcW w:w="212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information on the</w:t>
            </w:r>
          </w:p>
        </w:tc>
        <w:tc>
          <w:tcPr>
            <w:tcW w:w="200" w:type="dxa"/>
            <w:vAlign w:val="bottom"/>
            <w:tcBorders>
              <w:right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214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board’s development of</w:t>
            </w:r>
          </w:p>
        </w:tc>
      </w:tr>
      <w:tr>
        <w:trPr>
          <w:trHeight w:val="216"/>
        </w:trPr>
        <w:tc>
          <w:tcPr>
            <w:tcW w:w="2080" w:type="dxa"/>
            <w:vAlign w:val="bottom"/>
            <w:tcBorders>
              <w:left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things, threats, risks,</w:t>
            </w:r>
          </w:p>
        </w:tc>
        <w:tc>
          <w:tcPr>
            <w:tcW w:w="180" w:type="dxa"/>
            <w:vAlign w:val="bottom"/>
            <w:tcBorders>
              <w:right w:val="single" w:sz="8" w:color="auto"/>
            </w:tcBorders>
          </w:tcPr>
          <w:p>
            <w:pPr>
              <w:spacing w:after="0"/>
              <w:rPr>
                <w:sz w:val="18"/>
                <w:szCs w:val="18"/>
                <w:color w:val="auto"/>
              </w:rPr>
            </w:pPr>
          </w:p>
        </w:tc>
        <w:tc>
          <w:tcPr>
            <w:tcW w:w="212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contributions made by</w:t>
            </w:r>
          </w:p>
        </w:tc>
        <w:tc>
          <w:tcPr>
            <w:tcW w:w="200" w:type="dxa"/>
            <w:vAlign w:val="bottom"/>
            <w:tcBorders>
              <w:right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214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corporate policies and</w:t>
            </w:r>
          </w:p>
        </w:tc>
      </w:tr>
      <w:tr>
        <w:trPr>
          <w:trHeight w:val="216"/>
        </w:trPr>
        <w:tc>
          <w:tcPr>
            <w:tcW w:w="2080" w:type="dxa"/>
            <w:vAlign w:val="bottom"/>
            <w:tcBorders>
              <w:left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and ongoing efforts to</w:t>
            </w:r>
          </w:p>
        </w:tc>
        <w:tc>
          <w:tcPr>
            <w:tcW w:w="180" w:type="dxa"/>
            <w:vAlign w:val="bottom"/>
            <w:tcBorders>
              <w:right w:val="single" w:sz="8" w:color="auto"/>
            </w:tcBorders>
          </w:tcPr>
          <w:p>
            <w:pPr>
              <w:spacing w:after="0"/>
              <w:rPr>
                <w:sz w:val="18"/>
                <w:szCs w:val="18"/>
                <w:color w:val="auto"/>
              </w:rPr>
            </w:pPr>
          </w:p>
        </w:tc>
        <w:tc>
          <w:tcPr>
            <w:tcW w:w="212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LillyPAC and the</w:t>
            </w:r>
          </w:p>
        </w:tc>
        <w:tc>
          <w:tcPr>
            <w:tcW w:w="200" w:type="dxa"/>
            <w:vAlign w:val="bottom"/>
            <w:tcBorders>
              <w:right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214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frameworks designed to</w:t>
            </w:r>
          </w:p>
        </w:tc>
      </w:tr>
      <w:tr>
        <w:trPr>
          <w:trHeight w:val="216"/>
        </w:trPr>
        <w:tc>
          <w:tcPr>
            <w:tcW w:w="2080" w:type="dxa"/>
            <w:vAlign w:val="bottom"/>
            <w:tcBorders>
              <w:left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enhance cyber</w:t>
            </w:r>
          </w:p>
        </w:tc>
        <w:tc>
          <w:tcPr>
            <w:tcW w:w="180" w:type="dxa"/>
            <w:vAlign w:val="bottom"/>
            <w:tcBorders>
              <w:right w:val="single" w:sz="8" w:color="auto"/>
            </w:tcBorders>
          </w:tcPr>
          <w:p>
            <w:pPr>
              <w:spacing w:after="0"/>
              <w:rPr>
                <w:sz w:val="18"/>
                <w:szCs w:val="18"/>
                <w:color w:val="auto"/>
              </w:rPr>
            </w:pPr>
          </w:p>
        </w:tc>
        <w:tc>
          <w:tcPr>
            <w:tcW w:w="212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company, as well as</w:t>
            </w:r>
          </w:p>
        </w:tc>
        <w:tc>
          <w:tcPr>
            <w:tcW w:w="200" w:type="dxa"/>
            <w:vAlign w:val="bottom"/>
            <w:tcBorders>
              <w:right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214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attract, retain, engage,</w:t>
            </w:r>
          </w:p>
        </w:tc>
      </w:tr>
      <w:tr>
        <w:trPr>
          <w:trHeight w:val="216"/>
        </w:trPr>
        <w:tc>
          <w:tcPr>
            <w:tcW w:w="2080" w:type="dxa"/>
            <w:vAlign w:val="bottom"/>
            <w:tcBorders>
              <w:left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resiliency, and</w:t>
            </w:r>
          </w:p>
        </w:tc>
        <w:tc>
          <w:tcPr>
            <w:tcW w:w="180" w:type="dxa"/>
            <w:vAlign w:val="bottom"/>
            <w:tcBorders>
              <w:right w:val="single" w:sz="8" w:color="auto"/>
            </w:tcBorders>
          </w:tcPr>
          <w:p>
            <w:pPr>
              <w:spacing w:after="0"/>
              <w:rPr>
                <w:sz w:val="18"/>
                <w:szCs w:val="18"/>
                <w:color w:val="auto"/>
              </w:rPr>
            </w:pPr>
          </w:p>
        </w:tc>
        <w:tc>
          <w:tcPr>
            <w:tcW w:w="212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trade association</w:t>
            </w:r>
          </w:p>
        </w:tc>
        <w:tc>
          <w:tcPr>
            <w:tcW w:w="200" w:type="dxa"/>
            <w:vAlign w:val="bottom"/>
            <w:tcBorders>
              <w:right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214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and develop a workforce</w:t>
            </w:r>
          </w:p>
        </w:tc>
      </w:tr>
      <w:tr>
        <w:trPr>
          <w:trHeight w:val="216"/>
        </w:trPr>
        <w:tc>
          <w:tcPr>
            <w:tcW w:w="2080" w:type="dxa"/>
            <w:vAlign w:val="bottom"/>
            <w:tcBorders>
              <w:left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management promptly</w:t>
            </w:r>
          </w:p>
        </w:tc>
        <w:tc>
          <w:tcPr>
            <w:tcW w:w="180" w:type="dxa"/>
            <w:vAlign w:val="bottom"/>
            <w:tcBorders>
              <w:right w:val="single" w:sz="8" w:color="auto"/>
            </w:tcBorders>
          </w:tcPr>
          <w:p>
            <w:pPr>
              <w:spacing w:after="0"/>
              <w:rPr>
                <w:sz w:val="18"/>
                <w:szCs w:val="18"/>
                <w:color w:val="auto"/>
              </w:rPr>
            </w:pPr>
          </w:p>
        </w:tc>
        <w:tc>
          <w:tcPr>
            <w:tcW w:w="212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memberships.</w:t>
            </w:r>
          </w:p>
        </w:tc>
        <w:tc>
          <w:tcPr>
            <w:tcW w:w="200" w:type="dxa"/>
            <w:vAlign w:val="bottom"/>
            <w:tcBorders>
              <w:right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214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that aligns with our</w:t>
            </w:r>
          </w:p>
        </w:tc>
      </w:tr>
      <w:tr>
        <w:trPr>
          <w:trHeight w:val="216"/>
        </w:trPr>
        <w:tc>
          <w:tcPr>
            <w:tcW w:w="2080" w:type="dxa"/>
            <w:vAlign w:val="bottom"/>
            <w:tcBorders>
              <w:left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updates our board</w:t>
            </w:r>
          </w:p>
        </w:tc>
        <w:tc>
          <w:tcPr>
            <w:tcW w:w="180" w:type="dxa"/>
            <w:vAlign w:val="bottom"/>
            <w:tcBorders>
              <w:right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214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values and mission.</w:t>
            </w:r>
          </w:p>
        </w:tc>
      </w:tr>
      <w:tr>
        <w:trPr>
          <w:trHeight w:val="216"/>
        </w:trPr>
        <w:tc>
          <w:tcPr>
            <w:tcW w:w="2080" w:type="dxa"/>
            <w:vAlign w:val="bottom"/>
            <w:tcBorders>
              <w:left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regarding significant</w:t>
            </w:r>
          </w:p>
        </w:tc>
        <w:tc>
          <w:tcPr>
            <w:tcW w:w="180" w:type="dxa"/>
            <w:vAlign w:val="bottom"/>
            <w:tcBorders>
              <w:right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r>
      <w:tr>
        <w:trPr>
          <w:trHeight w:val="216"/>
        </w:trPr>
        <w:tc>
          <w:tcPr>
            <w:tcW w:w="2080" w:type="dxa"/>
            <w:vAlign w:val="bottom"/>
            <w:tcBorders>
              <w:left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threats and incidents as</w:t>
            </w:r>
          </w:p>
        </w:tc>
        <w:tc>
          <w:tcPr>
            <w:tcW w:w="180" w:type="dxa"/>
            <w:vAlign w:val="bottom"/>
            <w:tcBorders>
              <w:right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r>
      <w:tr>
        <w:trPr>
          <w:trHeight w:val="239"/>
        </w:trPr>
        <w:tc>
          <w:tcPr>
            <w:tcW w:w="2080" w:type="dxa"/>
            <w:vAlign w:val="bottom"/>
            <w:tcBorders>
              <w:left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they arise.</w:t>
            </w:r>
          </w:p>
        </w:tc>
        <w:tc>
          <w:tcPr>
            <w:tcW w:w="180" w:type="dxa"/>
            <w:vAlign w:val="bottom"/>
            <w:tcBorders>
              <w:right w:val="single" w:sz="8" w:color="auto"/>
            </w:tcBorders>
          </w:tcPr>
          <w:p>
            <w:pPr>
              <w:spacing w:after="0"/>
              <w:rPr>
                <w:sz w:val="20"/>
                <w:szCs w:val="20"/>
                <w:color w:val="auto"/>
              </w:rPr>
            </w:pPr>
          </w:p>
        </w:tc>
        <w:tc>
          <w:tcPr>
            <w:tcW w:w="6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6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6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0" w:type="dxa"/>
            <w:vAlign w:val="bottom"/>
            <w:tcBorders>
              <w:right w:val="single" w:sz="8" w:color="auto"/>
            </w:tcBorders>
          </w:tcPr>
          <w:p>
            <w:pPr>
              <w:spacing w:after="0"/>
              <w:rPr>
                <w:sz w:val="20"/>
                <w:szCs w:val="20"/>
                <w:color w:val="auto"/>
              </w:rPr>
            </w:pPr>
          </w:p>
        </w:tc>
      </w:tr>
      <w:tr>
        <w:trPr>
          <w:trHeight w:val="23"/>
        </w:trPr>
        <w:tc>
          <w:tcPr>
            <w:tcW w:w="620" w:type="dxa"/>
            <w:vAlign w:val="bottom"/>
            <w:tcBorders>
              <w:left w:val="single" w:sz="8" w:color="auto"/>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0" w:type="dxa"/>
            <w:vAlign w:val="bottom"/>
            <w:tcBorders>
              <w:bottom w:val="single" w:sz="8" w:color="auto"/>
              <w:right w:val="single" w:sz="8" w:color="auto"/>
            </w:tcBorders>
          </w:tcPr>
          <w:p>
            <w:pPr>
              <w:spacing w:after="0"/>
              <w:rPr>
                <w:sz w:val="2"/>
                <w:szCs w:val="2"/>
                <w:color w:val="auto"/>
              </w:rPr>
            </w:pPr>
          </w:p>
        </w:tc>
      </w:tr>
    </w:tbl>
    <w:p>
      <w:pPr>
        <w:spacing w:after="0" w:line="165" w:lineRule="exact"/>
        <w:rPr>
          <w:sz w:val="20"/>
          <w:szCs w:val="20"/>
          <w:color w:val="auto"/>
        </w:rPr>
      </w:pPr>
    </w:p>
    <w:p>
      <w:pPr>
        <w:ind w:left="520"/>
        <w:spacing w:after="0"/>
        <w:rPr>
          <w:sz w:val="20"/>
          <w:szCs w:val="20"/>
          <w:color w:val="auto"/>
        </w:rPr>
      </w:pPr>
      <w:r>
        <w:rPr>
          <w:rFonts w:ascii="Arial" w:cs="Arial" w:eastAsia="Arial" w:hAnsi="Arial"/>
          <w:sz w:val="20"/>
          <w:szCs w:val="20"/>
          <w:b w:val="1"/>
          <w:bCs w:val="1"/>
          <w:color w:val="D52B1E"/>
        </w:rPr>
        <w:t>Exploring Responsible AI 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5760720" cy="9340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60720" cy="934085"/>
                    </a:xfrm>
                    <a:prstGeom prst="rect">
                      <a:avLst/>
                    </a:prstGeom>
                    <a:noFill/>
                  </pic:spPr>
                </pic:pic>
              </a:graphicData>
            </a:graphic>
          </wp:anchor>
        </w:drawing>
      </w:r>
    </w:p>
    <w:p>
      <w:pPr>
        <w:spacing w:after="0" w:line="92" w:lineRule="exact"/>
        <w:rPr>
          <w:sz w:val="20"/>
          <w:szCs w:val="20"/>
          <w:color w:val="auto"/>
        </w:rPr>
      </w:pPr>
    </w:p>
    <w:p>
      <w:pPr>
        <w:ind w:left="200" w:right="2220"/>
        <w:spacing w:after="0" w:line="259" w:lineRule="auto"/>
        <w:rPr>
          <w:sz w:val="20"/>
          <w:szCs w:val="20"/>
          <w:color w:val="auto"/>
        </w:rPr>
      </w:pPr>
      <w:r>
        <w:rPr>
          <w:rFonts w:ascii="Arial" w:cs="Arial" w:eastAsia="Arial" w:hAnsi="Arial"/>
          <w:sz w:val="18"/>
          <w:szCs w:val="18"/>
          <w:color w:val="auto"/>
        </w:rPr>
        <w:t>We see great potential in the advancements of artificial intelligence (AI) to help further our efforts to create medicines that make life better for people around the world. As we deploy AI and other emerging technologies in various facets of our operations and continue to explore the responsible development, management, and use of AI technologies, our board is focused on expanding its understanding and oversight of this emerging technology.</w:t>
      </w:r>
    </w:p>
    <w:p>
      <w:pPr>
        <w:sectPr>
          <w:pgSz w:w="11900" w:h="16838" w:orient="portrait"/>
          <w:cols w:equalWidth="0" w:num="1">
            <w:col w:w="11160"/>
          </w:cols>
          <w:pgMar w:left="320" w:top="1384"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84" w:right="41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25"/>
          <w:szCs w:val="25"/>
          <w:b w:val="1"/>
          <w:bCs w:val="1"/>
          <w:color w:val="00A1DE"/>
        </w:rPr>
        <w:t>Shareholder Access and Engagement</w:t>
      </w:r>
    </w:p>
    <w:p>
      <w:pPr>
        <w:spacing w:after="0" w:line="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Engagement Response</w:t>
      </w:r>
    </w:p>
    <w:p>
      <w:pPr>
        <w:spacing w:after="0" w:line="67" w:lineRule="exact"/>
        <w:rPr>
          <w:sz w:val="20"/>
          <w:szCs w:val="20"/>
          <w:color w:val="auto"/>
        </w:rPr>
      </w:pPr>
    </w:p>
    <w:p>
      <w:pPr>
        <w:ind w:left="340" w:hanging="332"/>
        <w:spacing w:after="0" w:line="268" w:lineRule="auto"/>
        <w:tabs>
          <w:tab w:leader="none" w:pos="329" w:val="left"/>
        </w:tabs>
        <w:numPr>
          <w:ilvl w:val="0"/>
          <w:numId w:val="11"/>
        </w:numPr>
        <w:rPr>
          <w:rFonts w:ascii="Arial" w:cs="Arial" w:eastAsia="Arial" w:hAnsi="Arial"/>
          <w:sz w:val="16"/>
          <w:szCs w:val="16"/>
          <w:color w:val="auto"/>
        </w:rPr>
      </w:pPr>
      <w:r>
        <w:rPr>
          <w:rFonts w:ascii="Arial" w:cs="Arial" w:eastAsia="Arial" w:hAnsi="Arial"/>
          <w:sz w:val="18"/>
          <w:szCs w:val="18"/>
          <w:color w:val="auto"/>
        </w:rPr>
        <w:t>In response to input from our shareholders and consistent with previous years, management is putting forth for consideration at the Annual Meeting proposals to amend our articles of incorporation to eliminate the classified board structure and to eliminate supermajority voting.</w:t>
      </w:r>
    </w:p>
    <w:p>
      <w:pPr>
        <w:spacing w:after="0" w:line="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Proxy Access</w:t>
      </w:r>
    </w:p>
    <w:p>
      <w:pPr>
        <w:spacing w:after="0" w:line="54" w:lineRule="exact"/>
        <w:rPr>
          <w:sz w:val="20"/>
          <w:szCs w:val="20"/>
          <w:color w:val="auto"/>
        </w:rPr>
      </w:pPr>
    </w:p>
    <w:p>
      <w:pPr>
        <w:ind w:left="340" w:right="260" w:hanging="332"/>
        <w:spacing w:after="0" w:line="284" w:lineRule="auto"/>
        <w:tabs>
          <w:tab w:leader="none" w:pos="329" w:val="left"/>
        </w:tabs>
        <w:numPr>
          <w:ilvl w:val="0"/>
          <w:numId w:val="12"/>
        </w:numPr>
        <w:rPr>
          <w:rFonts w:ascii="Arial" w:cs="Arial" w:eastAsia="Arial" w:hAnsi="Arial"/>
          <w:sz w:val="16"/>
          <w:szCs w:val="16"/>
          <w:color w:val="auto"/>
        </w:rPr>
      </w:pPr>
      <w:r>
        <w:rPr>
          <w:rFonts w:ascii="Arial" w:cs="Arial" w:eastAsia="Arial" w:hAnsi="Arial"/>
          <w:sz w:val="18"/>
          <w:szCs w:val="18"/>
          <w:color w:val="auto"/>
        </w:rPr>
        <w:t>Our bylaws provide proxy access rights for shareholders holding at least three percent of our common stock for at least three years to nominate to the board the greater of two directors or 20 percent of our board seats.</w:t>
      </w:r>
    </w:p>
    <w:p>
      <w:pPr>
        <w:spacing w:after="0"/>
        <w:rPr>
          <w:sz w:val="20"/>
          <w:szCs w:val="20"/>
          <w:color w:val="auto"/>
        </w:rPr>
      </w:pPr>
      <w:r>
        <w:rPr>
          <w:rFonts w:ascii="Arial" w:cs="Arial" w:eastAsia="Arial" w:hAnsi="Arial"/>
          <w:sz w:val="22"/>
          <w:szCs w:val="22"/>
          <w:b w:val="1"/>
          <w:bCs w:val="1"/>
          <w:color w:val="auto"/>
        </w:rPr>
        <w:t>Board Accountability</w:t>
      </w:r>
    </w:p>
    <w:p>
      <w:pPr>
        <w:spacing w:after="0" w:line="54" w:lineRule="exact"/>
        <w:rPr>
          <w:sz w:val="20"/>
          <w:szCs w:val="20"/>
          <w:color w:val="auto"/>
        </w:rPr>
      </w:pPr>
    </w:p>
    <w:p>
      <w:pPr>
        <w:ind w:left="320" w:hanging="312"/>
        <w:spacing w:after="0"/>
        <w:tabs>
          <w:tab w:leader="none" w:pos="320" w:val="left"/>
        </w:tabs>
        <w:numPr>
          <w:ilvl w:val="0"/>
          <w:numId w:val="13"/>
        </w:numPr>
        <w:rPr>
          <w:rFonts w:ascii="Arial" w:cs="Arial" w:eastAsia="Arial" w:hAnsi="Arial"/>
          <w:sz w:val="16"/>
          <w:szCs w:val="16"/>
          <w:color w:val="auto"/>
        </w:rPr>
      </w:pPr>
      <w:r>
        <w:rPr>
          <w:rFonts w:ascii="Arial" w:cs="Arial" w:eastAsia="Arial" w:hAnsi="Arial"/>
          <w:sz w:val="18"/>
          <w:szCs w:val="18"/>
          <w:color w:val="auto"/>
        </w:rPr>
        <w:t>We have a majority voting standard and a resignation policy for the election of directors in uncontested elections.</w:t>
      </w:r>
    </w:p>
    <w:p>
      <w:pPr>
        <w:spacing w:after="0" w:line="63" w:lineRule="exact"/>
        <w:rPr>
          <w:rFonts w:ascii="Arial" w:cs="Arial" w:eastAsia="Arial" w:hAnsi="Arial"/>
          <w:sz w:val="16"/>
          <w:szCs w:val="16"/>
          <w:color w:val="auto"/>
        </w:rPr>
      </w:pPr>
    </w:p>
    <w:p>
      <w:pPr>
        <w:ind w:left="320" w:hanging="312"/>
        <w:spacing w:after="0"/>
        <w:tabs>
          <w:tab w:leader="none" w:pos="320" w:val="left"/>
        </w:tabs>
        <w:numPr>
          <w:ilvl w:val="0"/>
          <w:numId w:val="13"/>
        </w:numPr>
        <w:rPr>
          <w:rFonts w:ascii="Arial" w:cs="Arial" w:eastAsia="Arial" w:hAnsi="Arial"/>
          <w:sz w:val="16"/>
          <w:szCs w:val="16"/>
          <w:color w:val="auto"/>
        </w:rPr>
      </w:pPr>
      <w:r>
        <w:rPr>
          <w:rFonts w:ascii="Arial" w:cs="Arial" w:eastAsia="Arial" w:hAnsi="Arial"/>
          <w:sz w:val="18"/>
          <w:szCs w:val="18"/>
          <w:color w:val="auto"/>
        </w:rPr>
        <w:t>Shareholders have the ability to amend our bylaws.</w:t>
      </w:r>
    </w:p>
    <w:p>
      <w:pPr>
        <w:spacing w:after="0" w:line="63" w:lineRule="exact"/>
        <w:rPr>
          <w:rFonts w:ascii="Arial" w:cs="Arial" w:eastAsia="Arial" w:hAnsi="Arial"/>
          <w:sz w:val="16"/>
          <w:szCs w:val="16"/>
          <w:color w:val="auto"/>
        </w:rPr>
      </w:pPr>
    </w:p>
    <w:p>
      <w:pPr>
        <w:ind w:left="320" w:hanging="312"/>
        <w:spacing w:after="0"/>
        <w:tabs>
          <w:tab w:leader="none" w:pos="320" w:val="left"/>
        </w:tabs>
        <w:numPr>
          <w:ilvl w:val="0"/>
          <w:numId w:val="13"/>
        </w:numPr>
        <w:rPr>
          <w:rFonts w:ascii="Arial" w:cs="Arial" w:eastAsia="Arial" w:hAnsi="Arial"/>
          <w:sz w:val="16"/>
          <w:szCs w:val="16"/>
          <w:color w:val="auto"/>
        </w:rPr>
      </w:pPr>
      <w:r>
        <w:rPr>
          <w:rFonts w:ascii="Arial" w:cs="Arial" w:eastAsia="Arial" w:hAnsi="Arial"/>
          <w:sz w:val="18"/>
          <w:szCs w:val="18"/>
          <w:color w:val="auto"/>
        </w:rPr>
        <w:t>We do not have a shareholder rights plan (known as a “poison pill”).</w:t>
      </w:r>
    </w:p>
    <w:p>
      <w:pPr>
        <w:spacing w:after="0" w:line="63" w:lineRule="exact"/>
        <w:rPr>
          <w:rFonts w:ascii="Arial" w:cs="Arial" w:eastAsia="Arial" w:hAnsi="Arial"/>
          <w:sz w:val="16"/>
          <w:szCs w:val="16"/>
          <w:color w:val="auto"/>
        </w:rPr>
      </w:pPr>
    </w:p>
    <w:p>
      <w:pPr>
        <w:ind w:left="340" w:right="940" w:hanging="332"/>
        <w:spacing w:after="0" w:line="281" w:lineRule="auto"/>
        <w:tabs>
          <w:tab w:leader="none" w:pos="329" w:val="left"/>
        </w:tabs>
        <w:numPr>
          <w:ilvl w:val="0"/>
          <w:numId w:val="13"/>
        </w:numPr>
        <w:rPr>
          <w:rFonts w:ascii="Arial" w:cs="Arial" w:eastAsia="Arial" w:hAnsi="Arial"/>
          <w:sz w:val="16"/>
          <w:szCs w:val="16"/>
          <w:color w:val="auto"/>
        </w:rPr>
      </w:pPr>
      <w:r>
        <w:rPr>
          <w:rFonts w:ascii="Arial" w:cs="Arial" w:eastAsia="Arial" w:hAnsi="Arial"/>
          <w:sz w:val="18"/>
          <w:szCs w:val="18"/>
          <w:color w:val="auto"/>
        </w:rPr>
        <w:t>We have meaningful stock ownership and retention guidelines for our directors and executive officers to foster alignment with shareholders.</w:t>
      </w:r>
    </w:p>
    <w:p>
      <w:pPr>
        <w:spacing w:after="0" w:line="1" w:lineRule="exact"/>
        <w:rPr>
          <w:rFonts w:ascii="Arial" w:cs="Arial" w:eastAsia="Arial" w:hAnsi="Arial"/>
          <w:sz w:val="16"/>
          <w:szCs w:val="16"/>
          <w:color w:val="auto"/>
        </w:rPr>
      </w:pPr>
    </w:p>
    <w:p>
      <w:pPr>
        <w:ind w:left="320" w:hanging="312"/>
        <w:spacing w:after="0"/>
        <w:tabs>
          <w:tab w:leader="none" w:pos="320" w:val="left"/>
        </w:tabs>
        <w:numPr>
          <w:ilvl w:val="0"/>
          <w:numId w:val="13"/>
        </w:numPr>
        <w:rPr>
          <w:rFonts w:ascii="Arial" w:cs="Arial" w:eastAsia="Arial" w:hAnsi="Arial"/>
          <w:sz w:val="16"/>
          <w:szCs w:val="16"/>
          <w:color w:val="auto"/>
        </w:rPr>
      </w:pPr>
      <w:r>
        <w:rPr>
          <w:rFonts w:ascii="Arial" w:cs="Arial" w:eastAsia="Arial" w:hAnsi="Arial"/>
          <w:sz w:val="18"/>
          <w:szCs w:val="18"/>
          <w:color w:val="auto"/>
        </w:rPr>
        <w:t>We have an annual cap on director compensation.</w:t>
      </w:r>
    </w:p>
    <w:p>
      <w:pPr>
        <w:spacing w:after="0" w:line="376" w:lineRule="exact"/>
        <w:rPr>
          <w:sz w:val="20"/>
          <w:szCs w:val="20"/>
          <w:color w:val="auto"/>
        </w:rPr>
      </w:pPr>
    </w:p>
    <w:p>
      <w:pPr>
        <w:spacing w:after="0"/>
        <w:rPr>
          <w:sz w:val="20"/>
          <w:szCs w:val="20"/>
          <w:color w:val="auto"/>
        </w:rPr>
      </w:pPr>
      <w:r>
        <w:rPr>
          <w:rFonts w:ascii="Arial" w:cs="Arial" w:eastAsia="Arial" w:hAnsi="Arial"/>
          <w:sz w:val="32"/>
          <w:szCs w:val="32"/>
          <w:b w:val="1"/>
          <w:bCs w:val="1"/>
          <w:color w:val="D52B1E"/>
        </w:rPr>
        <w:t>Compensation</w:t>
      </w:r>
    </w:p>
    <w:p>
      <w:pPr>
        <w:spacing w:after="0" w:line="191" w:lineRule="exact"/>
        <w:rPr>
          <w:sz w:val="20"/>
          <w:szCs w:val="20"/>
          <w:color w:val="auto"/>
        </w:rPr>
      </w:pPr>
    </w:p>
    <w:p>
      <w:pPr>
        <w:spacing w:after="0"/>
        <w:rPr>
          <w:sz w:val="20"/>
          <w:szCs w:val="20"/>
          <w:color w:val="auto"/>
        </w:rPr>
      </w:pPr>
      <w:r>
        <w:rPr>
          <w:rFonts w:ascii="Arial" w:cs="Arial" w:eastAsia="Arial" w:hAnsi="Arial"/>
          <w:sz w:val="25"/>
          <w:szCs w:val="25"/>
          <w:b w:val="1"/>
          <w:bCs w:val="1"/>
          <w:color w:val="00A1DE"/>
        </w:rPr>
        <w:t>Compensation Practices</w:t>
      </w:r>
    </w:p>
    <w:p>
      <w:pPr>
        <w:spacing w:after="0" w:line="69"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For each of the last five years, greater than 94 percent of votes cast were in favor of our executive compensation programs. We believe this robust support validates our compensation program and our strong performance culture.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5726430" cy="36429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26430" cy="3642995"/>
                    </a:xfrm>
                    <a:prstGeom prst="rect">
                      <a:avLst/>
                    </a:prstGeom>
                    <a:noFill/>
                  </pic:spPr>
                </pic:pic>
              </a:graphicData>
            </a:graphic>
          </wp:anchor>
        </w:drawing>
      </w:r>
    </w:p>
    <w:p>
      <w:pPr>
        <w:sectPr>
          <w:pgSz w:w="11900" w:h="16838" w:orient="portrait"/>
          <w:cols w:equalWidth="0" w:num="1">
            <w:col w:w="11200"/>
          </w:cols>
          <w:pgMar w:left="320" w:top="979" w:right="379" w:bottom="1440" w:gutter="0" w:footer="0" w:header="0"/>
        </w:sectPr>
      </w:pPr>
    </w:p>
    <w:p>
      <w:pPr>
        <w:spacing w:after="0" w:line="2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FFFFFF"/>
        </w:rPr>
        <w:t>Compensation Philosophy</w:t>
      </w:r>
    </w:p>
    <w:p>
      <w:pPr>
        <w:spacing w:after="0" w:line="392" w:lineRule="exact"/>
        <w:rPr>
          <w:sz w:val="20"/>
          <w:szCs w:val="20"/>
          <w:color w:val="auto"/>
        </w:rPr>
      </w:pPr>
    </w:p>
    <w:p>
      <w:pPr>
        <w:ind w:left="420" w:right="40" w:hanging="246"/>
        <w:spacing w:after="0"/>
        <w:rPr>
          <w:sz w:val="20"/>
          <w:szCs w:val="20"/>
          <w:color w:val="auto"/>
        </w:rPr>
      </w:pPr>
      <w:r>
        <w:rPr>
          <w:sz w:val="1"/>
          <w:szCs w:val="1"/>
          <w:color w:val="auto"/>
        </w:rPr>
        <w:drawing>
          <wp:inline distT="0" distB="0" distL="0" distR="0">
            <wp:extent cx="128270" cy="111125"/>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8270" cy="111125"/>
                    </a:xfrm>
                    <a:prstGeom prst="rect">
                      <a:avLst/>
                    </a:prstGeom>
                    <a:noFill/>
                    <a:ln>
                      <a:noFill/>
                    </a:ln>
                  </pic:spPr>
                </pic:pic>
              </a:graphicData>
            </a:graphic>
          </wp:inline>
        </w:drawing>
      </w:r>
      <w:r>
        <w:rPr>
          <w:rFonts w:ascii="Arial" w:cs="Arial" w:eastAsia="Arial" w:hAnsi="Arial"/>
          <w:sz w:val="18"/>
          <w:szCs w:val="18"/>
          <w:color w:val="auto"/>
        </w:rPr>
        <w:t xml:space="preserve"> Our compensation programs are designed to align executive pay with shareholder interests and link pay to performance through a blend of short- and long-term performance measures.</w:t>
      </w:r>
    </w:p>
    <w:p>
      <w:pPr>
        <w:spacing w:after="0" w:line="104" w:lineRule="exact"/>
        <w:rPr>
          <w:sz w:val="20"/>
          <w:szCs w:val="20"/>
          <w:color w:val="auto"/>
        </w:rPr>
      </w:pPr>
    </w:p>
    <w:p>
      <w:pPr>
        <w:ind w:left="420" w:hanging="246"/>
        <w:spacing w:after="0"/>
        <w:rPr>
          <w:sz w:val="20"/>
          <w:szCs w:val="20"/>
          <w:color w:val="auto"/>
        </w:rPr>
      </w:pPr>
      <w:r>
        <w:rPr>
          <w:sz w:val="1"/>
          <w:szCs w:val="1"/>
          <w:color w:val="auto"/>
        </w:rPr>
        <w:drawing>
          <wp:inline distT="0" distB="0" distL="0" distR="0">
            <wp:extent cx="128270" cy="111760"/>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8270" cy="111760"/>
                    </a:xfrm>
                    <a:prstGeom prst="rect">
                      <a:avLst/>
                    </a:prstGeom>
                    <a:noFill/>
                    <a:ln>
                      <a:noFill/>
                    </a:ln>
                  </pic:spPr>
                </pic:pic>
              </a:graphicData>
            </a:graphic>
          </wp:inline>
        </w:drawing>
      </w:r>
      <w:r>
        <w:rPr>
          <w:rFonts w:ascii="Arial" w:cs="Arial" w:eastAsia="Arial" w:hAnsi="Arial"/>
          <w:sz w:val="18"/>
          <w:szCs w:val="18"/>
          <w:color w:val="auto"/>
        </w:rPr>
        <w:t xml:space="preserve"> Our Talent and Compensation Committee annually reviews our compensation programs to help ensure our programs provide incentives to deliver long-term, sustainable business results while discouraging excessive risk-taking and other adverse behaviors.</w:t>
      </w:r>
    </w:p>
    <w:p>
      <w:pPr>
        <w:spacing w:after="0" w:line="20" w:lineRule="exact"/>
        <w:rPr>
          <w:sz w:val="20"/>
          <w:szCs w:val="20"/>
          <w:color w:val="auto"/>
        </w:rPr>
      </w:pPr>
      <w:r>
        <w:rPr>
          <w:sz w:val="20"/>
          <w:szCs w:val="20"/>
          <w:color w:val="auto"/>
        </w:rPr>
        <w:br w:type="column"/>
      </w:r>
    </w:p>
    <w:p>
      <w:pPr>
        <w:spacing w:after="0" w:line="268"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FFFFFF"/>
        </w:rPr>
        <w:t>What We Do</w:t>
      </w:r>
    </w:p>
    <w:p>
      <w:pPr>
        <w:spacing w:after="0" w:line="392" w:lineRule="exact"/>
        <w:rPr>
          <w:sz w:val="20"/>
          <w:szCs w:val="20"/>
          <w:color w:val="auto"/>
        </w:rPr>
      </w:pPr>
    </w:p>
    <w:p>
      <w:pPr>
        <w:ind w:right="500" w:hanging="246"/>
        <w:spacing w:after="0"/>
        <w:rPr>
          <w:sz w:val="20"/>
          <w:szCs w:val="20"/>
          <w:color w:val="auto"/>
        </w:rPr>
      </w:pPr>
      <w:r>
        <w:rPr>
          <w:sz w:val="1"/>
          <w:szCs w:val="1"/>
          <w:color w:val="auto"/>
        </w:rPr>
        <w:drawing>
          <wp:inline distT="0" distB="0" distL="0" distR="0">
            <wp:extent cx="120015" cy="111125"/>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0015" cy="111125"/>
                    </a:xfrm>
                    <a:prstGeom prst="rect">
                      <a:avLst/>
                    </a:prstGeom>
                    <a:noFill/>
                    <a:ln>
                      <a:noFill/>
                    </a:ln>
                  </pic:spPr>
                </pic:pic>
              </a:graphicData>
            </a:graphic>
          </wp:inline>
        </w:drawing>
      </w:r>
      <w:r>
        <w:rPr>
          <w:rFonts w:ascii="Arial" w:cs="Arial" w:eastAsia="Arial" w:hAnsi="Arial"/>
          <w:sz w:val="18"/>
          <w:szCs w:val="18"/>
          <w:color w:val="auto"/>
        </w:rPr>
        <w:t xml:space="preserve"> We have robust stock ownership guidelines for executive officers.</w:t>
      </w:r>
    </w:p>
    <w:p>
      <w:pPr>
        <w:spacing w:after="0" w:line="104" w:lineRule="exact"/>
        <w:rPr>
          <w:sz w:val="20"/>
          <w:szCs w:val="20"/>
          <w:color w:val="auto"/>
        </w:rPr>
      </w:pPr>
    </w:p>
    <w:p>
      <w:pPr>
        <w:ind w:right="60" w:hanging="246"/>
        <w:spacing w:after="0"/>
        <w:rPr>
          <w:sz w:val="20"/>
          <w:szCs w:val="20"/>
          <w:color w:val="auto"/>
        </w:rPr>
      </w:pPr>
      <w:r>
        <w:rPr>
          <w:sz w:val="1"/>
          <w:szCs w:val="1"/>
          <w:color w:val="auto"/>
        </w:rPr>
        <w:drawing>
          <wp:inline distT="0" distB="0" distL="0" distR="0">
            <wp:extent cx="120015" cy="111125"/>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0015" cy="111125"/>
                    </a:xfrm>
                    <a:prstGeom prst="rect">
                      <a:avLst/>
                    </a:prstGeom>
                    <a:noFill/>
                    <a:ln>
                      <a:noFill/>
                    </a:ln>
                  </pic:spPr>
                </pic:pic>
              </a:graphicData>
            </a:graphic>
          </wp:inline>
        </w:drawing>
      </w:r>
      <w:r>
        <w:rPr>
          <w:rFonts w:ascii="Arial" w:cs="Arial" w:eastAsia="Arial" w:hAnsi="Arial"/>
          <w:sz w:val="18"/>
          <w:szCs w:val="18"/>
          <w:color w:val="auto"/>
        </w:rPr>
        <w:t xml:space="preserve"> Executive officers are prohibited from hedging or pledging their company stock.</w:t>
      </w:r>
    </w:p>
    <w:p>
      <w:pPr>
        <w:spacing w:after="0" w:line="104" w:lineRule="exact"/>
        <w:rPr>
          <w:sz w:val="20"/>
          <w:szCs w:val="20"/>
          <w:color w:val="auto"/>
        </w:rPr>
      </w:pPr>
    </w:p>
    <w:p>
      <w:pPr>
        <w:ind w:right="100" w:hanging="246"/>
        <w:spacing w:after="0"/>
        <w:rPr>
          <w:sz w:val="20"/>
          <w:szCs w:val="20"/>
          <w:color w:val="auto"/>
        </w:rPr>
      </w:pPr>
      <w:r>
        <w:rPr>
          <w:sz w:val="1"/>
          <w:szCs w:val="1"/>
          <w:color w:val="auto"/>
        </w:rPr>
        <w:drawing>
          <wp:inline distT="0" distB="0" distL="0" distR="0">
            <wp:extent cx="120015" cy="111125"/>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0015" cy="111125"/>
                    </a:xfrm>
                    <a:prstGeom prst="rect">
                      <a:avLst/>
                    </a:prstGeom>
                    <a:noFill/>
                    <a:ln>
                      <a:noFill/>
                    </a:ln>
                  </pic:spPr>
                </pic:pic>
              </a:graphicData>
            </a:graphic>
          </wp:inline>
        </w:drawing>
      </w:r>
      <w:r>
        <w:rPr>
          <w:rFonts w:ascii="Arial" w:cs="Arial" w:eastAsia="Arial" w:hAnsi="Arial"/>
          <w:sz w:val="18"/>
          <w:szCs w:val="18"/>
          <w:color w:val="auto"/>
        </w:rPr>
        <w:t xml:space="preserve"> We have a compensation recovery or “clawback” policy that aligns with applicable legal requirements and provides the ability to recover certain compensation upon a wide range of misconduct.</w:t>
      </w:r>
    </w:p>
    <w:p>
      <w:pPr>
        <w:spacing w:after="0" w:line="104" w:lineRule="exact"/>
        <w:rPr>
          <w:sz w:val="20"/>
          <w:szCs w:val="20"/>
          <w:color w:val="auto"/>
        </w:rPr>
      </w:pPr>
    </w:p>
    <w:p>
      <w:pPr>
        <w:ind w:hanging="246"/>
        <w:spacing w:after="0"/>
        <w:rPr>
          <w:sz w:val="20"/>
          <w:szCs w:val="20"/>
          <w:color w:val="auto"/>
        </w:rPr>
      </w:pPr>
      <w:r>
        <w:rPr>
          <w:sz w:val="1"/>
          <w:szCs w:val="1"/>
          <w:color w:val="auto"/>
        </w:rPr>
        <w:drawing>
          <wp:inline distT="0" distB="0" distL="0" distR="0">
            <wp:extent cx="120015" cy="111125"/>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0015" cy="111125"/>
                    </a:xfrm>
                    <a:prstGeom prst="rect">
                      <a:avLst/>
                    </a:prstGeom>
                    <a:noFill/>
                    <a:ln>
                      <a:noFill/>
                    </a:ln>
                  </pic:spPr>
                </pic:pic>
              </a:graphicData>
            </a:graphic>
          </wp:inline>
        </w:drawing>
      </w:r>
      <w:r>
        <w:rPr>
          <w:rFonts w:ascii="Arial" w:cs="Arial" w:eastAsia="Arial" w:hAnsi="Arial"/>
          <w:sz w:val="18"/>
          <w:szCs w:val="18"/>
          <w:color w:val="auto"/>
        </w:rPr>
        <w:t xml:space="preserve"> We provide perquisites that achieve a compelling business purpose.</w:t>
      </w:r>
    </w:p>
    <w:p>
      <w:pPr>
        <w:spacing w:after="0" w:line="104" w:lineRule="exact"/>
        <w:rPr>
          <w:sz w:val="20"/>
          <w:szCs w:val="20"/>
          <w:color w:val="auto"/>
        </w:rPr>
      </w:pPr>
    </w:p>
    <w:p>
      <w:pPr>
        <w:ind w:hanging="246"/>
        <w:spacing w:after="0"/>
        <w:rPr>
          <w:sz w:val="20"/>
          <w:szCs w:val="20"/>
          <w:color w:val="auto"/>
        </w:rPr>
      </w:pPr>
      <w:r>
        <w:rPr>
          <w:sz w:val="1"/>
          <w:szCs w:val="1"/>
          <w:color w:val="auto"/>
        </w:rPr>
        <w:drawing>
          <wp:inline distT="0" distB="0" distL="0" distR="0">
            <wp:extent cx="120015" cy="111125"/>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0015" cy="111125"/>
                    </a:xfrm>
                    <a:prstGeom prst="rect">
                      <a:avLst/>
                    </a:prstGeom>
                    <a:noFill/>
                    <a:ln>
                      <a:noFill/>
                    </a:ln>
                  </pic:spPr>
                </pic:pic>
              </a:graphicData>
            </a:graphic>
          </wp:inline>
        </w:drawing>
      </w:r>
      <w:r>
        <w:rPr>
          <w:rFonts w:ascii="Arial" w:cs="Arial" w:eastAsia="Arial" w:hAnsi="Arial"/>
          <w:sz w:val="18"/>
          <w:szCs w:val="18"/>
          <w:color w:val="auto"/>
        </w:rPr>
        <w:t xml:space="preserve"> We have double trigger change-in-control provisions in severance plans.</w:t>
      </w:r>
    </w:p>
    <w:p>
      <w:pPr>
        <w:spacing w:after="0" w:line="20" w:lineRule="exact"/>
        <w:rPr>
          <w:sz w:val="20"/>
          <w:szCs w:val="20"/>
          <w:color w:val="auto"/>
        </w:rPr>
      </w:pPr>
      <w:r>
        <w:rPr>
          <w:sz w:val="20"/>
          <w:szCs w:val="20"/>
          <w:color w:val="auto"/>
        </w:rPr>
        <w:br w:type="column"/>
      </w:r>
    </w:p>
    <w:p>
      <w:pPr>
        <w:spacing w:after="0" w:line="268"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FFFFFF"/>
        </w:rPr>
        <w:t>What We Don’t Do</w:t>
      </w:r>
    </w:p>
    <w:p>
      <w:pPr>
        <w:spacing w:after="0" w:line="392" w:lineRule="exact"/>
        <w:rPr>
          <w:sz w:val="20"/>
          <w:szCs w:val="20"/>
          <w:color w:val="auto"/>
        </w:rPr>
      </w:pPr>
    </w:p>
    <w:p>
      <w:pPr>
        <w:spacing w:after="0"/>
        <w:rPr>
          <w:sz w:val="20"/>
          <w:szCs w:val="20"/>
          <w:color w:val="auto"/>
        </w:rPr>
      </w:pPr>
      <w:r>
        <w:rPr>
          <w:sz w:val="1"/>
          <w:szCs w:val="1"/>
          <w:color w:val="auto"/>
        </w:rPr>
        <w:drawing>
          <wp:inline distT="0" distB="0" distL="0" distR="0">
            <wp:extent cx="102870" cy="94615"/>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Arial" w:cs="Arial" w:eastAsia="Arial" w:hAnsi="Arial"/>
          <w:sz w:val="18"/>
          <w:szCs w:val="18"/>
          <w:color w:val="auto"/>
        </w:rPr>
        <w:t xml:space="preserve"> We don’t enter into</w:t>
      </w:r>
    </w:p>
    <w:p>
      <w:pPr>
        <w:spacing w:after="0" w:line="4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employment agreements with</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any of our executive officers.</w:t>
      </w:r>
    </w:p>
    <w:p>
      <w:pPr>
        <w:spacing w:after="0" w:line="172" w:lineRule="exact"/>
        <w:rPr>
          <w:sz w:val="20"/>
          <w:szCs w:val="20"/>
          <w:color w:val="auto"/>
        </w:rPr>
      </w:pPr>
    </w:p>
    <w:p>
      <w:pPr>
        <w:spacing w:after="0"/>
        <w:rPr>
          <w:sz w:val="20"/>
          <w:szCs w:val="20"/>
          <w:color w:val="auto"/>
        </w:rPr>
      </w:pPr>
      <w:r>
        <w:rPr>
          <w:sz w:val="1"/>
          <w:szCs w:val="1"/>
          <w:color w:val="auto"/>
        </w:rPr>
        <w:drawing>
          <wp:inline distT="0" distB="0" distL="0" distR="0">
            <wp:extent cx="102870" cy="93980"/>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02870" cy="93980"/>
                    </a:xfrm>
                    <a:prstGeom prst="rect">
                      <a:avLst/>
                    </a:prstGeom>
                    <a:noFill/>
                    <a:ln>
                      <a:noFill/>
                    </a:ln>
                  </pic:spPr>
                </pic:pic>
              </a:graphicData>
            </a:graphic>
          </wp:inline>
        </w:drawing>
      </w:r>
      <w:r>
        <w:rPr>
          <w:rFonts w:ascii="Arial" w:cs="Arial" w:eastAsia="Arial" w:hAnsi="Arial"/>
          <w:sz w:val="18"/>
          <w:szCs w:val="18"/>
          <w:color w:val="auto"/>
        </w:rPr>
        <w:t xml:space="preserve"> We don’t provide routine tax</w:t>
      </w:r>
    </w:p>
    <w:p>
      <w:pPr>
        <w:spacing w:after="0" w:line="3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gross-ups to executive</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officers.</w:t>
      </w:r>
    </w:p>
    <w:p>
      <w:pPr>
        <w:spacing w:after="0" w:line="3534" w:lineRule="exact"/>
        <w:rPr>
          <w:sz w:val="20"/>
          <w:szCs w:val="20"/>
          <w:color w:val="auto"/>
        </w:rPr>
      </w:pPr>
    </w:p>
    <w:p>
      <w:pPr>
        <w:sectPr>
          <w:pgSz w:w="11900" w:h="16838" w:orient="portrait"/>
          <w:cols w:equalWidth="0" w:num="3">
            <w:col w:w="2820" w:space="640"/>
            <w:col w:w="2440" w:space="400"/>
            <w:col w:w="4900"/>
          </w:cols>
          <w:pgMar w:left="320" w:top="979" w:right="379" w:bottom="1440" w:gutter="0" w:footer="0" w:header="0"/>
          <w:type w:val="continuous"/>
        </w:sectPr>
      </w:pPr>
    </w:p>
    <w:p>
      <w:pPr>
        <w:spacing w:after="0" w:line="177" w:lineRule="exact"/>
        <w:rPr>
          <w:sz w:val="20"/>
          <w:szCs w:val="20"/>
          <w:color w:val="auto"/>
        </w:rPr>
      </w:pPr>
    </w:p>
    <w:p>
      <w:pPr>
        <w:spacing w:after="0"/>
        <w:rPr>
          <w:sz w:val="20"/>
          <w:szCs w:val="20"/>
          <w:color w:val="auto"/>
        </w:rPr>
      </w:pPr>
      <w:r>
        <w:rPr>
          <w:rFonts w:ascii="Arial" w:cs="Arial" w:eastAsia="Arial" w:hAnsi="Arial"/>
          <w:sz w:val="25"/>
          <w:szCs w:val="25"/>
          <w:b w:val="1"/>
          <w:bCs w:val="1"/>
          <w:color w:val="00A1DE"/>
        </w:rPr>
        <w:t>Executive Compensation Summary</w:t>
      </w:r>
    </w:p>
    <w:p>
      <w:pPr>
        <w:spacing w:after="0" w:line="69"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In 2024, the target compensation for our named executive officers was competitive when compared to the company’s peer group. Bonus and equity payouts exceeded target, consistent with strong company performance over the respective performance periods.</w:t>
      </w:r>
    </w:p>
    <w:p>
      <w:pPr>
        <w:sectPr>
          <w:pgSz w:w="11900" w:h="16838" w:orient="portrait"/>
          <w:cols w:equalWidth="0" w:num="1">
            <w:col w:w="11200"/>
          </w:cols>
          <w:pgMar w:left="320" w:top="979" w:right="379" w:bottom="1440" w:gutter="0" w:footer="0" w:header="0"/>
          <w:type w:val="continuous"/>
        </w:sectPr>
      </w:pP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79" w:right="37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22"/>
          <w:szCs w:val="22"/>
          <w:b w:val="1"/>
          <w:bCs w:val="1"/>
          <w:color w:val="auto"/>
        </w:rPr>
        <w:t>Pay for Performance</w:t>
      </w:r>
    </w:p>
    <w:p>
      <w:pPr>
        <w:spacing w:after="0" w:line="18"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As described in the Compensation Discussion and Analysis (CD&amp;A), we link our incentive pay programs to a mix of measures on three dimensions of company performance: operating performance; progress with our innovation pipeline; and shareholder return. The Talent and Compensation Committee adjusts reported revenue and EPS results to eliminate the distorting effect of certain unusual items on incentive compensation performance measures.</w:t>
      </w:r>
    </w:p>
    <w:p>
      <w:pPr>
        <w:spacing w:after="0" w:line="128"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 xml:space="preserve">The summary below highlights how our incentive pay programs are intended to align with company performance. Our incentive compensation programs use certain non-GAAP financial measures. Please see </w:t>
      </w:r>
      <w:r>
        <w:rPr>
          <w:rFonts w:ascii="Arial" w:cs="Arial" w:eastAsia="Arial" w:hAnsi="Arial"/>
          <w:sz w:val="18"/>
          <w:szCs w:val="18"/>
          <w:u w:val="single" w:color="auto"/>
          <w:color w:val="0000FF"/>
        </w:rPr>
        <w:t>Appendix A</w:t>
      </w:r>
      <w:r>
        <w:rPr>
          <w:rFonts w:ascii="Arial" w:cs="Arial" w:eastAsia="Arial" w:hAnsi="Arial"/>
          <w:sz w:val="18"/>
          <w:szCs w:val="18"/>
          <w:color w:val="auto"/>
        </w:rPr>
        <w:t xml:space="preserve"> for a reconciliation of, and adjustments made to, revenue and EPS for incentive compensation programs.</w:t>
      </w:r>
    </w:p>
    <w:p>
      <w:pPr>
        <w:sectPr>
          <w:pgSz w:w="11900" w:h="16838" w:orient="portrait"/>
          <w:cols w:equalWidth="0" w:num="1">
            <w:col w:w="11240"/>
          </w:cols>
          <w:pgMar w:left="320" w:top="1097" w:right="339" w:bottom="1440" w:gutter="0" w:footer="0" w:header="0"/>
        </w:sectPr>
      </w:pPr>
    </w:p>
    <w:p>
      <w:pPr>
        <w:spacing w:after="0" w:line="274" w:lineRule="exact"/>
        <w:rPr>
          <w:sz w:val="20"/>
          <w:szCs w:val="20"/>
          <w:color w:val="auto"/>
        </w:rPr>
      </w:pPr>
    </w:p>
    <w:p>
      <w:pPr>
        <w:ind w:left="180" w:hanging="154"/>
        <w:spacing w:after="0" w:line="264" w:lineRule="auto"/>
        <w:tabs>
          <w:tab w:leader="none" w:pos="169" w:val="left"/>
        </w:tabs>
        <w:numPr>
          <w:ilvl w:val="0"/>
          <w:numId w:val="14"/>
        </w:numPr>
        <w:rPr>
          <w:rFonts w:ascii="Arial" w:cs="Arial" w:eastAsia="Arial" w:hAnsi="Arial"/>
          <w:sz w:val="16"/>
          <w:szCs w:val="16"/>
          <w:b w:val="1"/>
          <w:bCs w:val="1"/>
          <w:color w:val="D52B1E"/>
        </w:rPr>
      </w:pPr>
      <w:r>
        <w:rPr>
          <w:rFonts w:ascii="Arial" w:cs="Arial" w:eastAsia="Arial" w:hAnsi="Arial"/>
          <w:sz w:val="20"/>
          <w:szCs w:val="20"/>
          <w:b w:val="1"/>
          <w:bCs w:val="1"/>
          <w:color w:val="D52B1E"/>
        </w:rPr>
        <w:t xml:space="preserve">Bonus Plan Result: </w:t>
      </w:r>
      <w:r>
        <w:rPr>
          <w:rFonts w:ascii="Arial" w:cs="Arial" w:eastAsia="Arial" w:hAnsi="Arial"/>
          <w:sz w:val="17"/>
          <w:szCs w:val="17"/>
          <w:color w:val="000000"/>
        </w:rPr>
        <w:t>In 2024, the company exceeded its annual cash bonus</w:t>
      </w:r>
      <w:r>
        <w:rPr>
          <w:rFonts w:ascii="Arial" w:cs="Arial" w:eastAsia="Arial" w:hAnsi="Arial"/>
          <w:sz w:val="20"/>
          <w:szCs w:val="20"/>
          <w:b w:val="1"/>
          <w:bCs w:val="1"/>
          <w:color w:val="D52B1E"/>
        </w:rPr>
        <w:t xml:space="preserve"> </w:t>
      </w:r>
      <w:r>
        <w:rPr>
          <w:rFonts w:ascii="Arial" w:cs="Arial" w:eastAsia="Arial" w:hAnsi="Arial"/>
          <w:sz w:val="17"/>
          <w:szCs w:val="17"/>
          <w:color w:val="000000"/>
        </w:rPr>
        <w:t xml:space="preserve">targets for product revenue and EPS. We also made significant pipeline advances. For purposes of the bonus, the Talent and Compensation Committee adjusted product revenue and non-GAAP EPS to exclude the impact of business development transactions and acquired in-process research and development (IPR&amp;D) charges, both of which were not included in 2024 bonus targets. Foreign exchange impact was also neutralized. See the </w:t>
      </w:r>
      <w:r>
        <w:rPr>
          <w:rFonts w:ascii="Arial" w:cs="Arial" w:eastAsia="Arial" w:hAnsi="Arial"/>
          <w:sz w:val="17"/>
          <w:szCs w:val="17"/>
          <w:u w:val="single" w:color="auto"/>
          <w:color w:val="0000FF"/>
        </w:rPr>
        <w:t>CD&amp;A</w:t>
      </w:r>
      <w:r>
        <w:rPr>
          <w:rFonts w:ascii="Arial" w:cs="Arial" w:eastAsia="Arial" w:hAnsi="Arial"/>
          <w:sz w:val="17"/>
          <w:szCs w:val="17"/>
          <w:color w:val="0000FF"/>
        </w:rPr>
        <w:t xml:space="preserve"> </w:t>
      </w:r>
      <w:r>
        <w:rPr>
          <w:rFonts w:ascii="Arial" w:cs="Arial" w:eastAsia="Arial" w:hAnsi="Arial"/>
          <w:sz w:val="17"/>
          <w:szCs w:val="17"/>
          <w:color w:val="000000"/>
        </w:rPr>
        <w:t>for further discussion of the Eli Lilly and Company Bonus Plan (Bonus</w:t>
      </w:r>
      <w:r>
        <w:rPr>
          <w:rFonts w:ascii="Arial" w:cs="Arial" w:eastAsia="Arial" w:hAnsi="Arial"/>
          <w:sz w:val="17"/>
          <w:szCs w:val="17"/>
          <w:color w:val="0000FF"/>
        </w:rPr>
        <w:t xml:space="preserve"> </w:t>
      </w:r>
      <w:r>
        <w:rPr>
          <w:rFonts w:ascii="Arial" w:cs="Arial" w:eastAsia="Arial" w:hAnsi="Arial"/>
          <w:sz w:val="17"/>
          <w:szCs w:val="17"/>
          <w:color w:val="000000"/>
        </w:rPr>
        <w:t>Plan).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420"/>
        <w:spacing w:after="0"/>
        <w:rPr>
          <w:sz w:val="20"/>
          <w:szCs w:val="20"/>
          <w:color w:val="auto"/>
        </w:rPr>
      </w:pPr>
      <w:r>
        <w:rPr>
          <w:rFonts w:ascii="Arial" w:cs="Arial" w:eastAsia="Arial" w:hAnsi="Arial"/>
          <w:sz w:val="32"/>
          <w:szCs w:val="32"/>
          <w:color w:val="D52B1E"/>
        </w:rPr>
        <w:t>2.25</w:t>
      </w:r>
    </w:p>
    <w:p>
      <w:pPr>
        <w:spacing w:after="0" w:line="6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Bonus Plan Multiple</w:t>
      </w:r>
    </w:p>
    <w:p>
      <w:pPr>
        <w:spacing w:after="0" w:line="776" w:lineRule="exact"/>
        <w:rPr>
          <w:sz w:val="20"/>
          <w:szCs w:val="20"/>
          <w:color w:val="auto"/>
        </w:rPr>
      </w:pPr>
    </w:p>
    <w:p>
      <w:pPr>
        <w:sectPr>
          <w:pgSz w:w="11900" w:h="16838" w:orient="portrait"/>
          <w:cols w:equalWidth="0" w:num="2">
            <w:col w:w="6440" w:space="320"/>
            <w:col w:w="4480"/>
          </w:cols>
          <w:pgMar w:left="320" w:top="1097" w:right="339" w:bottom="1440" w:gutter="0" w:footer="0" w:header="0"/>
          <w:type w:val="continuous"/>
        </w:sectPr>
      </w:pPr>
    </w:p>
    <w:p>
      <w:pPr>
        <w:spacing w:after="0" w:line="299" w:lineRule="exact"/>
        <w:rPr>
          <w:sz w:val="20"/>
          <w:szCs w:val="20"/>
          <w:color w:val="auto"/>
        </w:rPr>
      </w:pPr>
    </w:p>
    <w:p>
      <w:pPr>
        <w:ind w:left="180" w:hanging="154"/>
        <w:spacing w:after="0" w:line="264" w:lineRule="auto"/>
        <w:tabs>
          <w:tab w:leader="none" w:pos="169" w:val="left"/>
        </w:tabs>
        <w:numPr>
          <w:ilvl w:val="0"/>
          <w:numId w:val="15"/>
        </w:numPr>
        <w:rPr>
          <w:rFonts w:ascii="Arial" w:cs="Arial" w:eastAsia="Arial" w:hAnsi="Arial"/>
          <w:sz w:val="16"/>
          <w:szCs w:val="16"/>
          <w:b w:val="1"/>
          <w:bCs w:val="1"/>
          <w:color w:val="D52B1E"/>
        </w:rPr>
      </w:pPr>
      <w:r>
        <w:rPr>
          <w:rFonts w:ascii="Arial" w:cs="Arial" w:eastAsia="Arial" w:hAnsi="Arial"/>
          <w:sz w:val="20"/>
          <w:szCs w:val="20"/>
          <w:b w:val="1"/>
          <w:bCs w:val="1"/>
          <w:color w:val="D52B1E"/>
        </w:rPr>
        <w:t xml:space="preserve">2023-2025 Performance Award (PA) Result: </w:t>
      </w:r>
      <w:r>
        <w:rPr>
          <w:rFonts w:ascii="Arial" w:cs="Arial" w:eastAsia="Arial" w:hAnsi="Arial"/>
          <w:sz w:val="17"/>
          <w:szCs w:val="17"/>
          <w:color w:val="000000"/>
        </w:rPr>
        <w:t>We exceeded the two-year</w:t>
      </w:r>
      <w:r>
        <w:rPr>
          <w:rFonts w:ascii="Arial" w:cs="Arial" w:eastAsia="Arial" w:hAnsi="Arial"/>
          <w:sz w:val="20"/>
          <w:szCs w:val="20"/>
          <w:b w:val="1"/>
          <w:bCs w:val="1"/>
          <w:color w:val="D52B1E"/>
        </w:rPr>
        <w:t xml:space="preserve"> </w:t>
      </w:r>
      <w:r>
        <w:rPr>
          <w:rFonts w:ascii="Arial" w:cs="Arial" w:eastAsia="Arial" w:hAnsi="Arial"/>
          <w:sz w:val="17"/>
          <w:szCs w:val="17"/>
          <w:color w:val="000000"/>
        </w:rPr>
        <w:t xml:space="preserve">EPS growth target set for our PA program. The PA target is based on expected EPS growth of peer companies over a two-year period. As a result of exceeding the EPS growth target set for our PA program, the PA payout was above target. See the </w:t>
      </w:r>
      <w:r>
        <w:rPr>
          <w:rFonts w:ascii="Arial" w:cs="Arial" w:eastAsia="Arial" w:hAnsi="Arial"/>
          <w:sz w:val="17"/>
          <w:szCs w:val="17"/>
          <w:u w:val="single" w:color="auto"/>
          <w:color w:val="0000FF"/>
        </w:rPr>
        <w:t>CD&amp;A</w:t>
      </w:r>
      <w:r>
        <w:rPr>
          <w:rFonts w:ascii="Arial" w:cs="Arial" w:eastAsia="Arial" w:hAnsi="Arial"/>
          <w:sz w:val="17"/>
          <w:szCs w:val="17"/>
          <w:color w:val="000000"/>
        </w:rPr>
        <w:t xml:space="preserve"> for further discussion on the PA program.</w:t>
      </w:r>
    </w:p>
    <w:p>
      <w:pPr>
        <w:spacing w:after="0" w:line="279" w:lineRule="exact"/>
        <w:rPr>
          <w:rFonts w:ascii="Arial" w:cs="Arial" w:eastAsia="Arial" w:hAnsi="Arial"/>
          <w:sz w:val="16"/>
          <w:szCs w:val="16"/>
          <w:b w:val="1"/>
          <w:bCs w:val="1"/>
          <w:color w:val="D52B1E"/>
        </w:rPr>
      </w:pPr>
    </w:p>
    <w:p>
      <w:pPr>
        <w:ind w:left="180" w:right="20" w:hanging="154"/>
        <w:spacing w:after="0" w:line="264" w:lineRule="auto"/>
        <w:tabs>
          <w:tab w:leader="none" w:pos="169" w:val="left"/>
        </w:tabs>
        <w:numPr>
          <w:ilvl w:val="0"/>
          <w:numId w:val="15"/>
        </w:numPr>
        <w:rPr>
          <w:rFonts w:ascii="Arial" w:cs="Arial" w:eastAsia="Arial" w:hAnsi="Arial"/>
          <w:sz w:val="16"/>
          <w:szCs w:val="16"/>
          <w:b w:val="1"/>
          <w:bCs w:val="1"/>
          <w:color w:val="D52B1E"/>
        </w:rPr>
      </w:pPr>
      <w:r>
        <w:rPr>
          <w:rFonts w:ascii="Arial" w:cs="Arial" w:eastAsia="Arial" w:hAnsi="Arial"/>
          <w:sz w:val="20"/>
          <w:szCs w:val="20"/>
          <w:b w:val="1"/>
          <w:bCs w:val="1"/>
          <w:color w:val="D52B1E"/>
        </w:rPr>
        <w:t xml:space="preserve">2022-2024 Shareholder Value Award (SVA) Result: </w:t>
      </w:r>
      <w:r>
        <w:rPr>
          <w:rFonts w:ascii="Arial" w:cs="Arial" w:eastAsia="Arial" w:hAnsi="Arial"/>
          <w:sz w:val="17"/>
          <w:szCs w:val="17"/>
          <w:color w:val="000000"/>
        </w:rPr>
        <w:t>Our total stock</w:t>
      </w:r>
      <w:r>
        <w:rPr>
          <w:rFonts w:ascii="Arial" w:cs="Arial" w:eastAsia="Arial" w:hAnsi="Arial"/>
          <w:sz w:val="20"/>
          <w:szCs w:val="20"/>
          <w:b w:val="1"/>
          <w:bCs w:val="1"/>
          <w:color w:val="D52B1E"/>
        </w:rPr>
        <w:t xml:space="preserve"> </w:t>
      </w:r>
      <w:r>
        <w:rPr>
          <w:rFonts w:ascii="Arial" w:cs="Arial" w:eastAsia="Arial" w:hAnsi="Arial"/>
          <w:sz w:val="17"/>
          <w:szCs w:val="17"/>
          <w:color w:val="000000"/>
        </w:rPr>
        <w:t xml:space="preserve">price growth exceeded the target range in our SVA program. This performance resulted in a SVA payout above target. See the </w:t>
      </w:r>
      <w:r>
        <w:rPr>
          <w:rFonts w:ascii="Arial" w:cs="Arial" w:eastAsia="Arial" w:hAnsi="Arial"/>
          <w:sz w:val="17"/>
          <w:szCs w:val="17"/>
          <w:u w:val="single" w:color="auto"/>
          <w:color w:val="0000FF"/>
        </w:rPr>
        <w:t>CD&amp;A</w:t>
      </w:r>
      <w:r>
        <w:rPr>
          <w:rFonts w:ascii="Arial" w:cs="Arial" w:eastAsia="Arial" w:hAnsi="Arial"/>
          <w:sz w:val="17"/>
          <w:szCs w:val="17"/>
          <w:color w:val="000000"/>
        </w:rPr>
        <w:t xml:space="preserve"> for further discussion on the SVA program.</w:t>
      </w:r>
    </w:p>
    <w:p>
      <w:pPr>
        <w:spacing w:after="0" w:line="292" w:lineRule="exact"/>
        <w:rPr>
          <w:rFonts w:ascii="Arial" w:cs="Arial" w:eastAsia="Arial" w:hAnsi="Arial"/>
          <w:sz w:val="16"/>
          <w:szCs w:val="16"/>
          <w:b w:val="1"/>
          <w:bCs w:val="1"/>
          <w:color w:val="D52B1E"/>
        </w:rPr>
      </w:pPr>
    </w:p>
    <w:p>
      <w:pPr>
        <w:ind w:left="180" w:right="20" w:hanging="154"/>
        <w:spacing w:after="0" w:line="264" w:lineRule="auto"/>
        <w:tabs>
          <w:tab w:leader="none" w:pos="169" w:val="left"/>
        </w:tabs>
        <w:numPr>
          <w:ilvl w:val="0"/>
          <w:numId w:val="15"/>
        </w:numPr>
        <w:rPr>
          <w:rFonts w:ascii="Arial" w:cs="Arial" w:eastAsia="Arial" w:hAnsi="Arial"/>
          <w:sz w:val="16"/>
          <w:szCs w:val="16"/>
          <w:b w:val="1"/>
          <w:bCs w:val="1"/>
          <w:color w:val="D52B1E"/>
        </w:rPr>
      </w:pPr>
      <w:r>
        <w:rPr>
          <w:rFonts w:ascii="Arial" w:cs="Arial" w:eastAsia="Arial" w:hAnsi="Arial"/>
          <w:sz w:val="20"/>
          <w:szCs w:val="20"/>
          <w:b w:val="1"/>
          <w:bCs w:val="1"/>
          <w:color w:val="D52B1E"/>
        </w:rPr>
        <w:t xml:space="preserve">2022-2024 Relative Value Award (RVA) Result: </w:t>
      </w:r>
      <w:r>
        <w:rPr>
          <w:rFonts w:ascii="Arial" w:cs="Arial" w:eastAsia="Arial" w:hAnsi="Arial"/>
          <w:sz w:val="17"/>
          <w:szCs w:val="17"/>
          <w:color w:val="000000"/>
        </w:rPr>
        <w:t>The RVA measures</w:t>
      </w:r>
      <w:r>
        <w:rPr>
          <w:rFonts w:ascii="Arial" w:cs="Arial" w:eastAsia="Arial" w:hAnsi="Arial"/>
          <w:sz w:val="20"/>
          <w:szCs w:val="20"/>
          <w:b w:val="1"/>
          <w:bCs w:val="1"/>
          <w:color w:val="D52B1E"/>
        </w:rPr>
        <w:t xml:space="preserve"> </w:t>
      </w:r>
      <w:r>
        <w:rPr>
          <w:rFonts w:ascii="Arial" w:cs="Arial" w:eastAsia="Arial" w:hAnsi="Arial"/>
          <w:sz w:val="17"/>
          <w:szCs w:val="17"/>
          <w:color w:val="000000"/>
        </w:rPr>
        <w:t xml:space="preserve">Lilly’s relative total shareholder return (TSR) against its peers. Lilly’s TSR performance exceeded the peer median TSR over the three-year performance period, resulting in a payout above target. See the </w:t>
      </w:r>
      <w:r>
        <w:rPr>
          <w:rFonts w:ascii="Arial" w:cs="Arial" w:eastAsia="Arial" w:hAnsi="Arial"/>
          <w:sz w:val="17"/>
          <w:szCs w:val="17"/>
          <w:u w:val="single" w:color="auto"/>
          <w:color w:val="0000FF"/>
        </w:rPr>
        <w:t>CD&amp;A</w:t>
      </w:r>
      <w:r>
        <w:rPr>
          <w:rFonts w:ascii="Arial" w:cs="Arial" w:eastAsia="Arial" w:hAnsi="Arial"/>
          <w:sz w:val="17"/>
          <w:szCs w:val="17"/>
          <w:color w:val="000000"/>
        </w:rPr>
        <w:t xml:space="preserve"> for further discussion on the RVA program.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3" w:lineRule="exact"/>
        <w:rPr>
          <w:sz w:val="20"/>
          <w:szCs w:val="20"/>
          <w:color w:val="auto"/>
        </w:rPr>
      </w:pPr>
    </w:p>
    <w:p>
      <w:pPr>
        <w:jc w:val="center"/>
        <w:ind w:right="2300"/>
        <w:spacing w:after="0"/>
        <w:rPr>
          <w:sz w:val="20"/>
          <w:szCs w:val="20"/>
          <w:color w:val="auto"/>
        </w:rPr>
      </w:pPr>
      <w:r>
        <w:rPr>
          <w:rFonts w:ascii="Arial" w:cs="Arial" w:eastAsia="Arial" w:hAnsi="Arial"/>
          <w:sz w:val="32"/>
          <w:szCs w:val="32"/>
          <w:color w:val="D52B1E"/>
        </w:rPr>
        <w:t>200%</w:t>
      </w:r>
    </w:p>
    <w:p>
      <w:pPr>
        <w:spacing w:after="0" w:line="45"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auto"/>
        </w:rPr>
        <w:t>2023-2025 PA Payout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2300"/>
        <w:spacing w:after="0"/>
        <w:rPr>
          <w:sz w:val="20"/>
          <w:szCs w:val="20"/>
          <w:color w:val="auto"/>
        </w:rPr>
      </w:pPr>
      <w:r>
        <w:rPr>
          <w:rFonts w:ascii="Arial" w:cs="Arial" w:eastAsia="Arial" w:hAnsi="Arial"/>
          <w:sz w:val="32"/>
          <w:szCs w:val="32"/>
          <w:color w:val="D52B1E"/>
        </w:rPr>
        <w:t>175%</w:t>
      </w:r>
    </w:p>
    <w:p>
      <w:pPr>
        <w:spacing w:after="0" w:line="61"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2022-2024 SVA Payout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2300"/>
        <w:spacing w:after="0"/>
        <w:rPr>
          <w:sz w:val="20"/>
          <w:szCs w:val="20"/>
          <w:color w:val="auto"/>
        </w:rPr>
      </w:pPr>
      <w:r>
        <w:rPr>
          <w:rFonts w:ascii="Arial" w:cs="Arial" w:eastAsia="Arial" w:hAnsi="Arial"/>
          <w:sz w:val="32"/>
          <w:szCs w:val="32"/>
          <w:color w:val="D52B1E"/>
        </w:rPr>
        <w:t>175%</w:t>
      </w:r>
    </w:p>
    <w:p>
      <w:pPr>
        <w:spacing w:after="0" w:line="6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2022-2024 RVA Payout</w:t>
      </w:r>
    </w:p>
    <w:p>
      <w:pPr>
        <w:spacing w:after="0" w:line="563" w:lineRule="exact"/>
        <w:rPr>
          <w:sz w:val="20"/>
          <w:szCs w:val="20"/>
          <w:color w:val="auto"/>
        </w:rPr>
      </w:pPr>
    </w:p>
    <w:p>
      <w:pPr>
        <w:sectPr>
          <w:pgSz w:w="11900" w:h="16838" w:orient="portrait"/>
          <w:cols w:equalWidth="0" w:num="2">
            <w:col w:w="6460" w:space="160"/>
            <w:col w:w="4620"/>
          </w:cols>
          <w:pgMar w:left="320" w:top="1097" w:right="339" w:bottom="1440" w:gutter="0" w:footer="0" w:header="0"/>
          <w:type w:val="continuous"/>
        </w:sectPr>
      </w:pPr>
    </w:p>
    <w:p>
      <w:pPr>
        <w:spacing w:after="0" w:line="195" w:lineRule="exact"/>
        <w:rPr>
          <w:sz w:val="20"/>
          <w:szCs w:val="20"/>
          <w:color w:val="auto"/>
        </w:rPr>
      </w:pPr>
    </w:p>
    <w:p>
      <w:pPr>
        <w:spacing w:after="0"/>
        <w:rPr>
          <w:sz w:val="20"/>
          <w:szCs w:val="20"/>
          <w:color w:val="auto"/>
        </w:rPr>
      </w:pPr>
      <w:r>
        <w:rPr>
          <w:rFonts w:ascii="Arial" w:cs="Arial" w:eastAsia="Arial" w:hAnsi="Arial"/>
          <w:sz w:val="32"/>
          <w:szCs w:val="32"/>
          <w:b w:val="1"/>
          <w:bCs w:val="1"/>
          <w:color w:val="D52B1E"/>
        </w:rPr>
        <w:t>Voting</w:t>
      </w:r>
    </w:p>
    <w:p>
      <w:pPr>
        <w:spacing w:after="0" w:line="191" w:lineRule="exact"/>
        <w:rPr>
          <w:sz w:val="20"/>
          <w:szCs w:val="20"/>
          <w:color w:val="auto"/>
        </w:rPr>
      </w:pPr>
    </w:p>
    <w:p>
      <w:pPr>
        <w:spacing w:after="0"/>
        <w:rPr>
          <w:sz w:val="20"/>
          <w:szCs w:val="20"/>
          <w:color w:val="auto"/>
        </w:rPr>
      </w:pPr>
      <w:r>
        <w:rPr>
          <w:rFonts w:ascii="Arial" w:cs="Arial" w:eastAsia="Arial" w:hAnsi="Arial"/>
          <w:sz w:val="25"/>
          <w:szCs w:val="25"/>
          <w:b w:val="1"/>
          <w:bCs w:val="1"/>
          <w:color w:val="00A1DE"/>
        </w:rPr>
        <w:t>How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38735</wp:posOffset>
            </wp:positionV>
            <wp:extent cx="668655" cy="6686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68655" cy="668655"/>
                    </a:xfrm>
                    <a:prstGeom prst="rect">
                      <a:avLst/>
                    </a:prstGeom>
                    <a:noFill/>
                  </pic:spPr>
                </pic:pic>
              </a:graphicData>
            </a:graphic>
          </wp:anchor>
        </w:drawing>
        <w:drawing>
          <wp:anchor simplePos="0" relativeHeight="251657728" behindDoc="1" locked="0" layoutInCell="0" allowOverlap="1">
            <wp:simplePos x="0" y="0"/>
            <wp:positionH relativeFrom="column">
              <wp:posOffset>1710690</wp:posOffset>
            </wp:positionH>
            <wp:positionV relativeFrom="paragraph">
              <wp:posOffset>90170</wp:posOffset>
            </wp:positionV>
            <wp:extent cx="565785" cy="5657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 cy="565785"/>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99060</wp:posOffset>
            </wp:positionV>
            <wp:extent cx="548640" cy="5486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48640" cy="54864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73025</wp:posOffset>
            </wp:positionV>
            <wp:extent cx="600075" cy="6000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00075"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2000" w:type="dxa"/>
            <w:vAlign w:val="bottom"/>
          </w:tcPr>
          <w:p>
            <w:pPr>
              <w:jc w:val="center"/>
              <w:ind w:right="59"/>
              <w:spacing w:after="0"/>
              <w:rPr>
                <w:sz w:val="20"/>
                <w:szCs w:val="20"/>
                <w:color w:val="auto"/>
              </w:rPr>
            </w:pPr>
            <w:r>
              <w:rPr>
                <w:rFonts w:ascii="Arial" w:cs="Arial" w:eastAsia="Arial" w:hAnsi="Arial"/>
                <w:sz w:val="16"/>
                <w:szCs w:val="16"/>
                <w:b w:val="1"/>
                <w:bCs w:val="1"/>
                <w:color w:val="auto"/>
              </w:rPr>
              <w:t>ONLINE</w:t>
            </w:r>
          </w:p>
        </w:tc>
        <w:tc>
          <w:tcPr>
            <w:tcW w:w="2020" w:type="dxa"/>
            <w:vAlign w:val="bottom"/>
          </w:tcPr>
          <w:p>
            <w:pPr>
              <w:jc w:val="center"/>
              <w:spacing w:after="0"/>
              <w:rPr>
                <w:sz w:val="20"/>
                <w:szCs w:val="20"/>
                <w:color w:val="auto"/>
              </w:rPr>
            </w:pPr>
            <w:r>
              <w:rPr>
                <w:rFonts w:ascii="Arial" w:cs="Arial" w:eastAsia="Arial" w:hAnsi="Arial"/>
                <w:sz w:val="16"/>
                <w:szCs w:val="16"/>
                <w:b w:val="1"/>
                <w:bCs w:val="1"/>
                <w:color w:val="auto"/>
              </w:rPr>
              <w:t>BY TELEPHONE</w:t>
            </w:r>
          </w:p>
        </w:tc>
        <w:tc>
          <w:tcPr>
            <w:tcW w:w="2140" w:type="dxa"/>
            <w:vAlign w:val="bottom"/>
          </w:tcPr>
          <w:p>
            <w:pPr>
              <w:jc w:val="center"/>
              <w:spacing w:after="0"/>
              <w:rPr>
                <w:sz w:val="20"/>
                <w:szCs w:val="20"/>
                <w:color w:val="auto"/>
              </w:rPr>
            </w:pPr>
            <w:r>
              <w:rPr>
                <w:rFonts w:ascii="Arial" w:cs="Arial" w:eastAsia="Arial" w:hAnsi="Arial"/>
                <w:sz w:val="16"/>
                <w:szCs w:val="16"/>
                <w:b w:val="1"/>
                <w:bCs w:val="1"/>
                <w:color w:val="auto"/>
              </w:rPr>
              <w:t>BY MAIL</w:t>
            </w:r>
          </w:p>
        </w:tc>
        <w:tc>
          <w:tcPr>
            <w:tcW w:w="2940" w:type="dxa"/>
            <w:vAlign w:val="bottom"/>
          </w:tcPr>
          <w:p>
            <w:pPr>
              <w:jc w:val="center"/>
              <w:spacing w:after="0"/>
              <w:rPr>
                <w:sz w:val="20"/>
                <w:szCs w:val="20"/>
                <w:color w:val="auto"/>
              </w:rPr>
            </w:pPr>
            <w:r>
              <w:rPr>
                <w:rFonts w:ascii="Arial" w:cs="Arial" w:eastAsia="Arial" w:hAnsi="Arial"/>
                <w:sz w:val="16"/>
                <w:szCs w:val="16"/>
                <w:b w:val="1"/>
                <w:bCs w:val="1"/>
                <w:color w:val="auto"/>
                <w:w w:val="99"/>
              </w:rPr>
              <w:t>AT THE MEETING</w:t>
            </w:r>
          </w:p>
        </w:tc>
      </w:tr>
      <w:tr>
        <w:trPr>
          <w:trHeight w:val="163"/>
        </w:trPr>
        <w:tc>
          <w:tcPr>
            <w:tcW w:w="2000" w:type="dxa"/>
            <w:vAlign w:val="bottom"/>
          </w:tcPr>
          <w:p>
            <w:pPr>
              <w:jc w:val="center"/>
              <w:ind w:right="59"/>
              <w:spacing w:after="0" w:line="163" w:lineRule="exact"/>
              <w:rPr>
                <w:sz w:val="20"/>
                <w:szCs w:val="20"/>
                <w:color w:val="auto"/>
              </w:rPr>
            </w:pPr>
            <w:r>
              <w:rPr>
                <w:rFonts w:ascii="Arial" w:cs="Arial" w:eastAsia="Arial" w:hAnsi="Arial"/>
                <w:sz w:val="16"/>
                <w:szCs w:val="16"/>
                <w:color w:val="auto"/>
              </w:rPr>
              <w:t>Visit the website listed on</w:t>
            </w:r>
          </w:p>
        </w:tc>
        <w:tc>
          <w:tcPr>
            <w:tcW w:w="2020" w:type="dxa"/>
            <w:vAlign w:val="bottom"/>
          </w:tcPr>
          <w:p>
            <w:pPr>
              <w:jc w:val="center"/>
              <w:spacing w:after="0" w:line="163" w:lineRule="exact"/>
              <w:rPr>
                <w:sz w:val="20"/>
                <w:szCs w:val="20"/>
                <w:color w:val="auto"/>
              </w:rPr>
            </w:pPr>
            <w:r>
              <w:rPr>
                <w:rFonts w:ascii="Arial" w:cs="Arial" w:eastAsia="Arial" w:hAnsi="Arial"/>
                <w:sz w:val="16"/>
                <w:szCs w:val="16"/>
                <w:color w:val="auto"/>
              </w:rPr>
              <w:t>Call 1-800-690-6903 and</w:t>
            </w:r>
          </w:p>
        </w:tc>
        <w:tc>
          <w:tcPr>
            <w:tcW w:w="2140" w:type="dxa"/>
            <w:vAlign w:val="bottom"/>
          </w:tcPr>
          <w:p>
            <w:pPr>
              <w:jc w:val="center"/>
              <w:spacing w:after="0" w:line="163" w:lineRule="exact"/>
              <w:rPr>
                <w:sz w:val="20"/>
                <w:szCs w:val="20"/>
                <w:color w:val="auto"/>
              </w:rPr>
            </w:pPr>
            <w:r>
              <w:rPr>
                <w:rFonts w:ascii="Arial" w:cs="Arial" w:eastAsia="Arial" w:hAnsi="Arial"/>
                <w:sz w:val="16"/>
                <w:szCs w:val="16"/>
                <w:color w:val="auto"/>
              </w:rPr>
              <w:t>If you received or requested</w:t>
            </w:r>
          </w:p>
        </w:tc>
        <w:tc>
          <w:tcPr>
            <w:tcW w:w="2940" w:type="dxa"/>
            <w:vAlign w:val="bottom"/>
          </w:tcPr>
          <w:p>
            <w:pPr>
              <w:jc w:val="center"/>
              <w:spacing w:after="0" w:line="163" w:lineRule="exact"/>
              <w:rPr>
                <w:sz w:val="20"/>
                <w:szCs w:val="20"/>
                <w:color w:val="auto"/>
              </w:rPr>
            </w:pPr>
            <w:r>
              <w:rPr>
                <w:rFonts w:ascii="Arial" w:cs="Arial" w:eastAsia="Arial" w:hAnsi="Arial"/>
                <w:sz w:val="16"/>
                <w:szCs w:val="16"/>
                <w:color w:val="auto"/>
              </w:rPr>
              <w:t>Attend the Annual Meeting, online by</w:t>
            </w:r>
          </w:p>
        </w:tc>
      </w:tr>
      <w:tr>
        <w:trPr>
          <w:trHeight w:val="162"/>
        </w:trPr>
        <w:tc>
          <w:tcPr>
            <w:tcW w:w="2000" w:type="dxa"/>
            <w:vAlign w:val="bottom"/>
          </w:tcPr>
          <w:p>
            <w:pPr>
              <w:jc w:val="center"/>
              <w:ind w:right="59"/>
              <w:spacing w:after="0" w:line="162" w:lineRule="exact"/>
              <w:rPr>
                <w:sz w:val="20"/>
                <w:szCs w:val="20"/>
                <w:color w:val="auto"/>
              </w:rPr>
            </w:pPr>
            <w:r>
              <w:rPr>
                <w:rFonts w:ascii="Arial" w:cs="Arial" w:eastAsia="Arial" w:hAnsi="Arial"/>
                <w:sz w:val="16"/>
                <w:szCs w:val="16"/>
                <w:color w:val="auto"/>
              </w:rPr>
              <w:t>your notice, proxy card, or</w:t>
            </w:r>
          </w:p>
        </w:tc>
        <w:tc>
          <w:tcPr>
            <w:tcW w:w="2020" w:type="dxa"/>
            <w:vAlign w:val="bottom"/>
          </w:tcPr>
          <w:p>
            <w:pPr>
              <w:jc w:val="center"/>
              <w:spacing w:after="0" w:line="162" w:lineRule="exact"/>
              <w:rPr>
                <w:sz w:val="20"/>
                <w:szCs w:val="20"/>
                <w:color w:val="auto"/>
              </w:rPr>
            </w:pPr>
            <w:r>
              <w:rPr>
                <w:rFonts w:ascii="Arial" w:cs="Arial" w:eastAsia="Arial" w:hAnsi="Arial"/>
                <w:sz w:val="16"/>
                <w:szCs w:val="16"/>
                <w:color w:val="auto"/>
              </w:rPr>
              <w:t>follow the instructions</w:t>
            </w:r>
          </w:p>
        </w:tc>
        <w:tc>
          <w:tcPr>
            <w:tcW w:w="2140" w:type="dxa"/>
            <w:vAlign w:val="bottom"/>
          </w:tcPr>
          <w:p>
            <w:pPr>
              <w:jc w:val="center"/>
              <w:spacing w:after="0" w:line="162" w:lineRule="exact"/>
              <w:rPr>
                <w:sz w:val="20"/>
                <w:szCs w:val="20"/>
                <w:color w:val="auto"/>
              </w:rPr>
            </w:pPr>
            <w:r>
              <w:rPr>
                <w:rFonts w:ascii="Arial" w:cs="Arial" w:eastAsia="Arial" w:hAnsi="Arial"/>
                <w:sz w:val="16"/>
                <w:szCs w:val="16"/>
                <w:color w:val="auto"/>
              </w:rPr>
              <w:t>paper copies of your proxy</w:t>
            </w:r>
          </w:p>
        </w:tc>
        <w:tc>
          <w:tcPr>
            <w:tcW w:w="2940" w:type="dxa"/>
            <w:vAlign w:val="bottom"/>
          </w:tcPr>
          <w:p>
            <w:pPr>
              <w:jc w:val="center"/>
              <w:spacing w:after="0" w:line="162" w:lineRule="exact"/>
              <w:rPr>
                <w:sz w:val="20"/>
                <w:szCs w:val="20"/>
                <w:color w:val="auto"/>
              </w:rPr>
            </w:pPr>
            <w:r>
              <w:rPr>
                <w:rFonts w:ascii="Arial" w:cs="Arial" w:eastAsia="Arial" w:hAnsi="Arial"/>
                <w:sz w:val="16"/>
                <w:szCs w:val="16"/>
                <w:color w:val="auto"/>
              </w:rPr>
              <w:t>live webcast at</w:t>
            </w:r>
          </w:p>
        </w:tc>
      </w:tr>
      <w:tr>
        <w:trPr>
          <w:trHeight w:val="162"/>
        </w:trPr>
        <w:tc>
          <w:tcPr>
            <w:tcW w:w="2000" w:type="dxa"/>
            <w:vAlign w:val="bottom"/>
          </w:tcPr>
          <w:p>
            <w:pPr>
              <w:jc w:val="center"/>
              <w:ind w:right="59"/>
              <w:spacing w:after="0" w:line="162" w:lineRule="exact"/>
              <w:rPr>
                <w:sz w:val="20"/>
                <w:szCs w:val="20"/>
                <w:color w:val="auto"/>
              </w:rPr>
            </w:pPr>
            <w:r>
              <w:rPr>
                <w:rFonts w:ascii="Arial" w:cs="Arial" w:eastAsia="Arial" w:hAnsi="Arial"/>
                <w:sz w:val="16"/>
                <w:szCs w:val="16"/>
                <w:color w:val="auto"/>
              </w:rPr>
              <w:t>voting instruction form</w:t>
            </w:r>
          </w:p>
        </w:tc>
        <w:tc>
          <w:tcPr>
            <w:tcW w:w="2020" w:type="dxa"/>
            <w:vAlign w:val="bottom"/>
          </w:tcPr>
          <w:p>
            <w:pPr>
              <w:jc w:val="center"/>
              <w:spacing w:after="0" w:line="162" w:lineRule="exact"/>
              <w:rPr>
                <w:sz w:val="20"/>
                <w:szCs w:val="20"/>
                <w:color w:val="auto"/>
              </w:rPr>
            </w:pPr>
            <w:r>
              <w:rPr>
                <w:rFonts w:ascii="Arial" w:cs="Arial" w:eastAsia="Arial" w:hAnsi="Arial"/>
                <w:sz w:val="16"/>
                <w:szCs w:val="16"/>
                <w:color w:val="auto"/>
              </w:rPr>
              <w:t>provided</w:t>
            </w:r>
          </w:p>
        </w:tc>
        <w:tc>
          <w:tcPr>
            <w:tcW w:w="2140" w:type="dxa"/>
            <w:vAlign w:val="bottom"/>
          </w:tcPr>
          <w:p>
            <w:pPr>
              <w:jc w:val="center"/>
              <w:spacing w:after="0" w:line="162" w:lineRule="exact"/>
              <w:rPr>
                <w:sz w:val="20"/>
                <w:szCs w:val="20"/>
                <w:color w:val="auto"/>
              </w:rPr>
            </w:pPr>
            <w:r>
              <w:rPr>
                <w:rFonts w:ascii="Arial" w:cs="Arial" w:eastAsia="Arial" w:hAnsi="Arial"/>
                <w:sz w:val="16"/>
                <w:szCs w:val="16"/>
                <w:color w:val="auto"/>
              </w:rPr>
              <w:t>materials, sign, date, and</w:t>
            </w:r>
          </w:p>
        </w:tc>
        <w:tc>
          <w:tcPr>
            <w:tcW w:w="2940" w:type="dxa"/>
            <w:vAlign w:val="bottom"/>
          </w:tcPr>
          <w:p>
            <w:pPr>
              <w:jc w:val="center"/>
              <w:spacing w:after="0" w:line="162" w:lineRule="exact"/>
              <w:rPr>
                <w:sz w:val="20"/>
                <w:szCs w:val="20"/>
                <w:color w:val="auto"/>
              </w:rPr>
            </w:pPr>
            <w:r>
              <w:rPr>
                <w:rFonts w:ascii="Arial" w:cs="Arial" w:eastAsia="Arial" w:hAnsi="Arial"/>
                <w:sz w:val="16"/>
                <w:szCs w:val="16"/>
                <w:color w:val="D52B1E"/>
              </w:rPr>
              <w:t>virtualshareholdermeeting.com/LLY2025</w:t>
            </w:r>
          </w:p>
        </w:tc>
      </w:tr>
      <w:tr>
        <w:trPr>
          <w:trHeight w:val="162"/>
        </w:trPr>
        <w:tc>
          <w:tcPr>
            <w:tcW w:w="20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140" w:type="dxa"/>
            <w:vAlign w:val="bottom"/>
          </w:tcPr>
          <w:p>
            <w:pPr>
              <w:jc w:val="center"/>
              <w:spacing w:after="0" w:line="162" w:lineRule="exact"/>
              <w:rPr>
                <w:sz w:val="20"/>
                <w:szCs w:val="20"/>
                <w:color w:val="auto"/>
              </w:rPr>
            </w:pPr>
            <w:r>
              <w:rPr>
                <w:rFonts w:ascii="Arial" w:cs="Arial" w:eastAsia="Arial" w:hAnsi="Arial"/>
                <w:sz w:val="16"/>
                <w:szCs w:val="16"/>
                <w:color w:val="auto"/>
              </w:rPr>
              <w:t>return your proxy card or</w:t>
            </w:r>
          </w:p>
        </w:tc>
        <w:tc>
          <w:tcPr>
            <w:tcW w:w="2940" w:type="dxa"/>
            <w:vAlign w:val="bottom"/>
          </w:tcPr>
          <w:p>
            <w:pPr>
              <w:jc w:val="center"/>
              <w:spacing w:after="0" w:line="162" w:lineRule="exact"/>
              <w:rPr>
                <w:sz w:val="20"/>
                <w:szCs w:val="20"/>
                <w:color w:val="auto"/>
              </w:rPr>
            </w:pPr>
            <w:r>
              <w:rPr>
                <w:rFonts w:ascii="Arial" w:cs="Arial" w:eastAsia="Arial" w:hAnsi="Arial"/>
                <w:sz w:val="16"/>
                <w:szCs w:val="16"/>
                <w:color w:val="auto"/>
              </w:rPr>
              <w:t>on Monday, May 5, 2025, at 8:30 a.m.</w:t>
            </w:r>
          </w:p>
        </w:tc>
      </w:tr>
      <w:tr>
        <w:trPr>
          <w:trHeight w:val="215"/>
        </w:trPr>
        <w:tc>
          <w:tcPr>
            <w:tcW w:w="20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140" w:type="dxa"/>
            <w:vAlign w:val="bottom"/>
          </w:tcPr>
          <w:p>
            <w:pPr>
              <w:jc w:val="center"/>
              <w:spacing w:after="0"/>
              <w:rPr>
                <w:sz w:val="20"/>
                <w:szCs w:val="20"/>
                <w:color w:val="auto"/>
              </w:rPr>
            </w:pPr>
            <w:r>
              <w:rPr>
                <w:rFonts w:ascii="Arial" w:cs="Arial" w:eastAsia="Arial" w:hAnsi="Arial"/>
                <w:sz w:val="16"/>
                <w:szCs w:val="16"/>
                <w:color w:val="auto"/>
              </w:rPr>
              <w:t>voting instruction form</w:t>
            </w:r>
          </w:p>
        </w:tc>
        <w:tc>
          <w:tcPr>
            <w:tcW w:w="2940" w:type="dxa"/>
            <w:vAlign w:val="bottom"/>
          </w:tcPr>
          <w:p>
            <w:pPr>
              <w:jc w:val="center"/>
              <w:spacing w:after="0"/>
              <w:rPr>
                <w:sz w:val="20"/>
                <w:szCs w:val="20"/>
                <w:color w:val="auto"/>
              </w:rPr>
            </w:pPr>
            <w:r>
              <w:rPr>
                <w:rFonts w:ascii="Arial" w:cs="Arial" w:eastAsia="Arial" w:hAnsi="Arial"/>
                <w:sz w:val="16"/>
                <w:szCs w:val="16"/>
                <w:color w:val="auto"/>
              </w:rPr>
              <w:t>EDT</w:t>
            </w:r>
          </w:p>
        </w:tc>
      </w:tr>
    </w:tbl>
    <w:p>
      <w:pPr>
        <w:spacing w:after="0" w:line="229" w:lineRule="exact"/>
        <w:rPr>
          <w:sz w:val="20"/>
          <w:szCs w:val="20"/>
          <w:color w:val="auto"/>
        </w:rPr>
      </w:pPr>
    </w:p>
    <w:p>
      <w:pPr>
        <w:ind w:right="200"/>
        <w:spacing w:after="0" w:line="292" w:lineRule="auto"/>
        <w:rPr>
          <w:sz w:val="20"/>
          <w:szCs w:val="20"/>
          <w:color w:val="auto"/>
        </w:rPr>
      </w:pPr>
      <w:r>
        <w:rPr>
          <w:rFonts w:ascii="Arial" w:cs="Arial" w:eastAsia="Arial" w:hAnsi="Arial"/>
          <w:sz w:val="22"/>
          <w:szCs w:val="22"/>
          <w:b w:val="1"/>
          <w:bCs w:val="1"/>
          <w:color w:val="auto"/>
        </w:rPr>
        <w:t xml:space="preserve">Vote Early: </w:t>
      </w:r>
      <w:r>
        <w:rPr>
          <w:rFonts w:ascii="Arial" w:cs="Arial" w:eastAsia="Arial" w:hAnsi="Arial"/>
          <w:sz w:val="17"/>
          <w:szCs w:val="17"/>
          <w:color w:val="auto"/>
        </w:rPr>
        <w:t>Even if you plan to attend the Annual Meeting, we encourage you to vote prior to the meeting, either online, by telephone, or</w:t>
      </w:r>
      <w:r>
        <w:rPr>
          <w:rFonts w:ascii="Arial" w:cs="Arial" w:eastAsia="Arial" w:hAnsi="Arial"/>
          <w:sz w:val="22"/>
          <w:szCs w:val="22"/>
          <w:b w:val="1"/>
          <w:bCs w:val="1"/>
          <w:color w:val="auto"/>
        </w:rPr>
        <w:t xml:space="preserve"> </w:t>
      </w:r>
      <w:r>
        <w:rPr>
          <w:rFonts w:ascii="Arial" w:cs="Arial" w:eastAsia="Arial" w:hAnsi="Arial"/>
          <w:sz w:val="17"/>
          <w:szCs w:val="17"/>
          <w:color w:val="auto"/>
        </w:rPr>
        <w:t>by mail.</w:t>
      </w:r>
    </w:p>
    <w:p>
      <w:pPr>
        <w:spacing w:after="0" w:line="143" w:lineRule="exact"/>
        <w:rPr>
          <w:sz w:val="20"/>
          <w:szCs w:val="20"/>
          <w:color w:val="auto"/>
        </w:rPr>
      </w:pPr>
    </w:p>
    <w:p>
      <w:pPr>
        <w:jc w:val="both"/>
        <w:spacing w:after="0" w:line="274" w:lineRule="auto"/>
        <w:rPr>
          <w:sz w:val="20"/>
          <w:szCs w:val="20"/>
          <w:color w:val="auto"/>
        </w:rPr>
      </w:pPr>
      <w:r>
        <w:rPr>
          <w:rFonts w:ascii="Arial" w:cs="Arial" w:eastAsia="Arial" w:hAnsi="Arial"/>
          <w:sz w:val="22"/>
          <w:szCs w:val="22"/>
          <w:b w:val="1"/>
          <w:bCs w:val="1"/>
          <w:color w:val="auto"/>
        </w:rPr>
        <w:t xml:space="preserve">Beneficial Shareholders: </w:t>
      </w:r>
      <w:r>
        <w:rPr>
          <w:rFonts w:ascii="Arial" w:cs="Arial" w:eastAsia="Arial" w:hAnsi="Arial"/>
          <w:sz w:val="17"/>
          <w:szCs w:val="17"/>
          <w:color w:val="auto"/>
        </w:rPr>
        <w:t>Shareholders who hold their shares beneficially through an institutional holder of record, such as a broker or</w:t>
      </w:r>
      <w:r>
        <w:rPr>
          <w:rFonts w:ascii="Arial" w:cs="Arial" w:eastAsia="Arial" w:hAnsi="Arial"/>
          <w:sz w:val="22"/>
          <w:szCs w:val="22"/>
          <w:b w:val="1"/>
          <w:bCs w:val="1"/>
          <w:color w:val="auto"/>
        </w:rPr>
        <w:t xml:space="preserve"> </w:t>
      </w:r>
      <w:r>
        <w:rPr>
          <w:rFonts w:ascii="Arial" w:cs="Arial" w:eastAsia="Arial" w:hAnsi="Arial"/>
          <w:sz w:val="17"/>
          <w:szCs w:val="17"/>
          <w:color w:val="auto"/>
        </w:rPr>
        <w:t>bank (sometimes referred to as holding shares in street name), will receive voting instructions from that holder of record. If you do not provide voting instructions to the holder of record, your shares</w:t>
      </w:r>
    </w:p>
    <w:p>
      <w:pPr>
        <w:sectPr>
          <w:pgSz w:w="11900" w:h="16838" w:orient="portrait"/>
          <w:cols w:equalWidth="0" w:num="1">
            <w:col w:w="11240"/>
          </w:cols>
          <w:pgMar w:left="320" w:top="1097" w:right="339" w:bottom="1440" w:gutter="0" w:footer="0" w:header="0"/>
          <w:type w:val="continuous"/>
        </w:sect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type w:val="continuous"/>
        </w:sectPr>
      </w:pPr>
    </w:p>
    <w:bookmarkStart w:id="13" w:name="page14"/>
    <w:bookmarkEnd w:id="13"/>
    <w:p>
      <w:pPr>
        <w:ind w:right="180"/>
        <w:spacing w:after="0" w:line="287" w:lineRule="auto"/>
        <w:rPr>
          <w:sz w:val="20"/>
          <w:szCs w:val="20"/>
          <w:color w:val="auto"/>
        </w:rPr>
      </w:pPr>
      <w:r>
        <w:rPr>
          <w:rFonts w:ascii="Arial" w:cs="Arial" w:eastAsia="Arial" w:hAnsi="Arial"/>
          <w:sz w:val="18"/>
          <w:szCs w:val="18"/>
          <w:color w:val="auto"/>
        </w:rPr>
        <w:t>will not be voted on any proposal on which the broker does not have discretionary authority to vote. See “</w:t>
      </w:r>
      <w:r>
        <w:rPr>
          <w:rFonts w:ascii="Arial" w:cs="Arial" w:eastAsia="Arial" w:hAnsi="Arial"/>
          <w:sz w:val="18"/>
          <w:szCs w:val="18"/>
          <w:u w:val="single" w:color="auto"/>
          <w:color w:val="0000FF"/>
        </w:rPr>
        <w:t>Other Information—Meeting and</w:t>
      </w:r>
      <w:r>
        <w:rPr>
          <w:rFonts w:ascii="Arial" w:cs="Arial" w:eastAsia="Arial" w:hAnsi="Arial"/>
          <w:sz w:val="18"/>
          <w:szCs w:val="18"/>
          <w:color w:val="auto"/>
        </w:rPr>
        <w:t xml:space="preserve"> </w:t>
      </w:r>
      <w:r>
        <w:rPr>
          <w:rFonts w:ascii="Arial" w:cs="Arial" w:eastAsia="Arial" w:hAnsi="Arial"/>
          <w:sz w:val="18"/>
          <w:szCs w:val="18"/>
          <w:u w:val="single" w:color="auto"/>
          <w:color w:val="0000FF"/>
        </w:rPr>
        <w:t>Voting Logistics—How to Vote</w:t>
      </w:r>
      <w:r>
        <w:rPr>
          <w:rFonts w:ascii="Arial" w:cs="Arial" w:eastAsia="Arial" w:hAnsi="Arial"/>
          <w:sz w:val="18"/>
          <w:szCs w:val="18"/>
          <w:color w:val="000000"/>
        </w:rPr>
        <w:t>” for more information.</w:t>
      </w:r>
    </w:p>
    <w:p>
      <w:pPr>
        <w:spacing w:after="0" w:line="157" w:lineRule="exact"/>
        <w:rPr>
          <w:sz w:val="20"/>
          <w:szCs w:val="20"/>
          <w:color w:val="auto"/>
        </w:rPr>
      </w:pPr>
    </w:p>
    <w:p>
      <w:pPr>
        <w:jc w:val="both"/>
        <w:spacing w:after="0" w:line="271" w:lineRule="auto"/>
        <w:rPr>
          <w:sz w:val="20"/>
          <w:szCs w:val="20"/>
          <w:color w:val="auto"/>
        </w:rPr>
      </w:pPr>
      <w:r>
        <w:rPr>
          <w:rFonts w:ascii="Arial" w:cs="Arial" w:eastAsia="Arial" w:hAnsi="Arial"/>
          <w:sz w:val="22"/>
          <w:szCs w:val="22"/>
          <w:b w:val="1"/>
          <w:bCs w:val="1"/>
          <w:color w:val="auto"/>
        </w:rPr>
        <w:t xml:space="preserve">Voting Deadlines: </w:t>
      </w:r>
      <w:r>
        <w:rPr>
          <w:rFonts w:ascii="Arial" w:cs="Arial" w:eastAsia="Arial" w:hAnsi="Arial"/>
          <w:sz w:val="17"/>
          <w:szCs w:val="17"/>
          <w:color w:val="auto"/>
        </w:rPr>
        <w:t>You may vote your shares prior to the Annual Meeting until 11:59 p.m. EDT on May 4, 2025, online, or by telephone.</w:t>
      </w:r>
      <w:r>
        <w:rPr>
          <w:rFonts w:ascii="Arial" w:cs="Arial" w:eastAsia="Arial" w:hAnsi="Arial"/>
          <w:sz w:val="22"/>
          <w:szCs w:val="22"/>
          <w:b w:val="1"/>
          <w:bCs w:val="1"/>
          <w:color w:val="auto"/>
        </w:rPr>
        <w:t xml:space="preserve"> </w:t>
      </w:r>
      <w:r>
        <w:rPr>
          <w:rFonts w:ascii="Arial" w:cs="Arial" w:eastAsia="Arial" w:hAnsi="Arial"/>
          <w:sz w:val="17"/>
          <w:szCs w:val="17"/>
          <w:color w:val="auto"/>
        </w:rPr>
        <w:t>If you are voting by mail, your marked, signed, and dated proxy card must be received by May 4, 2025. Shareholders who hold their shares in the 401(k) Plan must vote by April 30, 2025, so the plan trustee can vote their shares accordingly. See “</w:t>
      </w:r>
      <w:r>
        <w:rPr>
          <w:rFonts w:ascii="Arial" w:cs="Arial" w:eastAsia="Arial" w:hAnsi="Arial"/>
          <w:sz w:val="17"/>
          <w:szCs w:val="17"/>
          <w:u w:val="single" w:color="auto"/>
          <w:color w:val="0000FF"/>
        </w:rPr>
        <w:t>Other Information—Meeting and</w:t>
      </w:r>
      <w:r>
        <w:rPr>
          <w:rFonts w:ascii="Arial" w:cs="Arial" w:eastAsia="Arial" w:hAnsi="Arial"/>
          <w:sz w:val="17"/>
          <w:szCs w:val="17"/>
          <w:color w:val="auto"/>
        </w:rPr>
        <w:t xml:space="preserve"> </w:t>
      </w:r>
      <w:r>
        <w:rPr>
          <w:rFonts w:ascii="Arial" w:cs="Arial" w:eastAsia="Arial" w:hAnsi="Arial"/>
          <w:sz w:val="17"/>
          <w:szCs w:val="17"/>
          <w:u w:val="single" w:color="auto"/>
          <w:color w:val="0000FF"/>
        </w:rPr>
        <w:t>Voting Logistics—How to Vote</w:t>
      </w:r>
      <w:r>
        <w:rPr>
          <w:rFonts w:ascii="Arial" w:cs="Arial" w:eastAsia="Arial" w:hAnsi="Arial"/>
          <w:sz w:val="17"/>
          <w:szCs w:val="17"/>
          <w:color w:val="000000"/>
        </w:rPr>
        <w:t>” for more information.</w:t>
      </w:r>
    </w:p>
    <w:p>
      <w:pPr>
        <w:spacing w:after="0" w:line="173" w:lineRule="exact"/>
        <w:rPr>
          <w:sz w:val="20"/>
          <w:szCs w:val="20"/>
          <w:color w:val="auto"/>
        </w:rPr>
      </w:pPr>
    </w:p>
    <w:p>
      <w:pPr>
        <w:ind w:right="160"/>
        <w:spacing w:after="0" w:line="233" w:lineRule="auto"/>
        <w:rPr>
          <w:sz w:val="20"/>
          <w:szCs w:val="20"/>
          <w:color w:val="auto"/>
        </w:rPr>
      </w:pPr>
      <w:r>
        <w:rPr>
          <w:rFonts w:ascii="Arial" w:cs="Arial" w:eastAsia="Arial" w:hAnsi="Arial"/>
          <w:sz w:val="22"/>
          <w:szCs w:val="22"/>
          <w:b w:val="1"/>
          <w:bCs w:val="1"/>
          <w:color w:val="auto"/>
        </w:rPr>
        <w:t xml:space="preserve">More Information: </w:t>
      </w:r>
      <w:r>
        <w:rPr>
          <w:rFonts w:ascii="Arial" w:cs="Arial" w:eastAsia="Arial" w:hAnsi="Arial"/>
          <w:sz w:val="17"/>
          <w:szCs w:val="17"/>
          <w:color w:val="auto"/>
        </w:rPr>
        <w:t>Further information on how to vote, including if you hold voting shares in the 401(k) Plan, is provided under “</w:t>
      </w:r>
      <w:r>
        <w:rPr>
          <w:rFonts w:ascii="Arial" w:cs="Arial" w:eastAsia="Arial" w:hAnsi="Arial"/>
          <w:sz w:val="17"/>
          <w:szCs w:val="17"/>
          <w:u w:val="single" w:color="auto"/>
          <w:color w:val="0000FF"/>
        </w:rPr>
        <w:t>Other</w:t>
      </w:r>
      <w:r>
        <w:rPr>
          <w:rFonts w:ascii="Arial" w:cs="Arial" w:eastAsia="Arial" w:hAnsi="Arial"/>
          <w:sz w:val="22"/>
          <w:szCs w:val="22"/>
          <w:b w:val="1"/>
          <w:bCs w:val="1"/>
          <w:color w:val="auto"/>
        </w:rPr>
        <w:t xml:space="preserve"> </w:t>
      </w:r>
      <w:r>
        <w:rPr>
          <w:rFonts w:ascii="Arial" w:cs="Arial" w:eastAsia="Arial" w:hAnsi="Arial"/>
          <w:sz w:val="17"/>
          <w:szCs w:val="17"/>
          <w:u w:val="single" w:color="auto"/>
          <w:color w:val="0000FF"/>
        </w:rPr>
        <w:t>Information—Meeting and Voting Logistics—How to Vote</w:t>
      </w:r>
      <w:r>
        <w:rPr>
          <w:rFonts w:ascii="Arial" w:cs="Arial" w:eastAsia="Arial" w:hAnsi="Arial"/>
          <w:sz w:val="17"/>
          <w:szCs w:val="17"/>
          <w:color w:val="000000"/>
        </w:rPr>
        <w:t>.”</w:t>
      </w:r>
    </w:p>
    <w:p>
      <w:pPr>
        <w:spacing w:after="0" w:line="134" w:lineRule="exact"/>
        <w:rPr>
          <w:sz w:val="20"/>
          <w:szCs w:val="20"/>
          <w:color w:val="auto"/>
        </w:rPr>
      </w:pPr>
    </w:p>
    <w:p>
      <w:pPr>
        <w:spacing w:after="0"/>
        <w:rPr>
          <w:sz w:val="20"/>
          <w:szCs w:val="20"/>
          <w:color w:val="auto"/>
        </w:rPr>
      </w:pPr>
      <w:r>
        <w:rPr>
          <w:rFonts w:ascii="Arial" w:cs="Arial" w:eastAsia="Arial" w:hAnsi="Arial"/>
          <w:sz w:val="25"/>
          <w:szCs w:val="25"/>
          <w:b w:val="1"/>
          <w:bCs w:val="1"/>
          <w:color w:val="00A1DE"/>
        </w:rPr>
        <w:t>Voting Matters and Board Recommendations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57607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97"/>
              </w:rPr>
              <w:t>Board Vote</w:t>
            </w:r>
          </w:p>
        </w:tc>
        <w:tc>
          <w:tcPr>
            <w:tcW w:w="72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99"/>
              </w:rPr>
              <w:t>See</w:t>
            </w:r>
          </w:p>
        </w:tc>
      </w:tr>
      <w:tr>
        <w:trPr>
          <w:trHeight w:val="255"/>
        </w:trPr>
        <w:tc>
          <w:tcPr>
            <w:tcW w:w="4860" w:type="dxa"/>
            <w:vAlign w:val="bottom"/>
            <w:tcBorders>
              <w:bottom w:val="single" w:sz="8" w:color="6D6D6D"/>
            </w:tcBorders>
          </w:tcPr>
          <w:p>
            <w:pPr>
              <w:ind w:left="800"/>
              <w:spacing w:after="0"/>
              <w:rPr>
                <w:sz w:val="20"/>
                <w:szCs w:val="20"/>
                <w:color w:val="auto"/>
              </w:rPr>
            </w:pPr>
            <w:r>
              <w:rPr>
                <w:rFonts w:ascii="Arial" w:cs="Arial" w:eastAsia="Arial" w:hAnsi="Arial"/>
                <w:sz w:val="18"/>
                <w:szCs w:val="18"/>
                <w:b w:val="1"/>
                <w:bCs w:val="1"/>
                <w:color w:val="auto"/>
              </w:rPr>
              <w:t>Voting Matter</w:t>
            </w:r>
          </w:p>
        </w:tc>
        <w:tc>
          <w:tcPr>
            <w:tcW w:w="1700" w:type="dxa"/>
            <w:vAlign w:val="bottom"/>
            <w:tcBorders>
              <w:bottom w:val="single" w:sz="8" w:color="6D6D6D"/>
            </w:tcBorders>
          </w:tcPr>
          <w:p>
            <w:pPr>
              <w:jc w:val="center"/>
              <w:ind w:left="10"/>
              <w:spacing w:after="0"/>
              <w:rPr>
                <w:sz w:val="20"/>
                <w:szCs w:val="20"/>
                <w:color w:val="auto"/>
              </w:rPr>
            </w:pPr>
            <w:r>
              <w:rPr>
                <w:rFonts w:ascii="Arial" w:cs="Arial" w:eastAsia="Arial" w:hAnsi="Arial"/>
                <w:sz w:val="18"/>
                <w:szCs w:val="18"/>
                <w:b w:val="1"/>
                <w:bCs w:val="1"/>
                <w:color w:val="auto"/>
                <w:w w:val="98"/>
              </w:rPr>
              <w:t>Required Vote</w:t>
            </w:r>
          </w:p>
        </w:tc>
        <w:tc>
          <w:tcPr>
            <w:tcW w:w="1800" w:type="dxa"/>
            <w:vAlign w:val="bottom"/>
            <w:tcBorders>
              <w:bottom w:val="single" w:sz="8" w:color="6D6D6D"/>
            </w:tcBorders>
          </w:tcPr>
          <w:p>
            <w:pPr>
              <w:jc w:val="center"/>
              <w:spacing w:after="0"/>
              <w:rPr>
                <w:sz w:val="20"/>
                <w:szCs w:val="20"/>
                <w:color w:val="auto"/>
              </w:rPr>
            </w:pPr>
            <w:r>
              <w:rPr>
                <w:rFonts w:ascii="Arial" w:cs="Arial" w:eastAsia="Arial" w:hAnsi="Arial"/>
                <w:sz w:val="18"/>
                <w:szCs w:val="18"/>
                <w:b w:val="1"/>
                <w:bCs w:val="1"/>
                <w:color w:val="auto"/>
                <w:w w:val="99"/>
              </w:rPr>
              <w:t>Recommendation</w:t>
            </w:r>
          </w:p>
        </w:tc>
        <w:tc>
          <w:tcPr>
            <w:tcW w:w="720" w:type="dxa"/>
            <w:vAlign w:val="bottom"/>
            <w:tcBorders>
              <w:bottom w:val="single" w:sz="8" w:color="6D6D6D"/>
            </w:tcBorders>
            <w:gridSpan w:val="3"/>
          </w:tcPr>
          <w:p>
            <w:pPr>
              <w:jc w:val="center"/>
              <w:ind w:right="20"/>
              <w:spacing w:after="0"/>
              <w:rPr>
                <w:sz w:val="20"/>
                <w:szCs w:val="20"/>
                <w:color w:val="auto"/>
              </w:rPr>
            </w:pPr>
            <w:r>
              <w:rPr>
                <w:rFonts w:ascii="Arial" w:cs="Arial" w:eastAsia="Arial" w:hAnsi="Arial"/>
                <w:sz w:val="18"/>
                <w:szCs w:val="18"/>
                <w:b w:val="1"/>
                <w:bCs w:val="1"/>
                <w:color w:val="auto"/>
                <w:w w:val="97"/>
              </w:rPr>
              <w:t>Page</w:t>
            </w:r>
          </w:p>
        </w:tc>
      </w:tr>
      <w:tr>
        <w:trPr>
          <w:trHeight w:val="203"/>
        </w:trPr>
        <w:tc>
          <w:tcPr>
            <w:tcW w:w="4860" w:type="dxa"/>
            <w:vAlign w:val="bottom"/>
            <w:shd w:val="clear" w:color="auto" w:fill="F2F2F2"/>
          </w:tcPr>
          <w:p>
            <w:pPr>
              <w:ind w:left="20"/>
              <w:spacing w:after="0" w:line="182" w:lineRule="exact"/>
              <w:rPr>
                <w:sz w:val="20"/>
                <w:szCs w:val="20"/>
                <w:color w:val="auto"/>
              </w:rPr>
            </w:pPr>
            <w:r>
              <w:rPr>
                <w:rFonts w:ascii="Arial" w:cs="Arial" w:eastAsia="Arial" w:hAnsi="Arial"/>
                <w:sz w:val="18"/>
                <w:szCs w:val="18"/>
                <w:color w:val="auto"/>
              </w:rPr>
              <w:t xml:space="preserve">Item 1   </w:t>
            </w:r>
            <w:r>
              <w:rPr>
                <w:rFonts w:ascii="Arial" w:cs="Arial" w:eastAsia="Arial" w:hAnsi="Arial"/>
                <w:sz w:val="18"/>
                <w:szCs w:val="18"/>
                <w:b w:val="1"/>
                <w:bCs w:val="1"/>
                <w:color w:val="D52B1E"/>
              </w:rPr>
              <w:t>Election of four directors</w:t>
            </w:r>
            <w:r>
              <w:rPr>
                <w:rFonts w:ascii="Arial" w:cs="Arial" w:eastAsia="Arial" w:hAnsi="Arial"/>
                <w:sz w:val="18"/>
                <w:szCs w:val="18"/>
                <w:color w:val="auto"/>
              </w:rPr>
              <w:t xml:space="preserve"> to serve three-year</w:t>
            </w:r>
          </w:p>
        </w:tc>
        <w:tc>
          <w:tcPr>
            <w:tcW w:w="1700" w:type="dxa"/>
            <w:vAlign w:val="bottom"/>
            <w:shd w:val="clear" w:color="auto" w:fill="F2F2F2"/>
          </w:tcPr>
          <w:p>
            <w:pPr>
              <w:jc w:val="center"/>
              <w:ind w:left="30"/>
              <w:spacing w:after="0" w:line="182" w:lineRule="exact"/>
              <w:rPr>
                <w:sz w:val="20"/>
                <w:szCs w:val="20"/>
                <w:color w:val="auto"/>
              </w:rPr>
            </w:pPr>
            <w:r>
              <w:rPr>
                <w:rFonts w:ascii="Arial" w:cs="Arial" w:eastAsia="Arial" w:hAnsi="Arial"/>
                <w:sz w:val="18"/>
                <w:szCs w:val="18"/>
                <w:color w:val="auto"/>
                <w:w w:val="99"/>
              </w:rPr>
              <w:t>Majority of votes</w:t>
            </w:r>
          </w:p>
        </w:tc>
        <w:tc>
          <w:tcPr>
            <w:tcW w:w="1800" w:type="dxa"/>
            <w:vAlign w:val="bottom"/>
            <w:shd w:val="clear" w:color="auto" w:fill="F2F2F2"/>
          </w:tcPr>
          <w:p>
            <w:pPr>
              <w:jc w:val="center"/>
              <w:spacing w:after="0" w:line="182" w:lineRule="exact"/>
              <w:rPr>
                <w:sz w:val="20"/>
                <w:szCs w:val="20"/>
                <w:color w:val="auto"/>
              </w:rPr>
            </w:pPr>
            <w:r>
              <w:rPr>
                <w:rFonts w:ascii="Arial" w:cs="Arial" w:eastAsia="Arial" w:hAnsi="Arial"/>
                <w:sz w:val="18"/>
                <w:szCs w:val="18"/>
                <w:color w:val="auto"/>
              </w:rPr>
              <w:t>FOR EACH</w:t>
            </w:r>
          </w:p>
        </w:tc>
        <w:tc>
          <w:tcPr>
            <w:tcW w:w="720" w:type="dxa"/>
            <w:vAlign w:val="bottom"/>
            <w:gridSpan w:val="3"/>
            <w:shd w:val="clear" w:color="auto" w:fill="F2F2F2"/>
          </w:tcPr>
          <w:p>
            <w:pPr>
              <w:jc w:val="center"/>
              <w:ind w:right="40"/>
              <w:spacing w:after="0" w:line="182" w:lineRule="exact"/>
              <w:rPr>
                <w:sz w:val="20"/>
                <w:szCs w:val="20"/>
                <w:color w:val="auto"/>
              </w:rPr>
            </w:pPr>
            <w:r>
              <w:rPr>
                <w:rFonts w:ascii="Arial" w:cs="Arial" w:eastAsia="Arial" w:hAnsi="Arial"/>
                <w:sz w:val="18"/>
                <w:szCs w:val="18"/>
                <w:color w:val="0000FF"/>
                <w:w w:val="99"/>
              </w:rPr>
              <w:t>29</w:t>
            </w:r>
          </w:p>
        </w:tc>
      </w:tr>
      <w:tr>
        <w:trPr>
          <w:trHeight w:val="218"/>
        </w:trPr>
        <w:tc>
          <w:tcPr>
            <w:tcW w:w="4860" w:type="dxa"/>
            <w:vAlign w:val="bottom"/>
            <w:tcBorders>
              <w:top w:val="single" w:sz="8" w:color="F2F2F2"/>
            </w:tcBorders>
            <w:shd w:val="clear" w:color="auto" w:fill="F2F2F2"/>
          </w:tcPr>
          <w:p>
            <w:pPr>
              <w:ind w:left="800"/>
              <w:spacing w:after="0"/>
              <w:rPr>
                <w:sz w:val="20"/>
                <w:szCs w:val="20"/>
                <w:color w:val="auto"/>
              </w:rPr>
            </w:pPr>
            <w:r>
              <w:rPr>
                <w:rFonts w:ascii="Arial" w:cs="Arial" w:eastAsia="Arial" w:hAnsi="Arial"/>
                <w:sz w:val="18"/>
                <w:szCs w:val="18"/>
                <w:color w:val="auto"/>
              </w:rPr>
              <w:t>terms</w:t>
            </w:r>
          </w:p>
        </w:tc>
        <w:tc>
          <w:tcPr>
            <w:tcW w:w="1700" w:type="dxa"/>
            <w:vAlign w:val="bottom"/>
            <w:tcBorders>
              <w:top w:val="single" w:sz="8" w:color="F2F2F2"/>
            </w:tcBorders>
            <w:shd w:val="clear" w:color="auto" w:fill="F2F2F2"/>
          </w:tcPr>
          <w:p>
            <w:pPr>
              <w:jc w:val="center"/>
              <w:ind w:left="30"/>
              <w:spacing w:after="0"/>
              <w:rPr>
                <w:sz w:val="20"/>
                <w:szCs w:val="20"/>
                <w:color w:val="auto"/>
              </w:rPr>
            </w:pPr>
            <w:r>
              <w:rPr>
                <w:rFonts w:ascii="Arial" w:cs="Arial" w:eastAsia="Arial" w:hAnsi="Arial"/>
                <w:sz w:val="18"/>
                <w:szCs w:val="18"/>
                <w:color w:val="auto"/>
              </w:rPr>
              <w:t>cast (for each</w:t>
            </w:r>
          </w:p>
        </w:tc>
        <w:tc>
          <w:tcPr>
            <w:tcW w:w="1800" w:type="dxa"/>
            <w:vAlign w:val="bottom"/>
            <w:tcBorders>
              <w:top w:val="single" w:sz="8" w:color="F2F2F2"/>
            </w:tcBorders>
            <w:shd w:val="clear" w:color="auto" w:fill="F2F2F2"/>
          </w:tcPr>
          <w:p>
            <w:pPr>
              <w:jc w:val="center"/>
              <w:spacing w:after="0"/>
              <w:rPr>
                <w:sz w:val="20"/>
                <w:szCs w:val="20"/>
                <w:color w:val="auto"/>
              </w:rPr>
            </w:pPr>
            <w:r>
              <w:rPr>
                <w:rFonts w:ascii="Arial" w:cs="Arial" w:eastAsia="Arial" w:hAnsi="Arial"/>
                <w:sz w:val="18"/>
                <w:szCs w:val="18"/>
                <w:color w:val="auto"/>
                <w:w w:val="99"/>
              </w:rPr>
              <w:t>NOMINEE</w:t>
            </w:r>
          </w:p>
        </w:tc>
        <w:tc>
          <w:tcPr>
            <w:tcW w:w="240" w:type="dxa"/>
            <w:vAlign w:val="bottom"/>
            <w:tcBorders>
              <w:top w:val="single" w:sz="8" w:color="F2F2F2"/>
            </w:tcBorders>
            <w:shd w:val="clear" w:color="auto" w:fill="F2F2F2"/>
          </w:tcPr>
          <w:p>
            <w:pPr>
              <w:spacing w:after="0"/>
              <w:rPr>
                <w:sz w:val="18"/>
                <w:szCs w:val="18"/>
                <w:color w:val="auto"/>
              </w:rPr>
            </w:pPr>
          </w:p>
        </w:tc>
        <w:tc>
          <w:tcPr>
            <w:tcW w:w="200" w:type="dxa"/>
            <w:vAlign w:val="bottom"/>
            <w:tcBorders>
              <w:top w:val="single" w:sz="8" w:color="0000FF"/>
            </w:tcBorders>
            <w:shd w:val="clear" w:color="auto" w:fill="F2F2F2"/>
          </w:tcPr>
          <w:p>
            <w:pPr>
              <w:spacing w:after="0"/>
              <w:rPr>
                <w:sz w:val="18"/>
                <w:szCs w:val="18"/>
                <w:color w:val="auto"/>
              </w:rPr>
            </w:pPr>
          </w:p>
        </w:tc>
        <w:tc>
          <w:tcPr>
            <w:tcW w:w="280" w:type="dxa"/>
            <w:vAlign w:val="bottom"/>
            <w:tcBorders>
              <w:top w:val="single" w:sz="8" w:color="F2F2F2"/>
            </w:tcBorders>
            <w:shd w:val="clear" w:color="auto" w:fill="F2F2F2"/>
          </w:tcPr>
          <w:p>
            <w:pPr>
              <w:spacing w:after="0"/>
              <w:rPr>
                <w:sz w:val="18"/>
                <w:szCs w:val="18"/>
                <w:color w:val="auto"/>
              </w:rPr>
            </w:pPr>
          </w:p>
        </w:tc>
      </w:tr>
      <w:tr>
        <w:trPr>
          <w:trHeight w:val="239"/>
        </w:trPr>
        <w:tc>
          <w:tcPr>
            <w:tcW w:w="4860" w:type="dxa"/>
            <w:vAlign w:val="bottom"/>
            <w:shd w:val="clear" w:color="auto" w:fill="F2F2F2"/>
          </w:tcPr>
          <w:p>
            <w:pPr>
              <w:spacing w:after="0"/>
              <w:rPr>
                <w:sz w:val="20"/>
                <w:szCs w:val="20"/>
                <w:color w:val="auto"/>
              </w:rPr>
            </w:pPr>
          </w:p>
        </w:tc>
        <w:tc>
          <w:tcPr>
            <w:tcW w:w="1700" w:type="dxa"/>
            <w:vAlign w:val="bottom"/>
            <w:shd w:val="clear" w:color="auto" w:fill="F2F2F2"/>
          </w:tcPr>
          <w:p>
            <w:pPr>
              <w:jc w:val="center"/>
              <w:ind w:left="30"/>
              <w:spacing w:after="0"/>
              <w:rPr>
                <w:sz w:val="20"/>
                <w:szCs w:val="20"/>
                <w:color w:val="auto"/>
              </w:rPr>
            </w:pPr>
            <w:r>
              <w:rPr>
                <w:rFonts w:ascii="Arial" w:cs="Arial" w:eastAsia="Arial" w:hAnsi="Arial"/>
                <w:sz w:val="18"/>
                <w:szCs w:val="18"/>
                <w:color w:val="auto"/>
                <w:w w:val="98"/>
              </w:rPr>
              <w:t>nominee)</w:t>
            </w:r>
          </w:p>
        </w:tc>
        <w:tc>
          <w:tcPr>
            <w:tcW w:w="1800" w:type="dxa"/>
            <w:vAlign w:val="bottom"/>
            <w:shd w:val="clear" w:color="auto" w:fill="F2F2F2"/>
          </w:tcPr>
          <w:p>
            <w:pPr>
              <w:spacing w:after="0"/>
              <w:rPr>
                <w:sz w:val="20"/>
                <w:szCs w:val="20"/>
                <w:color w:val="auto"/>
              </w:rPr>
            </w:pPr>
          </w:p>
        </w:tc>
        <w:tc>
          <w:tcPr>
            <w:tcW w:w="240" w:type="dxa"/>
            <w:vAlign w:val="bottom"/>
            <w:shd w:val="clear" w:color="auto" w:fill="F2F2F2"/>
          </w:tcPr>
          <w:p>
            <w:pPr>
              <w:spacing w:after="0"/>
              <w:rPr>
                <w:sz w:val="20"/>
                <w:szCs w:val="20"/>
                <w:color w:val="auto"/>
              </w:rPr>
            </w:pPr>
          </w:p>
        </w:tc>
        <w:tc>
          <w:tcPr>
            <w:tcW w:w="200" w:type="dxa"/>
            <w:vAlign w:val="bottom"/>
            <w:shd w:val="clear" w:color="auto" w:fill="F2F2F2"/>
          </w:tcPr>
          <w:p>
            <w:pPr>
              <w:spacing w:after="0"/>
              <w:rPr>
                <w:sz w:val="20"/>
                <w:szCs w:val="20"/>
                <w:color w:val="auto"/>
              </w:rPr>
            </w:pPr>
          </w:p>
        </w:tc>
        <w:tc>
          <w:tcPr>
            <w:tcW w:w="280" w:type="dxa"/>
            <w:vAlign w:val="bottom"/>
            <w:shd w:val="clear" w:color="auto" w:fill="F2F2F2"/>
          </w:tcPr>
          <w:p>
            <w:pPr>
              <w:spacing w:after="0"/>
              <w:rPr>
                <w:sz w:val="20"/>
                <w:szCs w:val="20"/>
                <w:color w:val="auto"/>
              </w:rPr>
            </w:pPr>
          </w:p>
        </w:tc>
      </w:tr>
      <w:tr>
        <w:trPr>
          <w:trHeight w:val="23"/>
        </w:trPr>
        <w:tc>
          <w:tcPr>
            <w:tcW w:w="4860" w:type="dxa"/>
            <w:vAlign w:val="bottom"/>
            <w:shd w:val="clear" w:color="auto" w:fill="F2F2F2"/>
          </w:tcPr>
          <w:p>
            <w:pPr>
              <w:spacing w:after="0"/>
              <w:rPr>
                <w:sz w:val="2"/>
                <w:szCs w:val="2"/>
                <w:color w:val="auto"/>
              </w:rPr>
            </w:pPr>
          </w:p>
        </w:tc>
        <w:tc>
          <w:tcPr>
            <w:tcW w:w="1700" w:type="dxa"/>
            <w:vAlign w:val="bottom"/>
            <w:shd w:val="clear" w:color="auto" w:fill="F2F2F2"/>
          </w:tcPr>
          <w:p>
            <w:pPr>
              <w:spacing w:after="0"/>
              <w:rPr>
                <w:sz w:val="2"/>
                <w:szCs w:val="2"/>
                <w:color w:val="auto"/>
              </w:rPr>
            </w:pPr>
          </w:p>
        </w:tc>
        <w:tc>
          <w:tcPr>
            <w:tcW w:w="1800" w:type="dxa"/>
            <w:vAlign w:val="bottom"/>
            <w:shd w:val="clear" w:color="auto" w:fill="F2F2F2"/>
          </w:tcPr>
          <w:p>
            <w:pPr>
              <w:spacing w:after="0"/>
              <w:rPr>
                <w:sz w:val="2"/>
                <w:szCs w:val="2"/>
                <w:color w:val="auto"/>
              </w:rPr>
            </w:pPr>
          </w:p>
        </w:tc>
        <w:tc>
          <w:tcPr>
            <w:tcW w:w="240" w:type="dxa"/>
            <w:vAlign w:val="bottom"/>
            <w:shd w:val="clear" w:color="auto" w:fill="F2F2F2"/>
          </w:tcPr>
          <w:p>
            <w:pPr>
              <w:spacing w:after="0"/>
              <w:rPr>
                <w:sz w:val="2"/>
                <w:szCs w:val="2"/>
                <w:color w:val="auto"/>
              </w:rPr>
            </w:pPr>
          </w:p>
        </w:tc>
        <w:tc>
          <w:tcPr>
            <w:tcW w:w="200" w:type="dxa"/>
            <w:vAlign w:val="bottom"/>
            <w:shd w:val="clear" w:color="auto" w:fill="F2F2F2"/>
          </w:tcPr>
          <w:p>
            <w:pPr>
              <w:spacing w:after="0"/>
              <w:rPr>
                <w:sz w:val="2"/>
                <w:szCs w:val="2"/>
                <w:color w:val="auto"/>
              </w:rPr>
            </w:pPr>
          </w:p>
        </w:tc>
        <w:tc>
          <w:tcPr>
            <w:tcW w:w="280" w:type="dxa"/>
            <w:vAlign w:val="bottom"/>
            <w:shd w:val="clear" w:color="auto" w:fill="F2F2F2"/>
          </w:tcPr>
          <w:p>
            <w:pPr>
              <w:spacing w:after="0"/>
              <w:rPr>
                <w:sz w:val="2"/>
                <w:szCs w:val="2"/>
                <w:color w:val="auto"/>
              </w:rPr>
            </w:pPr>
          </w:p>
        </w:tc>
      </w:tr>
    </w:tbl>
    <w:p>
      <w:pPr>
        <w:spacing w:after="0" w:line="1" w:lineRule="exact"/>
        <w:rPr>
          <w:sz w:val="20"/>
          <w:szCs w:val="20"/>
          <w:color w:val="auto"/>
        </w:rPr>
      </w:pPr>
    </w:p>
    <w:p>
      <w:pPr>
        <w:sectPr>
          <w:pgSz w:w="11900" w:h="16838" w:orient="portrait"/>
          <w:cols w:equalWidth="0" w:num="1">
            <w:col w:w="11100"/>
          </w:cols>
          <w:pgMar w:left="320" w:top="1093" w:right="479" w:bottom="1440" w:gutter="0" w:footer="0" w:header="0"/>
        </w:sectPr>
      </w:pPr>
    </w:p>
    <w:p>
      <w:pPr>
        <w:spacing w:after="0" w:line="7" w:lineRule="exact"/>
        <w:rPr>
          <w:sz w:val="20"/>
          <w:szCs w:val="20"/>
          <w:color w:val="auto"/>
        </w:rPr>
      </w:pPr>
    </w:p>
    <w:p>
      <w:pPr>
        <w:ind w:left="800" w:hanging="768"/>
        <w:spacing w:after="0" w:line="296" w:lineRule="auto"/>
        <w:tabs>
          <w:tab w:leader="none" w:pos="780" w:val="left"/>
        </w:tabs>
        <w:rPr>
          <w:sz w:val="20"/>
          <w:szCs w:val="20"/>
          <w:color w:val="auto"/>
        </w:rPr>
      </w:pPr>
      <w:r>
        <w:rPr>
          <w:rFonts w:ascii="Arial" w:cs="Arial" w:eastAsia="Arial" w:hAnsi="Arial"/>
          <w:sz w:val="18"/>
          <w:szCs w:val="18"/>
          <w:color w:val="auto"/>
        </w:rPr>
        <w:t>Item 2</w:t>
        <w:tab/>
        <w:t xml:space="preserve">Advisory </w:t>
      </w:r>
      <w:r>
        <w:rPr>
          <w:rFonts w:ascii="Arial" w:cs="Arial" w:eastAsia="Arial" w:hAnsi="Arial"/>
          <w:sz w:val="18"/>
          <w:szCs w:val="18"/>
          <w:b w:val="1"/>
          <w:bCs w:val="1"/>
          <w:color w:val="D52B1E"/>
        </w:rPr>
        <w:t>vote on compensation</w:t>
      </w:r>
      <w:r>
        <w:rPr>
          <w:rFonts w:ascii="Arial" w:cs="Arial" w:eastAsia="Arial" w:hAnsi="Arial"/>
          <w:sz w:val="18"/>
          <w:szCs w:val="18"/>
          <w:color w:val="auto"/>
        </w:rPr>
        <w:t xml:space="preserve"> paid to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5760720" cy="3257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760720" cy="325755"/>
                    </a:xfrm>
                    <a:prstGeom prst="rect">
                      <a:avLst/>
                    </a:prstGeom>
                    <a:noFill/>
                  </pic:spPr>
                </pic:pic>
              </a:graphicData>
            </a:graphic>
          </wp:anchor>
        </w:drawing>
      </w:r>
    </w:p>
    <w:p>
      <w:pPr>
        <w:spacing w:after="0" w:line="131" w:lineRule="exact"/>
        <w:rPr>
          <w:sz w:val="20"/>
          <w:szCs w:val="20"/>
          <w:color w:val="auto"/>
        </w:rPr>
      </w:pPr>
    </w:p>
    <w:p>
      <w:pPr>
        <w:ind w:left="800" w:right="880" w:hanging="768"/>
        <w:spacing w:after="0" w:line="281" w:lineRule="auto"/>
        <w:tabs>
          <w:tab w:leader="none" w:pos="78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9"/>
          <w:szCs w:val="19"/>
          <w:b w:val="1"/>
          <w:bCs w:val="1"/>
          <w:color w:val="D52B1E"/>
        </w:rPr>
        <w:t xml:space="preserve">Ratification </w:t>
      </w:r>
      <w:r>
        <w:rPr>
          <w:rFonts w:ascii="Arial" w:cs="Arial" w:eastAsia="Arial" w:hAnsi="Arial"/>
          <w:sz w:val="17"/>
          <w:szCs w:val="17"/>
          <w:color w:val="000000"/>
        </w:rPr>
        <w:t>of the appointment of the</w:t>
      </w:r>
      <w:r>
        <w:rPr>
          <w:rFonts w:ascii="Arial" w:cs="Arial" w:eastAsia="Arial" w:hAnsi="Arial"/>
          <w:sz w:val="19"/>
          <w:szCs w:val="19"/>
          <w:b w:val="1"/>
          <w:bCs w:val="1"/>
          <w:color w:val="D52B1E"/>
        </w:rPr>
        <w:t xml:space="preserve"> independent auditor</w:t>
      </w:r>
    </w:p>
    <w:p>
      <w:pPr>
        <w:spacing w:after="0" w:line="1" w:lineRule="exact"/>
        <w:rPr>
          <w:sz w:val="20"/>
          <w:szCs w:val="20"/>
          <w:color w:val="auto"/>
        </w:rPr>
      </w:pPr>
    </w:p>
    <w:p>
      <w:pPr>
        <w:ind w:left="800" w:hanging="768"/>
        <w:spacing w:after="0" w:line="276" w:lineRule="auto"/>
        <w:tabs>
          <w:tab w:leader="none" w:pos="780" w:val="left"/>
        </w:tabs>
        <w:rPr>
          <w:sz w:val="20"/>
          <w:szCs w:val="20"/>
          <w:color w:val="auto"/>
        </w:rPr>
      </w:pPr>
      <w:r>
        <w:rPr>
          <w:rFonts w:ascii="Arial" w:cs="Arial" w:eastAsia="Arial" w:hAnsi="Arial"/>
          <w:sz w:val="18"/>
          <w:szCs w:val="18"/>
          <w:color w:val="auto"/>
        </w:rPr>
        <w:t>Item 4</w:t>
        <w:tab/>
        <w:t xml:space="preserve">Proposal to amend the company’s articles of incorporation to </w:t>
      </w:r>
      <w:r>
        <w:rPr>
          <w:rFonts w:ascii="Arial" w:cs="Arial" w:eastAsia="Arial" w:hAnsi="Arial"/>
          <w:sz w:val="18"/>
          <w:szCs w:val="18"/>
          <w:b w:val="1"/>
          <w:bCs w:val="1"/>
          <w:color w:val="D52B1E"/>
        </w:rPr>
        <w:t>eliminate the classified board</w:t>
      </w:r>
      <w:r>
        <w:rPr>
          <w:rFonts w:ascii="Arial" w:cs="Arial" w:eastAsia="Arial" w:hAnsi="Arial"/>
          <w:sz w:val="18"/>
          <w:szCs w:val="18"/>
          <w:color w:val="auto"/>
        </w:rPr>
        <w:t xml:space="preserve">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5760720" cy="419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760720" cy="419735"/>
                    </a:xfrm>
                    <a:prstGeom prst="rect">
                      <a:avLst/>
                    </a:prstGeom>
                    <a:noFill/>
                  </pic:spPr>
                </pic:pic>
              </a:graphicData>
            </a:graphic>
          </wp:anchor>
        </w:drawing>
      </w:r>
    </w:p>
    <w:p>
      <w:pPr>
        <w:spacing w:after="0" w:line="143" w:lineRule="exact"/>
        <w:rPr>
          <w:sz w:val="20"/>
          <w:szCs w:val="20"/>
          <w:color w:val="auto"/>
        </w:rPr>
      </w:pPr>
    </w:p>
    <w:p>
      <w:pPr>
        <w:ind w:left="800" w:right="240" w:hanging="768"/>
        <w:spacing w:after="0" w:line="296" w:lineRule="auto"/>
        <w:tabs>
          <w:tab w:leader="none" w:pos="780" w:val="left"/>
        </w:tabs>
        <w:rPr>
          <w:sz w:val="20"/>
          <w:szCs w:val="20"/>
          <w:color w:val="auto"/>
        </w:rPr>
      </w:pPr>
      <w:r>
        <w:rPr>
          <w:rFonts w:ascii="Arial" w:cs="Arial" w:eastAsia="Arial" w:hAnsi="Arial"/>
          <w:sz w:val="18"/>
          <w:szCs w:val="18"/>
          <w:color w:val="auto"/>
        </w:rPr>
        <w:t>Item 5</w:t>
        <w:tab/>
        <w:t xml:space="preserve">Proposal to </w:t>
      </w:r>
      <w:r>
        <w:rPr>
          <w:rFonts w:ascii="Arial" w:cs="Arial" w:eastAsia="Arial" w:hAnsi="Arial"/>
          <w:sz w:val="18"/>
          <w:szCs w:val="18"/>
          <w:b w:val="1"/>
          <w:bCs w:val="1"/>
          <w:color w:val="D52B1E"/>
        </w:rPr>
        <w:t>eliminate supermajority voting</w:t>
      </w:r>
      <w:r>
        <w:rPr>
          <w:rFonts w:ascii="Arial" w:cs="Arial" w:eastAsia="Arial" w:hAnsi="Arial"/>
          <w:sz w:val="18"/>
          <w:szCs w:val="18"/>
          <w:color w:val="auto"/>
        </w:rPr>
        <w:t xml:space="preserve"> provisions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1900" w:type="dxa"/>
            <w:vAlign w:val="bottom"/>
          </w:tcPr>
          <w:p>
            <w:pPr>
              <w:jc w:val="center"/>
              <w:ind w:right="270"/>
              <w:spacing w:after="0" w:line="202" w:lineRule="exact"/>
              <w:rPr>
                <w:sz w:val="20"/>
                <w:szCs w:val="20"/>
                <w:color w:val="auto"/>
              </w:rPr>
            </w:pPr>
            <w:r>
              <w:rPr>
                <w:rFonts w:ascii="Arial" w:cs="Arial" w:eastAsia="Arial" w:hAnsi="Arial"/>
                <w:sz w:val="18"/>
                <w:szCs w:val="18"/>
                <w:color w:val="auto"/>
                <w:w w:val="99"/>
              </w:rPr>
              <w:t>Majority of votes</w:t>
            </w:r>
          </w:p>
        </w:tc>
        <w:tc>
          <w:tcPr>
            <w:tcW w:w="1700" w:type="dxa"/>
            <w:vAlign w:val="bottom"/>
          </w:tcPr>
          <w:p>
            <w:pPr>
              <w:ind w:left="380"/>
              <w:spacing w:after="0" w:line="202" w:lineRule="exact"/>
              <w:rPr>
                <w:sz w:val="20"/>
                <w:szCs w:val="20"/>
                <w:color w:val="auto"/>
              </w:rPr>
            </w:pPr>
            <w:r>
              <w:rPr>
                <w:rFonts w:ascii="Arial" w:cs="Arial" w:eastAsia="Arial" w:hAnsi="Arial"/>
                <w:sz w:val="18"/>
                <w:szCs w:val="18"/>
                <w:color w:val="auto"/>
              </w:rPr>
              <w:t>FOR</w:t>
            </w:r>
          </w:p>
        </w:tc>
        <w:tc>
          <w:tcPr>
            <w:tcW w:w="200" w:type="dxa"/>
            <w:vAlign w:val="bottom"/>
            <w:tcBorders>
              <w:bottom w:val="single" w:sz="8" w:color="0000FF"/>
            </w:tcBorders>
          </w:tcPr>
          <w:p>
            <w:pPr>
              <w:jc w:val="right"/>
              <w:spacing w:after="0" w:line="202" w:lineRule="exact"/>
              <w:rPr>
                <w:sz w:val="20"/>
                <w:szCs w:val="20"/>
                <w:color w:val="auto"/>
              </w:rPr>
            </w:pPr>
            <w:r>
              <w:rPr>
                <w:rFonts w:ascii="Arial" w:cs="Arial" w:eastAsia="Arial" w:hAnsi="Arial"/>
                <w:sz w:val="18"/>
                <w:szCs w:val="18"/>
                <w:color w:val="0000FF"/>
                <w:w w:val="89"/>
              </w:rPr>
              <w:t>44</w:t>
            </w:r>
          </w:p>
        </w:tc>
      </w:tr>
      <w:tr>
        <w:trPr>
          <w:trHeight w:val="241"/>
        </w:trPr>
        <w:tc>
          <w:tcPr>
            <w:tcW w:w="1900" w:type="dxa"/>
            <w:vAlign w:val="bottom"/>
          </w:tcPr>
          <w:p>
            <w:pPr>
              <w:jc w:val="center"/>
              <w:ind w:right="270"/>
              <w:spacing w:after="0"/>
              <w:rPr>
                <w:sz w:val="20"/>
                <w:szCs w:val="20"/>
                <w:color w:val="auto"/>
              </w:rPr>
            </w:pPr>
            <w:r>
              <w:rPr>
                <w:rFonts w:ascii="Arial" w:cs="Arial" w:eastAsia="Arial" w:hAnsi="Arial"/>
                <w:sz w:val="18"/>
                <w:szCs w:val="18"/>
                <w:color w:val="auto"/>
              </w:rPr>
              <w:t>cast</w:t>
            </w: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401"/>
        </w:trPr>
        <w:tc>
          <w:tcPr>
            <w:tcW w:w="1900" w:type="dxa"/>
            <w:vAlign w:val="bottom"/>
          </w:tcPr>
          <w:p>
            <w:pPr>
              <w:jc w:val="center"/>
              <w:ind w:right="270"/>
              <w:spacing w:after="0"/>
              <w:rPr>
                <w:sz w:val="20"/>
                <w:szCs w:val="20"/>
                <w:color w:val="auto"/>
              </w:rPr>
            </w:pPr>
            <w:r>
              <w:rPr>
                <w:rFonts w:ascii="Arial" w:cs="Arial" w:eastAsia="Arial" w:hAnsi="Arial"/>
                <w:sz w:val="18"/>
                <w:szCs w:val="18"/>
                <w:color w:val="auto"/>
                <w:w w:val="99"/>
              </w:rPr>
              <w:t>Majority of votes</w:t>
            </w:r>
          </w:p>
        </w:tc>
        <w:tc>
          <w:tcPr>
            <w:tcW w:w="1700" w:type="dxa"/>
            <w:vAlign w:val="bottom"/>
          </w:tcPr>
          <w:p>
            <w:pPr>
              <w:ind w:left="380"/>
              <w:spacing w:after="0"/>
              <w:rPr>
                <w:sz w:val="20"/>
                <w:szCs w:val="20"/>
                <w:color w:val="auto"/>
              </w:rPr>
            </w:pPr>
            <w:r>
              <w:rPr>
                <w:rFonts w:ascii="Arial" w:cs="Arial" w:eastAsia="Arial" w:hAnsi="Arial"/>
                <w:sz w:val="18"/>
                <w:szCs w:val="18"/>
                <w:color w:val="auto"/>
              </w:rPr>
              <w:t>FOR</w:t>
            </w: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89"/>
              </w:rPr>
              <w:t>76</w:t>
            </w:r>
          </w:p>
        </w:tc>
      </w:tr>
      <w:tr>
        <w:trPr>
          <w:trHeight w:val="241"/>
        </w:trPr>
        <w:tc>
          <w:tcPr>
            <w:tcW w:w="1900" w:type="dxa"/>
            <w:vAlign w:val="bottom"/>
          </w:tcPr>
          <w:p>
            <w:pPr>
              <w:jc w:val="center"/>
              <w:ind w:right="270"/>
              <w:spacing w:after="0"/>
              <w:rPr>
                <w:sz w:val="20"/>
                <w:szCs w:val="20"/>
                <w:color w:val="auto"/>
              </w:rPr>
            </w:pPr>
            <w:r>
              <w:rPr>
                <w:rFonts w:ascii="Arial" w:cs="Arial" w:eastAsia="Arial" w:hAnsi="Arial"/>
                <w:sz w:val="18"/>
                <w:szCs w:val="18"/>
                <w:color w:val="auto"/>
              </w:rPr>
              <w:t>cast</w:t>
            </w: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53"/>
        </w:trPr>
        <w:tc>
          <w:tcPr>
            <w:tcW w:w="1900" w:type="dxa"/>
            <w:vAlign w:val="bottom"/>
          </w:tcPr>
          <w:p>
            <w:pPr>
              <w:jc w:val="center"/>
              <w:ind w:right="270"/>
              <w:spacing w:after="0"/>
              <w:rPr>
                <w:sz w:val="20"/>
                <w:szCs w:val="20"/>
                <w:color w:val="auto"/>
              </w:rPr>
            </w:pPr>
            <w:r>
              <w:rPr>
                <w:rFonts w:ascii="Arial" w:cs="Arial" w:eastAsia="Arial" w:hAnsi="Arial"/>
                <w:sz w:val="18"/>
                <w:szCs w:val="18"/>
                <w:color w:val="auto"/>
                <w:w w:val="99"/>
              </w:rPr>
              <w:t>80% of outstanding</w:t>
            </w:r>
          </w:p>
        </w:tc>
        <w:tc>
          <w:tcPr>
            <w:tcW w:w="1700" w:type="dxa"/>
            <w:vAlign w:val="bottom"/>
          </w:tcPr>
          <w:p>
            <w:pPr>
              <w:ind w:left="380"/>
              <w:spacing w:after="0"/>
              <w:rPr>
                <w:sz w:val="20"/>
                <w:szCs w:val="20"/>
                <w:color w:val="auto"/>
              </w:rPr>
            </w:pPr>
            <w:r>
              <w:rPr>
                <w:rFonts w:ascii="Arial" w:cs="Arial" w:eastAsia="Arial" w:hAnsi="Arial"/>
                <w:sz w:val="18"/>
                <w:szCs w:val="18"/>
                <w:color w:val="auto"/>
              </w:rPr>
              <w:t>FOR</w:t>
            </w: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89"/>
              </w:rPr>
              <w:t>79</w:t>
            </w:r>
          </w:p>
        </w:tc>
      </w:tr>
      <w:tr>
        <w:trPr>
          <w:trHeight w:val="240"/>
        </w:trPr>
        <w:tc>
          <w:tcPr>
            <w:tcW w:w="1900" w:type="dxa"/>
            <w:vAlign w:val="bottom"/>
          </w:tcPr>
          <w:p>
            <w:pPr>
              <w:jc w:val="center"/>
              <w:ind w:right="270"/>
              <w:spacing w:after="0"/>
              <w:rPr>
                <w:sz w:val="20"/>
                <w:szCs w:val="20"/>
                <w:color w:val="auto"/>
              </w:rPr>
            </w:pPr>
            <w:r>
              <w:rPr>
                <w:rFonts w:ascii="Arial" w:cs="Arial" w:eastAsia="Arial" w:hAnsi="Arial"/>
                <w:sz w:val="18"/>
                <w:szCs w:val="18"/>
                <w:color w:val="auto"/>
                <w:w w:val="99"/>
              </w:rPr>
              <w:t>shares</w:t>
            </w: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617"/>
        </w:trPr>
        <w:tc>
          <w:tcPr>
            <w:tcW w:w="1900" w:type="dxa"/>
            <w:vAlign w:val="bottom"/>
          </w:tcPr>
          <w:p>
            <w:pPr>
              <w:jc w:val="center"/>
              <w:ind w:right="270"/>
              <w:spacing w:after="0"/>
              <w:rPr>
                <w:sz w:val="20"/>
                <w:szCs w:val="20"/>
                <w:color w:val="auto"/>
              </w:rPr>
            </w:pPr>
            <w:r>
              <w:rPr>
                <w:rFonts w:ascii="Arial" w:cs="Arial" w:eastAsia="Arial" w:hAnsi="Arial"/>
                <w:sz w:val="18"/>
                <w:szCs w:val="18"/>
                <w:color w:val="auto"/>
                <w:w w:val="99"/>
              </w:rPr>
              <w:t>80% of outstanding</w:t>
            </w:r>
          </w:p>
        </w:tc>
        <w:tc>
          <w:tcPr>
            <w:tcW w:w="1700" w:type="dxa"/>
            <w:vAlign w:val="bottom"/>
          </w:tcPr>
          <w:p>
            <w:pPr>
              <w:ind w:left="380"/>
              <w:spacing w:after="0"/>
              <w:rPr>
                <w:sz w:val="20"/>
                <w:szCs w:val="20"/>
                <w:color w:val="auto"/>
              </w:rPr>
            </w:pPr>
            <w:r>
              <w:rPr>
                <w:rFonts w:ascii="Arial" w:cs="Arial" w:eastAsia="Arial" w:hAnsi="Arial"/>
                <w:sz w:val="18"/>
                <w:szCs w:val="18"/>
                <w:color w:val="auto"/>
              </w:rPr>
              <w:t>FOR</w:t>
            </w: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89"/>
              </w:rPr>
              <w:t>80</w:t>
            </w:r>
          </w:p>
        </w:tc>
      </w:tr>
      <w:tr>
        <w:trPr>
          <w:trHeight w:val="240"/>
        </w:trPr>
        <w:tc>
          <w:tcPr>
            <w:tcW w:w="1900" w:type="dxa"/>
            <w:vAlign w:val="bottom"/>
          </w:tcPr>
          <w:p>
            <w:pPr>
              <w:jc w:val="center"/>
              <w:ind w:right="270"/>
              <w:spacing w:after="0"/>
              <w:rPr>
                <w:sz w:val="20"/>
                <w:szCs w:val="20"/>
                <w:color w:val="auto"/>
              </w:rPr>
            </w:pPr>
            <w:r>
              <w:rPr>
                <w:rFonts w:ascii="Arial" w:cs="Arial" w:eastAsia="Arial" w:hAnsi="Arial"/>
                <w:sz w:val="18"/>
                <w:szCs w:val="18"/>
                <w:color w:val="auto"/>
                <w:w w:val="99"/>
              </w:rPr>
              <w:t>shares</w:t>
            </w: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r>
    </w:tbl>
    <w:p>
      <w:pPr>
        <w:spacing w:after="0" w:line="255" w:lineRule="exact"/>
        <w:rPr>
          <w:sz w:val="20"/>
          <w:szCs w:val="20"/>
          <w:color w:val="auto"/>
        </w:rPr>
      </w:pPr>
    </w:p>
    <w:p>
      <w:pPr>
        <w:sectPr>
          <w:pgSz w:w="11900" w:h="16838" w:orient="portrait"/>
          <w:cols w:equalWidth="0" w:num="2">
            <w:col w:w="4740" w:space="260"/>
            <w:col w:w="6100"/>
          </w:cols>
          <w:pgMar w:left="320" w:top="1093" w:right="479" w:bottom="1440" w:gutter="0" w:footer="0" w:header="0"/>
          <w:type w:val="continuous"/>
        </w:sectPr>
      </w:pPr>
    </w:p>
    <w:p>
      <w:pPr>
        <w:spacing w:after="0" w:line="200" w:lineRule="exact"/>
        <w:rPr>
          <w:sz w:val="20"/>
          <w:szCs w:val="20"/>
          <w:color w:val="auto"/>
        </w:rPr>
      </w:pPr>
    </w:p>
    <w:p>
      <w:pPr>
        <w:spacing w:after="0" w:line="242"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093" w:right="47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52"/>
          <w:szCs w:val="52"/>
          <w:b w:val="1"/>
          <w:bCs w:val="1"/>
          <w:color w:val="auto"/>
        </w:rPr>
        <w:t>Governance</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32"/>
          <w:szCs w:val="32"/>
          <w:b w:val="1"/>
          <w:bCs w:val="1"/>
          <w:color w:val="D52B1E"/>
        </w:rPr>
        <w:t>How We Build an Effective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205740</wp:posOffset>
            </wp:positionV>
            <wp:extent cx="2811780" cy="18859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811780" cy="1885950"/>
                    </a:xfrm>
                    <a:prstGeom prst="rect">
                      <a:avLst/>
                    </a:prstGeom>
                    <a:noFill/>
                  </pic:spPr>
                </pic:pic>
              </a:graphicData>
            </a:graphic>
          </wp:anchor>
        </w:drawing>
      </w:r>
    </w:p>
    <w:p>
      <w:pPr>
        <w:spacing w:after="0" w:line="393" w:lineRule="exact"/>
        <w:rPr>
          <w:sz w:val="20"/>
          <w:szCs w:val="20"/>
          <w:color w:val="auto"/>
        </w:rPr>
      </w:pPr>
    </w:p>
    <w:p>
      <w:pPr>
        <w:ind w:left="20" w:right="6700"/>
        <w:spacing w:after="0" w:line="253" w:lineRule="auto"/>
        <w:rPr>
          <w:sz w:val="20"/>
          <w:szCs w:val="20"/>
          <w:color w:val="auto"/>
        </w:rPr>
      </w:pPr>
      <w:r>
        <w:rPr>
          <w:rFonts w:ascii="Arial" w:cs="Arial" w:eastAsia="Arial" w:hAnsi="Arial"/>
          <w:sz w:val="18"/>
          <w:szCs w:val="18"/>
          <w:color w:val="auto"/>
        </w:rPr>
        <w:t>Our directors are elected by the company’s shareholders to oversee the actions and results of the company’s management. The Directors and Corporate Governance Committee, which is chaired by the lead independent director, regularly assesses the effectiveness of the board to ensure that directors reflect the skill sets, experiences, diverse viewpoints and characteristics necessary to oversee our complex and evolving business. Execution of our robust assessment and refreshment process, guided by key governance guidelines, has resulted in a mix of directors that balances experienced institutional knowledge and fresh perspectives, and reflects a broad range of backgrounds and viewpoints.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5"/>
          <w:szCs w:val="25"/>
          <w:b w:val="1"/>
          <w:bCs w:val="1"/>
          <w:color w:val="00A1DE"/>
        </w:rPr>
        <w:t>Director Qualifications</w:t>
      </w:r>
    </w:p>
    <w:p>
      <w:pPr>
        <w:spacing w:after="0" w:line="235" w:lineRule="exact"/>
        <w:rPr>
          <w:sz w:val="20"/>
          <w:szCs w:val="20"/>
          <w:color w:val="auto"/>
        </w:rPr>
      </w:pPr>
    </w:p>
    <w:p>
      <w:pPr>
        <w:ind w:right="400"/>
        <w:spacing w:after="0" w:line="233" w:lineRule="auto"/>
        <w:rPr>
          <w:sz w:val="20"/>
          <w:szCs w:val="20"/>
          <w:color w:val="auto"/>
        </w:rPr>
      </w:pPr>
      <w:r>
        <w:rPr>
          <w:rFonts w:ascii="Arial" w:cs="Arial" w:eastAsia="Arial" w:hAnsi="Arial"/>
          <w:sz w:val="22"/>
          <w:szCs w:val="22"/>
          <w:b w:val="1"/>
          <w:bCs w:val="1"/>
          <w:color w:val="auto"/>
        </w:rPr>
        <w:t xml:space="preserve">Character: </w:t>
      </w:r>
      <w:r>
        <w:rPr>
          <w:rFonts w:ascii="Arial" w:cs="Arial" w:eastAsia="Arial" w:hAnsi="Arial"/>
          <w:sz w:val="17"/>
          <w:szCs w:val="17"/>
          <w:color w:val="auto"/>
        </w:rPr>
        <w:t>Our board members should possess the personal attributes necessary to be an effective director, including unquestioned</w:t>
      </w:r>
      <w:r>
        <w:rPr>
          <w:rFonts w:ascii="Arial" w:cs="Arial" w:eastAsia="Arial" w:hAnsi="Arial"/>
          <w:sz w:val="22"/>
          <w:szCs w:val="22"/>
          <w:b w:val="1"/>
          <w:bCs w:val="1"/>
          <w:color w:val="auto"/>
        </w:rPr>
        <w:t xml:space="preserve"> </w:t>
      </w:r>
      <w:r>
        <w:rPr>
          <w:rFonts w:ascii="Arial" w:cs="Arial" w:eastAsia="Arial" w:hAnsi="Arial"/>
          <w:sz w:val="17"/>
          <w:szCs w:val="17"/>
          <w:color w:val="auto"/>
        </w:rPr>
        <w:t>integrity, sound judgment, a collaborative spirit, and commitment to our company, our shareholders, and other constituencies.</w:t>
      </w:r>
    </w:p>
    <w:p>
      <w:pPr>
        <w:spacing w:after="0" w:line="197" w:lineRule="exact"/>
        <w:rPr>
          <w:sz w:val="20"/>
          <w:szCs w:val="20"/>
          <w:color w:val="auto"/>
        </w:rPr>
      </w:pPr>
    </w:p>
    <w:p>
      <w:pPr>
        <w:spacing w:after="0" w:line="270" w:lineRule="auto"/>
        <w:rPr>
          <w:sz w:val="20"/>
          <w:szCs w:val="20"/>
          <w:color w:val="auto"/>
        </w:rPr>
      </w:pPr>
      <w:r>
        <w:rPr>
          <w:rFonts w:ascii="Arial" w:cs="Arial" w:eastAsia="Arial" w:hAnsi="Arial"/>
          <w:sz w:val="22"/>
          <w:szCs w:val="22"/>
          <w:b w:val="1"/>
          <w:bCs w:val="1"/>
          <w:color w:val="auto"/>
        </w:rPr>
        <w:t xml:space="preserve">Independence: </w:t>
      </w:r>
      <w:r>
        <w:rPr>
          <w:rFonts w:ascii="Arial" w:cs="Arial" w:eastAsia="Arial" w:hAnsi="Arial"/>
          <w:sz w:val="17"/>
          <w:szCs w:val="17"/>
          <w:color w:val="auto"/>
        </w:rPr>
        <w:t>We believe there should always be a substantial majority (75 percent or more) of independent directors on the board.</w:t>
      </w:r>
      <w:r>
        <w:rPr>
          <w:rFonts w:ascii="Arial" w:cs="Arial" w:eastAsia="Arial" w:hAnsi="Arial"/>
          <w:sz w:val="22"/>
          <w:szCs w:val="22"/>
          <w:b w:val="1"/>
          <w:bCs w:val="1"/>
          <w:color w:val="auto"/>
        </w:rPr>
        <w:t xml:space="preserve"> </w:t>
      </w:r>
      <w:r>
        <w:rPr>
          <w:rFonts w:ascii="Arial" w:cs="Arial" w:eastAsia="Arial" w:hAnsi="Arial"/>
          <w:sz w:val="17"/>
          <w:szCs w:val="17"/>
          <w:color w:val="auto"/>
        </w:rPr>
        <w:t>The board annually determines the independence of directors based on a review and recommendation by the Directors and Corporate Governance Committee. No director is considered independent unless the board has affirmatively determined that he or she has no material relationship with the company, either directly or as a partner, shareholder, or officer of an organization that has a relationship with the company. In assessing whether a director has no material relationship with Lilly, the board of directors also considers any persons or organizations with which the director has an affiliation. Material relationships can include commercial, industrial, banking, consulting, legal, accounting, charitable, and familial relationships, among others. To evaluate the materiality of any such relationship, the board has adopted categorical independence standards consistent with the New York Stock Exchange (NYSE) listing standards.</w:t>
      </w:r>
    </w:p>
    <w:p>
      <w:pPr>
        <w:spacing w:after="0" w:line="116"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 xml:space="preserve">Lilly’s process for determining director independence is set forth in our Standards for Director Independence, which can be found on our website at </w:t>
      </w:r>
      <w:r>
        <w:rPr>
          <w:rFonts w:ascii="Arial" w:cs="Arial" w:eastAsia="Arial" w:hAnsi="Arial"/>
          <w:sz w:val="18"/>
          <w:szCs w:val="18"/>
          <w:color w:val="D52B1E"/>
        </w:rPr>
        <w:t>lilly.com/leadership/governance</w:t>
      </w:r>
      <w:r>
        <w:rPr>
          <w:rFonts w:ascii="Arial" w:cs="Arial" w:eastAsia="Arial" w:hAnsi="Arial"/>
          <w:sz w:val="18"/>
          <w:szCs w:val="18"/>
          <w:color w:val="auto"/>
        </w:rPr>
        <w:t>, along with our corporate governance guidelines.</w:t>
      </w:r>
    </w:p>
    <w:p>
      <w:pPr>
        <w:spacing w:after="0" w:line="99"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auto"/>
        </w:rPr>
        <w:t>On the recommendation of the Directors and Corporate Governance Committee, the board determined that each current non-employee director is independent and that the members of our Audit and Talent and Compensation Committees meet the heightened independence standards applicable to those committees. The board determined that none of the current non-employee directors has had during the last three years (i) any of the relationships identified in the company’s categorical independence standards or (ii) any other material relationship with the company that would compromise his or her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115570</wp:posOffset>
            </wp:positionV>
            <wp:extent cx="1705610" cy="12515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705610" cy="1251585"/>
                    </a:xfrm>
                    <a:prstGeom prst="rect">
                      <a:avLst/>
                    </a:prstGeom>
                    <a:noFill/>
                  </pic:spPr>
                </pic:pic>
              </a:graphicData>
            </a:graphic>
          </wp:anchor>
        </w:drawing>
      </w:r>
    </w:p>
    <w:p>
      <w:pPr>
        <w:spacing w:after="0" w:line="211" w:lineRule="exact"/>
        <w:rPr>
          <w:sz w:val="20"/>
          <w:szCs w:val="20"/>
          <w:color w:val="auto"/>
        </w:rPr>
      </w:pPr>
    </w:p>
    <w:p>
      <w:pPr>
        <w:ind w:left="2640" w:right="2180"/>
        <w:spacing w:after="0" w:line="255" w:lineRule="auto"/>
        <w:rPr>
          <w:sz w:val="20"/>
          <w:szCs w:val="20"/>
          <w:color w:val="auto"/>
        </w:rPr>
      </w:pPr>
      <w:r>
        <w:rPr>
          <w:rFonts w:ascii="Arial" w:cs="Arial" w:eastAsia="Arial" w:hAnsi="Arial"/>
          <w:sz w:val="18"/>
          <w:szCs w:val="18"/>
          <w:color w:val="auto"/>
        </w:rPr>
        <w:t>In addition, the board considered that some of the current non-employee directors are affiliated with companies or entities to which the company sold products or made payments, or from which the company purchased products or services during the year. Drs. Baicker, Kaelin and Hedley are employed at medical or academic institutions with which the company engages in clinical research, provides research grants, and/or engages in commercial transactions in the ordinary course of business. Mr. Luciano is employed by Archer-Daniels-Midland Company and Mr. Fyrwald is employed by International Flavors &amp; Fragrances Inc.</w:t>
      </w:r>
    </w:p>
    <w:p>
      <w:pPr>
        <w:sectPr>
          <w:pgSz w:w="11900" w:h="16838" w:orient="portrait"/>
          <w:cols w:equalWidth="0" w:num="1">
            <w:col w:w="11140"/>
          </w:cols>
          <w:pgMar w:left="320" w:top="1233" w:right="439" w:bottom="1440" w:gutter="0" w:footer="0" w:header="0"/>
        </w:sectPr>
      </w:pPr>
    </w:p>
    <w:p>
      <w:pPr>
        <w:spacing w:after="0" w:line="200" w:lineRule="exact"/>
        <w:rPr>
          <w:sz w:val="20"/>
          <w:szCs w:val="20"/>
          <w:color w:val="auto"/>
        </w:rPr>
      </w:pPr>
    </w:p>
    <w:p>
      <w:pPr>
        <w:spacing w:after="0" w:line="364"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154940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33" w:right="439" w:bottom="1440" w:gutter="0" w:footer="0" w:header="0"/>
          <w:type w:val="continuous"/>
        </w:sectPr>
      </w:pPr>
    </w:p>
    <w:bookmarkStart w:id="15" w:name="page16"/>
    <w:bookmarkEnd w:id="15"/>
    <w:p>
      <w:pPr>
        <w:spacing w:after="0" w:line="253" w:lineRule="auto"/>
        <w:rPr>
          <w:sz w:val="20"/>
          <w:szCs w:val="20"/>
          <w:color w:val="auto"/>
        </w:rPr>
      </w:pPr>
      <w:r>
        <w:rPr>
          <w:rFonts w:ascii="Arial" w:cs="Arial" w:eastAsia="Arial" w:hAnsi="Arial"/>
          <w:sz w:val="18"/>
          <w:szCs w:val="18"/>
          <w:color w:val="auto"/>
        </w:rPr>
        <w:t>The company engages in routine business transactions with these organizations. Aggregate payments to or from each such organization, in each of the last three fiscal years, did not exceed the greater of $1 million or 2 percent of that organization’s consolidated gross revenues in a single fiscal year. In reviewing these relationships, the board considered all relevant factors, including:</w:t>
      </w:r>
    </w:p>
    <w:p>
      <w:pPr>
        <w:spacing w:after="0" w:line="74" w:lineRule="exact"/>
        <w:rPr>
          <w:sz w:val="20"/>
          <w:szCs w:val="20"/>
          <w:color w:val="auto"/>
        </w:rPr>
      </w:pPr>
    </w:p>
    <w:p>
      <w:pPr>
        <w:ind w:left="660" w:right="380" w:hanging="328"/>
        <w:spacing w:after="0" w:line="281" w:lineRule="auto"/>
        <w:tabs>
          <w:tab w:leader="none" w:pos="649" w:val="left"/>
        </w:tabs>
        <w:numPr>
          <w:ilvl w:val="0"/>
          <w:numId w:val="16"/>
        </w:numPr>
        <w:rPr>
          <w:rFonts w:ascii="Arial" w:cs="Arial" w:eastAsia="Arial" w:hAnsi="Arial"/>
          <w:sz w:val="16"/>
          <w:szCs w:val="16"/>
          <w:color w:val="auto"/>
        </w:rPr>
      </w:pPr>
      <w:r>
        <w:rPr>
          <w:rFonts w:ascii="Arial" w:cs="Arial" w:eastAsia="Arial" w:hAnsi="Arial"/>
          <w:sz w:val="18"/>
          <w:szCs w:val="18"/>
          <w:color w:val="auto"/>
        </w:rPr>
        <w:t>whether transactions were entered into at arm’s length in the normal course of business and, to the extent they were commercial relationships, had standard commercial terms; and</w:t>
      </w:r>
    </w:p>
    <w:p>
      <w:pPr>
        <w:spacing w:after="0" w:line="1" w:lineRule="exact"/>
        <w:rPr>
          <w:rFonts w:ascii="Arial" w:cs="Arial" w:eastAsia="Arial" w:hAnsi="Arial"/>
          <w:sz w:val="16"/>
          <w:szCs w:val="16"/>
          <w:color w:val="auto"/>
        </w:rPr>
      </w:pPr>
    </w:p>
    <w:p>
      <w:pPr>
        <w:ind w:left="660" w:right="460" w:hanging="328"/>
        <w:spacing w:after="0" w:line="287" w:lineRule="auto"/>
        <w:tabs>
          <w:tab w:leader="none" w:pos="649" w:val="left"/>
        </w:tabs>
        <w:numPr>
          <w:ilvl w:val="0"/>
          <w:numId w:val="16"/>
        </w:numPr>
        <w:rPr>
          <w:rFonts w:ascii="Arial" w:cs="Arial" w:eastAsia="Arial" w:hAnsi="Arial"/>
          <w:sz w:val="16"/>
          <w:szCs w:val="16"/>
          <w:color w:val="auto"/>
        </w:rPr>
      </w:pPr>
      <w:r>
        <w:rPr>
          <w:rFonts w:ascii="Arial" w:cs="Arial" w:eastAsia="Arial" w:hAnsi="Arial"/>
          <w:sz w:val="18"/>
          <w:szCs w:val="18"/>
          <w:color w:val="auto"/>
        </w:rPr>
        <w:t>whether any director had any direct business relationships with the company or received any direct personal benefit from any of these transactions, relationships, or arrangements.</w:t>
      </w:r>
    </w:p>
    <w:p>
      <w:pPr>
        <w:spacing w:after="0" w:line="157" w:lineRule="exact"/>
        <w:rPr>
          <w:sz w:val="20"/>
          <w:szCs w:val="20"/>
          <w:color w:val="auto"/>
        </w:rPr>
      </w:pPr>
    </w:p>
    <w:p>
      <w:pPr>
        <w:ind w:right="200"/>
        <w:spacing w:after="0" w:line="249" w:lineRule="auto"/>
        <w:rPr>
          <w:sz w:val="20"/>
          <w:szCs w:val="20"/>
          <w:color w:val="auto"/>
        </w:rPr>
      </w:pPr>
      <w:r>
        <w:rPr>
          <w:rFonts w:ascii="Arial" w:cs="Arial" w:eastAsia="Arial" w:hAnsi="Arial"/>
          <w:sz w:val="22"/>
          <w:szCs w:val="22"/>
          <w:b w:val="1"/>
          <w:bCs w:val="1"/>
          <w:color w:val="auto"/>
        </w:rPr>
        <w:t xml:space="preserve">Diversity of Experience: </w:t>
      </w:r>
      <w:r>
        <w:rPr>
          <w:rFonts w:ascii="Arial" w:cs="Arial" w:eastAsia="Arial" w:hAnsi="Arial"/>
          <w:sz w:val="17"/>
          <w:szCs w:val="17"/>
          <w:color w:val="auto"/>
        </w:rPr>
        <w:t>The board does not have specific diversity goals or a standalone diversity policy. The board seeks director</w:t>
      </w:r>
      <w:r>
        <w:rPr>
          <w:rFonts w:ascii="Arial" w:cs="Arial" w:eastAsia="Arial" w:hAnsi="Arial"/>
          <w:sz w:val="22"/>
          <w:szCs w:val="22"/>
          <w:b w:val="1"/>
          <w:bCs w:val="1"/>
          <w:color w:val="auto"/>
        </w:rPr>
        <w:t xml:space="preserve"> </w:t>
      </w:r>
      <w:r>
        <w:rPr>
          <w:rFonts w:ascii="Arial" w:cs="Arial" w:eastAsia="Arial" w:hAnsi="Arial"/>
          <w:sz w:val="17"/>
          <w:szCs w:val="17"/>
          <w:color w:val="auto"/>
        </w:rPr>
        <w:t>candidates who represent a mix of backgrounds and experiences that will enhance the quality of the board’s deliberations and decisions. Such candidates are expected to have substantial experience with one or more publicly traded national or multinational companies or have achieved a high level of distinction in their chosen 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922020</wp:posOffset>
            </wp:positionH>
            <wp:positionV relativeFrom="paragraph">
              <wp:posOffset>10160</wp:posOffset>
            </wp:positionV>
            <wp:extent cx="1311275" cy="9512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311275" cy="95123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tbl>
      <w:tblPr>
        <w:tblLayout w:type="fixed"/>
        <w:tblInd w:w="60" w:type="dxa"/>
        <w:tblCellMar>
          <w:top w:w="0" w:type="dxa"/>
          <w:left w:w="0" w:type="dxa"/>
          <w:bottom w:w="0" w:type="dxa"/>
          <w:right w:w="0" w:type="dxa"/>
        </w:tblCellMar>
      </w:tblPr>
      <w:tr>
        <w:trPr>
          <w:trHeight w:val="253"/>
        </w:trPr>
        <w:tc>
          <w:tcPr>
            <w:tcW w:w="2480" w:type="dxa"/>
            <w:vAlign w:val="bottom"/>
          </w:tcPr>
          <w:p>
            <w:pPr>
              <w:jc w:val="center"/>
              <w:ind w:right="1070"/>
              <w:spacing w:after="0"/>
              <w:rPr>
                <w:sz w:val="20"/>
                <w:szCs w:val="20"/>
                <w:color w:val="auto"/>
              </w:rPr>
            </w:pPr>
            <w:r>
              <w:rPr>
                <w:rFonts w:ascii="Arial" w:cs="Arial" w:eastAsia="Arial" w:hAnsi="Arial"/>
                <w:sz w:val="18"/>
                <w:szCs w:val="18"/>
                <w:b w:val="1"/>
                <w:bCs w:val="1"/>
                <w:color w:val="D52B1E"/>
                <w:w w:val="99"/>
              </w:rPr>
              <w:t>9 Years</w:t>
            </w:r>
          </w:p>
        </w:tc>
        <w:tc>
          <w:tcPr>
            <w:tcW w:w="6480" w:type="dxa"/>
            <w:vAlign w:val="bottom"/>
          </w:tcPr>
          <w:p>
            <w:pPr>
              <w:ind w:left="1160"/>
              <w:spacing w:after="0"/>
              <w:rPr>
                <w:sz w:val="20"/>
                <w:szCs w:val="20"/>
                <w:color w:val="auto"/>
              </w:rPr>
            </w:pPr>
            <w:r>
              <w:rPr>
                <w:rFonts w:ascii="Arial" w:cs="Arial" w:eastAsia="Arial" w:hAnsi="Arial"/>
                <w:sz w:val="22"/>
                <w:szCs w:val="22"/>
                <w:b w:val="1"/>
                <w:bCs w:val="1"/>
                <w:color w:val="auto"/>
              </w:rPr>
              <w:t xml:space="preserve">Tenure: </w:t>
            </w:r>
            <w:r>
              <w:rPr>
                <w:rFonts w:ascii="Arial" w:cs="Arial" w:eastAsia="Arial" w:hAnsi="Arial"/>
                <w:sz w:val="17"/>
                <w:szCs w:val="17"/>
                <w:color w:val="auto"/>
              </w:rPr>
              <w:t>Our director composition reflects a mix of tenure on the</w:t>
            </w:r>
          </w:p>
        </w:tc>
      </w:tr>
      <w:tr>
        <w:trPr>
          <w:trHeight w:val="216"/>
        </w:trPr>
        <w:tc>
          <w:tcPr>
            <w:tcW w:w="2480" w:type="dxa"/>
            <w:vAlign w:val="bottom"/>
          </w:tcPr>
          <w:p>
            <w:pPr>
              <w:jc w:val="center"/>
              <w:ind w:right="1050"/>
              <w:spacing w:after="0"/>
              <w:rPr>
                <w:sz w:val="20"/>
                <w:szCs w:val="20"/>
                <w:color w:val="auto"/>
              </w:rPr>
            </w:pPr>
            <w:r>
              <w:rPr>
                <w:rFonts w:ascii="Arial" w:cs="Arial" w:eastAsia="Arial" w:hAnsi="Arial"/>
                <w:sz w:val="18"/>
                <w:szCs w:val="18"/>
                <w:b w:val="1"/>
                <w:bCs w:val="1"/>
                <w:color w:val="auto"/>
                <w:w w:val="98"/>
              </w:rPr>
              <w:t>Average</w:t>
            </w:r>
          </w:p>
        </w:tc>
        <w:tc>
          <w:tcPr>
            <w:tcW w:w="6480" w:type="dxa"/>
            <w:vAlign w:val="bottom"/>
          </w:tcPr>
          <w:p>
            <w:pPr>
              <w:ind w:left="1160"/>
              <w:spacing w:after="0"/>
              <w:rPr>
                <w:sz w:val="20"/>
                <w:szCs w:val="20"/>
                <w:color w:val="auto"/>
              </w:rPr>
            </w:pPr>
            <w:r>
              <w:rPr>
                <w:rFonts w:ascii="Arial" w:cs="Arial" w:eastAsia="Arial" w:hAnsi="Arial"/>
                <w:sz w:val="18"/>
                <w:szCs w:val="18"/>
                <w:color w:val="auto"/>
                <w:w w:val="99"/>
              </w:rPr>
              <w:t>board, which provides an effective balance of historical perspective</w:t>
            </w:r>
          </w:p>
        </w:tc>
      </w:tr>
      <w:tr>
        <w:trPr>
          <w:trHeight w:val="229"/>
        </w:trPr>
        <w:tc>
          <w:tcPr>
            <w:tcW w:w="2480" w:type="dxa"/>
            <w:vAlign w:val="bottom"/>
          </w:tcPr>
          <w:p>
            <w:pPr>
              <w:jc w:val="center"/>
              <w:ind w:right="1070"/>
              <w:spacing w:after="0"/>
              <w:rPr>
                <w:sz w:val="20"/>
                <w:szCs w:val="20"/>
                <w:color w:val="auto"/>
              </w:rPr>
            </w:pPr>
            <w:r>
              <w:rPr>
                <w:rFonts w:ascii="Arial" w:cs="Arial" w:eastAsia="Arial" w:hAnsi="Arial"/>
                <w:sz w:val="18"/>
                <w:szCs w:val="18"/>
                <w:b w:val="1"/>
                <w:bCs w:val="1"/>
                <w:color w:val="auto"/>
                <w:w w:val="98"/>
              </w:rPr>
              <w:t>Director Tenure</w:t>
            </w:r>
          </w:p>
        </w:tc>
        <w:tc>
          <w:tcPr>
            <w:tcW w:w="6480" w:type="dxa"/>
            <w:vAlign w:val="bottom"/>
          </w:tcPr>
          <w:p>
            <w:pPr>
              <w:ind w:left="1160"/>
              <w:spacing w:after="0"/>
              <w:rPr>
                <w:sz w:val="20"/>
                <w:szCs w:val="20"/>
                <w:color w:val="auto"/>
              </w:rPr>
            </w:pPr>
            <w:r>
              <w:rPr>
                <w:rFonts w:ascii="Arial" w:cs="Arial" w:eastAsia="Arial" w:hAnsi="Arial"/>
                <w:sz w:val="18"/>
                <w:szCs w:val="18"/>
                <w:color w:val="auto"/>
              </w:rPr>
              <w:t>and an understanding of the evolution of our business with fresh</w:t>
            </w:r>
          </w:p>
        </w:tc>
      </w:tr>
      <w:tr>
        <w:trPr>
          <w:trHeight w:val="239"/>
        </w:trPr>
        <w:tc>
          <w:tcPr>
            <w:tcW w:w="2480" w:type="dxa"/>
            <w:vAlign w:val="bottom"/>
          </w:tcPr>
          <w:p>
            <w:pPr>
              <w:spacing w:after="0"/>
              <w:rPr>
                <w:sz w:val="20"/>
                <w:szCs w:val="20"/>
                <w:color w:val="auto"/>
              </w:rPr>
            </w:pPr>
          </w:p>
        </w:tc>
        <w:tc>
          <w:tcPr>
            <w:tcW w:w="6480" w:type="dxa"/>
            <w:vAlign w:val="bottom"/>
          </w:tcPr>
          <w:p>
            <w:pPr>
              <w:ind w:left="1160"/>
              <w:spacing w:after="0"/>
              <w:rPr>
                <w:sz w:val="20"/>
                <w:szCs w:val="20"/>
                <w:color w:val="auto"/>
              </w:rPr>
            </w:pPr>
            <w:r>
              <w:rPr>
                <w:rFonts w:ascii="Arial" w:cs="Arial" w:eastAsia="Arial" w:hAnsi="Arial"/>
                <w:sz w:val="18"/>
                <w:szCs w:val="18"/>
                <w:color w:val="auto"/>
              </w:rPr>
              <w:t>perspectives and insights.</w:t>
            </w:r>
          </w:p>
        </w:tc>
      </w:tr>
    </w:tbl>
    <w:p>
      <w:pPr>
        <w:spacing w:after="0" w:line="373" w:lineRule="exact"/>
        <w:rPr>
          <w:sz w:val="20"/>
          <w:szCs w:val="20"/>
          <w:color w:val="auto"/>
        </w:rPr>
      </w:pPr>
    </w:p>
    <w:p>
      <w:pPr>
        <w:ind w:left="640"/>
        <w:spacing w:after="0"/>
        <w:rPr>
          <w:sz w:val="20"/>
          <w:szCs w:val="20"/>
          <w:color w:val="auto"/>
        </w:rPr>
      </w:pPr>
      <w:r>
        <w:rPr>
          <w:rFonts w:ascii="Arial" w:cs="Arial" w:eastAsia="Arial" w:hAnsi="Arial"/>
          <w:sz w:val="22"/>
          <w:szCs w:val="22"/>
          <w:b w:val="1"/>
          <w:bCs w:val="1"/>
          <w:color w:val="D52B1E"/>
        </w:rPr>
        <w:t>Director Governance Spotlight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5768975" cy="37287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768975" cy="3728720"/>
                    </a:xfrm>
                    <a:prstGeom prst="rect">
                      <a:avLst/>
                    </a:prstGeom>
                    <a:noFill/>
                  </pic:spPr>
                </pic:pic>
              </a:graphicData>
            </a:graphic>
          </wp:anchor>
        </w:drawing>
      </w:r>
    </w:p>
    <w:p>
      <w:pPr>
        <w:spacing w:after="0" w:line="79" w:lineRule="exact"/>
        <w:rPr>
          <w:sz w:val="20"/>
          <w:szCs w:val="20"/>
          <w:color w:val="auto"/>
        </w:rPr>
      </w:pPr>
    </w:p>
    <w:p>
      <w:pPr>
        <w:ind w:left="640" w:right="2460" w:hanging="333"/>
        <w:spacing w:after="0" w:line="213" w:lineRule="auto"/>
        <w:tabs>
          <w:tab w:leader="none" w:pos="640" w:val="left"/>
        </w:tabs>
        <w:numPr>
          <w:ilvl w:val="0"/>
          <w:numId w:val="17"/>
        </w:numPr>
        <w:rPr>
          <w:rFonts w:ascii="Wingdings" w:cs="Wingdings" w:eastAsia="Wingdings" w:hAnsi="Wingdings"/>
          <w:sz w:val="25"/>
          <w:szCs w:val="25"/>
          <w:b w:val="1"/>
          <w:bCs w:val="1"/>
          <w:color w:val="auto"/>
          <w:shd w:val="clear" w:color="auto" w:fill="00A1DE"/>
        </w:rPr>
      </w:pPr>
      <w:r>
        <w:rPr>
          <w:rFonts w:ascii="Arial" w:cs="Arial" w:eastAsia="Arial" w:hAnsi="Arial"/>
          <w:sz w:val="19"/>
          <w:szCs w:val="19"/>
          <w:b w:val="1"/>
          <w:bCs w:val="1"/>
          <w:color w:val="auto"/>
        </w:rPr>
        <w:t xml:space="preserve">Resignation Policy </w:t>
      </w:r>
      <w:r>
        <w:rPr>
          <w:rFonts w:ascii="Arial" w:cs="Arial" w:eastAsia="Arial" w:hAnsi="Arial"/>
          <w:sz w:val="17"/>
          <w:szCs w:val="17"/>
          <w:color w:val="auto"/>
        </w:rPr>
        <w:t>- In an uncontested election, directors are elected by a majority of votes cast. An</w:t>
      </w:r>
      <w:r>
        <w:rPr>
          <w:rFonts w:ascii="Arial" w:cs="Arial" w:eastAsia="Arial" w:hAnsi="Arial"/>
          <w:sz w:val="19"/>
          <w:szCs w:val="19"/>
          <w:b w:val="1"/>
          <w:bCs w:val="1"/>
          <w:color w:val="auto"/>
        </w:rPr>
        <w:t xml:space="preserve"> </w:t>
      </w:r>
      <w:r>
        <w:rPr>
          <w:rFonts w:ascii="Arial" w:cs="Arial" w:eastAsia="Arial" w:hAnsi="Arial"/>
          <w:sz w:val="17"/>
          <w:szCs w:val="17"/>
          <w:color w:val="auto"/>
        </w:rPr>
        <w:t>incumbent nominee who fails to receive a greater number of votes “for” than “against” his or her election will tender his or her resignation from the board following the certification of the shareholder vote. The board, on recommendation of the Directors and Corporate Governance Committee, will decide whether to accept the resignation. The company will promptly disclose the board’s decision, including, if applicable, the reasons the board rejected the resignation.</w:t>
      </w:r>
    </w:p>
    <w:p>
      <w:pPr>
        <w:spacing w:after="0" w:line="107" w:lineRule="exact"/>
        <w:rPr>
          <w:rFonts w:ascii="Wingdings" w:cs="Wingdings" w:eastAsia="Wingdings" w:hAnsi="Wingdings"/>
          <w:sz w:val="25"/>
          <w:szCs w:val="25"/>
          <w:b w:val="1"/>
          <w:bCs w:val="1"/>
          <w:color w:val="auto"/>
          <w:shd w:val="clear" w:color="auto" w:fill="00A1DE"/>
        </w:rPr>
      </w:pPr>
    </w:p>
    <w:p>
      <w:pPr>
        <w:ind w:left="640" w:right="2420" w:hanging="333"/>
        <w:spacing w:after="0"/>
        <w:tabs>
          <w:tab w:leader="none" w:pos="640" w:val="left"/>
        </w:tabs>
        <w:numPr>
          <w:ilvl w:val="0"/>
          <w:numId w:val="17"/>
        </w:numPr>
        <w:rPr>
          <w:rFonts w:ascii="Wingdings" w:cs="Wingdings" w:eastAsia="Wingdings" w:hAnsi="Wingdings"/>
          <w:sz w:val="25"/>
          <w:szCs w:val="25"/>
          <w:b w:val="1"/>
          <w:bCs w:val="1"/>
          <w:color w:val="auto"/>
          <w:shd w:val="clear" w:color="auto" w:fill="00A1DE"/>
        </w:rPr>
      </w:pPr>
      <w:r>
        <w:rPr>
          <w:rFonts w:ascii="Arial" w:cs="Arial" w:eastAsia="Arial" w:hAnsi="Arial"/>
          <w:sz w:val="19"/>
          <w:szCs w:val="19"/>
          <w:b w:val="1"/>
          <w:bCs w:val="1"/>
          <w:color w:val="auto"/>
        </w:rPr>
        <w:t xml:space="preserve">Director Retirement Policy </w:t>
      </w:r>
      <w:r>
        <w:rPr>
          <w:rFonts w:ascii="Arial" w:cs="Arial" w:eastAsia="Arial" w:hAnsi="Arial"/>
          <w:sz w:val="17"/>
          <w:szCs w:val="17"/>
          <w:color w:val="auto"/>
        </w:rPr>
        <w:t>- Non-employee directors must retire from the board no later than the</w:t>
      </w:r>
      <w:r>
        <w:rPr>
          <w:rFonts w:ascii="Arial" w:cs="Arial" w:eastAsia="Arial" w:hAnsi="Arial"/>
          <w:sz w:val="19"/>
          <w:szCs w:val="19"/>
          <w:b w:val="1"/>
          <w:bCs w:val="1"/>
          <w:color w:val="auto"/>
        </w:rPr>
        <w:t xml:space="preserve"> </w:t>
      </w:r>
      <w:r>
        <w:rPr>
          <w:rFonts w:ascii="Arial" w:cs="Arial" w:eastAsia="Arial" w:hAnsi="Arial"/>
          <w:sz w:val="17"/>
          <w:szCs w:val="17"/>
          <w:color w:val="auto"/>
        </w:rPr>
        <w:t>date of the annual meeting that follows their seventy-second birthday, although the Directors and Corporate Governance Committee may recommend exceptions to this policy. The Directors and Corporate Governance Committee, with input from all board members, also considers the contributions of the individual directors annually, with a more robust assessment at least every three years when considering whether to nominate directors to new three-year terms. The company has not adopted term limits because the board believes that the company benefits from having a mix of longer- and shorter-tenured members of the board.</w:t>
      </w:r>
    </w:p>
    <w:p>
      <w:pPr>
        <w:sectPr>
          <w:pgSz w:w="11900" w:h="16838" w:orient="portrait"/>
          <w:cols w:equalWidth="0" w:num="1">
            <w:col w:w="11240"/>
          </w:cols>
          <w:pgMar w:left="320" w:top="971" w:right="339" w:bottom="1440" w:gutter="0" w:footer="0" w:header="0"/>
        </w:sectPr>
      </w:pPr>
    </w:p>
    <w:p>
      <w:pPr>
        <w:spacing w:after="0" w:line="159" w:lineRule="exact"/>
        <w:rPr>
          <w:sz w:val="20"/>
          <w:szCs w:val="20"/>
          <w:color w:val="auto"/>
        </w:rPr>
      </w:pPr>
    </w:p>
    <w:p>
      <w:pPr>
        <w:ind w:left="300"/>
        <w:spacing w:after="0"/>
        <w:rPr>
          <w:sz w:val="20"/>
          <w:szCs w:val="20"/>
          <w:color w:val="auto"/>
        </w:rPr>
      </w:pPr>
      <w:r>
        <w:rPr>
          <w:rFonts w:ascii="Wingdings" w:cs="Wingdings" w:eastAsia="Wingdings" w:hAnsi="Wingdings"/>
          <w:sz w:val="25"/>
          <w:szCs w:val="25"/>
          <w:b w:val="1"/>
          <w:bCs w:val="1"/>
          <w:color w:val="auto"/>
          <w:shd w:val="clear" w:color="auto" w:fill="00A1DE"/>
        </w:rPr>
        <w:t>ü</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300"/>
        <w:spacing w:after="0"/>
        <w:rPr>
          <w:sz w:val="20"/>
          <w:szCs w:val="20"/>
          <w:color w:val="auto"/>
        </w:rPr>
      </w:pPr>
      <w:r>
        <w:rPr>
          <w:rFonts w:ascii="Wingdings" w:cs="Wingdings" w:eastAsia="Wingdings" w:hAnsi="Wingdings"/>
          <w:sz w:val="25"/>
          <w:szCs w:val="25"/>
          <w:b w:val="1"/>
          <w:bCs w:val="1"/>
          <w:color w:val="auto"/>
          <w:shd w:val="clear" w:color="auto" w:fill="00A1DE"/>
        </w:rPr>
        <w:t>ü</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ind w:right="3040"/>
        <w:spacing w:after="0" w:line="214" w:lineRule="auto"/>
        <w:rPr>
          <w:sz w:val="20"/>
          <w:szCs w:val="20"/>
          <w:color w:val="auto"/>
        </w:rPr>
      </w:pPr>
      <w:r>
        <w:rPr>
          <w:rFonts w:ascii="Arial" w:cs="Arial" w:eastAsia="Arial" w:hAnsi="Arial"/>
          <w:sz w:val="19"/>
          <w:szCs w:val="19"/>
          <w:b w:val="1"/>
          <w:bCs w:val="1"/>
          <w:color w:val="auto"/>
        </w:rPr>
        <w:t xml:space="preserve">Other Board Service Policy </w:t>
      </w:r>
      <w:r>
        <w:rPr>
          <w:rFonts w:ascii="Arial" w:cs="Arial" w:eastAsia="Arial" w:hAnsi="Arial"/>
          <w:sz w:val="17"/>
          <w:szCs w:val="17"/>
          <w:color w:val="auto"/>
        </w:rPr>
        <w:t>- To ensure proper engagement from our directors and effective</w:t>
      </w:r>
      <w:r>
        <w:rPr>
          <w:rFonts w:ascii="Arial" w:cs="Arial" w:eastAsia="Arial" w:hAnsi="Arial"/>
          <w:sz w:val="19"/>
          <w:szCs w:val="19"/>
          <w:b w:val="1"/>
          <w:bCs w:val="1"/>
          <w:color w:val="auto"/>
        </w:rPr>
        <w:t xml:space="preserve"> </w:t>
      </w:r>
      <w:r>
        <w:rPr>
          <w:rFonts w:ascii="Arial" w:cs="Arial" w:eastAsia="Arial" w:hAnsi="Arial"/>
          <w:sz w:val="17"/>
          <w:szCs w:val="17"/>
          <w:color w:val="auto"/>
        </w:rPr>
        <w:t>functioning of our board, we have instituted certain limitations on service on the boards of other</w:t>
      </w:r>
    </w:p>
    <w:p>
      <w:pPr>
        <w:spacing w:after="0" w:line="1" w:lineRule="exact"/>
        <w:rPr>
          <w:sz w:val="20"/>
          <w:szCs w:val="20"/>
          <w:color w:val="auto"/>
        </w:rPr>
      </w:pPr>
    </w:p>
    <w:p>
      <w:pPr>
        <w:ind w:right="2600"/>
        <w:spacing w:after="0" w:line="221" w:lineRule="auto"/>
        <w:rPr>
          <w:sz w:val="20"/>
          <w:szCs w:val="20"/>
          <w:color w:val="auto"/>
        </w:rPr>
      </w:pPr>
      <w:r>
        <w:rPr>
          <w:rFonts w:ascii="Arial" w:cs="Arial" w:eastAsia="Arial" w:hAnsi="Arial"/>
          <w:sz w:val="17"/>
          <w:szCs w:val="17"/>
          <w:color w:val="auto"/>
        </w:rPr>
        <w:t>companies. In general, no director may serve on more than three other public company boards. No director that is an executive officer of a public company may serve on more than two public company boards (inclusive of Lilly). The Directors and Corporate Governance Committee may approve</w:t>
      </w:r>
    </w:p>
    <w:p>
      <w:pPr>
        <w:ind w:right="2560"/>
        <w:spacing w:after="0" w:line="221" w:lineRule="auto"/>
        <w:rPr>
          <w:sz w:val="20"/>
          <w:szCs w:val="20"/>
          <w:color w:val="auto"/>
        </w:rPr>
      </w:pPr>
      <w:r>
        <w:rPr>
          <w:rFonts w:ascii="Arial" w:cs="Arial" w:eastAsia="Arial" w:hAnsi="Arial"/>
          <w:sz w:val="18"/>
          <w:szCs w:val="18"/>
          <w:color w:val="auto"/>
        </w:rPr>
        <w:t>exceptions if it determines that the additional service will not impair the director’s effectiveness on the Lilly board. In addition, no director serving on the Audit Committee may serve simultaneously on the audit committee of more than two other public companies without the prior approval of the board.</w:t>
      </w:r>
    </w:p>
    <w:p>
      <w:pPr>
        <w:spacing w:after="0" w:line="145" w:lineRule="exact"/>
        <w:rPr>
          <w:sz w:val="20"/>
          <w:szCs w:val="20"/>
          <w:color w:val="auto"/>
        </w:rPr>
      </w:pPr>
    </w:p>
    <w:p>
      <w:pPr>
        <w:ind w:right="2500"/>
        <w:spacing w:after="0" w:line="214" w:lineRule="auto"/>
        <w:rPr>
          <w:sz w:val="20"/>
          <w:szCs w:val="20"/>
          <w:color w:val="auto"/>
        </w:rPr>
      </w:pPr>
      <w:r>
        <w:rPr>
          <w:rFonts w:ascii="Arial" w:cs="Arial" w:eastAsia="Arial" w:hAnsi="Arial"/>
          <w:sz w:val="19"/>
          <w:szCs w:val="19"/>
          <w:b w:val="1"/>
          <w:bCs w:val="1"/>
          <w:color w:val="auto"/>
        </w:rPr>
        <w:t xml:space="preserve">Confidentiality Policy </w:t>
      </w:r>
      <w:r>
        <w:rPr>
          <w:rFonts w:ascii="Arial" w:cs="Arial" w:eastAsia="Arial" w:hAnsi="Arial"/>
          <w:sz w:val="17"/>
          <w:szCs w:val="17"/>
          <w:b w:val="1"/>
          <w:bCs w:val="1"/>
          <w:color w:val="auto"/>
        </w:rPr>
        <w:t>-</w:t>
      </w:r>
      <w:r>
        <w:rPr>
          <w:rFonts w:ascii="Arial" w:cs="Arial" w:eastAsia="Arial" w:hAnsi="Arial"/>
          <w:sz w:val="19"/>
          <w:szCs w:val="19"/>
          <w:b w:val="1"/>
          <w:bCs w:val="1"/>
          <w:color w:val="auto"/>
        </w:rPr>
        <w:t xml:space="preserve"> </w:t>
      </w:r>
      <w:r>
        <w:rPr>
          <w:rFonts w:ascii="Arial" w:cs="Arial" w:eastAsia="Arial" w:hAnsi="Arial"/>
          <w:sz w:val="17"/>
          <w:szCs w:val="17"/>
          <w:color w:val="auto"/>
        </w:rPr>
        <w:t>The board has adopted a Board Confidentiality Policy, applicable to all</w:t>
      </w:r>
      <w:r>
        <w:rPr>
          <w:rFonts w:ascii="Arial" w:cs="Arial" w:eastAsia="Arial" w:hAnsi="Arial"/>
          <w:sz w:val="19"/>
          <w:szCs w:val="19"/>
          <w:b w:val="1"/>
          <w:bCs w:val="1"/>
          <w:color w:val="auto"/>
        </w:rPr>
        <w:t xml:space="preserve"> </w:t>
      </w:r>
      <w:r>
        <w:rPr>
          <w:rFonts w:ascii="Arial" w:cs="Arial" w:eastAsia="Arial" w:hAnsi="Arial"/>
          <w:sz w:val="17"/>
          <w:szCs w:val="17"/>
          <w:color w:val="auto"/>
        </w:rPr>
        <w:t>members of the board. The policy prohibits a director from sharing confidential information obtained in his or her role as a director with any third party except under limited circumstances where the director</w:t>
      </w:r>
    </w:p>
    <w:p>
      <w:pPr>
        <w:spacing w:after="0" w:line="2" w:lineRule="exact"/>
        <w:rPr>
          <w:sz w:val="20"/>
          <w:szCs w:val="20"/>
          <w:color w:val="auto"/>
        </w:rPr>
      </w:pPr>
    </w:p>
    <w:p>
      <w:pPr>
        <w:ind w:right="2640"/>
        <w:spacing w:after="0" w:line="234" w:lineRule="auto"/>
        <w:rPr>
          <w:sz w:val="20"/>
          <w:szCs w:val="20"/>
          <w:color w:val="auto"/>
        </w:rPr>
      </w:pPr>
      <w:r>
        <w:rPr>
          <w:rFonts w:ascii="Arial" w:cs="Arial" w:eastAsia="Arial" w:hAnsi="Arial"/>
          <w:sz w:val="18"/>
          <w:szCs w:val="18"/>
          <w:color w:val="auto"/>
        </w:rPr>
        <w:t>is seeking legal advice or is required by law to disclose information. The Board Confidentiality Policy can be viewed on the company’s website at</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color w:val="D52B1E"/>
        </w:rPr>
        <w:t>lilly.com/leadership/governance</w:t>
      </w:r>
      <w:r>
        <w:rPr>
          <w:rFonts w:ascii="Arial" w:cs="Arial" w:eastAsia="Arial" w:hAnsi="Arial"/>
          <w:sz w:val="18"/>
          <w:szCs w:val="18"/>
          <w:b w:val="1"/>
          <w:bCs w:val="1"/>
          <w:color w:val="auto"/>
        </w:rPr>
        <w:t>.</w:t>
      </w:r>
    </w:p>
    <w:p>
      <w:pPr>
        <w:spacing w:after="0" w:line="200" w:lineRule="exact"/>
        <w:rPr>
          <w:sz w:val="20"/>
          <w:szCs w:val="20"/>
          <w:color w:val="auto"/>
        </w:rPr>
      </w:pPr>
    </w:p>
    <w:p>
      <w:pPr>
        <w:sectPr>
          <w:pgSz w:w="11900" w:h="16838" w:orient="portrait"/>
          <w:cols w:equalWidth="0" w:num="2">
            <w:col w:w="500" w:space="140"/>
            <w:col w:w="10600"/>
          </w:cols>
          <w:pgMar w:left="320" w:top="971" w:right="339" w:bottom="1440" w:gutter="0" w:footer="0" w:header="0"/>
          <w:type w:val="continuous"/>
        </w:sectPr>
      </w:pP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Director Skills and Experience:</w:t>
      </w:r>
    </w:p>
    <w:p>
      <w:pPr>
        <w:spacing w:after="0" w:line="18"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Our directors are responsible for overseeing the company’s business consistent with their fiduciary duties. This significant responsibility requires highly skilled individuals with various qualities, attributes, and professional experiences. We believe the board is well-rounded, with a balance of relevant perspectives and experience, as illustrated in the following chart.</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131445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type w:val="continuous"/>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637540</wp:posOffset>
            </wp:positionV>
            <wp:extent cx="5760720" cy="56749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clrChange>
                        <a:clrFrom>
                          <a:srgbClr val="FFFFFF"/>
                        </a:clrFrom>
                        <a:clrTo>
                          <a:srgbClr val="FFFFFF">
                            <a:alpha val="0"/>
                          </a:srgbClr>
                        </a:clrTo>
                      </a:clrChange>
                      <a:extLst>
                        <a:ext uri="{28A0092B-C50C-407E-A947-70E740481C1C}"/>
                      </a:extLst>
                    </a:blip>
                    <a:srcRect/>
                    <a:stretch>
                      <a:fillRect/>
                    </a:stretch>
                  </pic:blipFill>
                  <pic:spPr bwMode="auto">
                    <a:xfrm>
                      <a:off x="0" y="0"/>
                      <a:ext cx="5760720" cy="5674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Director Experience:</w:t>
      </w:r>
    </w:p>
    <w:p>
      <w:pPr>
        <w:spacing w:after="0" w:line="18"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Set forth below is information, as of March 21, 2025, regarding our directors and director nominees. We have provided the most relevant experiences, qualifications, attributes, and skills that support the conclusion that each director or director nominee should serve as a director in light of our business and operations.</w:t>
      </w:r>
    </w:p>
    <w:p>
      <w:pPr>
        <w:spacing w:after="0" w:line="12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No family relationship exists among any of our directors, director nominees, or executive officers. To the best of our knowledge, there are no pending material legal proceedings in which any of our directors or nominees for director, or any of their associates, is a party adverse to us or any of our affiliates, or has a material interest adverse to us or any of our affiliates. Additionally, to the best of our knowledge, there have been no events under any bankruptcy laws, no criminal proceedings and no judgments, sanctions, or injunctions during the past 10 years that are material to the evaluation of the ability or integrity of any of our directors or nominees for director. There is no arrangement or understanding between any director or director nominee and any other person pursuant to which he or she was or is to be selected as a director or director nominee.</w:t>
      </w:r>
    </w:p>
    <w:p>
      <w:pPr>
        <w:spacing w:after="0" w:line="129"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Under our articles of incorporation, the board is divided into three classes with approximately one-third of the directors standing for election each year.</w:t>
      </w:r>
    </w:p>
    <w:p>
      <w:pPr>
        <w:sectPr>
          <w:pgSz w:w="11900" w:h="16838" w:orient="portrait"/>
          <w:cols w:equalWidth="0" w:num="1">
            <w:col w:w="11140"/>
          </w:cols>
          <w:pgMar w:left="320" w:top="1440" w:right="439" w:bottom="1440" w:gutter="0" w:footer="0" w:header="0"/>
        </w:sectPr>
      </w:pPr>
    </w:p>
    <w:p>
      <w:pPr>
        <w:spacing w:after="0" w:line="200" w:lineRule="exact"/>
        <w:rPr>
          <w:sz w:val="20"/>
          <w:szCs w:val="20"/>
          <w:color w:val="auto"/>
        </w:rPr>
      </w:pPr>
    </w:p>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154940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20"/>
          <w:szCs w:val="20"/>
          <w:b w:val="1"/>
          <w:bCs w:val="1"/>
          <w:color w:val="D52B1E"/>
        </w:rPr>
        <w:t>Class of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160655</wp:posOffset>
            </wp:positionV>
            <wp:extent cx="1311275" cy="131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311275" cy="131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EF3729"/>
        </w:rPr>
        <w:t>Ralph Alvarez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143129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431290" cy="8890"/>
                    </a:xfrm>
                    <a:prstGeom prst="rect">
                      <a:avLst/>
                    </a:prstGeom>
                    <a:noFill/>
                  </pic:spPr>
                </pic:pic>
              </a:graphicData>
            </a:graphic>
          </wp:anchor>
        </w:drawing>
      </w:r>
    </w:p>
    <w:p>
      <w:pPr>
        <w:spacing w:after="0" w:line="33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Age</w:t>
      </w:r>
      <w:r>
        <w:rPr>
          <w:rFonts w:ascii="Arial" w:cs="Arial" w:eastAsia="Arial" w:hAnsi="Arial"/>
          <w:sz w:val="16"/>
          <w:szCs w:val="16"/>
          <w:color w:val="auto"/>
        </w:rPr>
        <w:t>: 69</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Director since</w:t>
      </w:r>
      <w:r>
        <w:rPr>
          <w:rFonts w:ascii="Arial" w:cs="Arial" w:eastAsia="Arial" w:hAnsi="Arial"/>
          <w:sz w:val="16"/>
          <w:szCs w:val="16"/>
          <w:color w:val="auto"/>
        </w:rPr>
        <w:t>: 2009</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Board Committees:</w:t>
      </w:r>
    </w:p>
    <w:p>
      <w:pPr>
        <w:spacing w:after="0" w:line="73" w:lineRule="exact"/>
        <w:rPr>
          <w:sz w:val="20"/>
          <w:szCs w:val="20"/>
          <w:color w:val="auto"/>
        </w:rPr>
      </w:pPr>
    </w:p>
    <w:p>
      <w:pPr>
        <w:ind w:left="18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6"/>
          <w:szCs w:val="16"/>
          <w:color w:val="auto"/>
        </w:rPr>
        <w:t>Audit</w:t>
      </w:r>
    </w:p>
    <w:p>
      <w:pPr>
        <w:spacing w:after="0" w:line="59" w:lineRule="exact"/>
        <w:rPr>
          <w:sz w:val="20"/>
          <w:szCs w:val="20"/>
          <w:color w:val="auto"/>
        </w:rPr>
      </w:pPr>
    </w:p>
    <w:p>
      <w:pPr>
        <w:ind w:left="360" w:hanging="162"/>
        <w:spacing w:after="0" w:line="290" w:lineRule="auto"/>
        <w:rPr>
          <w:sz w:val="20"/>
          <w:szCs w:val="20"/>
          <w:color w:val="auto"/>
        </w:rPr>
      </w:pPr>
      <w:r>
        <w:rPr>
          <w:rFonts w:ascii="Arial" w:cs="Arial" w:eastAsia="Arial" w:hAnsi="Arial"/>
          <w:sz w:val="14"/>
          <w:szCs w:val="14"/>
          <w:color w:val="auto"/>
        </w:rPr>
        <w:t xml:space="preserve">– </w:t>
      </w:r>
      <w:r>
        <w:rPr>
          <w:rFonts w:ascii="Arial" w:cs="Arial" w:eastAsia="Arial" w:hAnsi="Arial"/>
          <w:sz w:val="16"/>
          <w:szCs w:val="16"/>
          <w:color w:val="auto"/>
        </w:rPr>
        <w:t>Talent and Compensation</w:t>
      </w:r>
      <w:r>
        <w:rPr>
          <w:rFonts w:ascii="Arial" w:cs="Arial" w:eastAsia="Arial" w:hAnsi="Arial"/>
          <w:sz w:val="14"/>
          <w:szCs w:val="14"/>
          <w:color w:val="auto"/>
        </w:rPr>
        <w:t xml:space="preserve"> </w:t>
      </w:r>
      <w:r>
        <w:rPr>
          <w:rFonts w:ascii="Arial" w:cs="Arial" w:eastAsia="Arial" w:hAnsi="Arial"/>
          <w:sz w:val="16"/>
          <w:szCs w:val="16"/>
          <w:color w:val="auto"/>
        </w:rPr>
        <w:t>(Chair)</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Other Public Boards:</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6"/>
          <w:szCs w:val="16"/>
          <w:color w:val="auto"/>
        </w:rPr>
        <w:t>Lowe’s Companies, Inc.</w:t>
      </w:r>
    </w:p>
    <w:p>
      <w:pPr>
        <w:spacing w:after="0" w:line="72" w:lineRule="exact"/>
        <w:rPr>
          <w:sz w:val="20"/>
          <w:szCs w:val="20"/>
          <w:color w:val="auto"/>
        </w:rPr>
      </w:pPr>
    </w:p>
    <w:p>
      <w:pPr>
        <w:ind w:left="18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6"/>
          <w:szCs w:val="16"/>
          <w:color w:val="auto"/>
        </w:rPr>
        <w:t>Traeger, Inc.</w:t>
      </w:r>
    </w:p>
    <w:p>
      <w:pPr>
        <w:spacing w:after="0" w:line="59" w:lineRule="exact"/>
        <w:rPr>
          <w:sz w:val="20"/>
          <w:szCs w:val="20"/>
          <w:color w:val="auto"/>
        </w:rPr>
      </w:pPr>
    </w:p>
    <w:p>
      <w:pPr>
        <w:ind w:left="360" w:right="180" w:hanging="162"/>
        <w:spacing w:after="0" w:line="290" w:lineRule="auto"/>
        <w:rPr>
          <w:sz w:val="20"/>
          <w:szCs w:val="20"/>
          <w:color w:val="auto"/>
        </w:rPr>
      </w:pPr>
      <w:r>
        <w:rPr>
          <w:rFonts w:ascii="Arial" w:cs="Arial" w:eastAsia="Arial" w:hAnsi="Arial"/>
          <w:sz w:val="14"/>
          <w:szCs w:val="14"/>
          <w:color w:val="auto"/>
        </w:rPr>
        <w:t xml:space="preserve">– </w:t>
      </w:r>
      <w:r>
        <w:rPr>
          <w:rFonts w:ascii="Arial" w:cs="Arial" w:eastAsia="Arial" w:hAnsi="Arial"/>
          <w:sz w:val="16"/>
          <w:szCs w:val="16"/>
          <w:color w:val="auto"/>
        </w:rPr>
        <w:t>First Watch Restaurant</w:t>
      </w:r>
      <w:r>
        <w:rPr>
          <w:rFonts w:ascii="Arial" w:cs="Arial" w:eastAsia="Arial" w:hAnsi="Arial"/>
          <w:sz w:val="14"/>
          <w:szCs w:val="14"/>
          <w:color w:val="auto"/>
        </w:rPr>
        <w:t xml:space="preserve"> </w:t>
      </w:r>
      <w:r>
        <w:rPr>
          <w:rFonts w:ascii="Arial" w:cs="Arial" w:eastAsia="Arial" w:hAnsi="Arial"/>
          <w:sz w:val="16"/>
          <w:szCs w:val="16"/>
          <w:color w:val="auto"/>
        </w:rPr>
        <w:t>Group, Inc. (Chair)</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Recent Prior Public Boards:</w:t>
      </w:r>
    </w:p>
    <w:p>
      <w:pPr>
        <w:spacing w:after="0" w:line="59" w:lineRule="exact"/>
        <w:rPr>
          <w:sz w:val="20"/>
          <w:szCs w:val="20"/>
          <w:color w:val="auto"/>
        </w:rPr>
      </w:pPr>
    </w:p>
    <w:p>
      <w:pPr>
        <w:ind w:left="360" w:right="200" w:hanging="162"/>
        <w:spacing w:after="0" w:line="290" w:lineRule="auto"/>
        <w:rPr>
          <w:sz w:val="20"/>
          <w:szCs w:val="20"/>
          <w:color w:val="auto"/>
        </w:rPr>
      </w:pPr>
      <w:r>
        <w:rPr>
          <w:rFonts w:ascii="Arial" w:cs="Arial" w:eastAsia="Arial" w:hAnsi="Arial"/>
          <w:sz w:val="14"/>
          <w:szCs w:val="14"/>
          <w:color w:val="auto"/>
        </w:rPr>
        <w:t xml:space="preserve">– </w:t>
      </w:r>
      <w:r>
        <w:rPr>
          <w:rFonts w:ascii="Arial" w:cs="Arial" w:eastAsia="Arial" w:hAnsi="Arial"/>
          <w:sz w:val="16"/>
          <w:szCs w:val="16"/>
          <w:color w:val="auto"/>
        </w:rPr>
        <w:t>Dunkin’ Brands Group,</w:t>
      </w:r>
      <w:r>
        <w:rPr>
          <w:rFonts w:ascii="Arial" w:cs="Arial" w:eastAsia="Arial" w:hAnsi="Arial"/>
          <w:sz w:val="14"/>
          <w:szCs w:val="14"/>
          <w:color w:val="auto"/>
        </w:rPr>
        <w:t xml:space="preserve"> </w:t>
      </w:r>
      <w:r>
        <w:rPr>
          <w:rFonts w:ascii="Arial" w:cs="Arial" w:eastAsia="Arial" w:hAnsi="Arial"/>
          <w:sz w:val="16"/>
          <w:szCs w:val="16"/>
          <w:color w:val="auto"/>
        </w:rPr>
        <w:t>Inc.</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Key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46355</wp:posOffset>
            </wp:positionV>
            <wp:extent cx="1234440" cy="3086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34440" cy="308610"/>
                    </a:xfrm>
                    <a:prstGeom prst="rect">
                      <a:avLst/>
                    </a:prstGeom>
                    <a:noFill/>
                  </pic:spPr>
                </pic:pic>
              </a:graphicData>
            </a:graphic>
          </wp:anchor>
        </w:drawing>
        <w:drawing>
          <wp:anchor simplePos="0" relativeHeight="251657728" behindDoc="1" locked="0" layoutInCell="0" allowOverlap="1">
            <wp:simplePos x="0" y="0"/>
            <wp:positionH relativeFrom="column">
              <wp:posOffset>759460</wp:posOffset>
            </wp:positionH>
            <wp:positionV relativeFrom="paragraph">
              <wp:posOffset>3303905</wp:posOffset>
            </wp:positionV>
            <wp:extent cx="214630" cy="2146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FFFFFF"/>
        </w:rPr>
        <w:t>KEY EXPERIENCE AND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-127635</wp:posOffset>
            </wp:positionH>
            <wp:positionV relativeFrom="paragraph">
              <wp:posOffset>-135890</wp:posOffset>
            </wp:positionV>
            <wp:extent cx="4260215" cy="2049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260215" cy="2049145"/>
                    </a:xfrm>
                    <a:prstGeom prst="rect">
                      <a:avLst/>
                    </a:prstGeom>
                    <a:noFill/>
                  </pic:spPr>
                </pic:pic>
              </a:graphicData>
            </a:graphic>
          </wp:anchor>
        </w:drawing>
      </w:r>
    </w:p>
    <w:p>
      <w:pPr>
        <w:spacing w:after="0" w:line="144" w:lineRule="exact"/>
        <w:rPr>
          <w:sz w:val="20"/>
          <w:szCs w:val="20"/>
          <w:color w:val="auto"/>
        </w:rPr>
      </w:pPr>
    </w:p>
    <w:p>
      <w:pPr>
        <w:ind w:right="1119"/>
        <w:spacing w:after="0" w:line="265" w:lineRule="auto"/>
        <w:rPr>
          <w:sz w:val="20"/>
          <w:szCs w:val="20"/>
          <w:color w:val="auto"/>
        </w:rPr>
      </w:pPr>
      <w:r>
        <w:rPr>
          <w:rFonts w:ascii="Arial" w:cs="Arial" w:eastAsia="Arial" w:hAnsi="Arial"/>
          <w:sz w:val="16"/>
          <w:szCs w:val="16"/>
          <w:i w:val="1"/>
          <w:iCs w:val="1"/>
          <w:color w:val="auto"/>
        </w:rPr>
        <w:t>Mr. Alvarez brings to the board more than 40 years of experience in consumer marketing, global operations, international business, and strategic planning, as well as extensive executive leadership experience in managing some of the world’s best-known brands.</w:t>
      </w:r>
    </w:p>
    <w:p>
      <w:pPr>
        <w:spacing w:after="0" w:line="23" w:lineRule="exact"/>
        <w:rPr>
          <w:sz w:val="20"/>
          <w:szCs w:val="20"/>
          <w:color w:val="auto"/>
        </w:rPr>
      </w:pPr>
    </w:p>
    <w:p>
      <w:pPr>
        <w:ind w:left="640" w:right="1199" w:hanging="325"/>
        <w:spacing w:after="0" w:line="275" w:lineRule="auto"/>
        <w:tabs>
          <w:tab w:leader="none" w:pos="636" w:val="left"/>
        </w:tabs>
        <w:numPr>
          <w:ilvl w:val="0"/>
          <w:numId w:val="21"/>
        </w:numPr>
        <w:rPr>
          <w:rFonts w:ascii="Times New Roman" w:cs="Times New Roman" w:eastAsia="Times New Roman" w:hAnsi="Times New Roman"/>
          <w:sz w:val="14"/>
          <w:szCs w:val="14"/>
          <w:color w:val="auto"/>
        </w:rPr>
      </w:pPr>
      <w:r>
        <w:rPr>
          <w:rFonts w:ascii="Arial" w:cs="Arial" w:eastAsia="Arial" w:hAnsi="Arial"/>
          <w:sz w:val="16"/>
          <w:szCs w:val="16"/>
          <w:color w:val="auto"/>
        </w:rPr>
        <w:t>As a senior executive of a leading global foodservice retailer and other global restaurant businesses, Mr. Alvarez developed in-depth knowledge of consumer marketing, talent and brand management and strategic planning.</w:t>
      </w:r>
    </w:p>
    <w:p>
      <w:pPr>
        <w:spacing w:after="0" w:line="2" w:lineRule="exact"/>
        <w:rPr>
          <w:rFonts w:ascii="Times New Roman" w:cs="Times New Roman" w:eastAsia="Times New Roman" w:hAnsi="Times New Roman"/>
          <w:sz w:val="14"/>
          <w:szCs w:val="14"/>
          <w:color w:val="auto"/>
        </w:rPr>
      </w:pPr>
    </w:p>
    <w:p>
      <w:pPr>
        <w:ind w:left="640" w:right="1539" w:hanging="325"/>
        <w:spacing w:after="0" w:line="299" w:lineRule="auto"/>
        <w:tabs>
          <w:tab w:leader="none" w:pos="636" w:val="left"/>
        </w:tabs>
        <w:numPr>
          <w:ilvl w:val="0"/>
          <w:numId w:val="21"/>
        </w:numPr>
        <w:rPr>
          <w:rFonts w:ascii="Times New Roman" w:cs="Times New Roman" w:eastAsia="Times New Roman" w:hAnsi="Times New Roman"/>
          <w:sz w:val="14"/>
          <w:szCs w:val="14"/>
          <w:color w:val="auto"/>
        </w:rPr>
      </w:pPr>
      <w:r>
        <w:rPr>
          <w:rFonts w:ascii="Arial" w:cs="Arial" w:eastAsia="Arial" w:hAnsi="Arial"/>
          <w:sz w:val="16"/>
          <w:szCs w:val="16"/>
          <w:color w:val="auto"/>
        </w:rPr>
        <w:t>Mr. Alvarez also contributes an understanding of international markets and operations, including a special focus on Japan and emerging markets.</w:t>
      </w:r>
    </w:p>
    <w:p>
      <w:pPr>
        <w:ind w:left="640" w:right="1119" w:hanging="325"/>
        <w:spacing w:after="0" w:line="281" w:lineRule="auto"/>
        <w:tabs>
          <w:tab w:leader="none" w:pos="629" w:val="left"/>
        </w:tabs>
        <w:numPr>
          <w:ilvl w:val="0"/>
          <w:numId w:val="21"/>
        </w:numPr>
        <w:rPr>
          <w:rFonts w:ascii="Arial" w:cs="Arial" w:eastAsia="Arial" w:hAnsi="Arial"/>
          <w:sz w:val="16"/>
          <w:szCs w:val="16"/>
          <w:color w:val="auto"/>
        </w:rPr>
      </w:pPr>
      <w:r>
        <w:rPr>
          <w:rFonts w:ascii="Arial" w:cs="Arial" w:eastAsia="Arial" w:hAnsi="Arial"/>
          <w:sz w:val="16"/>
          <w:szCs w:val="16"/>
          <w:color w:val="auto"/>
        </w:rPr>
        <w:t>Mr. Alvarez is a leader of people and brings to the board a strong perspective on how to motivate, develop, and engage diverse talent.</w:t>
      </w:r>
    </w:p>
    <w:p>
      <w:pPr>
        <w:spacing w:after="0" w:line="1" w:lineRule="exact"/>
        <w:rPr>
          <w:rFonts w:ascii="Arial" w:cs="Arial" w:eastAsia="Arial" w:hAnsi="Arial"/>
          <w:sz w:val="16"/>
          <w:szCs w:val="16"/>
          <w:color w:val="auto"/>
        </w:rPr>
      </w:pPr>
    </w:p>
    <w:p>
      <w:pPr>
        <w:ind w:left="640" w:right="1079" w:hanging="325"/>
        <w:spacing w:after="0" w:line="284" w:lineRule="auto"/>
        <w:tabs>
          <w:tab w:leader="none" w:pos="636" w:val="left"/>
        </w:tabs>
        <w:numPr>
          <w:ilvl w:val="0"/>
          <w:numId w:val="21"/>
        </w:numPr>
        <w:rPr>
          <w:rFonts w:ascii="Times New Roman" w:cs="Times New Roman" w:eastAsia="Times New Roman" w:hAnsi="Times New Roman"/>
          <w:sz w:val="14"/>
          <w:szCs w:val="14"/>
          <w:color w:val="auto"/>
        </w:rPr>
      </w:pPr>
      <w:r>
        <w:rPr>
          <w:rFonts w:ascii="Arial" w:cs="Arial" w:eastAsia="Arial" w:hAnsi="Arial"/>
          <w:sz w:val="16"/>
          <w:szCs w:val="16"/>
          <w:color w:val="auto"/>
        </w:rPr>
        <w:t>Mr. Alvarez is an Audit Committee Financial Expert based on his public company experience, including his prior audit committee service on Lowe’s board of directors.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00A1DE"/>
        </w:rPr>
        <w:t>CAREER HIGHLIGHTS</w:t>
      </w:r>
    </w:p>
    <w:p>
      <w:pPr>
        <w:spacing w:after="0" w:line="63" w:lineRule="exact"/>
        <w:rPr>
          <w:sz w:val="20"/>
          <w:szCs w:val="20"/>
          <w:color w:val="auto"/>
        </w:rPr>
      </w:pPr>
    </w:p>
    <w:p>
      <w:pPr>
        <w:ind w:left="620" w:hanging="305"/>
        <w:spacing w:after="0"/>
        <w:tabs>
          <w:tab w:leader="none" w:pos="620" w:val="left"/>
        </w:tabs>
        <w:numPr>
          <w:ilvl w:val="0"/>
          <w:numId w:val="22"/>
        </w:numPr>
        <w:rPr>
          <w:rFonts w:ascii="Arial" w:cs="Arial" w:eastAsia="Arial" w:hAnsi="Arial"/>
          <w:sz w:val="16"/>
          <w:szCs w:val="16"/>
          <w:color w:val="auto"/>
        </w:rPr>
      </w:pPr>
      <w:r>
        <w:rPr>
          <w:rFonts w:ascii="Arial" w:cs="Arial" w:eastAsia="Arial" w:hAnsi="Arial"/>
          <w:sz w:val="18"/>
          <w:szCs w:val="18"/>
          <w:b w:val="1"/>
          <w:bCs w:val="1"/>
          <w:color w:val="auto"/>
        </w:rPr>
        <w:t xml:space="preserve">Advent International Corporation, </w:t>
      </w:r>
      <w:r>
        <w:rPr>
          <w:rFonts w:ascii="Arial" w:cs="Arial" w:eastAsia="Arial" w:hAnsi="Arial"/>
          <w:sz w:val="16"/>
          <w:szCs w:val="16"/>
          <w:color w:val="auto"/>
        </w:rPr>
        <w:t>a leading global private equity firm</w:t>
      </w:r>
    </w:p>
    <w:p>
      <w:pPr>
        <w:spacing w:after="0" w:line="67"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4"/>
          <w:szCs w:val="14"/>
          <w:color w:val="auto"/>
        </w:rPr>
        <w:t xml:space="preserve">–   </w:t>
      </w:r>
      <w:r>
        <w:rPr>
          <w:rFonts w:ascii="Arial" w:cs="Arial" w:eastAsia="Arial" w:hAnsi="Arial"/>
          <w:sz w:val="16"/>
          <w:szCs w:val="16"/>
          <w:color w:val="auto"/>
        </w:rPr>
        <w:t>Operating Partner (2017 - present)</w:t>
      </w:r>
    </w:p>
    <w:p>
      <w:pPr>
        <w:spacing w:after="0" w:line="54" w:lineRule="exact"/>
        <w:rPr>
          <w:rFonts w:ascii="Arial" w:cs="Arial" w:eastAsia="Arial" w:hAnsi="Arial"/>
          <w:sz w:val="16"/>
          <w:szCs w:val="16"/>
          <w:color w:val="auto"/>
        </w:rPr>
      </w:pPr>
    </w:p>
    <w:p>
      <w:pPr>
        <w:ind w:left="620" w:hanging="305"/>
        <w:spacing w:after="0"/>
        <w:tabs>
          <w:tab w:leader="none" w:pos="620" w:val="left"/>
        </w:tabs>
        <w:numPr>
          <w:ilvl w:val="0"/>
          <w:numId w:val="22"/>
        </w:numPr>
        <w:rPr>
          <w:rFonts w:ascii="Arial" w:cs="Arial" w:eastAsia="Arial" w:hAnsi="Arial"/>
          <w:sz w:val="16"/>
          <w:szCs w:val="16"/>
          <w:color w:val="auto"/>
        </w:rPr>
      </w:pPr>
      <w:r>
        <w:rPr>
          <w:rFonts w:ascii="Arial" w:cs="Arial" w:eastAsia="Arial" w:hAnsi="Arial"/>
          <w:sz w:val="18"/>
          <w:szCs w:val="18"/>
          <w:b w:val="1"/>
          <w:bCs w:val="1"/>
          <w:color w:val="auto"/>
        </w:rPr>
        <w:t xml:space="preserve">Skylark Co., Ltd., </w:t>
      </w:r>
      <w:r>
        <w:rPr>
          <w:rFonts w:ascii="Arial" w:cs="Arial" w:eastAsia="Arial" w:hAnsi="Arial"/>
          <w:sz w:val="16"/>
          <w:szCs w:val="16"/>
          <w:color w:val="auto"/>
        </w:rPr>
        <w:t>a leading restaurant operator in Japan</w:t>
      </w:r>
    </w:p>
    <w:p>
      <w:pPr>
        <w:spacing w:after="0" w:line="67"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4"/>
          <w:szCs w:val="14"/>
          <w:color w:val="auto"/>
        </w:rPr>
        <w:t xml:space="preserve">–   </w:t>
      </w:r>
      <w:r>
        <w:rPr>
          <w:rFonts w:ascii="Arial" w:cs="Arial" w:eastAsia="Arial" w:hAnsi="Arial"/>
          <w:sz w:val="16"/>
          <w:szCs w:val="16"/>
          <w:color w:val="auto"/>
        </w:rPr>
        <w:t>Chairman of the board (2013 - 2018)</w:t>
      </w:r>
    </w:p>
    <w:p>
      <w:pPr>
        <w:spacing w:after="0" w:line="54" w:lineRule="exact"/>
        <w:rPr>
          <w:rFonts w:ascii="Arial" w:cs="Arial" w:eastAsia="Arial" w:hAnsi="Arial"/>
          <w:sz w:val="16"/>
          <w:szCs w:val="16"/>
          <w:color w:val="auto"/>
        </w:rPr>
      </w:pPr>
    </w:p>
    <w:p>
      <w:pPr>
        <w:ind w:left="620" w:hanging="305"/>
        <w:spacing w:after="0"/>
        <w:tabs>
          <w:tab w:leader="none" w:pos="620" w:val="left"/>
        </w:tabs>
        <w:numPr>
          <w:ilvl w:val="0"/>
          <w:numId w:val="22"/>
        </w:numPr>
        <w:rPr>
          <w:rFonts w:ascii="Arial" w:cs="Arial" w:eastAsia="Arial" w:hAnsi="Arial"/>
          <w:sz w:val="16"/>
          <w:szCs w:val="16"/>
          <w:color w:val="auto"/>
        </w:rPr>
      </w:pPr>
      <w:r>
        <w:rPr>
          <w:rFonts w:ascii="Arial" w:cs="Arial" w:eastAsia="Arial" w:hAnsi="Arial"/>
          <w:sz w:val="18"/>
          <w:szCs w:val="18"/>
          <w:b w:val="1"/>
          <w:bCs w:val="1"/>
          <w:color w:val="auto"/>
        </w:rPr>
        <w:t xml:space="preserve">McDonald’s Corporation, </w:t>
      </w:r>
      <w:r>
        <w:rPr>
          <w:rFonts w:ascii="Arial" w:cs="Arial" w:eastAsia="Arial" w:hAnsi="Arial"/>
          <w:sz w:val="16"/>
          <w:szCs w:val="16"/>
          <w:color w:val="auto"/>
        </w:rPr>
        <w:t>a leading food service retailer</w:t>
      </w:r>
    </w:p>
    <w:p>
      <w:pPr>
        <w:spacing w:after="0" w:line="67"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4"/>
          <w:szCs w:val="14"/>
          <w:color w:val="auto"/>
        </w:rPr>
        <w:t xml:space="preserve">–   </w:t>
      </w:r>
      <w:r>
        <w:rPr>
          <w:rFonts w:ascii="Arial" w:cs="Arial" w:eastAsia="Arial" w:hAnsi="Arial"/>
          <w:sz w:val="16"/>
          <w:szCs w:val="16"/>
          <w:color w:val="auto"/>
        </w:rPr>
        <w:t>President and Chief Operating Officer (2006 - 2009)</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00A1DE"/>
        </w:rPr>
        <w:t>OTHER HIGHLIGHTS</w:t>
      </w:r>
    </w:p>
    <w:p>
      <w:pPr>
        <w:spacing w:after="0" w:line="68" w:lineRule="exact"/>
        <w:rPr>
          <w:sz w:val="20"/>
          <w:szCs w:val="20"/>
          <w:color w:val="auto"/>
        </w:rPr>
      </w:pPr>
    </w:p>
    <w:p>
      <w:pPr>
        <w:ind w:left="620" w:hanging="305"/>
        <w:spacing w:after="0"/>
        <w:tabs>
          <w:tab w:leader="none" w:pos="6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Member, University of Miami President’s Council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3698240</wp:posOffset>
            </wp:positionV>
            <wp:extent cx="213995" cy="2146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13995" cy="214630"/>
                    </a:xfrm>
                    <a:prstGeom prst="rect">
                      <a:avLst/>
                    </a:prstGeom>
                    <a:noFill/>
                  </pic:spPr>
                </pic:pic>
              </a:graphicData>
            </a:graphic>
          </wp:anchor>
        </w:drawing>
        <w:drawing>
          <wp:anchor simplePos="0" relativeHeight="251657728" behindDoc="1" locked="0" layoutInCell="0" allowOverlap="1">
            <wp:simplePos x="0" y="0"/>
            <wp:positionH relativeFrom="column">
              <wp:posOffset>805815</wp:posOffset>
            </wp:positionH>
            <wp:positionV relativeFrom="paragraph">
              <wp:posOffset>3698240</wp:posOffset>
            </wp:positionV>
            <wp:extent cx="214630" cy="2146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1731645</wp:posOffset>
            </wp:positionH>
            <wp:positionV relativeFrom="paragraph">
              <wp:posOffset>3698240</wp:posOffset>
            </wp:positionV>
            <wp:extent cx="214630" cy="2146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2597785</wp:posOffset>
            </wp:positionH>
            <wp:positionV relativeFrom="paragraph">
              <wp:posOffset>3698240</wp:posOffset>
            </wp:positionV>
            <wp:extent cx="214630" cy="2146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pacing w:after="0" w:line="821" w:lineRule="exact"/>
        <w:rPr>
          <w:sz w:val="20"/>
          <w:szCs w:val="20"/>
          <w:color w:val="auto"/>
        </w:rPr>
      </w:pPr>
    </w:p>
    <w:p>
      <w:pPr>
        <w:sectPr>
          <w:pgSz w:w="11900" w:h="16838" w:orient="portrait"/>
          <w:cols w:equalWidth="0" w:num="2">
            <w:col w:w="2180" w:space="460"/>
            <w:col w:w="7499"/>
          </w:cols>
          <w:pgMar w:left="320" w:top="108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1620" w:type="dxa"/>
        <w:tblCellMar>
          <w:top w:w="0" w:type="dxa"/>
          <w:left w:w="0" w:type="dxa"/>
          <w:bottom w:w="0" w:type="dxa"/>
          <w:right w:w="0" w:type="dxa"/>
        </w:tblCellMar>
      </w:tblPr>
      <w:tr>
        <w:trPr>
          <w:trHeight w:val="175"/>
        </w:trPr>
        <w:tc>
          <w:tcPr>
            <w:tcW w:w="1340" w:type="dxa"/>
            <w:vAlign w:val="bottom"/>
          </w:tcPr>
          <w:p>
            <w:pPr>
              <w:jc w:val="center"/>
              <w:ind w:right="488"/>
              <w:spacing w:after="0"/>
              <w:rPr>
                <w:sz w:val="20"/>
                <w:szCs w:val="20"/>
                <w:color w:val="auto"/>
              </w:rPr>
            </w:pPr>
            <w:r>
              <w:rPr>
                <w:rFonts w:ascii="Arial" w:cs="Arial" w:eastAsia="Arial" w:hAnsi="Arial"/>
                <w:sz w:val="14"/>
                <w:szCs w:val="14"/>
                <w:b w:val="1"/>
                <w:bCs w:val="1"/>
                <w:color w:val="auto"/>
                <w:w w:val="98"/>
              </w:rPr>
              <w:t>CEO</w:t>
            </w:r>
          </w:p>
        </w:tc>
        <w:tc>
          <w:tcPr>
            <w:tcW w:w="80" w:type="dxa"/>
            <w:vAlign w:val="bottom"/>
          </w:tcPr>
          <w:p>
            <w:pPr>
              <w:spacing w:after="0"/>
              <w:rPr>
                <w:sz w:val="15"/>
                <w:szCs w:val="15"/>
                <w:color w:val="auto"/>
              </w:rPr>
            </w:pPr>
          </w:p>
        </w:tc>
        <w:tc>
          <w:tcPr>
            <w:tcW w:w="1300" w:type="dxa"/>
            <w:vAlign w:val="bottom"/>
          </w:tcPr>
          <w:p>
            <w:pPr>
              <w:jc w:val="center"/>
              <w:ind w:right="528"/>
              <w:spacing w:after="0"/>
              <w:rPr>
                <w:sz w:val="20"/>
                <w:szCs w:val="20"/>
                <w:color w:val="auto"/>
              </w:rPr>
            </w:pPr>
            <w:r>
              <w:rPr>
                <w:rFonts w:ascii="Arial" w:cs="Arial" w:eastAsia="Arial" w:hAnsi="Arial"/>
                <w:sz w:val="14"/>
                <w:szCs w:val="14"/>
                <w:b w:val="1"/>
                <w:bCs w:val="1"/>
                <w:color w:val="auto"/>
              </w:rPr>
              <w:t>Finance /</w:t>
            </w:r>
          </w:p>
        </w:tc>
        <w:tc>
          <w:tcPr>
            <w:tcW w:w="1320" w:type="dxa"/>
            <w:vAlign w:val="bottom"/>
          </w:tcPr>
          <w:p>
            <w:pPr>
              <w:jc w:val="center"/>
              <w:ind w:right="308"/>
              <w:spacing w:after="0"/>
              <w:rPr>
                <w:sz w:val="20"/>
                <w:szCs w:val="20"/>
                <w:color w:val="auto"/>
              </w:rPr>
            </w:pPr>
            <w:r>
              <w:rPr>
                <w:rFonts w:ascii="Arial" w:cs="Arial" w:eastAsia="Arial" w:hAnsi="Arial"/>
                <w:sz w:val="14"/>
                <w:szCs w:val="14"/>
                <w:b w:val="1"/>
                <w:bCs w:val="1"/>
                <w:color w:val="auto"/>
              </w:rPr>
              <w:t>International</w:t>
            </w:r>
          </w:p>
        </w:tc>
        <w:tc>
          <w:tcPr>
            <w:tcW w:w="1480" w:type="dxa"/>
            <w:vAlign w:val="bottom"/>
            <w:gridSpan w:val="2"/>
          </w:tcPr>
          <w:p>
            <w:pPr>
              <w:jc w:val="center"/>
              <w:ind w:right="308"/>
              <w:spacing w:after="0"/>
              <w:rPr>
                <w:sz w:val="20"/>
                <w:szCs w:val="20"/>
                <w:color w:val="auto"/>
              </w:rPr>
            </w:pPr>
            <w:r>
              <w:rPr>
                <w:rFonts w:ascii="Arial" w:cs="Arial" w:eastAsia="Arial" w:hAnsi="Arial"/>
                <w:sz w:val="14"/>
                <w:szCs w:val="14"/>
                <w:b w:val="1"/>
                <w:bCs w:val="1"/>
                <w:color w:val="auto"/>
              </w:rPr>
              <w:t>Healthcare</w:t>
            </w:r>
          </w:p>
        </w:tc>
        <w:tc>
          <w:tcPr>
            <w:tcW w:w="700" w:type="dxa"/>
            <w:vAlign w:val="bottom"/>
          </w:tcPr>
          <w:p>
            <w:pPr>
              <w:ind w:left="20"/>
              <w:spacing w:after="0"/>
              <w:rPr>
                <w:sz w:val="20"/>
                <w:szCs w:val="20"/>
                <w:color w:val="auto"/>
              </w:rPr>
            </w:pPr>
            <w:r>
              <w:rPr>
                <w:rFonts w:ascii="Arial" w:cs="Arial" w:eastAsia="Arial" w:hAnsi="Arial"/>
                <w:sz w:val="14"/>
                <w:szCs w:val="14"/>
                <w:b w:val="1"/>
                <w:bCs w:val="1"/>
                <w:color w:val="auto"/>
              </w:rPr>
              <w:t>Science /</w:t>
            </w:r>
          </w:p>
        </w:tc>
        <w:tc>
          <w:tcPr>
            <w:tcW w:w="0" w:type="dxa"/>
            <w:vAlign w:val="bottom"/>
          </w:tcPr>
          <w:p>
            <w:pPr>
              <w:spacing w:after="0"/>
              <w:rPr>
                <w:sz w:val="1"/>
                <w:szCs w:val="1"/>
                <w:color w:val="auto"/>
              </w:rPr>
            </w:pPr>
          </w:p>
        </w:tc>
      </w:tr>
      <w:tr>
        <w:trPr>
          <w:trHeight w:val="196"/>
        </w:trPr>
        <w:tc>
          <w:tcPr>
            <w:tcW w:w="1340" w:type="dxa"/>
            <w:vAlign w:val="bottom"/>
          </w:tcPr>
          <w:p>
            <w:pPr>
              <w:jc w:val="center"/>
              <w:ind w:right="488"/>
              <w:spacing w:after="0"/>
              <w:rPr>
                <w:sz w:val="20"/>
                <w:szCs w:val="20"/>
                <w:color w:val="auto"/>
              </w:rPr>
            </w:pPr>
            <w:r>
              <w:rPr>
                <w:rFonts w:ascii="Arial" w:cs="Arial" w:eastAsia="Arial" w:hAnsi="Arial"/>
                <w:sz w:val="14"/>
                <w:szCs w:val="14"/>
                <w:b w:val="1"/>
                <w:bCs w:val="1"/>
                <w:color w:val="auto"/>
              </w:rPr>
              <w:t>Leadership</w:t>
            </w:r>
          </w:p>
        </w:tc>
        <w:tc>
          <w:tcPr>
            <w:tcW w:w="1380" w:type="dxa"/>
            <w:vAlign w:val="bottom"/>
            <w:gridSpan w:val="2"/>
          </w:tcPr>
          <w:p>
            <w:pPr>
              <w:jc w:val="center"/>
              <w:ind w:right="468"/>
              <w:spacing w:after="0"/>
              <w:rPr>
                <w:sz w:val="20"/>
                <w:szCs w:val="20"/>
                <w:color w:val="auto"/>
              </w:rPr>
            </w:pPr>
            <w:r>
              <w:rPr>
                <w:rFonts w:ascii="Arial" w:cs="Arial" w:eastAsia="Arial" w:hAnsi="Arial"/>
                <w:sz w:val="14"/>
                <w:szCs w:val="14"/>
                <w:b w:val="1"/>
                <w:bCs w:val="1"/>
                <w:color w:val="auto"/>
              </w:rPr>
              <w:t>Accounting</w:t>
            </w:r>
          </w:p>
        </w:tc>
        <w:tc>
          <w:tcPr>
            <w:tcW w:w="1320" w:type="dxa"/>
            <w:vAlign w:val="bottom"/>
          </w:tcPr>
          <w:p>
            <w:pPr>
              <w:jc w:val="center"/>
              <w:ind w:right="328"/>
              <w:spacing w:after="0"/>
              <w:rPr>
                <w:sz w:val="20"/>
                <w:szCs w:val="20"/>
                <w:color w:val="auto"/>
              </w:rPr>
            </w:pPr>
            <w:r>
              <w:rPr>
                <w:rFonts w:ascii="Arial" w:cs="Arial" w:eastAsia="Arial" w:hAnsi="Arial"/>
                <w:sz w:val="14"/>
                <w:szCs w:val="14"/>
                <w:b w:val="1"/>
                <w:bCs w:val="1"/>
                <w:color w:val="auto"/>
              </w:rPr>
              <w:t>Business</w:t>
            </w:r>
          </w:p>
        </w:tc>
        <w:tc>
          <w:tcPr>
            <w:tcW w:w="260" w:type="dxa"/>
            <w:vAlign w:val="bottom"/>
          </w:tcPr>
          <w:p>
            <w:pPr>
              <w:spacing w:after="0"/>
              <w:rPr>
                <w:sz w:val="17"/>
                <w:szCs w:val="17"/>
                <w:color w:val="auto"/>
              </w:rPr>
            </w:pPr>
          </w:p>
        </w:tc>
        <w:tc>
          <w:tcPr>
            <w:tcW w:w="1220" w:type="dxa"/>
            <w:vAlign w:val="bottom"/>
          </w:tcPr>
          <w:p>
            <w:pPr>
              <w:jc w:val="center"/>
              <w:ind w:right="568"/>
              <w:spacing w:after="0"/>
              <w:rPr>
                <w:sz w:val="20"/>
                <w:szCs w:val="20"/>
                <w:color w:val="auto"/>
              </w:rPr>
            </w:pPr>
            <w:r>
              <w:rPr>
                <w:rFonts w:ascii="Arial" w:cs="Arial" w:eastAsia="Arial" w:hAnsi="Arial"/>
                <w:sz w:val="14"/>
                <w:szCs w:val="14"/>
                <w:b w:val="1"/>
                <w:bCs w:val="1"/>
                <w:color w:val="auto"/>
              </w:rPr>
              <w:t>Industry</w:t>
            </w:r>
          </w:p>
        </w:tc>
        <w:tc>
          <w:tcPr>
            <w:tcW w:w="700" w:type="dxa"/>
            <w:vAlign w:val="bottom"/>
          </w:tcPr>
          <w:p>
            <w:pPr>
              <w:ind w:left="20"/>
              <w:spacing w:after="0"/>
              <w:rPr>
                <w:sz w:val="20"/>
                <w:szCs w:val="20"/>
                <w:color w:val="auto"/>
              </w:rPr>
            </w:pPr>
            <w:r>
              <w:rPr>
                <w:rFonts w:ascii="Arial" w:cs="Arial" w:eastAsia="Arial" w:hAnsi="Arial"/>
                <w:sz w:val="14"/>
                <w:szCs w:val="14"/>
                <w:b w:val="1"/>
                <w:bCs w:val="1"/>
                <w:color w:val="auto"/>
                <w:w w:val="99"/>
              </w:rPr>
              <w:t>Academia</w:t>
            </w:r>
          </w:p>
        </w:tc>
        <w:tc>
          <w:tcPr>
            <w:tcW w:w="0" w:type="dxa"/>
            <w:vAlign w:val="bottom"/>
          </w:tcPr>
          <w:p>
            <w:pPr>
              <w:spacing w:after="0"/>
              <w:rPr>
                <w:sz w:val="1"/>
                <w:szCs w:val="1"/>
                <w:color w:val="auto"/>
              </w:rPr>
            </w:pPr>
          </w:p>
        </w:tc>
      </w:tr>
      <w:tr>
        <w:trPr>
          <w:trHeight w:val="434"/>
        </w:trPr>
        <w:tc>
          <w:tcPr>
            <w:tcW w:w="1340" w:type="dxa"/>
            <w:vAlign w:val="bottom"/>
          </w:tcPr>
          <w:p>
            <w:pPr>
              <w:ind w:left="480"/>
              <w:spacing w:after="0"/>
              <w:rPr>
                <w:sz w:val="20"/>
                <w:szCs w:val="20"/>
                <w:color w:val="auto"/>
              </w:rPr>
            </w:pPr>
            <w:r>
              <w:rPr>
                <w:rFonts w:ascii="Arial" w:cs="Arial" w:eastAsia="Arial" w:hAnsi="Arial"/>
                <w:sz w:val="14"/>
                <w:szCs w:val="14"/>
                <w:b w:val="1"/>
                <w:bCs w:val="1"/>
                <w:color w:val="auto"/>
              </w:rPr>
              <w:t>Government</w:t>
            </w:r>
          </w:p>
        </w:tc>
        <w:tc>
          <w:tcPr>
            <w:tcW w:w="80" w:type="dxa"/>
            <w:vAlign w:val="bottom"/>
          </w:tcPr>
          <w:p>
            <w:pPr>
              <w:spacing w:after="0"/>
              <w:rPr>
                <w:sz w:val="24"/>
                <w:szCs w:val="24"/>
                <w:color w:val="auto"/>
              </w:rPr>
            </w:pPr>
          </w:p>
        </w:tc>
        <w:tc>
          <w:tcPr>
            <w:tcW w:w="1300" w:type="dxa"/>
            <w:vAlign w:val="bottom"/>
            <w:vMerge w:val="restart"/>
          </w:tcPr>
          <w:p>
            <w:pPr>
              <w:ind w:left="600"/>
              <w:spacing w:after="0"/>
              <w:rPr>
                <w:sz w:val="20"/>
                <w:szCs w:val="20"/>
                <w:color w:val="auto"/>
              </w:rPr>
            </w:pPr>
            <w:r>
              <w:rPr>
                <w:rFonts w:ascii="Arial" w:cs="Arial" w:eastAsia="Arial" w:hAnsi="Arial"/>
                <w:sz w:val="14"/>
                <w:szCs w:val="14"/>
                <w:b w:val="1"/>
                <w:bCs w:val="1"/>
                <w:color w:val="auto"/>
              </w:rPr>
              <w:t>Sales /</w:t>
            </w:r>
          </w:p>
        </w:tc>
        <w:tc>
          <w:tcPr>
            <w:tcW w:w="1580" w:type="dxa"/>
            <w:vAlign w:val="bottom"/>
            <w:gridSpan w:val="2"/>
            <w:vMerge w:val="restart"/>
          </w:tcPr>
          <w:p>
            <w:pPr>
              <w:ind w:left="700"/>
              <w:spacing w:after="0"/>
              <w:rPr>
                <w:sz w:val="20"/>
                <w:szCs w:val="20"/>
                <w:color w:val="auto"/>
              </w:rPr>
            </w:pPr>
            <w:r>
              <w:rPr>
                <w:rFonts w:ascii="Arial" w:cs="Arial" w:eastAsia="Arial" w:hAnsi="Arial"/>
                <w:sz w:val="14"/>
                <w:szCs w:val="14"/>
                <w:b w:val="1"/>
                <w:bCs w:val="1"/>
                <w:color w:val="auto"/>
                <w:w w:val="99"/>
              </w:rPr>
              <w:t>Technology /</w:t>
            </w:r>
          </w:p>
        </w:tc>
        <w:tc>
          <w:tcPr>
            <w:tcW w:w="1920" w:type="dxa"/>
            <w:vAlign w:val="bottom"/>
            <w:gridSpan w:val="2"/>
            <w:vMerge w:val="restart"/>
          </w:tcPr>
          <w:p>
            <w:pPr>
              <w:ind w:left="620"/>
              <w:spacing w:after="0"/>
              <w:rPr>
                <w:sz w:val="20"/>
                <w:szCs w:val="20"/>
                <w:color w:val="auto"/>
              </w:rPr>
            </w:pPr>
            <w:r>
              <w:rPr>
                <w:rFonts w:ascii="Arial" w:cs="Arial" w:eastAsia="Arial" w:hAnsi="Arial"/>
                <w:sz w:val="14"/>
                <w:szCs w:val="14"/>
                <w:b w:val="1"/>
                <w:bCs w:val="1"/>
                <w:color w:val="auto"/>
              </w:rPr>
              <w:t>Operations /</w:t>
            </w:r>
          </w:p>
        </w:tc>
        <w:tc>
          <w:tcPr>
            <w:tcW w:w="0" w:type="dxa"/>
            <w:vAlign w:val="bottom"/>
          </w:tcPr>
          <w:p>
            <w:pPr>
              <w:spacing w:after="0"/>
              <w:rPr>
                <w:sz w:val="1"/>
                <w:szCs w:val="1"/>
                <w:color w:val="auto"/>
              </w:rPr>
            </w:pPr>
          </w:p>
        </w:tc>
      </w:tr>
      <w:tr>
        <w:trPr>
          <w:trHeight w:val="135"/>
        </w:trPr>
        <w:tc>
          <w:tcPr>
            <w:tcW w:w="1340" w:type="dxa"/>
            <w:vAlign w:val="bottom"/>
          </w:tcPr>
          <w:p>
            <w:pPr>
              <w:ind w:left="480"/>
              <w:spacing w:after="0" w:line="135" w:lineRule="exact"/>
              <w:rPr>
                <w:sz w:val="20"/>
                <w:szCs w:val="20"/>
                <w:color w:val="auto"/>
              </w:rPr>
            </w:pPr>
            <w:r>
              <w:rPr>
                <w:rFonts w:ascii="Arial" w:cs="Arial" w:eastAsia="Arial" w:hAnsi="Arial"/>
                <w:sz w:val="14"/>
                <w:szCs w:val="14"/>
                <w:b w:val="1"/>
                <w:bCs w:val="1"/>
                <w:color w:val="auto"/>
              </w:rPr>
              <w:t>Relations /</w:t>
            </w:r>
          </w:p>
        </w:tc>
        <w:tc>
          <w:tcPr>
            <w:tcW w:w="80" w:type="dxa"/>
            <w:vAlign w:val="bottom"/>
          </w:tcPr>
          <w:p>
            <w:pPr>
              <w:spacing w:after="0"/>
              <w:rPr>
                <w:sz w:val="11"/>
                <w:szCs w:val="11"/>
                <w:color w:val="auto"/>
              </w:rPr>
            </w:pPr>
          </w:p>
        </w:tc>
        <w:tc>
          <w:tcPr>
            <w:tcW w:w="1300" w:type="dxa"/>
            <w:vAlign w:val="bottom"/>
            <w:vMerge w:val="continue"/>
          </w:tcPr>
          <w:p>
            <w:pPr>
              <w:spacing w:after="0"/>
              <w:rPr>
                <w:sz w:val="11"/>
                <w:szCs w:val="11"/>
                <w:color w:val="auto"/>
              </w:rPr>
            </w:pPr>
          </w:p>
        </w:tc>
        <w:tc>
          <w:tcPr>
            <w:tcW w:w="1580" w:type="dxa"/>
            <w:vAlign w:val="bottom"/>
            <w:gridSpan w:val="2"/>
            <w:vMerge w:val="continue"/>
          </w:tcPr>
          <w:p>
            <w:pPr>
              <w:spacing w:after="0"/>
              <w:rPr>
                <w:sz w:val="11"/>
                <w:szCs w:val="11"/>
                <w:color w:val="auto"/>
              </w:rPr>
            </w:pPr>
          </w:p>
        </w:tc>
        <w:tc>
          <w:tcPr>
            <w:tcW w:w="19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1420" w:type="dxa"/>
            <w:vAlign w:val="bottom"/>
            <w:gridSpan w:val="2"/>
          </w:tcPr>
          <w:p>
            <w:pPr>
              <w:ind w:left="480"/>
              <w:spacing w:after="0"/>
              <w:rPr>
                <w:sz w:val="20"/>
                <w:szCs w:val="20"/>
                <w:color w:val="auto"/>
              </w:rPr>
            </w:pPr>
            <w:r>
              <w:rPr>
                <w:rFonts w:ascii="Arial" w:cs="Arial" w:eastAsia="Arial" w:hAnsi="Arial"/>
                <w:sz w:val="14"/>
                <w:szCs w:val="14"/>
                <w:b w:val="1"/>
                <w:bCs w:val="1"/>
                <w:color w:val="auto"/>
              </w:rPr>
              <w:t>Public Policy</w:t>
            </w:r>
          </w:p>
        </w:tc>
        <w:tc>
          <w:tcPr>
            <w:tcW w:w="1300" w:type="dxa"/>
            <w:vAlign w:val="bottom"/>
          </w:tcPr>
          <w:p>
            <w:pPr>
              <w:ind w:left="600"/>
              <w:spacing w:after="0"/>
              <w:rPr>
                <w:sz w:val="20"/>
                <w:szCs w:val="20"/>
                <w:color w:val="auto"/>
              </w:rPr>
            </w:pPr>
            <w:r>
              <w:rPr>
                <w:rFonts w:ascii="Arial" w:cs="Arial" w:eastAsia="Arial" w:hAnsi="Arial"/>
                <w:sz w:val="14"/>
                <w:szCs w:val="14"/>
                <w:b w:val="1"/>
                <w:bCs w:val="1"/>
                <w:color w:val="auto"/>
              </w:rPr>
              <w:t>Marketing</w:t>
            </w:r>
          </w:p>
        </w:tc>
        <w:tc>
          <w:tcPr>
            <w:tcW w:w="1320" w:type="dxa"/>
            <w:vAlign w:val="bottom"/>
          </w:tcPr>
          <w:p>
            <w:pPr>
              <w:ind w:left="700"/>
              <w:spacing w:after="0"/>
              <w:rPr>
                <w:sz w:val="20"/>
                <w:szCs w:val="20"/>
                <w:color w:val="auto"/>
              </w:rPr>
            </w:pPr>
            <w:r>
              <w:rPr>
                <w:rFonts w:ascii="Arial" w:cs="Arial" w:eastAsia="Arial" w:hAnsi="Arial"/>
                <w:sz w:val="14"/>
                <w:szCs w:val="14"/>
                <w:b w:val="1"/>
                <w:bCs w:val="1"/>
                <w:color w:val="auto"/>
              </w:rPr>
              <w:t>Digital</w:t>
            </w:r>
          </w:p>
        </w:tc>
        <w:tc>
          <w:tcPr>
            <w:tcW w:w="260" w:type="dxa"/>
            <w:vAlign w:val="bottom"/>
          </w:tcPr>
          <w:p>
            <w:pPr>
              <w:spacing w:after="0"/>
              <w:rPr>
                <w:sz w:val="17"/>
                <w:szCs w:val="17"/>
                <w:color w:val="auto"/>
              </w:rPr>
            </w:pPr>
          </w:p>
        </w:tc>
        <w:tc>
          <w:tcPr>
            <w:tcW w:w="1220" w:type="dxa"/>
            <w:vAlign w:val="bottom"/>
          </w:tcPr>
          <w:p>
            <w:pPr>
              <w:ind w:left="620"/>
              <w:spacing w:after="0"/>
              <w:rPr>
                <w:sz w:val="20"/>
                <w:szCs w:val="20"/>
                <w:color w:val="auto"/>
              </w:rPr>
            </w:pPr>
            <w:r>
              <w:rPr>
                <w:rFonts w:ascii="Arial" w:cs="Arial" w:eastAsia="Arial" w:hAnsi="Arial"/>
                <w:sz w:val="14"/>
                <w:szCs w:val="14"/>
                <w:b w:val="1"/>
                <w:bCs w:val="1"/>
                <w:color w:val="auto"/>
              </w:rPr>
              <w:t>Strategy</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1042035</wp:posOffset>
            </wp:positionH>
            <wp:positionV relativeFrom="paragraph">
              <wp:posOffset>-255270</wp:posOffset>
            </wp:positionV>
            <wp:extent cx="214630" cy="2146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2002155</wp:posOffset>
            </wp:positionH>
            <wp:positionV relativeFrom="paragraph">
              <wp:posOffset>-255270</wp:posOffset>
            </wp:positionV>
            <wp:extent cx="214630" cy="2146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2876550</wp:posOffset>
            </wp:positionH>
            <wp:positionV relativeFrom="paragraph">
              <wp:posOffset>-255270</wp:posOffset>
            </wp:positionV>
            <wp:extent cx="214630" cy="2146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-255270</wp:posOffset>
            </wp:positionV>
            <wp:extent cx="214630" cy="2146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ectPr>
          <w:pgSz w:w="11900" w:h="16838" w:orient="portrait"/>
          <w:cols w:equalWidth="0" w:num="1">
            <w:col w:w="10139"/>
          </w:cols>
          <w:pgMar w:left="320" w:top="1088" w:right="1440" w:bottom="1440" w:gutter="0" w:footer="0" w:header="0"/>
          <w:type w:val="continuous"/>
        </w:sectPr>
      </w:pPr>
    </w:p>
    <w:p>
      <w:pPr>
        <w:spacing w:after="0" w:line="200" w:lineRule="exact"/>
        <w:rPr>
          <w:sz w:val="20"/>
          <w:szCs w:val="20"/>
          <w:color w:val="auto"/>
        </w:rPr>
      </w:pPr>
    </w:p>
    <w:p>
      <w:pPr>
        <w:spacing w:after="0" w:line="315"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154940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88" w:right="1440" w:bottom="1440" w:gutter="0" w:footer="0" w:header="0"/>
          <w:type w:val="continuous"/>
        </w:sectPr>
      </w:pPr>
    </w:p>
    <w:bookmarkStart w:id="18" w:name="page19"/>
    <w:bookmarkEnd w:id="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267970</wp:posOffset>
            </wp:positionH>
            <wp:positionV relativeFrom="page">
              <wp:posOffset>980440</wp:posOffset>
            </wp:positionV>
            <wp:extent cx="1311275" cy="131127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clrChange>
                        <a:clrFrom>
                          <a:srgbClr val="FFFFFF"/>
                        </a:clrFrom>
                        <a:clrTo>
                          <a:srgbClr val="FFFFFF">
                            <a:alpha val="0"/>
                          </a:srgbClr>
                        </a:clrTo>
                      </a:clrChange>
                      <a:extLst>
                        <a:ext uri="{28A0092B-C50C-407E-A947-70E740481C1C}"/>
                      </a:extLst>
                    </a:blip>
                    <a:srcRect/>
                    <a:stretch>
                      <a:fillRect/>
                    </a:stretch>
                  </pic:blipFill>
                  <pic:spPr bwMode="auto">
                    <a:xfrm>
                      <a:off x="0" y="0"/>
                      <a:ext cx="1311275" cy="131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right="140"/>
        <w:spacing w:after="0" w:line="247" w:lineRule="auto"/>
        <w:rPr>
          <w:sz w:val="20"/>
          <w:szCs w:val="20"/>
          <w:color w:val="auto"/>
        </w:rPr>
      </w:pPr>
      <w:r>
        <w:rPr>
          <w:rFonts w:ascii="Arial" w:cs="Arial" w:eastAsia="Arial" w:hAnsi="Arial"/>
          <w:sz w:val="22"/>
          <w:szCs w:val="22"/>
          <w:b w:val="1"/>
          <w:bCs w:val="1"/>
          <w:color w:val="EF3729"/>
        </w:rPr>
        <w:t>Mary Lynne Hedley,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143129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431290" cy="8255"/>
                    </a:xfrm>
                    <a:prstGeom prst="rect">
                      <a:avLst/>
                    </a:prstGeom>
                    <a:noFill/>
                  </pic:spPr>
                </pic:pic>
              </a:graphicData>
            </a:graphic>
          </wp:anchor>
        </w:drawing>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Age</w:t>
      </w:r>
      <w:r>
        <w:rPr>
          <w:rFonts w:ascii="Arial" w:cs="Arial" w:eastAsia="Arial" w:hAnsi="Arial"/>
          <w:sz w:val="16"/>
          <w:szCs w:val="16"/>
          <w:color w:val="auto"/>
        </w:rPr>
        <w:t>: 62</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 since</w:t>
      </w:r>
      <w:r>
        <w:rPr>
          <w:rFonts w:ascii="Arial" w:cs="Arial" w:eastAsia="Arial" w:hAnsi="Arial"/>
          <w:sz w:val="16"/>
          <w:szCs w:val="16"/>
          <w:color w:val="auto"/>
        </w:rPr>
        <w:t>: 2022</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Committees:</w:t>
      </w:r>
    </w:p>
    <w:p>
      <w:pPr>
        <w:spacing w:after="0" w:line="59" w:lineRule="exact"/>
        <w:rPr>
          <w:sz w:val="20"/>
          <w:szCs w:val="20"/>
          <w:color w:val="auto"/>
        </w:rPr>
      </w:pPr>
    </w:p>
    <w:p>
      <w:pPr>
        <w:ind w:left="16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6"/>
          <w:szCs w:val="16"/>
          <w:color w:val="auto"/>
        </w:rPr>
        <w:t>Ethics and Compliance</w:t>
      </w:r>
    </w:p>
    <w:p>
      <w:pPr>
        <w:spacing w:after="0" w:line="72" w:lineRule="exact"/>
        <w:rPr>
          <w:sz w:val="20"/>
          <w:szCs w:val="20"/>
          <w:color w:val="auto"/>
        </w:rPr>
      </w:pPr>
    </w:p>
    <w:p>
      <w:pPr>
        <w:ind w:left="16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6"/>
          <w:szCs w:val="16"/>
          <w:color w:val="auto"/>
        </w:rPr>
        <w:t>Science and Technology</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Public Boards:</w:t>
      </w:r>
    </w:p>
    <w:p>
      <w:pPr>
        <w:spacing w:after="0" w:line="59" w:lineRule="exact"/>
        <w:rPr>
          <w:sz w:val="20"/>
          <w:szCs w:val="20"/>
          <w:color w:val="auto"/>
        </w:rPr>
      </w:pPr>
    </w:p>
    <w:p>
      <w:pPr>
        <w:ind w:left="16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6"/>
          <w:szCs w:val="16"/>
          <w:color w:val="auto"/>
        </w:rPr>
        <w:t>VEEVA Systems Inc.</w:t>
      </w:r>
    </w:p>
    <w:p>
      <w:pPr>
        <w:spacing w:after="0" w:line="72" w:lineRule="exact"/>
        <w:rPr>
          <w:sz w:val="20"/>
          <w:szCs w:val="20"/>
          <w:color w:val="auto"/>
        </w:rPr>
      </w:pPr>
    </w:p>
    <w:p>
      <w:pPr>
        <w:ind w:left="340" w:right="380" w:hanging="162"/>
        <w:spacing w:after="0" w:line="286" w:lineRule="auto"/>
        <w:rPr>
          <w:sz w:val="20"/>
          <w:szCs w:val="20"/>
          <w:color w:val="auto"/>
        </w:rPr>
      </w:pPr>
      <w:r>
        <w:rPr>
          <w:rFonts w:ascii="Arial" w:cs="Arial" w:eastAsia="Arial" w:hAnsi="Arial"/>
          <w:sz w:val="14"/>
          <w:szCs w:val="14"/>
          <w:color w:val="auto"/>
        </w:rPr>
        <w:t xml:space="preserve">– </w:t>
      </w:r>
      <w:r>
        <w:rPr>
          <w:rFonts w:ascii="Arial" w:cs="Arial" w:eastAsia="Arial" w:hAnsi="Arial"/>
          <w:sz w:val="16"/>
          <w:szCs w:val="16"/>
          <w:color w:val="auto"/>
        </w:rPr>
        <w:t>Centessa</w:t>
      </w:r>
      <w:r>
        <w:rPr>
          <w:rFonts w:ascii="Arial" w:cs="Arial" w:eastAsia="Arial" w:hAnsi="Arial"/>
          <w:sz w:val="14"/>
          <w:szCs w:val="14"/>
          <w:color w:val="auto"/>
        </w:rPr>
        <w:t xml:space="preserve"> </w:t>
      </w:r>
      <w:r>
        <w:rPr>
          <w:rFonts w:ascii="Arial" w:cs="Arial" w:eastAsia="Arial" w:hAnsi="Arial"/>
          <w:sz w:val="16"/>
          <w:szCs w:val="16"/>
          <w:color w:val="auto"/>
        </w:rPr>
        <w:t>Pharmaceuticals plc</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Prior Public Boards:</w:t>
      </w:r>
    </w:p>
    <w:p>
      <w:pPr>
        <w:spacing w:after="0" w:line="59" w:lineRule="exact"/>
        <w:rPr>
          <w:sz w:val="20"/>
          <w:szCs w:val="20"/>
          <w:color w:val="auto"/>
        </w:rPr>
      </w:pPr>
    </w:p>
    <w:p>
      <w:pPr>
        <w:ind w:left="340" w:right="200" w:hanging="162"/>
        <w:spacing w:after="0" w:line="286" w:lineRule="auto"/>
        <w:rPr>
          <w:sz w:val="20"/>
          <w:szCs w:val="20"/>
          <w:color w:val="auto"/>
        </w:rPr>
      </w:pPr>
      <w:r>
        <w:rPr>
          <w:rFonts w:ascii="Arial" w:cs="Arial" w:eastAsia="Arial" w:hAnsi="Arial"/>
          <w:sz w:val="14"/>
          <w:szCs w:val="14"/>
          <w:color w:val="auto"/>
        </w:rPr>
        <w:t xml:space="preserve">– </w:t>
      </w:r>
      <w:r>
        <w:rPr>
          <w:rFonts w:ascii="Arial" w:cs="Arial" w:eastAsia="Arial" w:hAnsi="Arial"/>
          <w:sz w:val="16"/>
          <w:szCs w:val="16"/>
          <w:color w:val="auto"/>
        </w:rPr>
        <w:t>Millendo Therapeutics,</w:t>
      </w:r>
      <w:r>
        <w:rPr>
          <w:rFonts w:ascii="Arial" w:cs="Arial" w:eastAsia="Arial" w:hAnsi="Arial"/>
          <w:sz w:val="14"/>
          <w:szCs w:val="14"/>
          <w:color w:val="auto"/>
        </w:rPr>
        <w:t xml:space="preserve"> </w:t>
      </w:r>
      <w:r>
        <w:rPr>
          <w:rFonts w:ascii="Arial" w:cs="Arial" w:eastAsia="Arial" w:hAnsi="Arial"/>
          <w:sz w:val="16"/>
          <w:szCs w:val="16"/>
          <w:color w:val="auto"/>
        </w:rPr>
        <w:t>Inc.</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46355</wp:posOffset>
            </wp:positionV>
            <wp:extent cx="1234440" cy="676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34440" cy="676910"/>
                    </a:xfrm>
                    <a:prstGeom prst="rect">
                      <a:avLst/>
                    </a:prstGeom>
                    <a:noFill/>
                  </pic:spPr>
                </pic:pic>
              </a:graphicData>
            </a:graphic>
          </wp:anchor>
        </w:drawing>
        <w:drawing>
          <wp:anchor simplePos="0" relativeHeight="251657728" behindDoc="1" locked="0" layoutInCell="0" allowOverlap="1">
            <wp:simplePos x="0" y="0"/>
            <wp:positionH relativeFrom="column">
              <wp:posOffset>746760</wp:posOffset>
            </wp:positionH>
            <wp:positionV relativeFrom="paragraph">
              <wp:posOffset>3741420</wp:posOffset>
            </wp:positionV>
            <wp:extent cx="214630" cy="2146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FFFFFF"/>
        </w:rPr>
        <w:t>KEY EXPERIENCE AND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-127635</wp:posOffset>
            </wp:positionH>
            <wp:positionV relativeFrom="paragraph">
              <wp:posOffset>-144780</wp:posOffset>
            </wp:positionV>
            <wp:extent cx="4260215" cy="31115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260215" cy="3111500"/>
                    </a:xfrm>
                    <a:prstGeom prst="rect">
                      <a:avLst/>
                    </a:prstGeom>
                    <a:noFill/>
                  </pic:spPr>
                </pic:pic>
              </a:graphicData>
            </a:graphic>
          </wp:anchor>
        </w:drawing>
      </w:r>
    </w:p>
    <w:p>
      <w:pPr>
        <w:spacing w:after="0" w:line="50" w:lineRule="exact"/>
        <w:rPr>
          <w:sz w:val="20"/>
          <w:szCs w:val="20"/>
          <w:color w:val="auto"/>
        </w:rPr>
      </w:pPr>
    </w:p>
    <w:p>
      <w:pPr>
        <w:ind w:right="1139"/>
        <w:spacing w:after="0" w:line="274" w:lineRule="auto"/>
        <w:rPr>
          <w:sz w:val="20"/>
          <w:szCs w:val="20"/>
          <w:color w:val="auto"/>
        </w:rPr>
      </w:pPr>
      <w:r>
        <w:rPr>
          <w:rFonts w:ascii="Arial" w:cs="Arial" w:eastAsia="Arial" w:hAnsi="Arial"/>
          <w:sz w:val="16"/>
          <w:szCs w:val="16"/>
          <w:i w:val="1"/>
          <w:iCs w:val="1"/>
          <w:color w:val="auto"/>
        </w:rPr>
        <w:t>Dr. Hedley’s career has uniquely combined discovery, translational and clinical research and commercialization, bringing to the board extensive business leadership and scientific investigation experience in the biotechnology industry.</w:t>
      </w:r>
    </w:p>
    <w:p>
      <w:pPr>
        <w:spacing w:after="0" w:line="2" w:lineRule="exact"/>
        <w:rPr>
          <w:sz w:val="20"/>
          <w:szCs w:val="20"/>
          <w:color w:val="auto"/>
        </w:rPr>
      </w:pPr>
    </w:p>
    <w:p>
      <w:pPr>
        <w:ind w:left="640" w:right="1199" w:hanging="325"/>
        <w:spacing w:after="0" w:line="262" w:lineRule="auto"/>
        <w:tabs>
          <w:tab w:leader="none" w:pos="629" w:val="left"/>
        </w:tabs>
        <w:numPr>
          <w:ilvl w:val="0"/>
          <w:numId w:val="26"/>
        </w:numPr>
        <w:rPr>
          <w:rFonts w:ascii="Arial" w:cs="Arial" w:eastAsia="Arial" w:hAnsi="Arial"/>
          <w:sz w:val="16"/>
          <w:szCs w:val="16"/>
          <w:color w:val="auto"/>
        </w:rPr>
      </w:pPr>
      <w:r>
        <w:rPr>
          <w:rFonts w:ascii="Arial" w:cs="Arial" w:eastAsia="Arial" w:hAnsi="Arial"/>
          <w:sz w:val="16"/>
          <w:szCs w:val="16"/>
          <w:color w:val="auto"/>
        </w:rPr>
        <w:t>Having served as co-founder, chief executive officer, president, chief scientific officer or chief operating officer of several biotechnology companies throughout her career, Dr. Hedley has experience leading and overseeing the complex operations and risks of these businesses, including building C-suite teams, raising capital, and managing research and development, commercial development, manufacturing and supply chains, quality, regulatory affairs, and corporate strategy.</w:t>
      </w:r>
    </w:p>
    <w:p>
      <w:pPr>
        <w:spacing w:after="0" w:line="11" w:lineRule="exact"/>
        <w:rPr>
          <w:rFonts w:ascii="Arial" w:cs="Arial" w:eastAsia="Arial" w:hAnsi="Arial"/>
          <w:sz w:val="16"/>
          <w:szCs w:val="16"/>
          <w:color w:val="auto"/>
        </w:rPr>
      </w:pPr>
    </w:p>
    <w:p>
      <w:pPr>
        <w:ind w:left="640" w:right="1219" w:hanging="325"/>
        <w:spacing w:after="0" w:line="260" w:lineRule="auto"/>
        <w:tabs>
          <w:tab w:leader="none" w:pos="629" w:val="left"/>
        </w:tabs>
        <w:numPr>
          <w:ilvl w:val="0"/>
          <w:numId w:val="26"/>
        </w:numPr>
        <w:rPr>
          <w:rFonts w:ascii="Arial" w:cs="Arial" w:eastAsia="Arial" w:hAnsi="Arial"/>
          <w:sz w:val="16"/>
          <w:szCs w:val="16"/>
          <w:color w:val="auto"/>
        </w:rPr>
      </w:pPr>
      <w:r>
        <w:rPr>
          <w:rFonts w:ascii="Arial" w:cs="Arial" w:eastAsia="Arial" w:hAnsi="Arial"/>
          <w:sz w:val="16"/>
          <w:szCs w:val="16"/>
          <w:color w:val="auto"/>
        </w:rPr>
        <w:t>Dr. Hedley contributes a wide-ranging perspective on the life science business, acquired through her roles at multiple successful companies and her industry-spanning work advising chief executive officers, venture and life science companies in addition to academic scientists advancing therapeutic drug development while at the Broad Institute.</w:t>
      </w:r>
    </w:p>
    <w:p>
      <w:pPr>
        <w:spacing w:after="0" w:line="29" w:lineRule="exact"/>
        <w:rPr>
          <w:rFonts w:ascii="Arial" w:cs="Arial" w:eastAsia="Arial" w:hAnsi="Arial"/>
          <w:sz w:val="16"/>
          <w:szCs w:val="16"/>
          <w:color w:val="auto"/>
        </w:rPr>
      </w:pPr>
    </w:p>
    <w:p>
      <w:pPr>
        <w:ind w:left="640" w:right="1459" w:hanging="325"/>
        <w:spacing w:after="0" w:line="286" w:lineRule="auto"/>
        <w:tabs>
          <w:tab w:leader="none" w:pos="629" w:val="left"/>
        </w:tabs>
        <w:numPr>
          <w:ilvl w:val="0"/>
          <w:numId w:val="26"/>
        </w:numPr>
        <w:rPr>
          <w:rFonts w:ascii="Arial" w:cs="Arial" w:eastAsia="Arial" w:hAnsi="Arial"/>
          <w:sz w:val="16"/>
          <w:szCs w:val="16"/>
          <w:color w:val="auto"/>
        </w:rPr>
      </w:pPr>
      <w:r>
        <w:rPr>
          <w:rFonts w:ascii="Arial" w:cs="Arial" w:eastAsia="Arial" w:hAnsi="Arial"/>
          <w:sz w:val="16"/>
          <w:szCs w:val="16"/>
          <w:color w:val="auto"/>
        </w:rPr>
        <w:t>Dr. Hedley has substantial experience with developing and commercializing oncology therapeutics, one of Lilly’s core therapeutics areas.</w:t>
      </w:r>
    </w:p>
    <w:p>
      <w:pPr>
        <w:spacing w:after="0" w:line="7" w:lineRule="exact"/>
        <w:rPr>
          <w:rFonts w:ascii="Arial" w:cs="Arial" w:eastAsia="Arial" w:hAnsi="Arial"/>
          <w:sz w:val="16"/>
          <w:szCs w:val="16"/>
          <w:color w:val="auto"/>
        </w:rPr>
      </w:pPr>
    </w:p>
    <w:p>
      <w:pPr>
        <w:ind w:left="640" w:right="1159" w:hanging="325"/>
        <w:spacing w:after="0" w:line="260" w:lineRule="auto"/>
        <w:tabs>
          <w:tab w:leader="none" w:pos="629" w:val="left"/>
        </w:tabs>
        <w:numPr>
          <w:ilvl w:val="0"/>
          <w:numId w:val="26"/>
        </w:numPr>
        <w:rPr>
          <w:rFonts w:ascii="Arial" w:cs="Arial" w:eastAsia="Arial" w:hAnsi="Arial"/>
          <w:sz w:val="16"/>
          <w:szCs w:val="16"/>
          <w:color w:val="auto"/>
        </w:rPr>
      </w:pPr>
      <w:r>
        <w:rPr>
          <w:rFonts w:ascii="Arial" w:cs="Arial" w:eastAsia="Arial" w:hAnsi="Arial"/>
          <w:sz w:val="16"/>
          <w:szCs w:val="16"/>
          <w:color w:val="auto"/>
        </w:rPr>
        <w:t>Dr. Hedley’s service on the boards of directors and board committees of other public companies and not-for-profit entities, and, in particular, as chair or former chair of the nominating and corporate governance committees at each of Veeva Systems and Millendo Therapeutics and the audit committee of Centessa Pharmaceuticals, provides a multifaceted governance perspective.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00A1DE"/>
        </w:rPr>
        <w:t>CAREER HIGHLIGHTS</w:t>
      </w:r>
    </w:p>
    <w:p>
      <w:pPr>
        <w:spacing w:after="0" w:line="63" w:lineRule="exact"/>
        <w:rPr>
          <w:sz w:val="20"/>
          <w:szCs w:val="20"/>
          <w:color w:val="auto"/>
        </w:rPr>
      </w:pPr>
    </w:p>
    <w:p>
      <w:pPr>
        <w:ind w:left="620" w:hanging="305"/>
        <w:spacing w:after="0"/>
        <w:tabs>
          <w:tab w:leader="none" w:pos="620" w:val="left"/>
        </w:tabs>
        <w:numPr>
          <w:ilvl w:val="0"/>
          <w:numId w:val="27"/>
        </w:numPr>
        <w:rPr>
          <w:rFonts w:ascii="Arial" w:cs="Arial" w:eastAsia="Arial" w:hAnsi="Arial"/>
          <w:sz w:val="16"/>
          <w:szCs w:val="16"/>
          <w:color w:val="auto"/>
        </w:rPr>
      </w:pPr>
      <w:r>
        <w:rPr>
          <w:rFonts w:ascii="Arial" w:cs="Arial" w:eastAsia="Arial" w:hAnsi="Arial"/>
          <w:sz w:val="18"/>
          <w:szCs w:val="18"/>
          <w:b w:val="1"/>
          <w:bCs w:val="1"/>
          <w:color w:val="auto"/>
        </w:rPr>
        <w:t>Broad Institute of Harvard and MIT</w:t>
      </w:r>
    </w:p>
    <w:p>
      <w:pPr>
        <w:spacing w:after="0" w:line="67"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4"/>
          <w:szCs w:val="14"/>
          <w:color w:val="auto"/>
        </w:rPr>
        <w:t xml:space="preserve">–   </w:t>
      </w:r>
      <w:r>
        <w:rPr>
          <w:rFonts w:ascii="Arial" w:cs="Arial" w:eastAsia="Arial" w:hAnsi="Arial"/>
          <w:sz w:val="16"/>
          <w:szCs w:val="16"/>
          <w:color w:val="auto"/>
        </w:rPr>
        <w:t>Senior Scientific Fellow (2021 - present)</w:t>
      </w:r>
    </w:p>
    <w:p>
      <w:pPr>
        <w:spacing w:after="0" w:line="54" w:lineRule="exact"/>
        <w:rPr>
          <w:rFonts w:ascii="Arial" w:cs="Arial" w:eastAsia="Arial" w:hAnsi="Arial"/>
          <w:sz w:val="16"/>
          <w:szCs w:val="16"/>
          <w:color w:val="auto"/>
        </w:rPr>
      </w:pPr>
    </w:p>
    <w:p>
      <w:pPr>
        <w:ind w:left="620" w:hanging="305"/>
        <w:spacing w:after="0"/>
        <w:tabs>
          <w:tab w:leader="none" w:pos="620" w:val="left"/>
        </w:tabs>
        <w:numPr>
          <w:ilvl w:val="0"/>
          <w:numId w:val="27"/>
        </w:numPr>
        <w:rPr>
          <w:rFonts w:ascii="Arial" w:cs="Arial" w:eastAsia="Arial" w:hAnsi="Arial"/>
          <w:sz w:val="16"/>
          <w:szCs w:val="16"/>
          <w:color w:val="auto"/>
        </w:rPr>
      </w:pPr>
      <w:r>
        <w:rPr>
          <w:rFonts w:ascii="Arial" w:cs="Arial" w:eastAsia="Arial" w:hAnsi="Arial"/>
          <w:sz w:val="18"/>
          <w:szCs w:val="18"/>
          <w:b w:val="1"/>
          <w:bCs w:val="1"/>
          <w:color w:val="auto"/>
        </w:rPr>
        <w:t xml:space="preserve">Third Rock Ventures, </w:t>
      </w:r>
      <w:r>
        <w:rPr>
          <w:rFonts w:ascii="Arial" w:cs="Arial" w:eastAsia="Arial" w:hAnsi="Arial"/>
          <w:sz w:val="16"/>
          <w:szCs w:val="16"/>
          <w:color w:val="auto"/>
        </w:rPr>
        <w:t>a leading healthcare venture capital firm</w:t>
      </w:r>
    </w:p>
    <w:p>
      <w:pPr>
        <w:spacing w:after="0" w:line="67"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Venture Partner (2023 - present)</w:t>
      </w:r>
    </w:p>
    <w:p>
      <w:pPr>
        <w:spacing w:after="0" w:line="67" w:lineRule="exact"/>
        <w:rPr>
          <w:rFonts w:ascii="Arial" w:cs="Arial" w:eastAsia="Arial" w:hAnsi="Arial"/>
          <w:sz w:val="16"/>
          <w:szCs w:val="16"/>
          <w:color w:val="auto"/>
        </w:rPr>
      </w:pPr>
    </w:p>
    <w:p>
      <w:pPr>
        <w:ind w:left="620" w:hanging="305"/>
        <w:spacing w:after="0"/>
        <w:tabs>
          <w:tab w:leader="none" w:pos="620" w:val="left"/>
        </w:tabs>
        <w:numPr>
          <w:ilvl w:val="0"/>
          <w:numId w:val="27"/>
        </w:numPr>
        <w:rPr>
          <w:rFonts w:ascii="Arial" w:cs="Arial" w:eastAsia="Arial" w:hAnsi="Arial"/>
          <w:sz w:val="16"/>
          <w:szCs w:val="16"/>
          <w:b w:val="1"/>
          <w:bCs w:val="1"/>
          <w:color w:val="auto"/>
        </w:rPr>
      </w:pPr>
      <w:r>
        <w:rPr>
          <w:rFonts w:ascii="Arial" w:cs="Arial" w:eastAsia="Arial" w:hAnsi="Arial"/>
          <w:sz w:val="18"/>
          <w:szCs w:val="18"/>
          <w:b w:val="1"/>
          <w:bCs w:val="1"/>
          <w:color w:val="auto"/>
        </w:rPr>
        <w:t xml:space="preserve">GlaxoSmithKline plc, </w:t>
      </w:r>
      <w:r>
        <w:rPr>
          <w:rFonts w:ascii="Arial" w:cs="Arial" w:eastAsia="Arial" w:hAnsi="Arial"/>
          <w:sz w:val="16"/>
          <w:szCs w:val="16"/>
          <w:color w:val="auto"/>
        </w:rPr>
        <w:t>a leading global pharmaceutical company</w:t>
      </w:r>
    </w:p>
    <w:p>
      <w:pPr>
        <w:spacing w:after="0" w:line="67" w:lineRule="exact"/>
        <w:rPr>
          <w:rFonts w:ascii="Arial" w:cs="Arial" w:eastAsia="Arial" w:hAnsi="Arial"/>
          <w:sz w:val="16"/>
          <w:szCs w:val="16"/>
          <w:b w:val="1"/>
          <w:bCs w:val="1"/>
          <w:color w:val="auto"/>
        </w:rPr>
      </w:pPr>
    </w:p>
    <w:p>
      <w:pPr>
        <w:ind w:left="960" w:right="1059" w:hanging="324"/>
        <w:spacing w:after="0" w:line="286" w:lineRule="auto"/>
        <w:rPr>
          <w:rFonts w:ascii="Arial" w:cs="Arial" w:eastAsia="Arial" w:hAnsi="Arial"/>
          <w:sz w:val="16"/>
          <w:szCs w:val="16"/>
          <w:b w:val="1"/>
          <w:bCs w:val="1"/>
          <w:color w:val="auto"/>
        </w:rPr>
      </w:pPr>
      <w:r>
        <w:rPr>
          <w:rFonts w:ascii="Arial" w:cs="Arial" w:eastAsia="Arial" w:hAnsi="Arial"/>
          <w:sz w:val="14"/>
          <w:szCs w:val="14"/>
          <w:color w:val="auto"/>
        </w:rPr>
        <w:t xml:space="preserve">– </w:t>
      </w:r>
      <w:r>
        <w:rPr>
          <w:rFonts w:ascii="Arial" w:cs="Arial" w:eastAsia="Arial" w:hAnsi="Arial"/>
          <w:sz w:val="16"/>
          <w:szCs w:val="16"/>
          <w:color w:val="auto"/>
        </w:rPr>
        <w:t>Member of executive research and development team; led integration efforts</w:t>
      </w:r>
      <w:r>
        <w:rPr>
          <w:rFonts w:ascii="Arial" w:cs="Arial" w:eastAsia="Arial" w:hAnsi="Arial"/>
          <w:sz w:val="14"/>
          <w:szCs w:val="14"/>
          <w:color w:val="auto"/>
        </w:rPr>
        <w:t xml:space="preserve"> </w:t>
      </w:r>
      <w:r>
        <w:rPr>
          <w:rFonts w:ascii="Arial" w:cs="Arial" w:eastAsia="Arial" w:hAnsi="Arial"/>
          <w:sz w:val="16"/>
          <w:szCs w:val="16"/>
          <w:color w:val="auto"/>
        </w:rPr>
        <w:t>for TESARO acquisition (2019 - 2020)</w:t>
      </w:r>
    </w:p>
    <w:p>
      <w:pPr>
        <w:spacing w:after="0" w:line="2" w:lineRule="exact"/>
        <w:rPr>
          <w:rFonts w:ascii="Arial" w:cs="Arial" w:eastAsia="Arial" w:hAnsi="Arial"/>
          <w:sz w:val="16"/>
          <w:szCs w:val="16"/>
          <w:b w:val="1"/>
          <w:bCs w:val="1"/>
          <w:color w:val="auto"/>
        </w:rPr>
      </w:pPr>
    </w:p>
    <w:p>
      <w:pPr>
        <w:ind w:left="640" w:right="1159" w:hanging="325"/>
        <w:spacing w:after="0" w:line="256" w:lineRule="auto"/>
        <w:tabs>
          <w:tab w:leader="none" w:pos="629" w:val="left"/>
        </w:tabs>
        <w:numPr>
          <w:ilvl w:val="0"/>
          <w:numId w:val="27"/>
        </w:numPr>
        <w:rPr>
          <w:rFonts w:ascii="Arial" w:cs="Arial" w:eastAsia="Arial" w:hAnsi="Arial"/>
          <w:sz w:val="16"/>
          <w:szCs w:val="16"/>
          <w:color w:val="auto"/>
        </w:rPr>
      </w:pPr>
      <w:r>
        <w:rPr>
          <w:rFonts w:ascii="Arial" w:cs="Arial" w:eastAsia="Arial" w:hAnsi="Arial"/>
          <w:sz w:val="18"/>
          <w:szCs w:val="18"/>
          <w:b w:val="1"/>
          <w:bCs w:val="1"/>
          <w:color w:val="auto"/>
        </w:rPr>
        <w:t xml:space="preserve">TESARO, Inc., </w:t>
      </w:r>
      <w:r>
        <w:rPr>
          <w:rFonts w:ascii="Arial" w:cs="Arial" w:eastAsia="Arial" w:hAnsi="Arial"/>
          <w:sz w:val="16"/>
          <w:szCs w:val="16"/>
          <w:color w:val="auto"/>
        </w:rPr>
        <w:t>a company focused on the development and global</w:t>
      </w:r>
      <w:r>
        <w:rPr>
          <w:rFonts w:ascii="Arial" w:cs="Arial" w:eastAsia="Arial" w:hAnsi="Arial"/>
          <w:sz w:val="18"/>
          <w:szCs w:val="18"/>
          <w:b w:val="1"/>
          <w:bCs w:val="1"/>
          <w:color w:val="auto"/>
        </w:rPr>
        <w:t xml:space="preserve"> </w:t>
      </w:r>
      <w:r>
        <w:rPr>
          <w:rFonts w:ascii="Arial" w:cs="Arial" w:eastAsia="Arial" w:hAnsi="Arial"/>
          <w:sz w:val="16"/>
          <w:szCs w:val="16"/>
          <w:color w:val="auto"/>
        </w:rPr>
        <w:t>commercialization of oncology therapeutics (acquired by GlaxoSmithKline plc in 2019)</w:t>
      </w:r>
    </w:p>
    <w:p>
      <w:pPr>
        <w:spacing w:after="0" w:line="14"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4"/>
          <w:szCs w:val="14"/>
          <w:color w:val="auto"/>
        </w:rPr>
        <w:t xml:space="preserve">–   </w:t>
      </w:r>
      <w:r>
        <w:rPr>
          <w:rFonts w:ascii="Arial" w:cs="Arial" w:eastAsia="Arial" w:hAnsi="Arial"/>
          <w:sz w:val="16"/>
          <w:szCs w:val="16"/>
          <w:color w:val="auto"/>
        </w:rPr>
        <w:t>President and Chief Operating Officer (2010 - 2019)</w:t>
      </w:r>
    </w:p>
    <w:p>
      <w:pPr>
        <w:spacing w:after="0" w:line="67" w:lineRule="exact"/>
        <w:rPr>
          <w:rFonts w:ascii="Arial" w:cs="Arial" w:eastAsia="Arial" w:hAnsi="Arial"/>
          <w:sz w:val="16"/>
          <w:szCs w:val="16"/>
          <w:color w:val="auto"/>
        </w:rPr>
      </w:pPr>
    </w:p>
    <w:p>
      <w:pPr>
        <w:ind w:left="640" w:right="1259" w:hanging="325"/>
        <w:spacing w:after="0" w:line="264" w:lineRule="auto"/>
        <w:tabs>
          <w:tab w:leader="none" w:pos="629" w:val="left"/>
        </w:tabs>
        <w:numPr>
          <w:ilvl w:val="0"/>
          <w:numId w:val="27"/>
        </w:numPr>
        <w:rPr>
          <w:rFonts w:ascii="Arial" w:cs="Arial" w:eastAsia="Arial" w:hAnsi="Arial"/>
          <w:sz w:val="16"/>
          <w:szCs w:val="16"/>
          <w:color w:val="auto"/>
        </w:rPr>
      </w:pPr>
      <w:r>
        <w:rPr>
          <w:rFonts w:ascii="Arial" w:cs="Arial" w:eastAsia="Arial" w:hAnsi="Arial"/>
          <w:sz w:val="18"/>
          <w:szCs w:val="18"/>
          <w:b w:val="1"/>
          <w:bCs w:val="1"/>
          <w:color w:val="auto"/>
        </w:rPr>
        <w:t xml:space="preserve">Abraxis BioScience, Inc., </w:t>
      </w:r>
      <w:r>
        <w:rPr>
          <w:rFonts w:ascii="Arial" w:cs="Arial" w:eastAsia="Arial" w:hAnsi="Arial"/>
          <w:sz w:val="16"/>
          <w:szCs w:val="16"/>
          <w:color w:val="auto"/>
        </w:rPr>
        <w:t>a biotechnology company (acquired by Celgene</w:t>
      </w:r>
      <w:r>
        <w:rPr>
          <w:rFonts w:ascii="Arial" w:cs="Arial" w:eastAsia="Arial" w:hAnsi="Arial"/>
          <w:sz w:val="18"/>
          <w:szCs w:val="18"/>
          <w:b w:val="1"/>
          <w:bCs w:val="1"/>
          <w:color w:val="auto"/>
        </w:rPr>
        <w:t xml:space="preserve"> </w:t>
      </w:r>
      <w:r>
        <w:rPr>
          <w:rFonts w:ascii="Arial" w:cs="Arial" w:eastAsia="Arial" w:hAnsi="Arial"/>
          <w:sz w:val="16"/>
          <w:szCs w:val="16"/>
          <w:color w:val="auto"/>
        </w:rPr>
        <w:t>Corporation in 2010)</w:t>
      </w:r>
    </w:p>
    <w:p>
      <w:pPr>
        <w:spacing w:after="0" w:line="8"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4"/>
          <w:szCs w:val="14"/>
          <w:color w:val="auto"/>
        </w:rPr>
        <w:t xml:space="preserve">–   </w:t>
      </w:r>
      <w:r>
        <w:rPr>
          <w:rFonts w:ascii="Arial" w:cs="Arial" w:eastAsia="Arial" w:hAnsi="Arial"/>
          <w:sz w:val="16"/>
          <w:szCs w:val="16"/>
          <w:color w:val="auto"/>
        </w:rPr>
        <w:t>Executive Vice President and Chief Science Officer (2009 - 2010)</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00A1DE"/>
        </w:rPr>
        <w:t>OTHER HIGHLIGHTS</w:t>
      </w:r>
    </w:p>
    <w:p>
      <w:pPr>
        <w:spacing w:after="0" w:line="122" w:lineRule="exact"/>
        <w:rPr>
          <w:sz w:val="20"/>
          <w:szCs w:val="20"/>
          <w:color w:val="auto"/>
        </w:rPr>
      </w:pPr>
    </w:p>
    <w:p>
      <w:pPr>
        <w:jc w:val="both"/>
        <w:ind w:left="640" w:right="1459" w:hanging="325"/>
        <w:spacing w:after="0" w:line="281" w:lineRule="auto"/>
        <w:tabs>
          <w:tab w:leader="none" w:pos="629" w:val="left"/>
        </w:tabs>
        <w:numPr>
          <w:ilvl w:val="0"/>
          <w:numId w:val="28"/>
        </w:numPr>
        <w:rPr>
          <w:rFonts w:ascii="Arial" w:cs="Arial" w:eastAsia="Arial" w:hAnsi="Arial"/>
          <w:sz w:val="16"/>
          <w:szCs w:val="16"/>
          <w:color w:val="auto"/>
        </w:rPr>
      </w:pPr>
      <w:r>
        <w:rPr>
          <w:rFonts w:ascii="Arial" w:cs="Arial" w:eastAsia="Arial" w:hAnsi="Arial"/>
          <w:sz w:val="16"/>
          <w:szCs w:val="16"/>
          <w:color w:val="auto"/>
        </w:rPr>
        <w:t>Member, American Association of Immunologists; American Association for Advancement of Science; American Society of Clinical Oncology; American Association of Cancer Research</w:t>
      </w:r>
    </w:p>
    <w:p>
      <w:pPr>
        <w:spacing w:after="0" w:line="1" w:lineRule="exact"/>
        <w:rPr>
          <w:rFonts w:ascii="Arial" w:cs="Arial" w:eastAsia="Arial" w:hAnsi="Arial"/>
          <w:sz w:val="16"/>
          <w:szCs w:val="16"/>
          <w:color w:val="auto"/>
        </w:rPr>
      </w:pPr>
    </w:p>
    <w:p>
      <w:pPr>
        <w:ind w:left="620" w:hanging="305"/>
        <w:spacing w:after="0"/>
        <w:tabs>
          <w:tab w:leader="none" w:pos="6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Advisory Board, Boston Museum of Science and chair, Life Science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1383665</wp:posOffset>
            </wp:positionV>
            <wp:extent cx="213995" cy="2146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13995" cy="214630"/>
                    </a:xfrm>
                    <a:prstGeom prst="rect">
                      <a:avLst/>
                    </a:prstGeom>
                    <a:noFill/>
                  </pic:spPr>
                </pic:pic>
              </a:graphicData>
            </a:graphic>
          </wp:anchor>
        </w:drawing>
        <w:drawing>
          <wp:anchor simplePos="0" relativeHeight="251657728" behindDoc="1" locked="0" layoutInCell="0" allowOverlap="1">
            <wp:simplePos x="0" y="0"/>
            <wp:positionH relativeFrom="column">
              <wp:posOffset>805815</wp:posOffset>
            </wp:positionH>
            <wp:positionV relativeFrom="paragraph">
              <wp:posOffset>1383665</wp:posOffset>
            </wp:positionV>
            <wp:extent cx="214630" cy="2146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1731645</wp:posOffset>
            </wp:positionH>
            <wp:positionV relativeFrom="paragraph">
              <wp:posOffset>1383665</wp:posOffset>
            </wp:positionV>
            <wp:extent cx="214630" cy="2146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2597785</wp:posOffset>
            </wp:positionH>
            <wp:positionV relativeFrom="paragraph">
              <wp:posOffset>1383665</wp:posOffset>
            </wp:positionV>
            <wp:extent cx="214630" cy="2146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60" w:space="460"/>
            <w:col w:w="7499"/>
          </w:cols>
          <w:pgMar w:left="340" w:top="1403" w:right="1440" w:bottom="9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1600" w:type="dxa"/>
        <w:tblCellMar>
          <w:top w:w="0" w:type="dxa"/>
          <w:left w:w="0" w:type="dxa"/>
          <w:bottom w:w="0" w:type="dxa"/>
          <w:right w:w="0" w:type="dxa"/>
        </w:tblCellMar>
      </w:tblPr>
      <w:tr>
        <w:trPr>
          <w:trHeight w:val="176"/>
        </w:trPr>
        <w:tc>
          <w:tcPr>
            <w:tcW w:w="1340" w:type="dxa"/>
            <w:vAlign w:val="bottom"/>
          </w:tcPr>
          <w:p>
            <w:pPr>
              <w:jc w:val="center"/>
              <w:ind w:right="488"/>
              <w:spacing w:after="0"/>
              <w:rPr>
                <w:sz w:val="20"/>
                <w:szCs w:val="20"/>
                <w:color w:val="auto"/>
              </w:rPr>
            </w:pPr>
            <w:r>
              <w:rPr>
                <w:rFonts w:ascii="Arial" w:cs="Arial" w:eastAsia="Arial" w:hAnsi="Arial"/>
                <w:sz w:val="14"/>
                <w:szCs w:val="14"/>
                <w:b w:val="1"/>
                <w:bCs w:val="1"/>
                <w:color w:val="auto"/>
                <w:w w:val="98"/>
              </w:rPr>
              <w:t>CEO</w:t>
            </w:r>
          </w:p>
        </w:tc>
        <w:tc>
          <w:tcPr>
            <w:tcW w:w="80" w:type="dxa"/>
            <w:vAlign w:val="bottom"/>
          </w:tcPr>
          <w:p>
            <w:pPr>
              <w:spacing w:after="0"/>
              <w:rPr>
                <w:sz w:val="15"/>
                <w:szCs w:val="15"/>
                <w:color w:val="auto"/>
              </w:rPr>
            </w:pPr>
          </w:p>
        </w:tc>
        <w:tc>
          <w:tcPr>
            <w:tcW w:w="1300" w:type="dxa"/>
            <w:vAlign w:val="bottom"/>
          </w:tcPr>
          <w:p>
            <w:pPr>
              <w:jc w:val="center"/>
              <w:ind w:right="528"/>
              <w:spacing w:after="0"/>
              <w:rPr>
                <w:sz w:val="20"/>
                <w:szCs w:val="20"/>
                <w:color w:val="auto"/>
              </w:rPr>
            </w:pPr>
            <w:r>
              <w:rPr>
                <w:rFonts w:ascii="Arial" w:cs="Arial" w:eastAsia="Arial" w:hAnsi="Arial"/>
                <w:sz w:val="14"/>
                <w:szCs w:val="14"/>
                <w:b w:val="1"/>
                <w:bCs w:val="1"/>
                <w:color w:val="auto"/>
              </w:rPr>
              <w:t>Finance /</w:t>
            </w:r>
          </w:p>
        </w:tc>
        <w:tc>
          <w:tcPr>
            <w:tcW w:w="1320" w:type="dxa"/>
            <w:vAlign w:val="bottom"/>
          </w:tcPr>
          <w:p>
            <w:pPr>
              <w:jc w:val="center"/>
              <w:ind w:right="308"/>
              <w:spacing w:after="0"/>
              <w:rPr>
                <w:sz w:val="20"/>
                <w:szCs w:val="20"/>
                <w:color w:val="auto"/>
              </w:rPr>
            </w:pPr>
            <w:r>
              <w:rPr>
                <w:rFonts w:ascii="Arial" w:cs="Arial" w:eastAsia="Arial" w:hAnsi="Arial"/>
                <w:sz w:val="14"/>
                <w:szCs w:val="14"/>
                <w:b w:val="1"/>
                <w:bCs w:val="1"/>
                <w:color w:val="auto"/>
              </w:rPr>
              <w:t>International</w:t>
            </w:r>
          </w:p>
        </w:tc>
        <w:tc>
          <w:tcPr>
            <w:tcW w:w="1480" w:type="dxa"/>
            <w:vAlign w:val="bottom"/>
            <w:gridSpan w:val="2"/>
          </w:tcPr>
          <w:p>
            <w:pPr>
              <w:jc w:val="center"/>
              <w:ind w:right="308"/>
              <w:spacing w:after="0"/>
              <w:rPr>
                <w:sz w:val="20"/>
                <w:szCs w:val="20"/>
                <w:color w:val="auto"/>
              </w:rPr>
            </w:pPr>
            <w:r>
              <w:rPr>
                <w:rFonts w:ascii="Arial" w:cs="Arial" w:eastAsia="Arial" w:hAnsi="Arial"/>
                <w:sz w:val="14"/>
                <w:szCs w:val="14"/>
                <w:b w:val="1"/>
                <w:bCs w:val="1"/>
                <w:color w:val="auto"/>
              </w:rPr>
              <w:t>Healthcare</w:t>
            </w:r>
          </w:p>
        </w:tc>
        <w:tc>
          <w:tcPr>
            <w:tcW w:w="700" w:type="dxa"/>
            <w:vAlign w:val="bottom"/>
          </w:tcPr>
          <w:p>
            <w:pPr>
              <w:ind w:left="20"/>
              <w:spacing w:after="0"/>
              <w:rPr>
                <w:sz w:val="20"/>
                <w:szCs w:val="20"/>
                <w:color w:val="auto"/>
              </w:rPr>
            </w:pPr>
            <w:r>
              <w:rPr>
                <w:rFonts w:ascii="Arial" w:cs="Arial" w:eastAsia="Arial" w:hAnsi="Arial"/>
                <w:sz w:val="14"/>
                <w:szCs w:val="14"/>
                <w:b w:val="1"/>
                <w:bCs w:val="1"/>
                <w:color w:val="auto"/>
              </w:rPr>
              <w:t>Science /</w:t>
            </w:r>
          </w:p>
        </w:tc>
        <w:tc>
          <w:tcPr>
            <w:tcW w:w="0" w:type="dxa"/>
            <w:vAlign w:val="bottom"/>
          </w:tcPr>
          <w:p>
            <w:pPr>
              <w:spacing w:after="0"/>
              <w:rPr>
                <w:sz w:val="1"/>
                <w:szCs w:val="1"/>
                <w:color w:val="auto"/>
              </w:rPr>
            </w:pPr>
          </w:p>
        </w:tc>
      </w:tr>
      <w:tr>
        <w:trPr>
          <w:trHeight w:val="196"/>
        </w:trPr>
        <w:tc>
          <w:tcPr>
            <w:tcW w:w="1340" w:type="dxa"/>
            <w:vAlign w:val="bottom"/>
          </w:tcPr>
          <w:p>
            <w:pPr>
              <w:jc w:val="center"/>
              <w:ind w:right="488"/>
              <w:spacing w:after="0"/>
              <w:rPr>
                <w:sz w:val="20"/>
                <w:szCs w:val="20"/>
                <w:color w:val="auto"/>
              </w:rPr>
            </w:pPr>
            <w:r>
              <w:rPr>
                <w:rFonts w:ascii="Arial" w:cs="Arial" w:eastAsia="Arial" w:hAnsi="Arial"/>
                <w:sz w:val="14"/>
                <w:szCs w:val="14"/>
                <w:b w:val="1"/>
                <w:bCs w:val="1"/>
                <w:color w:val="auto"/>
              </w:rPr>
              <w:t>Leadership</w:t>
            </w:r>
          </w:p>
        </w:tc>
        <w:tc>
          <w:tcPr>
            <w:tcW w:w="1380" w:type="dxa"/>
            <w:vAlign w:val="bottom"/>
            <w:gridSpan w:val="2"/>
          </w:tcPr>
          <w:p>
            <w:pPr>
              <w:jc w:val="center"/>
              <w:ind w:right="468"/>
              <w:spacing w:after="0"/>
              <w:rPr>
                <w:sz w:val="20"/>
                <w:szCs w:val="20"/>
                <w:color w:val="auto"/>
              </w:rPr>
            </w:pPr>
            <w:r>
              <w:rPr>
                <w:rFonts w:ascii="Arial" w:cs="Arial" w:eastAsia="Arial" w:hAnsi="Arial"/>
                <w:sz w:val="14"/>
                <w:szCs w:val="14"/>
                <w:b w:val="1"/>
                <w:bCs w:val="1"/>
                <w:color w:val="auto"/>
              </w:rPr>
              <w:t>Accounting</w:t>
            </w:r>
          </w:p>
        </w:tc>
        <w:tc>
          <w:tcPr>
            <w:tcW w:w="1320" w:type="dxa"/>
            <w:vAlign w:val="bottom"/>
          </w:tcPr>
          <w:p>
            <w:pPr>
              <w:jc w:val="center"/>
              <w:ind w:right="328"/>
              <w:spacing w:after="0"/>
              <w:rPr>
                <w:sz w:val="20"/>
                <w:szCs w:val="20"/>
                <w:color w:val="auto"/>
              </w:rPr>
            </w:pPr>
            <w:r>
              <w:rPr>
                <w:rFonts w:ascii="Arial" w:cs="Arial" w:eastAsia="Arial" w:hAnsi="Arial"/>
                <w:sz w:val="14"/>
                <w:szCs w:val="14"/>
                <w:b w:val="1"/>
                <w:bCs w:val="1"/>
                <w:color w:val="auto"/>
              </w:rPr>
              <w:t>Business</w:t>
            </w:r>
          </w:p>
        </w:tc>
        <w:tc>
          <w:tcPr>
            <w:tcW w:w="260" w:type="dxa"/>
            <w:vAlign w:val="bottom"/>
          </w:tcPr>
          <w:p>
            <w:pPr>
              <w:spacing w:after="0"/>
              <w:rPr>
                <w:sz w:val="17"/>
                <w:szCs w:val="17"/>
                <w:color w:val="auto"/>
              </w:rPr>
            </w:pPr>
          </w:p>
        </w:tc>
        <w:tc>
          <w:tcPr>
            <w:tcW w:w="1220" w:type="dxa"/>
            <w:vAlign w:val="bottom"/>
          </w:tcPr>
          <w:p>
            <w:pPr>
              <w:jc w:val="center"/>
              <w:ind w:right="568"/>
              <w:spacing w:after="0"/>
              <w:rPr>
                <w:sz w:val="20"/>
                <w:szCs w:val="20"/>
                <w:color w:val="auto"/>
              </w:rPr>
            </w:pPr>
            <w:r>
              <w:rPr>
                <w:rFonts w:ascii="Arial" w:cs="Arial" w:eastAsia="Arial" w:hAnsi="Arial"/>
                <w:sz w:val="14"/>
                <w:szCs w:val="14"/>
                <w:b w:val="1"/>
                <w:bCs w:val="1"/>
                <w:color w:val="auto"/>
              </w:rPr>
              <w:t>Industry</w:t>
            </w:r>
          </w:p>
        </w:tc>
        <w:tc>
          <w:tcPr>
            <w:tcW w:w="700" w:type="dxa"/>
            <w:vAlign w:val="bottom"/>
          </w:tcPr>
          <w:p>
            <w:pPr>
              <w:ind w:left="20"/>
              <w:spacing w:after="0"/>
              <w:rPr>
                <w:sz w:val="20"/>
                <w:szCs w:val="20"/>
                <w:color w:val="auto"/>
              </w:rPr>
            </w:pPr>
            <w:r>
              <w:rPr>
                <w:rFonts w:ascii="Arial" w:cs="Arial" w:eastAsia="Arial" w:hAnsi="Arial"/>
                <w:sz w:val="14"/>
                <w:szCs w:val="14"/>
                <w:b w:val="1"/>
                <w:bCs w:val="1"/>
                <w:color w:val="auto"/>
                <w:w w:val="99"/>
              </w:rPr>
              <w:t>Academia</w:t>
            </w:r>
          </w:p>
        </w:tc>
        <w:tc>
          <w:tcPr>
            <w:tcW w:w="0" w:type="dxa"/>
            <w:vAlign w:val="bottom"/>
          </w:tcPr>
          <w:p>
            <w:pPr>
              <w:spacing w:after="0"/>
              <w:rPr>
                <w:sz w:val="1"/>
                <w:szCs w:val="1"/>
                <w:color w:val="auto"/>
              </w:rPr>
            </w:pPr>
          </w:p>
        </w:tc>
      </w:tr>
      <w:tr>
        <w:trPr>
          <w:trHeight w:val="438"/>
        </w:trPr>
        <w:tc>
          <w:tcPr>
            <w:tcW w:w="1340" w:type="dxa"/>
            <w:vAlign w:val="bottom"/>
          </w:tcPr>
          <w:p>
            <w:pPr>
              <w:ind w:left="480"/>
              <w:spacing w:after="0"/>
              <w:rPr>
                <w:sz w:val="20"/>
                <w:szCs w:val="20"/>
                <w:color w:val="auto"/>
              </w:rPr>
            </w:pPr>
            <w:r>
              <w:rPr>
                <w:rFonts w:ascii="Arial" w:cs="Arial" w:eastAsia="Arial" w:hAnsi="Arial"/>
                <w:sz w:val="14"/>
                <w:szCs w:val="14"/>
                <w:b w:val="1"/>
                <w:bCs w:val="1"/>
                <w:color w:val="auto"/>
              </w:rPr>
              <w:t>Government</w:t>
            </w:r>
          </w:p>
        </w:tc>
        <w:tc>
          <w:tcPr>
            <w:tcW w:w="80" w:type="dxa"/>
            <w:vAlign w:val="bottom"/>
          </w:tcPr>
          <w:p>
            <w:pPr>
              <w:spacing w:after="0"/>
              <w:rPr>
                <w:sz w:val="24"/>
                <w:szCs w:val="24"/>
                <w:color w:val="auto"/>
              </w:rPr>
            </w:pPr>
          </w:p>
        </w:tc>
        <w:tc>
          <w:tcPr>
            <w:tcW w:w="1300" w:type="dxa"/>
            <w:vAlign w:val="bottom"/>
            <w:vMerge w:val="restart"/>
          </w:tcPr>
          <w:p>
            <w:pPr>
              <w:ind w:left="600"/>
              <w:spacing w:after="0"/>
              <w:rPr>
                <w:sz w:val="20"/>
                <w:szCs w:val="20"/>
                <w:color w:val="auto"/>
              </w:rPr>
            </w:pPr>
            <w:r>
              <w:rPr>
                <w:rFonts w:ascii="Arial" w:cs="Arial" w:eastAsia="Arial" w:hAnsi="Arial"/>
                <w:sz w:val="14"/>
                <w:szCs w:val="14"/>
                <w:b w:val="1"/>
                <w:bCs w:val="1"/>
                <w:color w:val="auto"/>
              </w:rPr>
              <w:t>Sales /</w:t>
            </w:r>
          </w:p>
        </w:tc>
        <w:tc>
          <w:tcPr>
            <w:tcW w:w="1580" w:type="dxa"/>
            <w:vAlign w:val="bottom"/>
            <w:gridSpan w:val="2"/>
            <w:vMerge w:val="restart"/>
          </w:tcPr>
          <w:p>
            <w:pPr>
              <w:ind w:left="700"/>
              <w:spacing w:after="0"/>
              <w:rPr>
                <w:sz w:val="20"/>
                <w:szCs w:val="20"/>
                <w:color w:val="auto"/>
              </w:rPr>
            </w:pPr>
            <w:r>
              <w:rPr>
                <w:rFonts w:ascii="Arial" w:cs="Arial" w:eastAsia="Arial" w:hAnsi="Arial"/>
                <w:sz w:val="14"/>
                <w:szCs w:val="14"/>
                <w:b w:val="1"/>
                <w:bCs w:val="1"/>
                <w:color w:val="auto"/>
                <w:w w:val="99"/>
              </w:rPr>
              <w:t>Technology /</w:t>
            </w:r>
          </w:p>
        </w:tc>
        <w:tc>
          <w:tcPr>
            <w:tcW w:w="1920" w:type="dxa"/>
            <w:vAlign w:val="bottom"/>
            <w:gridSpan w:val="2"/>
            <w:vMerge w:val="restart"/>
          </w:tcPr>
          <w:p>
            <w:pPr>
              <w:ind w:left="620"/>
              <w:spacing w:after="0"/>
              <w:rPr>
                <w:sz w:val="20"/>
                <w:szCs w:val="20"/>
                <w:color w:val="auto"/>
              </w:rPr>
            </w:pPr>
            <w:r>
              <w:rPr>
                <w:rFonts w:ascii="Arial" w:cs="Arial" w:eastAsia="Arial" w:hAnsi="Arial"/>
                <w:sz w:val="14"/>
                <w:szCs w:val="14"/>
                <w:b w:val="1"/>
                <w:bCs w:val="1"/>
                <w:color w:val="auto"/>
              </w:rPr>
              <w:t>Operations /</w:t>
            </w:r>
          </w:p>
        </w:tc>
        <w:tc>
          <w:tcPr>
            <w:tcW w:w="0" w:type="dxa"/>
            <w:vAlign w:val="bottom"/>
          </w:tcPr>
          <w:p>
            <w:pPr>
              <w:spacing w:after="0"/>
              <w:rPr>
                <w:sz w:val="1"/>
                <w:szCs w:val="1"/>
                <w:color w:val="auto"/>
              </w:rPr>
            </w:pPr>
          </w:p>
        </w:tc>
      </w:tr>
      <w:tr>
        <w:trPr>
          <w:trHeight w:val="144"/>
        </w:trPr>
        <w:tc>
          <w:tcPr>
            <w:tcW w:w="1340" w:type="dxa"/>
            <w:vAlign w:val="bottom"/>
          </w:tcPr>
          <w:p>
            <w:pPr>
              <w:ind w:left="480"/>
              <w:spacing w:after="0" w:line="145" w:lineRule="exact"/>
              <w:rPr>
                <w:sz w:val="20"/>
                <w:szCs w:val="20"/>
                <w:color w:val="auto"/>
              </w:rPr>
            </w:pPr>
            <w:r>
              <w:rPr>
                <w:rFonts w:ascii="Arial" w:cs="Arial" w:eastAsia="Arial" w:hAnsi="Arial"/>
                <w:sz w:val="14"/>
                <w:szCs w:val="14"/>
                <w:b w:val="1"/>
                <w:bCs w:val="1"/>
                <w:color w:val="auto"/>
              </w:rPr>
              <w:t>Relations /</w:t>
            </w:r>
          </w:p>
        </w:tc>
        <w:tc>
          <w:tcPr>
            <w:tcW w:w="8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1420" w:type="dxa"/>
            <w:vAlign w:val="bottom"/>
            <w:gridSpan w:val="2"/>
          </w:tcPr>
          <w:p>
            <w:pPr>
              <w:ind w:left="480"/>
              <w:spacing w:after="0"/>
              <w:rPr>
                <w:sz w:val="20"/>
                <w:szCs w:val="20"/>
                <w:color w:val="auto"/>
              </w:rPr>
            </w:pPr>
            <w:r>
              <w:rPr>
                <w:rFonts w:ascii="Arial" w:cs="Arial" w:eastAsia="Arial" w:hAnsi="Arial"/>
                <w:sz w:val="14"/>
                <w:szCs w:val="14"/>
                <w:b w:val="1"/>
                <w:bCs w:val="1"/>
                <w:color w:val="auto"/>
              </w:rPr>
              <w:t>Public Policy</w:t>
            </w:r>
          </w:p>
        </w:tc>
        <w:tc>
          <w:tcPr>
            <w:tcW w:w="1300" w:type="dxa"/>
            <w:vAlign w:val="bottom"/>
          </w:tcPr>
          <w:p>
            <w:pPr>
              <w:ind w:left="600"/>
              <w:spacing w:after="0"/>
              <w:rPr>
                <w:sz w:val="20"/>
                <w:szCs w:val="20"/>
                <w:color w:val="auto"/>
              </w:rPr>
            </w:pPr>
            <w:r>
              <w:rPr>
                <w:rFonts w:ascii="Arial" w:cs="Arial" w:eastAsia="Arial" w:hAnsi="Arial"/>
                <w:sz w:val="14"/>
                <w:szCs w:val="14"/>
                <w:b w:val="1"/>
                <w:bCs w:val="1"/>
                <w:color w:val="auto"/>
              </w:rPr>
              <w:t>Marketing</w:t>
            </w:r>
          </w:p>
        </w:tc>
        <w:tc>
          <w:tcPr>
            <w:tcW w:w="1320" w:type="dxa"/>
            <w:vAlign w:val="bottom"/>
          </w:tcPr>
          <w:p>
            <w:pPr>
              <w:ind w:left="700"/>
              <w:spacing w:after="0"/>
              <w:rPr>
                <w:sz w:val="20"/>
                <w:szCs w:val="20"/>
                <w:color w:val="auto"/>
              </w:rPr>
            </w:pPr>
            <w:r>
              <w:rPr>
                <w:rFonts w:ascii="Arial" w:cs="Arial" w:eastAsia="Arial" w:hAnsi="Arial"/>
                <w:sz w:val="14"/>
                <w:szCs w:val="14"/>
                <w:b w:val="1"/>
                <w:bCs w:val="1"/>
                <w:color w:val="auto"/>
              </w:rPr>
              <w:t>Digital</w:t>
            </w:r>
          </w:p>
        </w:tc>
        <w:tc>
          <w:tcPr>
            <w:tcW w:w="260" w:type="dxa"/>
            <w:vAlign w:val="bottom"/>
          </w:tcPr>
          <w:p>
            <w:pPr>
              <w:spacing w:after="0"/>
              <w:rPr>
                <w:sz w:val="17"/>
                <w:szCs w:val="17"/>
                <w:color w:val="auto"/>
              </w:rPr>
            </w:pPr>
          </w:p>
        </w:tc>
        <w:tc>
          <w:tcPr>
            <w:tcW w:w="1220" w:type="dxa"/>
            <w:vAlign w:val="bottom"/>
          </w:tcPr>
          <w:p>
            <w:pPr>
              <w:ind w:left="620"/>
              <w:spacing w:after="0"/>
              <w:rPr>
                <w:sz w:val="20"/>
                <w:szCs w:val="20"/>
                <w:color w:val="auto"/>
              </w:rPr>
            </w:pPr>
            <w:r>
              <w:rPr>
                <w:rFonts w:ascii="Arial" w:cs="Arial" w:eastAsia="Arial" w:hAnsi="Arial"/>
                <w:sz w:val="14"/>
                <w:szCs w:val="14"/>
                <w:b w:val="1"/>
                <w:bCs w:val="1"/>
                <w:color w:val="auto"/>
              </w:rPr>
              <w:t>Strategy</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1029335</wp:posOffset>
            </wp:positionH>
            <wp:positionV relativeFrom="paragraph">
              <wp:posOffset>-263525</wp:posOffset>
            </wp:positionV>
            <wp:extent cx="214630" cy="21463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1989455</wp:posOffset>
            </wp:positionH>
            <wp:positionV relativeFrom="paragraph">
              <wp:posOffset>-263525</wp:posOffset>
            </wp:positionV>
            <wp:extent cx="214630" cy="2146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2863850</wp:posOffset>
            </wp:positionH>
            <wp:positionV relativeFrom="paragraph">
              <wp:posOffset>-263525</wp:posOffset>
            </wp:positionV>
            <wp:extent cx="214630" cy="2146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3823970</wp:posOffset>
            </wp:positionH>
            <wp:positionV relativeFrom="paragraph">
              <wp:posOffset>-263525</wp:posOffset>
            </wp:positionV>
            <wp:extent cx="214630" cy="2146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ectPr>
          <w:pgSz w:w="11900" w:h="16838" w:orient="portrait"/>
          <w:cols w:equalWidth="0" w:num="1">
            <w:col w:w="10119"/>
          </w:cols>
          <w:pgMar w:left="340" w:top="1403" w:right="1440" w:bottom="940" w:gutter="0" w:footer="0" w:header="0"/>
          <w:type w:val="continuous"/>
        </w:sectPr>
      </w:pPr>
    </w:p>
    <w:p>
      <w:pPr>
        <w:spacing w:after="0" w:line="200" w:lineRule="exact"/>
        <w:rPr>
          <w:sz w:val="20"/>
          <w:szCs w:val="20"/>
          <w:color w:val="auto"/>
        </w:rPr>
      </w:pPr>
    </w:p>
    <w:p>
      <w:pPr>
        <w:spacing w:after="0" w:line="315" w:lineRule="exact"/>
        <w:rPr>
          <w:sz w:val="20"/>
          <w:szCs w:val="20"/>
          <w:color w:val="auto"/>
        </w:rPr>
      </w:pPr>
    </w:p>
    <w:p>
      <w:pPr>
        <w:ind w:left="5500"/>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154940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403" w:right="1440" w:bottom="940" w:gutter="0" w:footer="0" w:header="0"/>
          <w:type w:val="continuous"/>
        </w:sectPr>
      </w:pPr>
    </w:p>
    <w:bookmarkStart w:id="19" w:name="page20"/>
    <w:bookmarkEnd w:id="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911860</wp:posOffset>
            </wp:positionV>
            <wp:extent cx="1311275" cy="131127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clrChange>
                        <a:clrFrom>
                          <a:srgbClr val="FFFFFF"/>
                        </a:clrFrom>
                        <a:clrTo>
                          <a:srgbClr val="FFFFFF">
                            <a:alpha val="0"/>
                          </a:srgbClr>
                        </a:clrTo>
                      </a:clrChange>
                      <a:extLst>
                        <a:ext uri="{28A0092B-C50C-407E-A947-70E740481C1C}"/>
                      </a:extLst>
                    </a:blip>
                    <a:srcRect/>
                    <a:stretch>
                      <a:fillRect/>
                    </a:stretch>
                  </pic:blipFill>
                  <pic:spPr bwMode="auto">
                    <a:xfrm>
                      <a:off x="0" y="0"/>
                      <a:ext cx="1311275" cy="131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color w:val="EF3729"/>
        </w:rPr>
        <w:t>Kimberly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166370</wp:posOffset>
            </wp:positionV>
            <wp:extent cx="143129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431290" cy="8255"/>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Age</w:t>
      </w:r>
      <w:r>
        <w:rPr>
          <w:rFonts w:ascii="Arial" w:cs="Arial" w:eastAsia="Arial" w:hAnsi="Arial"/>
          <w:sz w:val="16"/>
          <w:szCs w:val="16"/>
          <w:color w:val="auto"/>
        </w:rPr>
        <w:t>: 52</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 since</w:t>
      </w:r>
      <w:r>
        <w:rPr>
          <w:rFonts w:ascii="Arial" w:cs="Arial" w:eastAsia="Arial" w:hAnsi="Arial"/>
          <w:sz w:val="16"/>
          <w:szCs w:val="16"/>
          <w:color w:val="auto"/>
        </w:rPr>
        <w:t>: 2021</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Committees:</w:t>
      </w:r>
    </w:p>
    <w:p>
      <w:pPr>
        <w:spacing w:after="0" w:line="59" w:lineRule="exact"/>
        <w:rPr>
          <w:sz w:val="20"/>
          <w:szCs w:val="20"/>
          <w:color w:val="auto"/>
        </w:rPr>
      </w:pPr>
    </w:p>
    <w:p>
      <w:pPr>
        <w:ind w:left="16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6"/>
          <w:szCs w:val="16"/>
          <w:color w:val="auto"/>
        </w:rPr>
        <w:t>Talent and Compensation</w:t>
      </w:r>
    </w:p>
    <w:p>
      <w:pPr>
        <w:spacing w:after="0" w:line="72" w:lineRule="exact"/>
        <w:rPr>
          <w:sz w:val="20"/>
          <w:szCs w:val="20"/>
          <w:color w:val="auto"/>
        </w:rPr>
      </w:pPr>
    </w:p>
    <w:p>
      <w:pPr>
        <w:ind w:left="16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6"/>
          <w:szCs w:val="16"/>
          <w:color w:val="auto"/>
        </w:rPr>
        <w:t>Ethics and Compliance</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Public Boards:</w:t>
      </w:r>
    </w:p>
    <w:p>
      <w:pPr>
        <w:spacing w:after="0" w:line="59" w:lineRule="exact"/>
        <w:rPr>
          <w:sz w:val="20"/>
          <w:szCs w:val="20"/>
          <w:color w:val="auto"/>
        </w:rPr>
      </w:pPr>
    </w:p>
    <w:p>
      <w:pPr>
        <w:ind w:left="16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6"/>
          <w:szCs w:val="16"/>
          <w:color w:val="auto"/>
        </w:rPr>
        <w:t>None</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Prior Public Boards:</w:t>
      </w:r>
    </w:p>
    <w:p>
      <w:pPr>
        <w:spacing w:after="0" w:line="59" w:lineRule="exact"/>
        <w:rPr>
          <w:sz w:val="20"/>
          <w:szCs w:val="20"/>
          <w:color w:val="auto"/>
        </w:rPr>
      </w:pPr>
    </w:p>
    <w:p>
      <w:pPr>
        <w:ind w:left="16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6"/>
          <w:szCs w:val="16"/>
          <w:color w:val="auto"/>
        </w:rPr>
        <w:t>None</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80645</wp:posOffset>
            </wp:positionV>
            <wp:extent cx="1234440" cy="677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34440" cy="677545"/>
                    </a:xfrm>
                    <a:prstGeom prst="rect">
                      <a:avLst/>
                    </a:prstGeom>
                    <a:noFill/>
                  </pic:spPr>
                </pic:pic>
              </a:graphicData>
            </a:graphic>
          </wp:anchor>
        </w:drawing>
        <w:drawing>
          <wp:anchor simplePos="0" relativeHeight="251657728" behindDoc="1" locked="0" layoutInCell="0" allowOverlap="1">
            <wp:simplePos x="0" y="0"/>
            <wp:positionH relativeFrom="column">
              <wp:posOffset>746760</wp:posOffset>
            </wp:positionH>
            <wp:positionV relativeFrom="paragraph">
              <wp:posOffset>4178300</wp:posOffset>
            </wp:positionV>
            <wp:extent cx="214630" cy="21463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FFFFFF"/>
        </w:rPr>
        <w:t>KEY EXPERIENCE AND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-127635</wp:posOffset>
            </wp:positionH>
            <wp:positionV relativeFrom="paragraph">
              <wp:posOffset>-135890</wp:posOffset>
            </wp:positionV>
            <wp:extent cx="4260215" cy="21863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260215" cy="2186305"/>
                    </a:xfrm>
                    <a:prstGeom prst="rect">
                      <a:avLst/>
                    </a:prstGeom>
                    <a:noFill/>
                  </pic:spPr>
                </pic:pic>
              </a:graphicData>
            </a:graphic>
          </wp:anchor>
        </w:drawing>
      </w:r>
    </w:p>
    <w:p>
      <w:pPr>
        <w:spacing w:after="0" w:line="36" w:lineRule="exact"/>
        <w:rPr>
          <w:sz w:val="20"/>
          <w:szCs w:val="20"/>
          <w:color w:val="auto"/>
        </w:rPr>
      </w:pPr>
    </w:p>
    <w:p>
      <w:pPr>
        <w:jc w:val="both"/>
        <w:ind w:right="1119"/>
        <w:spacing w:after="0" w:line="274" w:lineRule="auto"/>
        <w:rPr>
          <w:sz w:val="20"/>
          <w:szCs w:val="20"/>
          <w:color w:val="auto"/>
        </w:rPr>
      </w:pPr>
      <w:r>
        <w:rPr>
          <w:rFonts w:ascii="Arial" w:cs="Arial" w:eastAsia="Arial" w:hAnsi="Arial"/>
          <w:sz w:val="16"/>
          <w:szCs w:val="16"/>
          <w:i w:val="1"/>
          <w:iCs w:val="1"/>
          <w:color w:val="auto"/>
        </w:rPr>
        <w:t>Ms. Johnson brings to the board considerable financial and operational experience and a strong background in technology, governance, talent management and strategy for global risk management.</w:t>
      </w:r>
    </w:p>
    <w:p>
      <w:pPr>
        <w:spacing w:after="0" w:line="2" w:lineRule="exact"/>
        <w:rPr>
          <w:sz w:val="20"/>
          <w:szCs w:val="20"/>
          <w:color w:val="auto"/>
        </w:rPr>
      </w:pPr>
    </w:p>
    <w:p>
      <w:pPr>
        <w:ind w:left="640" w:right="1079" w:hanging="325"/>
        <w:spacing w:after="0" w:line="265" w:lineRule="auto"/>
        <w:tabs>
          <w:tab w:leader="none" w:pos="629" w:val="left"/>
        </w:tabs>
        <w:numPr>
          <w:ilvl w:val="0"/>
          <w:numId w:val="31"/>
        </w:numPr>
        <w:rPr>
          <w:rFonts w:ascii="Arial" w:cs="Arial" w:eastAsia="Arial" w:hAnsi="Arial"/>
          <w:sz w:val="16"/>
          <w:szCs w:val="16"/>
          <w:color w:val="auto"/>
        </w:rPr>
      </w:pPr>
      <w:r>
        <w:rPr>
          <w:rFonts w:ascii="Arial" w:cs="Arial" w:eastAsia="Arial" w:hAnsi="Arial"/>
          <w:sz w:val="16"/>
          <w:szCs w:val="16"/>
          <w:color w:val="auto"/>
        </w:rPr>
        <w:t>Ms. Johnson’s wide-ranging operational experience at two complex financial institutions has included leadership over various departments focused on cybersecurity, technology, operations, account services, enterprise change, data, modeling, analytics, information security, resiliency, innovation, and corporate strategy.</w:t>
      </w:r>
    </w:p>
    <w:p>
      <w:pPr>
        <w:spacing w:after="0" w:line="10" w:lineRule="exact"/>
        <w:rPr>
          <w:rFonts w:ascii="Arial" w:cs="Arial" w:eastAsia="Arial" w:hAnsi="Arial"/>
          <w:sz w:val="16"/>
          <w:szCs w:val="16"/>
          <w:color w:val="auto"/>
        </w:rPr>
      </w:pPr>
    </w:p>
    <w:p>
      <w:pPr>
        <w:ind w:left="640" w:right="1359" w:hanging="325"/>
        <w:spacing w:after="0" w:line="275" w:lineRule="auto"/>
        <w:tabs>
          <w:tab w:leader="none" w:pos="629" w:val="left"/>
        </w:tabs>
        <w:numPr>
          <w:ilvl w:val="0"/>
          <w:numId w:val="31"/>
        </w:numPr>
        <w:rPr>
          <w:rFonts w:ascii="Arial" w:cs="Arial" w:eastAsia="Arial" w:hAnsi="Arial"/>
          <w:sz w:val="16"/>
          <w:szCs w:val="16"/>
          <w:color w:val="auto"/>
        </w:rPr>
      </w:pPr>
      <w:r>
        <w:rPr>
          <w:rFonts w:ascii="Arial" w:cs="Arial" w:eastAsia="Arial" w:hAnsi="Arial"/>
          <w:sz w:val="16"/>
          <w:szCs w:val="16"/>
          <w:color w:val="auto"/>
        </w:rPr>
        <w:t>Ms. Johnson also brings deep understanding of enterprise risk management, having served as chief risk officer of Fannie Mae and currently overseeing enterprise risk as part of her role at T. Rowe Price.</w:t>
      </w:r>
    </w:p>
    <w:p>
      <w:pPr>
        <w:spacing w:after="0" w:line="2" w:lineRule="exact"/>
        <w:rPr>
          <w:rFonts w:ascii="Arial" w:cs="Arial" w:eastAsia="Arial" w:hAnsi="Arial"/>
          <w:sz w:val="16"/>
          <w:szCs w:val="16"/>
          <w:color w:val="auto"/>
        </w:rPr>
      </w:pPr>
    </w:p>
    <w:p>
      <w:pPr>
        <w:ind w:left="640" w:right="1019" w:hanging="325"/>
        <w:spacing w:after="0" w:line="265" w:lineRule="auto"/>
        <w:tabs>
          <w:tab w:leader="none" w:pos="629" w:val="left"/>
        </w:tabs>
        <w:numPr>
          <w:ilvl w:val="0"/>
          <w:numId w:val="31"/>
        </w:numPr>
        <w:rPr>
          <w:rFonts w:ascii="Arial" w:cs="Arial" w:eastAsia="Arial" w:hAnsi="Arial"/>
          <w:sz w:val="16"/>
          <w:szCs w:val="16"/>
          <w:color w:val="auto"/>
        </w:rPr>
      </w:pPr>
      <w:r>
        <w:rPr>
          <w:rFonts w:ascii="Arial" w:cs="Arial" w:eastAsia="Arial" w:hAnsi="Arial"/>
          <w:sz w:val="16"/>
          <w:szCs w:val="16"/>
          <w:color w:val="auto"/>
        </w:rPr>
        <w:t>Ms. Johnson also brings to the board knowledge of technology operations, having led Fannie Mae’s digital transformation, establishing a four-year enterprise modernization plan and an operational roadmap for redesigning business processes and reengineering core technology.</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00A1DE"/>
        </w:rPr>
        <w:t>CAREER HIGHLIGHTS</w:t>
      </w:r>
    </w:p>
    <w:p>
      <w:pPr>
        <w:spacing w:after="0" w:line="63" w:lineRule="exact"/>
        <w:rPr>
          <w:sz w:val="20"/>
          <w:szCs w:val="20"/>
          <w:color w:val="auto"/>
        </w:rPr>
      </w:pPr>
    </w:p>
    <w:p>
      <w:pPr>
        <w:ind w:left="620" w:hanging="305"/>
        <w:spacing w:after="0"/>
        <w:tabs>
          <w:tab w:leader="none" w:pos="620" w:val="left"/>
        </w:tabs>
        <w:numPr>
          <w:ilvl w:val="0"/>
          <w:numId w:val="32"/>
        </w:numPr>
        <w:rPr>
          <w:rFonts w:ascii="Arial" w:cs="Arial" w:eastAsia="Arial" w:hAnsi="Arial"/>
          <w:sz w:val="16"/>
          <w:szCs w:val="16"/>
          <w:color w:val="auto"/>
        </w:rPr>
      </w:pPr>
      <w:r>
        <w:rPr>
          <w:rFonts w:ascii="Arial" w:cs="Arial" w:eastAsia="Arial" w:hAnsi="Arial"/>
          <w:sz w:val="18"/>
          <w:szCs w:val="18"/>
          <w:b w:val="1"/>
          <w:bCs w:val="1"/>
          <w:color w:val="auto"/>
        </w:rPr>
        <w:t xml:space="preserve">T. Rowe Price Group, Inc., </w:t>
      </w:r>
      <w:r>
        <w:rPr>
          <w:rFonts w:ascii="Arial" w:cs="Arial" w:eastAsia="Arial" w:hAnsi="Arial"/>
          <w:sz w:val="16"/>
          <w:szCs w:val="16"/>
          <w:color w:val="auto"/>
        </w:rPr>
        <w:t>a global leader in asset management</w:t>
      </w:r>
    </w:p>
    <w:p>
      <w:pPr>
        <w:spacing w:after="0" w:line="67"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4"/>
          <w:szCs w:val="14"/>
          <w:color w:val="auto"/>
        </w:rPr>
        <w:t xml:space="preserve">–   </w:t>
      </w:r>
      <w:r>
        <w:rPr>
          <w:rFonts w:ascii="Arial" w:cs="Arial" w:eastAsia="Arial" w:hAnsi="Arial"/>
          <w:sz w:val="16"/>
          <w:szCs w:val="16"/>
          <w:color w:val="auto"/>
        </w:rPr>
        <w:t>Vice President and Chief Operating Officer (2022 - present)</w:t>
      </w:r>
    </w:p>
    <w:p>
      <w:pPr>
        <w:spacing w:after="0" w:line="54" w:lineRule="exact"/>
        <w:rPr>
          <w:rFonts w:ascii="Arial" w:cs="Arial" w:eastAsia="Arial" w:hAnsi="Arial"/>
          <w:sz w:val="16"/>
          <w:szCs w:val="16"/>
          <w:color w:val="auto"/>
        </w:rPr>
      </w:pPr>
    </w:p>
    <w:p>
      <w:pPr>
        <w:ind w:left="640" w:right="1379" w:hanging="325"/>
        <w:spacing w:after="0" w:line="264" w:lineRule="auto"/>
        <w:tabs>
          <w:tab w:leader="none" w:pos="629" w:val="left"/>
        </w:tabs>
        <w:numPr>
          <w:ilvl w:val="0"/>
          <w:numId w:val="32"/>
        </w:numPr>
        <w:rPr>
          <w:rFonts w:ascii="Arial" w:cs="Arial" w:eastAsia="Arial" w:hAnsi="Arial"/>
          <w:sz w:val="16"/>
          <w:szCs w:val="16"/>
          <w:color w:val="auto"/>
        </w:rPr>
      </w:pPr>
      <w:r>
        <w:rPr>
          <w:rFonts w:ascii="Arial" w:cs="Arial" w:eastAsia="Arial" w:hAnsi="Arial"/>
          <w:sz w:val="18"/>
          <w:szCs w:val="18"/>
          <w:b w:val="1"/>
          <w:bCs w:val="1"/>
          <w:color w:val="auto"/>
        </w:rPr>
        <w:t xml:space="preserve">Federal National Mortgage Association (Fannie Mae), </w:t>
      </w:r>
      <w:r>
        <w:rPr>
          <w:rFonts w:ascii="Arial" w:cs="Arial" w:eastAsia="Arial" w:hAnsi="Arial"/>
          <w:sz w:val="18"/>
          <w:szCs w:val="18"/>
          <w:color w:val="auto"/>
        </w:rPr>
        <w:t>a</w:t>
      </w:r>
      <w:r>
        <w:rPr>
          <w:rFonts w:ascii="Arial" w:cs="Arial" w:eastAsia="Arial" w:hAnsi="Arial"/>
          <w:sz w:val="18"/>
          <w:szCs w:val="18"/>
          <w:b w:val="1"/>
          <w:bCs w:val="1"/>
          <w:color w:val="auto"/>
        </w:rPr>
        <w:t xml:space="preserve"> </w:t>
      </w:r>
      <w:r>
        <w:rPr>
          <w:rFonts w:ascii="Arial" w:cs="Arial" w:eastAsia="Arial" w:hAnsi="Arial"/>
          <w:sz w:val="16"/>
          <w:szCs w:val="16"/>
          <w:color w:val="auto"/>
        </w:rPr>
        <w:t>provider of</w:t>
      </w:r>
      <w:r>
        <w:rPr>
          <w:rFonts w:ascii="Arial" w:cs="Arial" w:eastAsia="Arial" w:hAnsi="Arial"/>
          <w:sz w:val="18"/>
          <w:szCs w:val="18"/>
          <w:b w:val="1"/>
          <w:bCs w:val="1"/>
          <w:color w:val="auto"/>
        </w:rPr>
        <w:t xml:space="preserve"> </w:t>
      </w:r>
      <w:r>
        <w:rPr>
          <w:rFonts w:ascii="Arial" w:cs="Arial" w:eastAsia="Arial" w:hAnsi="Arial"/>
          <w:sz w:val="16"/>
          <w:szCs w:val="16"/>
          <w:color w:val="auto"/>
        </w:rPr>
        <w:t>affordable mortgage financing in the United States</w:t>
      </w:r>
    </w:p>
    <w:p>
      <w:pPr>
        <w:spacing w:after="0" w:line="21"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4"/>
          <w:szCs w:val="14"/>
          <w:color w:val="auto"/>
        </w:rPr>
        <w:t xml:space="preserve">–   </w:t>
      </w:r>
      <w:r>
        <w:rPr>
          <w:rFonts w:ascii="Arial" w:cs="Arial" w:eastAsia="Arial" w:hAnsi="Arial"/>
          <w:sz w:val="16"/>
          <w:szCs w:val="16"/>
          <w:color w:val="auto"/>
        </w:rPr>
        <w:t>Executive Vice President and Chief Operating Officer (2018 - 2022)</w:t>
      </w:r>
    </w:p>
    <w:p>
      <w:pPr>
        <w:spacing w:after="0" w:line="59"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4"/>
          <w:szCs w:val="14"/>
          <w:color w:val="auto"/>
        </w:rPr>
        <w:t xml:space="preserve">–   </w:t>
      </w:r>
      <w:r>
        <w:rPr>
          <w:rFonts w:ascii="Arial" w:cs="Arial" w:eastAsia="Arial" w:hAnsi="Arial"/>
          <w:sz w:val="16"/>
          <w:szCs w:val="16"/>
          <w:color w:val="auto"/>
        </w:rPr>
        <w:t>Executive Vice President and Chief Risk Officer (2017 - 2018)</w:t>
      </w:r>
    </w:p>
    <w:p>
      <w:pPr>
        <w:spacing w:after="0" w:line="72"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4"/>
          <w:szCs w:val="14"/>
          <w:color w:val="auto"/>
        </w:rPr>
        <w:t xml:space="preserve">–   </w:t>
      </w:r>
      <w:r>
        <w:rPr>
          <w:rFonts w:ascii="Arial" w:cs="Arial" w:eastAsia="Arial" w:hAnsi="Arial"/>
          <w:sz w:val="16"/>
          <w:szCs w:val="16"/>
          <w:color w:val="auto"/>
        </w:rPr>
        <w:t>Senior Vice President and Chief Risk Officer (2015 - 2017)</w:t>
      </w:r>
    </w:p>
    <w:p>
      <w:pPr>
        <w:spacing w:after="0" w:line="59"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4"/>
          <w:szCs w:val="14"/>
          <w:color w:val="auto"/>
        </w:rPr>
        <w:t xml:space="preserve">–   </w:t>
      </w:r>
      <w:r>
        <w:rPr>
          <w:rFonts w:ascii="Arial" w:cs="Arial" w:eastAsia="Arial" w:hAnsi="Arial"/>
          <w:sz w:val="16"/>
          <w:szCs w:val="16"/>
          <w:color w:val="auto"/>
        </w:rPr>
        <w:t>Senior Vice President and Deputy Chief Risk Officer (2013 - 2015)</w:t>
      </w:r>
    </w:p>
    <w:p>
      <w:pPr>
        <w:spacing w:after="0" w:line="54" w:lineRule="exact"/>
        <w:rPr>
          <w:rFonts w:ascii="Arial" w:cs="Arial" w:eastAsia="Arial" w:hAnsi="Arial"/>
          <w:sz w:val="16"/>
          <w:szCs w:val="16"/>
          <w:color w:val="auto"/>
        </w:rPr>
      </w:pPr>
    </w:p>
    <w:p>
      <w:pPr>
        <w:ind w:left="640" w:right="1279" w:hanging="325"/>
        <w:spacing w:after="0" w:line="264" w:lineRule="auto"/>
        <w:tabs>
          <w:tab w:leader="none" w:pos="629" w:val="left"/>
        </w:tabs>
        <w:numPr>
          <w:ilvl w:val="0"/>
          <w:numId w:val="32"/>
        </w:numPr>
        <w:rPr>
          <w:rFonts w:ascii="Arial" w:cs="Arial" w:eastAsia="Arial" w:hAnsi="Arial"/>
          <w:sz w:val="16"/>
          <w:szCs w:val="16"/>
          <w:color w:val="auto"/>
        </w:rPr>
      </w:pPr>
      <w:r>
        <w:rPr>
          <w:rFonts w:ascii="Arial" w:cs="Arial" w:eastAsia="Arial" w:hAnsi="Arial"/>
          <w:sz w:val="18"/>
          <w:szCs w:val="18"/>
          <w:b w:val="1"/>
          <w:bCs w:val="1"/>
          <w:color w:val="auto"/>
        </w:rPr>
        <w:t xml:space="preserve">Credit Suisse AG, </w:t>
      </w:r>
      <w:r>
        <w:rPr>
          <w:rFonts w:ascii="Arial" w:cs="Arial" w:eastAsia="Arial" w:hAnsi="Arial"/>
          <w:sz w:val="16"/>
          <w:szCs w:val="16"/>
          <w:color w:val="auto"/>
        </w:rPr>
        <w:t>a global wealth manager, investment bank, and financial</w:t>
      </w:r>
      <w:r>
        <w:rPr>
          <w:rFonts w:ascii="Arial" w:cs="Arial" w:eastAsia="Arial" w:hAnsi="Arial"/>
          <w:sz w:val="18"/>
          <w:szCs w:val="18"/>
          <w:b w:val="1"/>
          <w:bCs w:val="1"/>
          <w:color w:val="auto"/>
        </w:rPr>
        <w:t xml:space="preserve"> </w:t>
      </w:r>
      <w:r>
        <w:rPr>
          <w:rFonts w:ascii="Arial" w:cs="Arial" w:eastAsia="Arial" w:hAnsi="Arial"/>
          <w:sz w:val="16"/>
          <w:szCs w:val="16"/>
          <w:color w:val="auto"/>
        </w:rPr>
        <w:t>firm founded and based in Switzerland</w:t>
      </w:r>
    </w:p>
    <w:p>
      <w:pPr>
        <w:spacing w:after="0" w:line="21"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4"/>
          <w:szCs w:val="14"/>
          <w:color w:val="auto"/>
        </w:rPr>
        <w:t xml:space="preserve">–   </w:t>
      </w:r>
      <w:r>
        <w:rPr>
          <w:rFonts w:ascii="Arial" w:cs="Arial" w:eastAsia="Arial" w:hAnsi="Arial"/>
          <w:sz w:val="16"/>
          <w:szCs w:val="16"/>
          <w:color w:val="auto"/>
        </w:rPr>
        <w:t>Director, Interest Rate Derivative Products (2005 - 2006)</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00A1DE"/>
        </w:rPr>
        <w:t>OTHER HIGHLIGHTS</w:t>
      </w:r>
    </w:p>
    <w:p>
      <w:pPr>
        <w:spacing w:after="0" w:line="68" w:lineRule="exact"/>
        <w:rPr>
          <w:sz w:val="20"/>
          <w:szCs w:val="20"/>
          <w:color w:val="auto"/>
        </w:rPr>
      </w:pPr>
    </w:p>
    <w:p>
      <w:pPr>
        <w:ind w:left="620" w:hanging="305"/>
        <w:spacing w:after="0"/>
        <w:tabs>
          <w:tab w:leader="none" w:pos="6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Trustee, Princeton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3004185</wp:posOffset>
            </wp:positionV>
            <wp:extent cx="213995" cy="21463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13995" cy="214630"/>
                    </a:xfrm>
                    <a:prstGeom prst="rect">
                      <a:avLst/>
                    </a:prstGeom>
                    <a:noFill/>
                  </pic:spPr>
                </pic:pic>
              </a:graphicData>
            </a:graphic>
          </wp:anchor>
        </w:drawing>
        <w:drawing>
          <wp:anchor simplePos="0" relativeHeight="251657728" behindDoc="1" locked="0" layoutInCell="0" allowOverlap="1">
            <wp:simplePos x="0" y="0"/>
            <wp:positionH relativeFrom="column">
              <wp:posOffset>805815</wp:posOffset>
            </wp:positionH>
            <wp:positionV relativeFrom="paragraph">
              <wp:posOffset>3004185</wp:posOffset>
            </wp:positionV>
            <wp:extent cx="214630" cy="21463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1731645</wp:posOffset>
            </wp:positionH>
            <wp:positionV relativeFrom="paragraph">
              <wp:posOffset>3004185</wp:posOffset>
            </wp:positionV>
            <wp:extent cx="214630" cy="21463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2597785</wp:posOffset>
            </wp:positionH>
            <wp:positionV relativeFrom="paragraph">
              <wp:posOffset>3004185</wp:posOffset>
            </wp:positionV>
            <wp:extent cx="214630" cy="21463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60" w:space="460"/>
            <w:col w:w="7499"/>
          </w:cols>
          <w:pgMar w:left="340" w:top="139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tbl>
      <w:tblPr>
        <w:tblLayout w:type="fixed"/>
        <w:tblInd w:w="1600" w:type="dxa"/>
        <w:tblCellMar>
          <w:top w:w="0" w:type="dxa"/>
          <w:left w:w="0" w:type="dxa"/>
          <w:bottom w:w="0" w:type="dxa"/>
          <w:right w:w="0" w:type="dxa"/>
        </w:tblCellMar>
      </w:tblPr>
      <w:tr>
        <w:trPr>
          <w:trHeight w:val="175"/>
        </w:trPr>
        <w:tc>
          <w:tcPr>
            <w:tcW w:w="1340" w:type="dxa"/>
            <w:vAlign w:val="bottom"/>
          </w:tcPr>
          <w:p>
            <w:pPr>
              <w:jc w:val="center"/>
              <w:ind w:right="488"/>
              <w:spacing w:after="0"/>
              <w:rPr>
                <w:sz w:val="20"/>
                <w:szCs w:val="20"/>
                <w:color w:val="auto"/>
              </w:rPr>
            </w:pPr>
            <w:r>
              <w:rPr>
                <w:rFonts w:ascii="Arial" w:cs="Arial" w:eastAsia="Arial" w:hAnsi="Arial"/>
                <w:sz w:val="14"/>
                <w:szCs w:val="14"/>
                <w:b w:val="1"/>
                <w:bCs w:val="1"/>
                <w:color w:val="auto"/>
                <w:w w:val="98"/>
              </w:rPr>
              <w:t>CEO</w:t>
            </w:r>
          </w:p>
        </w:tc>
        <w:tc>
          <w:tcPr>
            <w:tcW w:w="80" w:type="dxa"/>
            <w:vAlign w:val="bottom"/>
          </w:tcPr>
          <w:p>
            <w:pPr>
              <w:spacing w:after="0"/>
              <w:rPr>
                <w:sz w:val="15"/>
                <w:szCs w:val="15"/>
                <w:color w:val="auto"/>
              </w:rPr>
            </w:pPr>
          </w:p>
        </w:tc>
        <w:tc>
          <w:tcPr>
            <w:tcW w:w="1300" w:type="dxa"/>
            <w:vAlign w:val="bottom"/>
          </w:tcPr>
          <w:p>
            <w:pPr>
              <w:jc w:val="center"/>
              <w:ind w:right="528"/>
              <w:spacing w:after="0"/>
              <w:rPr>
                <w:sz w:val="20"/>
                <w:szCs w:val="20"/>
                <w:color w:val="auto"/>
              </w:rPr>
            </w:pPr>
            <w:r>
              <w:rPr>
                <w:rFonts w:ascii="Arial" w:cs="Arial" w:eastAsia="Arial" w:hAnsi="Arial"/>
                <w:sz w:val="14"/>
                <w:szCs w:val="14"/>
                <w:b w:val="1"/>
                <w:bCs w:val="1"/>
                <w:color w:val="auto"/>
              </w:rPr>
              <w:t>Finance /</w:t>
            </w:r>
          </w:p>
        </w:tc>
        <w:tc>
          <w:tcPr>
            <w:tcW w:w="1320" w:type="dxa"/>
            <w:vAlign w:val="bottom"/>
          </w:tcPr>
          <w:p>
            <w:pPr>
              <w:jc w:val="center"/>
              <w:ind w:right="308"/>
              <w:spacing w:after="0"/>
              <w:rPr>
                <w:sz w:val="20"/>
                <w:szCs w:val="20"/>
                <w:color w:val="auto"/>
              </w:rPr>
            </w:pPr>
            <w:r>
              <w:rPr>
                <w:rFonts w:ascii="Arial" w:cs="Arial" w:eastAsia="Arial" w:hAnsi="Arial"/>
                <w:sz w:val="14"/>
                <w:szCs w:val="14"/>
                <w:b w:val="1"/>
                <w:bCs w:val="1"/>
                <w:color w:val="auto"/>
              </w:rPr>
              <w:t>International</w:t>
            </w:r>
          </w:p>
        </w:tc>
        <w:tc>
          <w:tcPr>
            <w:tcW w:w="1480" w:type="dxa"/>
            <w:vAlign w:val="bottom"/>
            <w:gridSpan w:val="2"/>
          </w:tcPr>
          <w:p>
            <w:pPr>
              <w:jc w:val="center"/>
              <w:ind w:right="308"/>
              <w:spacing w:after="0"/>
              <w:rPr>
                <w:sz w:val="20"/>
                <w:szCs w:val="20"/>
                <w:color w:val="auto"/>
              </w:rPr>
            </w:pPr>
            <w:r>
              <w:rPr>
                <w:rFonts w:ascii="Arial" w:cs="Arial" w:eastAsia="Arial" w:hAnsi="Arial"/>
                <w:sz w:val="14"/>
                <w:szCs w:val="14"/>
                <w:b w:val="1"/>
                <w:bCs w:val="1"/>
                <w:color w:val="auto"/>
              </w:rPr>
              <w:t>Healthcare</w:t>
            </w:r>
          </w:p>
        </w:tc>
        <w:tc>
          <w:tcPr>
            <w:tcW w:w="700" w:type="dxa"/>
            <w:vAlign w:val="bottom"/>
          </w:tcPr>
          <w:p>
            <w:pPr>
              <w:ind w:left="20"/>
              <w:spacing w:after="0"/>
              <w:rPr>
                <w:sz w:val="20"/>
                <w:szCs w:val="20"/>
                <w:color w:val="auto"/>
              </w:rPr>
            </w:pPr>
            <w:r>
              <w:rPr>
                <w:rFonts w:ascii="Arial" w:cs="Arial" w:eastAsia="Arial" w:hAnsi="Arial"/>
                <w:sz w:val="14"/>
                <w:szCs w:val="14"/>
                <w:b w:val="1"/>
                <w:bCs w:val="1"/>
                <w:color w:val="auto"/>
              </w:rPr>
              <w:t>Science /</w:t>
            </w:r>
          </w:p>
        </w:tc>
        <w:tc>
          <w:tcPr>
            <w:tcW w:w="0" w:type="dxa"/>
            <w:vAlign w:val="bottom"/>
          </w:tcPr>
          <w:p>
            <w:pPr>
              <w:spacing w:after="0"/>
              <w:rPr>
                <w:sz w:val="1"/>
                <w:szCs w:val="1"/>
                <w:color w:val="auto"/>
              </w:rPr>
            </w:pPr>
          </w:p>
        </w:tc>
      </w:tr>
      <w:tr>
        <w:trPr>
          <w:trHeight w:val="196"/>
        </w:trPr>
        <w:tc>
          <w:tcPr>
            <w:tcW w:w="1340" w:type="dxa"/>
            <w:vAlign w:val="bottom"/>
          </w:tcPr>
          <w:p>
            <w:pPr>
              <w:jc w:val="center"/>
              <w:ind w:right="488"/>
              <w:spacing w:after="0"/>
              <w:rPr>
                <w:sz w:val="20"/>
                <w:szCs w:val="20"/>
                <w:color w:val="auto"/>
              </w:rPr>
            </w:pPr>
            <w:r>
              <w:rPr>
                <w:rFonts w:ascii="Arial" w:cs="Arial" w:eastAsia="Arial" w:hAnsi="Arial"/>
                <w:sz w:val="14"/>
                <w:szCs w:val="14"/>
                <w:b w:val="1"/>
                <w:bCs w:val="1"/>
                <w:color w:val="auto"/>
              </w:rPr>
              <w:t>Leadership</w:t>
            </w:r>
          </w:p>
        </w:tc>
        <w:tc>
          <w:tcPr>
            <w:tcW w:w="1380" w:type="dxa"/>
            <w:vAlign w:val="bottom"/>
            <w:gridSpan w:val="2"/>
          </w:tcPr>
          <w:p>
            <w:pPr>
              <w:jc w:val="center"/>
              <w:ind w:right="468"/>
              <w:spacing w:after="0"/>
              <w:rPr>
                <w:sz w:val="20"/>
                <w:szCs w:val="20"/>
                <w:color w:val="auto"/>
              </w:rPr>
            </w:pPr>
            <w:r>
              <w:rPr>
                <w:rFonts w:ascii="Arial" w:cs="Arial" w:eastAsia="Arial" w:hAnsi="Arial"/>
                <w:sz w:val="14"/>
                <w:szCs w:val="14"/>
                <w:b w:val="1"/>
                <w:bCs w:val="1"/>
                <w:color w:val="auto"/>
              </w:rPr>
              <w:t>Accounting</w:t>
            </w:r>
          </w:p>
        </w:tc>
        <w:tc>
          <w:tcPr>
            <w:tcW w:w="1320" w:type="dxa"/>
            <w:vAlign w:val="bottom"/>
          </w:tcPr>
          <w:p>
            <w:pPr>
              <w:jc w:val="center"/>
              <w:ind w:right="328"/>
              <w:spacing w:after="0"/>
              <w:rPr>
                <w:sz w:val="20"/>
                <w:szCs w:val="20"/>
                <w:color w:val="auto"/>
              </w:rPr>
            </w:pPr>
            <w:r>
              <w:rPr>
                <w:rFonts w:ascii="Arial" w:cs="Arial" w:eastAsia="Arial" w:hAnsi="Arial"/>
                <w:sz w:val="14"/>
                <w:szCs w:val="14"/>
                <w:b w:val="1"/>
                <w:bCs w:val="1"/>
                <w:color w:val="auto"/>
              </w:rPr>
              <w:t>Business</w:t>
            </w:r>
          </w:p>
        </w:tc>
        <w:tc>
          <w:tcPr>
            <w:tcW w:w="260" w:type="dxa"/>
            <w:vAlign w:val="bottom"/>
          </w:tcPr>
          <w:p>
            <w:pPr>
              <w:spacing w:after="0"/>
              <w:rPr>
                <w:sz w:val="17"/>
                <w:szCs w:val="17"/>
                <w:color w:val="auto"/>
              </w:rPr>
            </w:pPr>
          </w:p>
        </w:tc>
        <w:tc>
          <w:tcPr>
            <w:tcW w:w="1220" w:type="dxa"/>
            <w:vAlign w:val="bottom"/>
          </w:tcPr>
          <w:p>
            <w:pPr>
              <w:jc w:val="center"/>
              <w:ind w:right="568"/>
              <w:spacing w:after="0"/>
              <w:rPr>
                <w:sz w:val="20"/>
                <w:szCs w:val="20"/>
                <w:color w:val="auto"/>
              </w:rPr>
            </w:pPr>
            <w:r>
              <w:rPr>
                <w:rFonts w:ascii="Arial" w:cs="Arial" w:eastAsia="Arial" w:hAnsi="Arial"/>
                <w:sz w:val="14"/>
                <w:szCs w:val="14"/>
                <w:b w:val="1"/>
                <w:bCs w:val="1"/>
                <w:color w:val="auto"/>
              </w:rPr>
              <w:t>Industry</w:t>
            </w:r>
          </w:p>
        </w:tc>
        <w:tc>
          <w:tcPr>
            <w:tcW w:w="700" w:type="dxa"/>
            <w:vAlign w:val="bottom"/>
          </w:tcPr>
          <w:p>
            <w:pPr>
              <w:ind w:left="20"/>
              <w:spacing w:after="0"/>
              <w:rPr>
                <w:sz w:val="20"/>
                <w:szCs w:val="20"/>
                <w:color w:val="auto"/>
              </w:rPr>
            </w:pPr>
            <w:r>
              <w:rPr>
                <w:rFonts w:ascii="Arial" w:cs="Arial" w:eastAsia="Arial" w:hAnsi="Arial"/>
                <w:sz w:val="14"/>
                <w:szCs w:val="14"/>
                <w:b w:val="1"/>
                <w:bCs w:val="1"/>
                <w:color w:val="auto"/>
                <w:w w:val="99"/>
              </w:rPr>
              <w:t>Academia</w:t>
            </w:r>
          </w:p>
        </w:tc>
        <w:tc>
          <w:tcPr>
            <w:tcW w:w="0" w:type="dxa"/>
            <w:vAlign w:val="bottom"/>
          </w:tcPr>
          <w:p>
            <w:pPr>
              <w:spacing w:after="0"/>
              <w:rPr>
                <w:sz w:val="1"/>
                <w:szCs w:val="1"/>
                <w:color w:val="auto"/>
              </w:rPr>
            </w:pPr>
          </w:p>
        </w:tc>
      </w:tr>
      <w:tr>
        <w:trPr>
          <w:trHeight w:val="438"/>
        </w:trPr>
        <w:tc>
          <w:tcPr>
            <w:tcW w:w="1340" w:type="dxa"/>
            <w:vAlign w:val="bottom"/>
          </w:tcPr>
          <w:p>
            <w:pPr>
              <w:ind w:left="480"/>
              <w:spacing w:after="0"/>
              <w:rPr>
                <w:sz w:val="20"/>
                <w:szCs w:val="20"/>
                <w:color w:val="auto"/>
              </w:rPr>
            </w:pPr>
            <w:r>
              <w:rPr>
                <w:rFonts w:ascii="Arial" w:cs="Arial" w:eastAsia="Arial" w:hAnsi="Arial"/>
                <w:sz w:val="14"/>
                <w:szCs w:val="14"/>
                <w:b w:val="1"/>
                <w:bCs w:val="1"/>
                <w:color w:val="auto"/>
              </w:rPr>
              <w:t>Government</w:t>
            </w:r>
          </w:p>
        </w:tc>
        <w:tc>
          <w:tcPr>
            <w:tcW w:w="80" w:type="dxa"/>
            <w:vAlign w:val="bottom"/>
          </w:tcPr>
          <w:p>
            <w:pPr>
              <w:spacing w:after="0"/>
              <w:rPr>
                <w:sz w:val="24"/>
                <w:szCs w:val="24"/>
                <w:color w:val="auto"/>
              </w:rPr>
            </w:pPr>
          </w:p>
        </w:tc>
        <w:tc>
          <w:tcPr>
            <w:tcW w:w="1300" w:type="dxa"/>
            <w:vAlign w:val="bottom"/>
            <w:vMerge w:val="restart"/>
          </w:tcPr>
          <w:p>
            <w:pPr>
              <w:ind w:left="600"/>
              <w:spacing w:after="0"/>
              <w:rPr>
                <w:sz w:val="20"/>
                <w:szCs w:val="20"/>
                <w:color w:val="auto"/>
              </w:rPr>
            </w:pPr>
            <w:r>
              <w:rPr>
                <w:rFonts w:ascii="Arial" w:cs="Arial" w:eastAsia="Arial" w:hAnsi="Arial"/>
                <w:sz w:val="14"/>
                <w:szCs w:val="14"/>
                <w:b w:val="1"/>
                <w:bCs w:val="1"/>
                <w:color w:val="auto"/>
              </w:rPr>
              <w:t>Sales /</w:t>
            </w:r>
          </w:p>
        </w:tc>
        <w:tc>
          <w:tcPr>
            <w:tcW w:w="1580" w:type="dxa"/>
            <w:vAlign w:val="bottom"/>
            <w:gridSpan w:val="2"/>
            <w:vMerge w:val="restart"/>
          </w:tcPr>
          <w:p>
            <w:pPr>
              <w:ind w:left="700"/>
              <w:spacing w:after="0"/>
              <w:rPr>
                <w:sz w:val="20"/>
                <w:szCs w:val="20"/>
                <w:color w:val="auto"/>
              </w:rPr>
            </w:pPr>
            <w:r>
              <w:rPr>
                <w:rFonts w:ascii="Arial" w:cs="Arial" w:eastAsia="Arial" w:hAnsi="Arial"/>
                <w:sz w:val="14"/>
                <w:szCs w:val="14"/>
                <w:b w:val="1"/>
                <w:bCs w:val="1"/>
                <w:color w:val="auto"/>
                <w:w w:val="99"/>
              </w:rPr>
              <w:t>Technology /</w:t>
            </w:r>
          </w:p>
        </w:tc>
        <w:tc>
          <w:tcPr>
            <w:tcW w:w="1920" w:type="dxa"/>
            <w:vAlign w:val="bottom"/>
            <w:gridSpan w:val="2"/>
            <w:vMerge w:val="restart"/>
          </w:tcPr>
          <w:p>
            <w:pPr>
              <w:ind w:left="620"/>
              <w:spacing w:after="0"/>
              <w:rPr>
                <w:sz w:val="20"/>
                <w:szCs w:val="20"/>
                <w:color w:val="auto"/>
              </w:rPr>
            </w:pPr>
            <w:r>
              <w:rPr>
                <w:rFonts w:ascii="Arial" w:cs="Arial" w:eastAsia="Arial" w:hAnsi="Arial"/>
                <w:sz w:val="14"/>
                <w:szCs w:val="14"/>
                <w:b w:val="1"/>
                <w:bCs w:val="1"/>
                <w:color w:val="auto"/>
              </w:rPr>
              <w:t>Operations /</w:t>
            </w:r>
          </w:p>
        </w:tc>
        <w:tc>
          <w:tcPr>
            <w:tcW w:w="0" w:type="dxa"/>
            <w:vAlign w:val="bottom"/>
          </w:tcPr>
          <w:p>
            <w:pPr>
              <w:spacing w:after="0"/>
              <w:rPr>
                <w:sz w:val="1"/>
                <w:szCs w:val="1"/>
                <w:color w:val="auto"/>
              </w:rPr>
            </w:pPr>
          </w:p>
        </w:tc>
      </w:tr>
      <w:tr>
        <w:trPr>
          <w:trHeight w:val="144"/>
        </w:trPr>
        <w:tc>
          <w:tcPr>
            <w:tcW w:w="1340" w:type="dxa"/>
            <w:vAlign w:val="bottom"/>
          </w:tcPr>
          <w:p>
            <w:pPr>
              <w:ind w:left="480"/>
              <w:spacing w:after="0" w:line="145" w:lineRule="exact"/>
              <w:rPr>
                <w:sz w:val="20"/>
                <w:szCs w:val="20"/>
                <w:color w:val="auto"/>
              </w:rPr>
            </w:pPr>
            <w:r>
              <w:rPr>
                <w:rFonts w:ascii="Arial" w:cs="Arial" w:eastAsia="Arial" w:hAnsi="Arial"/>
                <w:sz w:val="14"/>
                <w:szCs w:val="14"/>
                <w:b w:val="1"/>
                <w:bCs w:val="1"/>
                <w:color w:val="auto"/>
              </w:rPr>
              <w:t>Relations /</w:t>
            </w:r>
          </w:p>
        </w:tc>
        <w:tc>
          <w:tcPr>
            <w:tcW w:w="8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1420" w:type="dxa"/>
            <w:vAlign w:val="bottom"/>
            <w:gridSpan w:val="2"/>
          </w:tcPr>
          <w:p>
            <w:pPr>
              <w:ind w:left="480"/>
              <w:spacing w:after="0"/>
              <w:rPr>
                <w:sz w:val="20"/>
                <w:szCs w:val="20"/>
                <w:color w:val="auto"/>
              </w:rPr>
            </w:pPr>
            <w:r>
              <w:rPr>
                <w:rFonts w:ascii="Arial" w:cs="Arial" w:eastAsia="Arial" w:hAnsi="Arial"/>
                <w:sz w:val="14"/>
                <w:szCs w:val="14"/>
                <w:b w:val="1"/>
                <w:bCs w:val="1"/>
                <w:color w:val="auto"/>
              </w:rPr>
              <w:t>Public Policy</w:t>
            </w:r>
          </w:p>
        </w:tc>
        <w:tc>
          <w:tcPr>
            <w:tcW w:w="1300" w:type="dxa"/>
            <w:vAlign w:val="bottom"/>
          </w:tcPr>
          <w:p>
            <w:pPr>
              <w:ind w:left="600"/>
              <w:spacing w:after="0"/>
              <w:rPr>
                <w:sz w:val="20"/>
                <w:szCs w:val="20"/>
                <w:color w:val="auto"/>
              </w:rPr>
            </w:pPr>
            <w:r>
              <w:rPr>
                <w:rFonts w:ascii="Arial" w:cs="Arial" w:eastAsia="Arial" w:hAnsi="Arial"/>
                <w:sz w:val="14"/>
                <w:szCs w:val="14"/>
                <w:b w:val="1"/>
                <w:bCs w:val="1"/>
                <w:color w:val="auto"/>
              </w:rPr>
              <w:t>Marketing</w:t>
            </w:r>
          </w:p>
        </w:tc>
        <w:tc>
          <w:tcPr>
            <w:tcW w:w="1320" w:type="dxa"/>
            <w:vAlign w:val="bottom"/>
          </w:tcPr>
          <w:p>
            <w:pPr>
              <w:ind w:left="700"/>
              <w:spacing w:after="0"/>
              <w:rPr>
                <w:sz w:val="20"/>
                <w:szCs w:val="20"/>
                <w:color w:val="auto"/>
              </w:rPr>
            </w:pPr>
            <w:r>
              <w:rPr>
                <w:rFonts w:ascii="Arial" w:cs="Arial" w:eastAsia="Arial" w:hAnsi="Arial"/>
                <w:sz w:val="14"/>
                <w:szCs w:val="14"/>
                <w:b w:val="1"/>
                <w:bCs w:val="1"/>
                <w:color w:val="auto"/>
              </w:rPr>
              <w:t>Digital</w:t>
            </w:r>
          </w:p>
        </w:tc>
        <w:tc>
          <w:tcPr>
            <w:tcW w:w="260" w:type="dxa"/>
            <w:vAlign w:val="bottom"/>
          </w:tcPr>
          <w:p>
            <w:pPr>
              <w:spacing w:after="0"/>
              <w:rPr>
                <w:sz w:val="17"/>
                <w:szCs w:val="17"/>
                <w:color w:val="auto"/>
              </w:rPr>
            </w:pPr>
          </w:p>
        </w:tc>
        <w:tc>
          <w:tcPr>
            <w:tcW w:w="1220" w:type="dxa"/>
            <w:vAlign w:val="bottom"/>
          </w:tcPr>
          <w:p>
            <w:pPr>
              <w:ind w:left="620"/>
              <w:spacing w:after="0"/>
              <w:rPr>
                <w:sz w:val="20"/>
                <w:szCs w:val="20"/>
                <w:color w:val="auto"/>
              </w:rPr>
            </w:pPr>
            <w:r>
              <w:rPr>
                <w:rFonts w:ascii="Arial" w:cs="Arial" w:eastAsia="Arial" w:hAnsi="Arial"/>
                <w:sz w:val="14"/>
                <w:szCs w:val="14"/>
                <w:b w:val="1"/>
                <w:bCs w:val="1"/>
                <w:color w:val="auto"/>
              </w:rPr>
              <w:t>Strategy</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1029335</wp:posOffset>
            </wp:positionH>
            <wp:positionV relativeFrom="paragraph">
              <wp:posOffset>-264160</wp:posOffset>
            </wp:positionV>
            <wp:extent cx="214630" cy="21463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1989455</wp:posOffset>
            </wp:positionH>
            <wp:positionV relativeFrom="paragraph">
              <wp:posOffset>-264160</wp:posOffset>
            </wp:positionV>
            <wp:extent cx="214630" cy="21463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2863850</wp:posOffset>
            </wp:positionH>
            <wp:positionV relativeFrom="paragraph">
              <wp:posOffset>-264160</wp:posOffset>
            </wp:positionV>
            <wp:extent cx="214630" cy="21463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3823970</wp:posOffset>
            </wp:positionH>
            <wp:positionV relativeFrom="paragraph">
              <wp:posOffset>-264160</wp:posOffset>
            </wp:positionV>
            <wp:extent cx="214630" cy="21463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ectPr>
          <w:pgSz w:w="11900" w:h="16838" w:orient="portrait"/>
          <w:cols w:equalWidth="0" w:num="1">
            <w:col w:w="10119"/>
          </w:cols>
          <w:pgMar w:left="340" w:top="1390" w:right="1440" w:bottom="1440" w:gutter="0" w:footer="0" w:header="0"/>
          <w:type w:val="continuous"/>
        </w:sectPr>
      </w:pPr>
    </w:p>
    <w:p>
      <w:pPr>
        <w:spacing w:after="0" w:line="200" w:lineRule="exact"/>
        <w:rPr>
          <w:sz w:val="20"/>
          <w:szCs w:val="20"/>
          <w:color w:val="auto"/>
        </w:rPr>
      </w:pPr>
    </w:p>
    <w:p>
      <w:pPr>
        <w:spacing w:after="0" w:line="315" w:lineRule="exact"/>
        <w:rPr>
          <w:sz w:val="20"/>
          <w:szCs w:val="20"/>
          <w:color w:val="auto"/>
        </w:rPr>
      </w:pPr>
    </w:p>
    <w:p>
      <w:pPr>
        <w:ind w:left="5500"/>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154940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390" w:right="1440" w:bottom="1440" w:gutter="0" w:footer="0" w:header="0"/>
          <w:type w:val="continuous"/>
        </w:sectPr>
      </w:pPr>
    </w:p>
    <w:bookmarkStart w:id="20" w:name="page21"/>
    <w:bookmarkEnd w:id="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267970</wp:posOffset>
            </wp:positionH>
            <wp:positionV relativeFrom="page">
              <wp:posOffset>911860</wp:posOffset>
            </wp:positionV>
            <wp:extent cx="1311275" cy="131127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clrChange>
                        <a:clrFrom>
                          <a:srgbClr val="FFFFFF"/>
                        </a:clrFrom>
                        <a:clrTo>
                          <a:srgbClr val="FFFFFF">
                            <a:alpha val="0"/>
                          </a:srgbClr>
                        </a:clrTo>
                      </a:clrChange>
                      <a:extLst>
                        <a:ext uri="{28A0092B-C50C-407E-A947-70E740481C1C}"/>
                      </a:extLst>
                    </a:blip>
                    <a:srcRect/>
                    <a:stretch>
                      <a:fillRect/>
                    </a:stretch>
                  </pic:blipFill>
                  <pic:spPr bwMode="auto">
                    <a:xfrm>
                      <a:off x="0" y="0"/>
                      <a:ext cx="1311275" cy="131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b w:val="1"/>
          <w:bCs w:val="1"/>
          <w:color w:val="EF3729"/>
        </w:rPr>
        <w:t>Juan R. Luciano</w:t>
      </w:r>
    </w:p>
    <w:p>
      <w:pPr>
        <w:ind w:right="240"/>
        <w:spacing w:after="0" w:line="235" w:lineRule="auto"/>
        <w:rPr>
          <w:sz w:val="20"/>
          <w:szCs w:val="20"/>
          <w:color w:val="auto"/>
        </w:rPr>
      </w:pPr>
      <w:r>
        <w:rPr>
          <w:rFonts w:ascii="Arial" w:cs="Arial" w:eastAsia="Arial" w:hAnsi="Arial"/>
          <w:sz w:val="16"/>
          <w:szCs w:val="16"/>
          <w:color w:val="auto"/>
        </w:rPr>
        <w:t>Lead Independent Director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164465</wp:posOffset>
            </wp:positionV>
            <wp:extent cx="143129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431290" cy="8255"/>
                    </a:xfrm>
                    <a:prstGeom prst="rect">
                      <a:avLst/>
                    </a:prstGeom>
                    <a:noFill/>
                  </pic:spPr>
                </pic:pic>
              </a:graphicData>
            </a:graphic>
          </wp:anchor>
        </w:drawing>
      </w:r>
    </w:p>
    <w:p>
      <w:pPr>
        <w:spacing w:after="0" w:line="3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Age</w:t>
      </w:r>
      <w:r>
        <w:rPr>
          <w:rFonts w:ascii="Arial" w:cs="Arial" w:eastAsia="Arial" w:hAnsi="Arial"/>
          <w:sz w:val="16"/>
          <w:szCs w:val="16"/>
          <w:color w:val="auto"/>
        </w:rPr>
        <w:t>: 63</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 since</w:t>
      </w:r>
      <w:r>
        <w:rPr>
          <w:rFonts w:ascii="Arial" w:cs="Arial" w:eastAsia="Arial" w:hAnsi="Arial"/>
          <w:sz w:val="16"/>
          <w:szCs w:val="16"/>
          <w:color w:val="auto"/>
        </w:rPr>
        <w:t>: 2016</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Committees:</w:t>
      </w:r>
    </w:p>
    <w:p>
      <w:pPr>
        <w:spacing w:after="0" w:line="59" w:lineRule="exact"/>
        <w:rPr>
          <w:sz w:val="20"/>
          <w:szCs w:val="20"/>
          <w:color w:val="auto"/>
        </w:rPr>
      </w:pPr>
    </w:p>
    <w:p>
      <w:pPr>
        <w:ind w:left="16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6"/>
          <w:szCs w:val="16"/>
          <w:color w:val="auto"/>
        </w:rPr>
        <w:t>Talent and Compensation</w:t>
      </w:r>
    </w:p>
    <w:p>
      <w:pPr>
        <w:spacing w:after="0" w:line="72" w:lineRule="exact"/>
        <w:rPr>
          <w:sz w:val="20"/>
          <w:szCs w:val="20"/>
          <w:color w:val="auto"/>
        </w:rPr>
      </w:pPr>
    </w:p>
    <w:p>
      <w:pPr>
        <w:ind w:left="340" w:right="100" w:hanging="162"/>
        <w:spacing w:after="0" w:line="281" w:lineRule="auto"/>
        <w:rPr>
          <w:sz w:val="20"/>
          <w:szCs w:val="20"/>
          <w:color w:val="auto"/>
        </w:rPr>
      </w:pPr>
      <w:r>
        <w:rPr>
          <w:rFonts w:ascii="Arial" w:cs="Arial" w:eastAsia="Arial" w:hAnsi="Arial"/>
          <w:sz w:val="14"/>
          <w:szCs w:val="14"/>
          <w:color w:val="auto"/>
        </w:rPr>
        <w:t xml:space="preserve">– </w:t>
      </w:r>
      <w:r>
        <w:rPr>
          <w:rFonts w:ascii="Arial" w:cs="Arial" w:eastAsia="Arial" w:hAnsi="Arial"/>
          <w:sz w:val="16"/>
          <w:szCs w:val="16"/>
          <w:color w:val="auto"/>
        </w:rPr>
        <w:t>Directors and Corporate</w:t>
      </w:r>
      <w:r>
        <w:rPr>
          <w:rFonts w:ascii="Arial" w:cs="Arial" w:eastAsia="Arial" w:hAnsi="Arial"/>
          <w:sz w:val="14"/>
          <w:szCs w:val="14"/>
          <w:color w:val="auto"/>
        </w:rPr>
        <w:t xml:space="preserve"> </w:t>
      </w:r>
      <w:r>
        <w:rPr>
          <w:rFonts w:ascii="Arial" w:cs="Arial" w:eastAsia="Arial" w:hAnsi="Arial"/>
          <w:sz w:val="16"/>
          <w:szCs w:val="16"/>
          <w:color w:val="auto"/>
        </w:rPr>
        <w:t>Governance (Chair)</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Public Boards:</w:t>
      </w:r>
    </w:p>
    <w:p>
      <w:pPr>
        <w:spacing w:after="0" w:line="73" w:lineRule="exact"/>
        <w:rPr>
          <w:sz w:val="20"/>
          <w:szCs w:val="20"/>
          <w:color w:val="auto"/>
        </w:rPr>
      </w:pPr>
    </w:p>
    <w:p>
      <w:pPr>
        <w:ind w:left="340" w:right="140" w:hanging="168"/>
        <w:spacing w:after="0" w:line="286" w:lineRule="auto"/>
        <w:rPr>
          <w:sz w:val="20"/>
          <w:szCs w:val="20"/>
          <w:color w:val="auto"/>
        </w:rPr>
      </w:pPr>
      <w:r>
        <w:rPr>
          <w:rFonts w:ascii="Arial" w:cs="Arial" w:eastAsia="Arial" w:hAnsi="Arial"/>
          <w:sz w:val="14"/>
          <w:szCs w:val="14"/>
          <w:color w:val="auto"/>
        </w:rPr>
        <w:t xml:space="preserve">– </w:t>
      </w:r>
      <w:r>
        <w:rPr>
          <w:rFonts w:ascii="Arial" w:cs="Arial" w:eastAsia="Arial" w:hAnsi="Arial"/>
          <w:sz w:val="16"/>
          <w:szCs w:val="16"/>
          <w:color w:val="auto"/>
        </w:rPr>
        <w:t>Archer-Daniels-Midland</w:t>
      </w:r>
      <w:r>
        <w:rPr>
          <w:rFonts w:ascii="Arial" w:cs="Arial" w:eastAsia="Arial" w:hAnsi="Arial"/>
          <w:sz w:val="14"/>
          <w:szCs w:val="14"/>
          <w:color w:val="auto"/>
        </w:rPr>
        <w:t xml:space="preserve"> </w:t>
      </w:r>
      <w:r>
        <w:rPr>
          <w:rFonts w:ascii="Arial" w:cs="Arial" w:eastAsia="Arial" w:hAnsi="Arial"/>
          <w:sz w:val="16"/>
          <w:szCs w:val="16"/>
          <w:color w:val="auto"/>
        </w:rPr>
        <w:t>Company</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Prior Public Boards:</w:t>
      </w:r>
    </w:p>
    <w:p>
      <w:pPr>
        <w:spacing w:after="0" w:line="59" w:lineRule="exact"/>
        <w:rPr>
          <w:sz w:val="20"/>
          <w:szCs w:val="20"/>
          <w:color w:val="auto"/>
        </w:rPr>
      </w:pPr>
    </w:p>
    <w:p>
      <w:pPr>
        <w:ind w:left="16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6"/>
          <w:szCs w:val="16"/>
          <w:color w:val="auto"/>
        </w:rPr>
        <w:t>None</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55245</wp:posOffset>
            </wp:positionV>
            <wp:extent cx="1234440" cy="6686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34440" cy="668655"/>
                    </a:xfrm>
                    <a:prstGeom prst="rect">
                      <a:avLst/>
                    </a:prstGeom>
                    <a:noFill/>
                  </pic:spPr>
                </pic:pic>
              </a:graphicData>
            </a:graphic>
          </wp:anchor>
        </w:drawing>
        <w:drawing>
          <wp:anchor simplePos="0" relativeHeight="251657728" behindDoc="1" locked="0" layoutInCell="0" allowOverlap="1">
            <wp:simplePos x="0" y="0"/>
            <wp:positionH relativeFrom="column">
              <wp:posOffset>746760</wp:posOffset>
            </wp:positionH>
            <wp:positionV relativeFrom="paragraph">
              <wp:posOffset>3681095</wp:posOffset>
            </wp:positionV>
            <wp:extent cx="214630" cy="21463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FFFFFF"/>
        </w:rPr>
        <w:t>KEY EXPERIENCE AND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-127635</wp:posOffset>
            </wp:positionH>
            <wp:positionV relativeFrom="paragraph">
              <wp:posOffset>-135890</wp:posOffset>
            </wp:positionV>
            <wp:extent cx="4260215" cy="26060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260215" cy="2606040"/>
                    </a:xfrm>
                    <a:prstGeom prst="rect">
                      <a:avLst/>
                    </a:prstGeom>
                    <a:noFill/>
                  </pic:spPr>
                </pic:pic>
              </a:graphicData>
            </a:graphic>
          </wp:anchor>
        </w:drawing>
      </w:r>
    </w:p>
    <w:p>
      <w:pPr>
        <w:spacing w:after="0" w:line="144" w:lineRule="exact"/>
        <w:rPr>
          <w:sz w:val="20"/>
          <w:szCs w:val="20"/>
          <w:color w:val="auto"/>
        </w:rPr>
      </w:pPr>
    </w:p>
    <w:p>
      <w:pPr>
        <w:ind w:right="1059"/>
        <w:spacing w:after="0" w:line="264" w:lineRule="auto"/>
        <w:rPr>
          <w:sz w:val="20"/>
          <w:szCs w:val="20"/>
          <w:color w:val="auto"/>
        </w:rPr>
      </w:pPr>
      <w:r>
        <w:rPr>
          <w:rFonts w:ascii="Arial" w:cs="Arial" w:eastAsia="Arial" w:hAnsi="Arial"/>
          <w:sz w:val="16"/>
          <w:szCs w:val="16"/>
          <w:i w:val="1"/>
          <w:iCs w:val="1"/>
          <w:color w:val="auto"/>
        </w:rPr>
        <w:t>Mr. Luciano’s decades of experience, including as a chair and chief executive officer, as a leader of large organizations, and in international business, strategy, and operations, bring to the board valuable insights into the complexities of operating in a rapidly changing global market.</w:t>
      </w:r>
    </w:p>
    <w:p>
      <w:pPr>
        <w:spacing w:after="0" w:line="79" w:lineRule="exact"/>
        <w:rPr>
          <w:sz w:val="20"/>
          <w:szCs w:val="20"/>
          <w:color w:val="auto"/>
        </w:rPr>
      </w:pPr>
    </w:p>
    <w:p>
      <w:pPr>
        <w:ind w:left="640" w:right="1159" w:hanging="325"/>
        <w:spacing w:after="0" w:line="265" w:lineRule="auto"/>
        <w:tabs>
          <w:tab w:leader="none" w:pos="636" w:val="left"/>
        </w:tabs>
        <w:numPr>
          <w:ilvl w:val="0"/>
          <w:numId w:val="37"/>
        </w:numPr>
        <w:rPr>
          <w:rFonts w:ascii="Arial" w:cs="Arial" w:eastAsia="Arial" w:hAnsi="Arial"/>
          <w:sz w:val="14"/>
          <w:szCs w:val="14"/>
          <w:color w:val="auto"/>
        </w:rPr>
      </w:pPr>
      <w:r>
        <w:rPr>
          <w:rFonts w:ascii="Arial" w:cs="Arial" w:eastAsia="Arial" w:hAnsi="Arial"/>
          <w:sz w:val="16"/>
          <w:szCs w:val="16"/>
          <w:color w:val="auto"/>
        </w:rPr>
        <w:t>As chair and chief executive officer of a major global enterprise, Mr. Luciano contributes extensive knowledge of international business and the development and execution of strategy, such as the increased use of innovative technologies to meet customer needs and the management of complex global supply chains.</w:t>
      </w:r>
    </w:p>
    <w:p>
      <w:pPr>
        <w:spacing w:after="0" w:line="64" w:lineRule="exact"/>
        <w:rPr>
          <w:rFonts w:ascii="Arial" w:cs="Arial" w:eastAsia="Arial" w:hAnsi="Arial"/>
          <w:sz w:val="14"/>
          <w:szCs w:val="14"/>
          <w:color w:val="auto"/>
        </w:rPr>
      </w:pPr>
    </w:p>
    <w:p>
      <w:pPr>
        <w:ind w:left="640" w:right="1059" w:hanging="325"/>
        <w:spacing w:after="0" w:line="275" w:lineRule="auto"/>
        <w:tabs>
          <w:tab w:leader="none" w:pos="636" w:val="left"/>
        </w:tabs>
        <w:numPr>
          <w:ilvl w:val="0"/>
          <w:numId w:val="37"/>
        </w:numPr>
        <w:rPr>
          <w:rFonts w:ascii="Arial" w:cs="Arial" w:eastAsia="Arial" w:hAnsi="Arial"/>
          <w:sz w:val="14"/>
          <w:szCs w:val="14"/>
          <w:color w:val="auto"/>
        </w:rPr>
      </w:pPr>
      <w:r>
        <w:rPr>
          <w:rFonts w:ascii="Arial" w:cs="Arial" w:eastAsia="Arial" w:hAnsi="Arial"/>
          <w:sz w:val="16"/>
          <w:szCs w:val="16"/>
          <w:color w:val="auto"/>
        </w:rPr>
        <w:t>Mr. Luciano’s experience as a chief operating officer and line executive in several product areas also bring a thorough understanding of operations, especially in highly regulated sectors.</w:t>
      </w:r>
    </w:p>
    <w:p>
      <w:pPr>
        <w:spacing w:after="0" w:line="2" w:lineRule="exact"/>
        <w:rPr>
          <w:rFonts w:ascii="Arial" w:cs="Arial" w:eastAsia="Arial" w:hAnsi="Arial"/>
          <w:sz w:val="14"/>
          <w:szCs w:val="14"/>
          <w:color w:val="auto"/>
        </w:rPr>
      </w:pPr>
    </w:p>
    <w:p>
      <w:pPr>
        <w:ind w:left="640" w:right="1139" w:hanging="325"/>
        <w:spacing w:after="0" w:line="275" w:lineRule="auto"/>
        <w:tabs>
          <w:tab w:leader="none" w:pos="636" w:val="left"/>
        </w:tabs>
        <w:numPr>
          <w:ilvl w:val="0"/>
          <w:numId w:val="37"/>
        </w:numPr>
        <w:rPr>
          <w:rFonts w:ascii="Times New Roman" w:cs="Times New Roman" w:eastAsia="Times New Roman" w:hAnsi="Times New Roman"/>
          <w:sz w:val="14"/>
          <w:szCs w:val="14"/>
          <w:color w:val="auto"/>
        </w:rPr>
      </w:pPr>
      <w:r>
        <w:rPr>
          <w:rFonts w:ascii="Arial" w:cs="Arial" w:eastAsia="Arial" w:hAnsi="Arial"/>
          <w:sz w:val="16"/>
          <w:szCs w:val="16"/>
          <w:color w:val="auto"/>
        </w:rPr>
        <w:t>Mr. Luciano’s results-oriented perspective and his experience in leading a major multinational company are particularly valuable to the board and make him a strong and engaged lead independent director.</w:t>
      </w:r>
    </w:p>
    <w:p>
      <w:pPr>
        <w:spacing w:after="0" w:line="15" w:lineRule="exact"/>
        <w:rPr>
          <w:rFonts w:ascii="Times New Roman" w:cs="Times New Roman" w:eastAsia="Times New Roman" w:hAnsi="Times New Roman"/>
          <w:sz w:val="14"/>
          <w:szCs w:val="14"/>
          <w:color w:val="auto"/>
        </w:rPr>
      </w:pPr>
    </w:p>
    <w:p>
      <w:pPr>
        <w:ind w:left="640" w:right="1079" w:hanging="325"/>
        <w:spacing w:after="0" w:line="275" w:lineRule="auto"/>
        <w:tabs>
          <w:tab w:leader="none" w:pos="636" w:val="left"/>
        </w:tabs>
        <w:numPr>
          <w:ilvl w:val="0"/>
          <w:numId w:val="37"/>
        </w:numPr>
        <w:rPr>
          <w:rFonts w:ascii="Times New Roman" w:cs="Times New Roman" w:eastAsia="Times New Roman" w:hAnsi="Times New Roman"/>
          <w:sz w:val="14"/>
          <w:szCs w:val="14"/>
          <w:color w:val="auto"/>
        </w:rPr>
      </w:pPr>
      <w:r>
        <w:rPr>
          <w:rFonts w:ascii="Arial" w:cs="Arial" w:eastAsia="Arial" w:hAnsi="Arial"/>
          <w:sz w:val="16"/>
          <w:szCs w:val="16"/>
          <w:color w:val="auto"/>
        </w:rPr>
        <w:t>Mr. Luciano is a well-respected leader and strong lead independent director for the board, with the willingness and ability to provide direct, candid feedback to the chief executive officer while acting as a facilitator of discussion and progress.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00A1DE"/>
        </w:rPr>
        <w:t>CAREER HIGHLIGHTS</w:t>
      </w:r>
    </w:p>
    <w:p>
      <w:pPr>
        <w:spacing w:after="0" w:line="40" w:lineRule="exact"/>
        <w:rPr>
          <w:sz w:val="20"/>
          <w:szCs w:val="20"/>
          <w:color w:val="auto"/>
        </w:rPr>
      </w:pPr>
    </w:p>
    <w:p>
      <w:pPr>
        <w:ind w:left="640" w:right="1819" w:hanging="325"/>
        <w:spacing w:after="0" w:line="274" w:lineRule="auto"/>
        <w:tabs>
          <w:tab w:leader="none" w:pos="629" w:val="left"/>
        </w:tabs>
        <w:numPr>
          <w:ilvl w:val="0"/>
          <w:numId w:val="38"/>
        </w:numPr>
        <w:rPr>
          <w:rFonts w:ascii="Arial" w:cs="Arial" w:eastAsia="Arial" w:hAnsi="Arial"/>
          <w:sz w:val="16"/>
          <w:szCs w:val="16"/>
          <w:color w:val="auto"/>
        </w:rPr>
      </w:pPr>
      <w:r>
        <w:rPr>
          <w:rFonts w:ascii="Arial" w:cs="Arial" w:eastAsia="Arial" w:hAnsi="Arial"/>
          <w:sz w:val="18"/>
          <w:szCs w:val="18"/>
          <w:b w:val="1"/>
          <w:bCs w:val="1"/>
          <w:color w:val="auto"/>
        </w:rPr>
        <w:t>Archer-Daniels-Midland Company</w:t>
      </w:r>
      <w:r>
        <w:rPr>
          <w:rFonts w:ascii="Arial" w:cs="Arial" w:eastAsia="Arial" w:hAnsi="Arial"/>
          <w:sz w:val="19"/>
          <w:szCs w:val="19"/>
          <w:b w:val="1"/>
          <w:bCs w:val="1"/>
          <w:color w:val="auto"/>
        </w:rPr>
        <w:t>,</w:t>
      </w:r>
      <w:r>
        <w:rPr>
          <w:rFonts w:ascii="Arial" w:cs="Arial" w:eastAsia="Arial" w:hAnsi="Arial"/>
          <w:sz w:val="18"/>
          <w:szCs w:val="18"/>
          <w:b w:val="1"/>
          <w:bCs w:val="1"/>
          <w:color w:val="auto"/>
        </w:rPr>
        <w:t xml:space="preserve"> </w:t>
      </w:r>
      <w:r>
        <w:rPr>
          <w:rFonts w:ascii="Arial" w:cs="Arial" w:eastAsia="Arial" w:hAnsi="Arial"/>
          <w:sz w:val="16"/>
          <w:szCs w:val="16"/>
          <w:color w:val="auto"/>
        </w:rPr>
        <w:t>a global food processing and</w:t>
      </w:r>
      <w:r>
        <w:rPr>
          <w:rFonts w:ascii="Arial" w:cs="Arial" w:eastAsia="Arial" w:hAnsi="Arial"/>
          <w:sz w:val="18"/>
          <w:szCs w:val="18"/>
          <w:b w:val="1"/>
          <w:bCs w:val="1"/>
          <w:color w:val="auto"/>
        </w:rPr>
        <w:t xml:space="preserve"> </w:t>
      </w:r>
      <w:r>
        <w:rPr>
          <w:rFonts w:ascii="Arial" w:cs="Arial" w:eastAsia="Arial" w:hAnsi="Arial"/>
          <w:sz w:val="16"/>
          <w:szCs w:val="16"/>
          <w:color w:val="auto"/>
        </w:rPr>
        <w:t>commodities-trading company</w:t>
      </w:r>
    </w:p>
    <w:p>
      <w:pPr>
        <w:spacing w:after="0" w:line="1"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4"/>
          <w:szCs w:val="14"/>
          <w:color w:val="auto"/>
        </w:rPr>
        <w:t xml:space="preserve">–   </w:t>
      </w:r>
      <w:r>
        <w:rPr>
          <w:rFonts w:ascii="Arial" w:cs="Arial" w:eastAsia="Arial" w:hAnsi="Arial"/>
          <w:sz w:val="16"/>
          <w:szCs w:val="16"/>
          <w:color w:val="auto"/>
        </w:rPr>
        <w:t>Chair (2016 - present)</w:t>
      </w:r>
    </w:p>
    <w:p>
      <w:pPr>
        <w:spacing w:after="0" w:line="30"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4"/>
          <w:szCs w:val="14"/>
          <w:color w:val="auto"/>
        </w:rPr>
        <w:t xml:space="preserve">–   </w:t>
      </w:r>
      <w:r>
        <w:rPr>
          <w:rFonts w:ascii="Arial" w:cs="Arial" w:eastAsia="Arial" w:hAnsi="Arial"/>
          <w:sz w:val="16"/>
          <w:szCs w:val="16"/>
          <w:color w:val="auto"/>
        </w:rPr>
        <w:t>Chief Executive Officer and President (2015 - present)</w:t>
      </w:r>
    </w:p>
    <w:p>
      <w:pPr>
        <w:spacing w:after="0" w:line="8"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4"/>
          <w:szCs w:val="14"/>
          <w:color w:val="auto"/>
        </w:rPr>
        <w:t xml:space="preserve">–   </w:t>
      </w:r>
      <w:r>
        <w:rPr>
          <w:rFonts w:ascii="Arial" w:cs="Arial" w:eastAsia="Arial" w:hAnsi="Arial"/>
          <w:sz w:val="16"/>
          <w:szCs w:val="16"/>
          <w:color w:val="auto"/>
        </w:rPr>
        <w:t>President and Chief Operating Officer (2014 - 2015)</w:t>
      </w:r>
    </w:p>
    <w:p>
      <w:pPr>
        <w:spacing w:after="0" w:line="38" w:lineRule="exact"/>
        <w:rPr>
          <w:rFonts w:ascii="Arial" w:cs="Arial" w:eastAsia="Arial" w:hAnsi="Arial"/>
          <w:sz w:val="16"/>
          <w:szCs w:val="16"/>
          <w:color w:val="auto"/>
        </w:rPr>
      </w:pPr>
    </w:p>
    <w:p>
      <w:pPr>
        <w:ind w:left="620" w:hanging="305"/>
        <w:spacing w:after="0"/>
        <w:tabs>
          <w:tab w:leader="none" w:pos="620" w:val="left"/>
        </w:tabs>
        <w:numPr>
          <w:ilvl w:val="0"/>
          <w:numId w:val="38"/>
        </w:numPr>
        <w:rPr>
          <w:rFonts w:ascii="Arial" w:cs="Arial" w:eastAsia="Arial" w:hAnsi="Arial"/>
          <w:sz w:val="16"/>
          <w:szCs w:val="16"/>
          <w:color w:val="auto"/>
        </w:rPr>
      </w:pPr>
      <w:r>
        <w:rPr>
          <w:rFonts w:ascii="Arial" w:cs="Arial" w:eastAsia="Arial" w:hAnsi="Arial"/>
          <w:sz w:val="18"/>
          <w:szCs w:val="18"/>
          <w:b w:val="1"/>
          <w:bCs w:val="1"/>
          <w:color w:val="auto"/>
        </w:rPr>
        <w:t xml:space="preserve">The Dow Chemical Company, </w:t>
      </w:r>
      <w:r>
        <w:rPr>
          <w:rFonts w:ascii="Arial" w:cs="Arial" w:eastAsia="Arial" w:hAnsi="Arial"/>
          <w:sz w:val="16"/>
          <w:szCs w:val="16"/>
          <w:color w:val="auto"/>
        </w:rPr>
        <w:t>a multinational chemical company</w:t>
      </w:r>
    </w:p>
    <w:p>
      <w:pPr>
        <w:spacing w:after="0" w:line="67"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4"/>
          <w:szCs w:val="14"/>
          <w:color w:val="auto"/>
        </w:rPr>
        <w:t xml:space="preserve">–   </w:t>
      </w:r>
      <w:r>
        <w:rPr>
          <w:rFonts w:ascii="Arial" w:cs="Arial" w:eastAsia="Arial" w:hAnsi="Arial"/>
          <w:sz w:val="16"/>
          <w:szCs w:val="16"/>
          <w:color w:val="auto"/>
        </w:rPr>
        <w:t>Executive Vice President and President, Performance Division (2010 - 2011)</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00A1DE"/>
        </w:rPr>
        <w:t>OTHER HIGHLIGHTS</w:t>
      </w:r>
    </w:p>
    <w:p>
      <w:pPr>
        <w:spacing w:after="0" w:line="41" w:lineRule="exact"/>
        <w:rPr>
          <w:sz w:val="20"/>
          <w:szCs w:val="20"/>
          <w:color w:val="auto"/>
        </w:rPr>
      </w:pPr>
    </w:p>
    <w:p>
      <w:pPr>
        <w:ind w:left="620" w:hanging="305"/>
        <w:spacing w:after="0"/>
        <w:tabs>
          <w:tab w:leader="none" w:pos="6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Alternate director, Wilmar International</w:t>
      </w:r>
    </w:p>
    <w:p>
      <w:pPr>
        <w:spacing w:after="0" w:line="30" w:lineRule="exact"/>
        <w:rPr>
          <w:rFonts w:ascii="Arial" w:cs="Arial" w:eastAsia="Arial" w:hAnsi="Arial"/>
          <w:sz w:val="16"/>
          <w:szCs w:val="16"/>
          <w:color w:val="auto"/>
        </w:rPr>
      </w:pPr>
    </w:p>
    <w:p>
      <w:pPr>
        <w:ind w:left="620" w:hanging="305"/>
        <w:spacing w:after="0"/>
        <w:tabs>
          <w:tab w:leader="none" w:pos="6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Director, Intersect Illinois</w:t>
      </w:r>
    </w:p>
    <w:p>
      <w:pPr>
        <w:spacing w:after="0" w:line="8" w:lineRule="exact"/>
        <w:rPr>
          <w:rFonts w:ascii="Arial" w:cs="Arial" w:eastAsia="Arial" w:hAnsi="Arial"/>
          <w:sz w:val="16"/>
          <w:szCs w:val="16"/>
          <w:color w:val="auto"/>
        </w:rPr>
      </w:pPr>
    </w:p>
    <w:p>
      <w:pPr>
        <w:ind w:left="620" w:hanging="305"/>
        <w:spacing w:after="0"/>
        <w:tabs>
          <w:tab w:leader="none" w:pos="6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Member, Rush System Board of Directors</w:t>
      </w:r>
    </w:p>
    <w:p>
      <w:pPr>
        <w:spacing w:after="0" w:line="14" w:lineRule="exact"/>
        <w:rPr>
          <w:rFonts w:ascii="Arial" w:cs="Arial" w:eastAsia="Arial" w:hAnsi="Arial"/>
          <w:sz w:val="16"/>
          <w:szCs w:val="16"/>
          <w:color w:val="auto"/>
        </w:rPr>
      </w:pPr>
    </w:p>
    <w:p>
      <w:pPr>
        <w:ind w:left="640" w:right="1159" w:hanging="325"/>
        <w:spacing w:after="0" w:line="270" w:lineRule="auto"/>
        <w:tabs>
          <w:tab w:leader="none" w:pos="629" w:val="left"/>
        </w:tabs>
        <w:numPr>
          <w:ilvl w:val="0"/>
          <w:numId w:val="39"/>
        </w:numPr>
        <w:rPr>
          <w:rFonts w:ascii="Arial" w:cs="Arial" w:eastAsia="Arial" w:hAnsi="Arial"/>
          <w:sz w:val="16"/>
          <w:szCs w:val="16"/>
          <w:color w:val="auto"/>
        </w:rPr>
      </w:pPr>
      <w:r>
        <w:rPr>
          <w:rFonts w:ascii="Arial" w:cs="Arial" w:eastAsia="Arial" w:hAnsi="Arial"/>
          <w:sz w:val="16"/>
          <w:szCs w:val="16"/>
          <w:color w:val="auto"/>
        </w:rPr>
        <w:t>Member, The Business Roundtable; Civic Committee at the Commercial Club of Chicago; Economic Club of Chicago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2764790</wp:posOffset>
            </wp:positionV>
            <wp:extent cx="213995" cy="21463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13995" cy="214630"/>
                    </a:xfrm>
                    <a:prstGeom prst="rect">
                      <a:avLst/>
                    </a:prstGeom>
                    <a:noFill/>
                  </pic:spPr>
                </pic:pic>
              </a:graphicData>
            </a:graphic>
          </wp:anchor>
        </w:drawing>
        <w:drawing>
          <wp:anchor simplePos="0" relativeHeight="251657728" behindDoc="1" locked="0" layoutInCell="0" allowOverlap="1">
            <wp:simplePos x="0" y="0"/>
            <wp:positionH relativeFrom="column">
              <wp:posOffset>805815</wp:posOffset>
            </wp:positionH>
            <wp:positionV relativeFrom="paragraph">
              <wp:posOffset>2764790</wp:posOffset>
            </wp:positionV>
            <wp:extent cx="214630" cy="21463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1731645</wp:posOffset>
            </wp:positionH>
            <wp:positionV relativeFrom="paragraph">
              <wp:posOffset>2764790</wp:posOffset>
            </wp:positionV>
            <wp:extent cx="214630" cy="21463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2597785</wp:posOffset>
            </wp:positionH>
            <wp:positionV relativeFrom="paragraph">
              <wp:posOffset>2764790</wp:posOffset>
            </wp:positionV>
            <wp:extent cx="214630" cy="21463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60" w:space="460"/>
            <w:col w:w="7499"/>
          </w:cols>
          <w:pgMar w:left="340" w:top="139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tbl>
      <w:tblPr>
        <w:tblLayout w:type="fixed"/>
        <w:tblInd w:w="1600" w:type="dxa"/>
        <w:tblCellMar>
          <w:top w:w="0" w:type="dxa"/>
          <w:left w:w="0" w:type="dxa"/>
          <w:bottom w:w="0" w:type="dxa"/>
          <w:right w:w="0" w:type="dxa"/>
        </w:tblCellMar>
      </w:tblPr>
      <w:tr>
        <w:trPr>
          <w:trHeight w:val="176"/>
        </w:trPr>
        <w:tc>
          <w:tcPr>
            <w:tcW w:w="1340" w:type="dxa"/>
            <w:vAlign w:val="bottom"/>
          </w:tcPr>
          <w:p>
            <w:pPr>
              <w:jc w:val="center"/>
              <w:ind w:right="488"/>
              <w:spacing w:after="0"/>
              <w:rPr>
                <w:sz w:val="20"/>
                <w:szCs w:val="20"/>
                <w:color w:val="auto"/>
              </w:rPr>
            </w:pPr>
            <w:r>
              <w:rPr>
                <w:rFonts w:ascii="Arial" w:cs="Arial" w:eastAsia="Arial" w:hAnsi="Arial"/>
                <w:sz w:val="14"/>
                <w:szCs w:val="14"/>
                <w:b w:val="1"/>
                <w:bCs w:val="1"/>
                <w:color w:val="auto"/>
                <w:w w:val="98"/>
              </w:rPr>
              <w:t>CEO</w:t>
            </w:r>
          </w:p>
        </w:tc>
        <w:tc>
          <w:tcPr>
            <w:tcW w:w="80" w:type="dxa"/>
            <w:vAlign w:val="bottom"/>
          </w:tcPr>
          <w:p>
            <w:pPr>
              <w:spacing w:after="0"/>
              <w:rPr>
                <w:sz w:val="15"/>
                <w:szCs w:val="15"/>
                <w:color w:val="auto"/>
              </w:rPr>
            </w:pPr>
          </w:p>
        </w:tc>
        <w:tc>
          <w:tcPr>
            <w:tcW w:w="1300" w:type="dxa"/>
            <w:vAlign w:val="bottom"/>
          </w:tcPr>
          <w:p>
            <w:pPr>
              <w:jc w:val="center"/>
              <w:ind w:right="528"/>
              <w:spacing w:after="0"/>
              <w:rPr>
                <w:sz w:val="20"/>
                <w:szCs w:val="20"/>
                <w:color w:val="auto"/>
              </w:rPr>
            </w:pPr>
            <w:r>
              <w:rPr>
                <w:rFonts w:ascii="Arial" w:cs="Arial" w:eastAsia="Arial" w:hAnsi="Arial"/>
                <w:sz w:val="14"/>
                <w:szCs w:val="14"/>
                <w:b w:val="1"/>
                <w:bCs w:val="1"/>
                <w:color w:val="auto"/>
              </w:rPr>
              <w:t>Finance /</w:t>
            </w:r>
          </w:p>
        </w:tc>
        <w:tc>
          <w:tcPr>
            <w:tcW w:w="1320" w:type="dxa"/>
            <w:vAlign w:val="bottom"/>
          </w:tcPr>
          <w:p>
            <w:pPr>
              <w:jc w:val="center"/>
              <w:ind w:right="308"/>
              <w:spacing w:after="0"/>
              <w:rPr>
                <w:sz w:val="20"/>
                <w:szCs w:val="20"/>
                <w:color w:val="auto"/>
              </w:rPr>
            </w:pPr>
            <w:r>
              <w:rPr>
                <w:rFonts w:ascii="Arial" w:cs="Arial" w:eastAsia="Arial" w:hAnsi="Arial"/>
                <w:sz w:val="14"/>
                <w:szCs w:val="14"/>
                <w:b w:val="1"/>
                <w:bCs w:val="1"/>
                <w:color w:val="auto"/>
              </w:rPr>
              <w:t>International</w:t>
            </w:r>
          </w:p>
        </w:tc>
        <w:tc>
          <w:tcPr>
            <w:tcW w:w="1480" w:type="dxa"/>
            <w:vAlign w:val="bottom"/>
            <w:gridSpan w:val="2"/>
          </w:tcPr>
          <w:p>
            <w:pPr>
              <w:jc w:val="center"/>
              <w:ind w:right="308"/>
              <w:spacing w:after="0"/>
              <w:rPr>
                <w:sz w:val="20"/>
                <w:szCs w:val="20"/>
                <w:color w:val="auto"/>
              </w:rPr>
            </w:pPr>
            <w:r>
              <w:rPr>
                <w:rFonts w:ascii="Arial" w:cs="Arial" w:eastAsia="Arial" w:hAnsi="Arial"/>
                <w:sz w:val="14"/>
                <w:szCs w:val="14"/>
                <w:b w:val="1"/>
                <w:bCs w:val="1"/>
                <w:color w:val="auto"/>
              </w:rPr>
              <w:t>Healthcare</w:t>
            </w:r>
          </w:p>
        </w:tc>
        <w:tc>
          <w:tcPr>
            <w:tcW w:w="700" w:type="dxa"/>
            <w:vAlign w:val="bottom"/>
          </w:tcPr>
          <w:p>
            <w:pPr>
              <w:ind w:left="20"/>
              <w:spacing w:after="0"/>
              <w:rPr>
                <w:sz w:val="20"/>
                <w:szCs w:val="20"/>
                <w:color w:val="auto"/>
              </w:rPr>
            </w:pPr>
            <w:r>
              <w:rPr>
                <w:rFonts w:ascii="Arial" w:cs="Arial" w:eastAsia="Arial" w:hAnsi="Arial"/>
                <w:sz w:val="14"/>
                <w:szCs w:val="14"/>
                <w:b w:val="1"/>
                <w:bCs w:val="1"/>
                <w:color w:val="auto"/>
              </w:rPr>
              <w:t>Science /</w:t>
            </w:r>
          </w:p>
        </w:tc>
        <w:tc>
          <w:tcPr>
            <w:tcW w:w="0" w:type="dxa"/>
            <w:vAlign w:val="bottom"/>
          </w:tcPr>
          <w:p>
            <w:pPr>
              <w:spacing w:after="0"/>
              <w:rPr>
                <w:sz w:val="1"/>
                <w:szCs w:val="1"/>
                <w:color w:val="auto"/>
              </w:rPr>
            </w:pPr>
          </w:p>
        </w:tc>
      </w:tr>
      <w:tr>
        <w:trPr>
          <w:trHeight w:val="196"/>
        </w:trPr>
        <w:tc>
          <w:tcPr>
            <w:tcW w:w="1340" w:type="dxa"/>
            <w:vAlign w:val="bottom"/>
          </w:tcPr>
          <w:p>
            <w:pPr>
              <w:jc w:val="center"/>
              <w:ind w:right="488"/>
              <w:spacing w:after="0"/>
              <w:rPr>
                <w:sz w:val="20"/>
                <w:szCs w:val="20"/>
                <w:color w:val="auto"/>
              </w:rPr>
            </w:pPr>
            <w:r>
              <w:rPr>
                <w:rFonts w:ascii="Arial" w:cs="Arial" w:eastAsia="Arial" w:hAnsi="Arial"/>
                <w:sz w:val="14"/>
                <w:szCs w:val="14"/>
                <w:b w:val="1"/>
                <w:bCs w:val="1"/>
                <w:color w:val="auto"/>
              </w:rPr>
              <w:t>Leadership</w:t>
            </w:r>
          </w:p>
        </w:tc>
        <w:tc>
          <w:tcPr>
            <w:tcW w:w="1380" w:type="dxa"/>
            <w:vAlign w:val="bottom"/>
            <w:gridSpan w:val="2"/>
          </w:tcPr>
          <w:p>
            <w:pPr>
              <w:jc w:val="center"/>
              <w:ind w:right="468"/>
              <w:spacing w:after="0"/>
              <w:rPr>
                <w:sz w:val="20"/>
                <w:szCs w:val="20"/>
                <w:color w:val="auto"/>
              </w:rPr>
            </w:pPr>
            <w:r>
              <w:rPr>
                <w:rFonts w:ascii="Arial" w:cs="Arial" w:eastAsia="Arial" w:hAnsi="Arial"/>
                <w:sz w:val="14"/>
                <w:szCs w:val="14"/>
                <w:b w:val="1"/>
                <w:bCs w:val="1"/>
                <w:color w:val="auto"/>
              </w:rPr>
              <w:t>Accounting</w:t>
            </w:r>
          </w:p>
        </w:tc>
        <w:tc>
          <w:tcPr>
            <w:tcW w:w="1320" w:type="dxa"/>
            <w:vAlign w:val="bottom"/>
          </w:tcPr>
          <w:p>
            <w:pPr>
              <w:jc w:val="center"/>
              <w:ind w:right="328"/>
              <w:spacing w:after="0"/>
              <w:rPr>
                <w:sz w:val="20"/>
                <w:szCs w:val="20"/>
                <w:color w:val="auto"/>
              </w:rPr>
            </w:pPr>
            <w:r>
              <w:rPr>
                <w:rFonts w:ascii="Arial" w:cs="Arial" w:eastAsia="Arial" w:hAnsi="Arial"/>
                <w:sz w:val="14"/>
                <w:szCs w:val="14"/>
                <w:b w:val="1"/>
                <w:bCs w:val="1"/>
                <w:color w:val="auto"/>
              </w:rPr>
              <w:t>Business</w:t>
            </w:r>
          </w:p>
        </w:tc>
        <w:tc>
          <w:tcPr>
            <w:tcW w:w="260" w:type="dxa"/>
            <w:vAlign w:val="bottom"/>
          </w:tcPr>
          <w:p>
            <w:pPr>
              <w:spacing w:after="0"/>
              <w:rPr>
                <w:sz w:val="17"/>
                <w:szCs w:val="17"/>
                <w:color w:val="auto"/>
              </w:rPr>
            </w:pPr>
          </w:p>
        </w:tc>
        <w:tc>
          <w:tcPr>
            <w:tcW w:w="1220" w:type="dxa"/>
            <w:vAlign w:val="bottom"/>
          </w:tcPr>
          <w:p>
            <w:pPr>
              <w:jc w:val="center"/>
              <w:ind w:right="568"/>
              <w:spacing w:after="0"/>
              <w:rPr>
                <w:sz w:val="20"/>
                <w:szCs w:val="20"/>
                <w:color w:val="auto"/>
              </w:rPr>
            </w:pPr>
            <w:r>
              <w:rPr>
                <w:rFonts w:ascii="Arial" w:cs="Arial" w:eastAsia="Arial" w:hAnsi="Arial"/>
                <w:sz w:val="14"/>
                <w:szCs w:val="14"/>
                <w:b w:val="1"/>
                <w:bCs w:val="1"/>
                <w:color w:val="auto"/>
              </w:rPr>
              <w:t>Industry</w:t>
            </w:r>
          </w:p>
        </w:tc>
        <w:tc>
          <w:tcPr>
            <w:tcW w:w="700" w:type="dxa"/>
            <w:vAlign w:val="bottom"/>
          </w:tcPr>
          <w:p>
            <w:pPr>
              <w:ind w:left="20"/>
              <w:spacing w:after="0"/>
              <w:rPr>
                <w:sz w:val="20"/>
                <w:szCs w:val="20"/>
                <w:color w:val="auto"/>
              </w:rPr>
            </w:pPr>
            <w:r>
              <w:rPr>
                <w:rFonts w:ascii="Arial" w:cs="Arial" w:eastAsia="Arial" w:hAnsi="Arial"/>
                <w:sz w:val="14"/>
                <w:szCs w:val="14"/>
                <w:b w:val="1"/>
                <w:bCs w:val="1"/>
                <w:color w:val="auto"/>
                <w:w w:val="99"/>
              </w:rPr>
              <w:t>Academia</w:t>
            </w:r>
          </w:p>
        </w:tc>
        <w:tc>
          <w:tcPr>
            <w:tcW w:w="0" w:type="dxa"/>
            <w:vAlign w:val="bottom"/>
          </w:tcPr>
          <w:p>
            <w:pPr>
              <w:spacing w:after="0"/>
              <w:rPr>
                <w:sz w:val="1"/>
                <w:szCs w:val="1"/>
                <w:color w:val="auto"/>
              </w:rPr>
            </w:pPr>
          </w:p>
        </w:tc>
      </w:tr>
      <w:tr>
        <w:trPr>
          <w:trHeight w:val="434"/>
        </w:trPr>
        <w:tc>
          <w:tcPr>
            <w:tcW w:w="1340" w:type="dxa"/>
            <w:vAlign w:val="bottom"/>
          </w:tcPr>
          <w:p>
            <w:pPr>
              <w:ind w:left="480"/>
              <w:spacing w:after="0"/>
              <w:rPr>
                <w:sz w:val="20"/>
                <w:szCs w:val="20"/>
                <w:color w:val="auto"/>
              </w:rPr>
            </w:pPr>
            <w:r>
              <w:rPr>
                <w:rFonts w:ascii="Arial" w:cs="Arial" w:eastAsia="Arial" w:hAnsi="Arial"/>
                <w:sz w:val="14"/>
                <w:szCs w:val="14"/>
                <w:b w:val="1"/>
                <w:bCs w:val="1"/>
                <w:color w:val="auto"/>
              </w:rPr>
              <w:t>Government</w:t>
            </w:r>
          </w:p>
        </w:tc>
        <w:tc>
          <w:tcPr>
            <w:tcW w:w="80" w:type="dxa"/>
            <w:vAlign w:val="bottom"/>
          </w:tcPr>
          <w:p>
            <w:pPr>
              <w:spacing w:after="0"/>
              <w:rPr>
                <w:sz w:val="24"/>
                <w:szCs w:val="24"/>
                <w:color w:val="auto"/>
              </w:rPr>
            </w:pPr>
          </w:p>
        </w:tc>
        <w:tc>
          <w:tcPr>
            <w:tcW w:w="1300" w:type="dxa"/>
            <w:vAlign w:val="bottom"/>
            <w:vMerge w:val="restart"/>
          </w:tcPr>
          <w:p>
            <w:pPr>
              <w:ind w:left="600"/>
              <w:spacing w:after="0"/>
              <w:rPr>
                <w:sz w:val="20"/>
                <w:szCs w:val="20"/>
                <w:color w:val="auto"/>
              </w:rPr>
            </w:pPr>
            <w:r>
              <w:rPr>
                <w:rFonts w:ascii="Arial" w:cs="Arial" w:eastAsia="Arial" w:hAnsi="Arial"/>
                <w:sz w:val="14"/>
                <w:szCs w:val="14"/>
                <w:b w:val="1"/>
                <w:bCs w:val="1"/>
                <w:color w:val="auto"/>
              </w:rPr>
              <w:t>Sales /</w:t>
            </w:r>
          </w:p>
        </w:tc>
        <w:tc>
          <w:tcPr>
            <w:tcW w:w="1580" w:type="dxa"/>
            <w:vAlign w:val="bottom"/>
            <w:gridSpan w:val="2"/>
            <w:vMerge w:val="restart"/>
          </w:tcPr>
          <w:p>
            <w:pPr>
              <w:ind w:left="700"/>
              <w:spacing w:after="0"/>
              <w:rPr>
                <w:sz w:val="20"/>
                <w:szCs w:val="20"/>
                <w:color w:val="auto"/>
              </w:rPr>
            </w:pPr>
            <w:r>
              <w:rPr>
                <w:rFonts w:ascii="Arial" w:cs="Arial" w:eastAsia="Arial" w:hAnsi="Arial"/>
                <w:sz w:val="14"/>
                <w:szCs w:val="14"/>
                <w:b w:val="1"/>
                <w:bCs w:val="1"/>
                <w:color w:val="auto"/>
                <w:w w:val="99"/>
              </w:rPr>
              <w:t>Technology /</w:t>
            </w:r>
          </w:p>
        </w:tc>
        <w:tc>
          <w:tcPr>
            <w:tcW w:w="1920" w:type="dxa"/>
            <w:vAlign w:val="bottom"/>
            <w:gridSpan w:val="2"/>
            <w:vMerge w:val="restart"/>
          </w:tcPr>
          <w:p>
            <w:pPr>
              <w:ind w:left="620"/>
              <w:spacing w:after="0"/>
              <w:rPr>
                <w:sz w:val="20"/>
                <w:szCs w:val="20"/>
                <w:color w:val="auto"/>
              </w:rPr>
            </w:pPr>
            <w:r>
              <w:rPr>
                <w:rFonts w:ascii="Arial" w:cs="Arial" w:eastAsia="Arial" w:hAnsi="Arial"/>
                <w:sz w:val="14"/>
                <w:szCs w:val="14"/>
                <w:b w:val="1"/>
                <w:bCs w:val="1"/>
                <w:color w:val="auto"/>
              </w:rPr>
              <w:t>Operations /</w:t>
            </w:r>
          </w:p>
        </w:tc>
        <w:tc>
          <w:tcPr>
            <w:tcW w:w="0" w:type="dxa"/>
            <w:vAlign w:val="bottom"/>
          </w:tcPr>
          <w:p>
            <w:pPr>
              <w:spacing w:after="0"/>
              <w:rPr>
                <w:sz w:val="1"/>
                <w:szCs w:val="1"/>
                <w:color w:val="auto"/>
              </w:rPr>
            </w:pPr>
          </w:p>
        </w:tc>
      </w:tr>
      <w:tr>
        <w:trPr>
          <w:trHeight w:val="135"/>
        </w:trPr>
        <w:tc>
          <w:tcPr>
            <w:tcW w:w="1340" w:type="dxa"/>
            <w:vAlign w:val="bottom"/>
          </w:tcPr>
          <w:p>
            <w:pPr>
              <w:ind w:left="480"/>
              <w:spacing w:after="0" w:line="135" w:lineRule="exact"/>
              <w:rPr>
                <w:sz w:val="20"/>
                <w:szCs w:val="20"/>
                <w:color w:val="auto"/>
              </w:rPr>
            </w:pPr>
            <w:r>
              <w:rPr>
                <w:rFonts w:ascii="Arial" w:cs="Arial" w:eastAsia="Arial" w:hAnsi="Arial"/>
                <w:sz w:val="14"/>
                <w:szCs w:val="14"/>
                <w:b w:val="1"/>
                <w:bCs w:val="1"/>
                <w:color w:val="auto"/>
              </w:rPr>
              <w:t>Relations /</w:t>
            </w:r>
          </w:p>
        </w:tc>
        <w:tc>
          <w:tcPr>
            <w:tcW w:w="80" w:type="dxa"/>
            <w:vAlign w:val="bottom"/>
          </w:tcPr>
          <w:p>
            <w:pPr>
              <w:spacing w:after="0"/>
              <w:rPr>
                <w:sz w:val="11"/>
                <w:szCs w:val="11"/>
                <w:color w:val="auto"/>
              </w:rPr>
            </w:pPr>
          </w:p>
        </w:tc>
        <w:tc>
          <w:tcPr>
            <w:tcW w:w="1300" w:type="dxa"/>
            <w:vAlign w:val="bottom"/>
            <w:vMerge w:val="continue"/>
          </w:tcPr>
          <w:p>
            <w:pPr>
              <w:spacing w:after="0"/>
              <w:rPr>
                <w:sz w:val="11"/>
                <w:szCs w:val="11"/>
                <w:color w:val="auto"/>
              </w:rPr>
            </w:pPr>
          </w:p>
        </w:tc>
        <w:tc>
          <w:tcPr>
            <w:tcW w:w="1580" w:type="dxa"/>
            <w:vAlign w:val="bottom"/>
            <w:gridSpan w:val="2"/>
            <w:vMerge w:val="continue"/>
          </w:tcPr>
          <w:p>
            <w:pPr>
              <w:spacing w:after="0"/>
              <w:rPr>
                <w:sz w:val="11"/>
                <w:szCs w:val="11"/>
                <w:color w:val="auto"/>
              </w:rPr>
            </w:pPr>
          </w:p>
        </w:tc>
        <w:tc>
          <w:tcPr>
            <w:tcW w:w="19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1420" w:type="dxa"/>
            <w:vAlign w:val="bottom"/>
            <w:gridSpan w:val="2"/>
          </w:tcPr>
          <w:p>
            <w:pPr>
              <w:ind w:left="480"/>
              <w:spacing w:after="0"/>
              <w:rPr>
                <w:sz w:val="20"/>
                <w:szCs w:val="20"/>
                <w:color w:val="auto"/>
              </w:rPr>
            </w:pPr>
            <w:r>
              <w:rPr>
                <w:rFonts w:ascii="Arial" w:cs="Arial" w:eastAsia="Arial" w:hAnsi="Arial"/>
                <w:sz w:val="14"/>
                <w:szCs w:val="14"/>
                <w:b w:val="1"/>
                <w:bCs w:val="1"/>
                <w:color w:val="auto"/>
              </w:rPr>
              <w:t>Public Policy</w:t>
            </w:r>
          </w:p>
        </w:tc>
        <w:tc>
          <w:tcPr>
            <w:tcW w:w="1300" w:type="dxa"/>
            <w:vAlign w:val="bottom"/>
          </w:tcPr>
          <w:p>
            <w:pPr>
              <w:ind w:left="600"/>
              <w:spacing w:after="0"/>
              <w:rPr>
                <w:sz w:val="20"/>
                <w:szCs w:val="20"/>
                <w:color w:val="auto"/>
              </w:rPr>
            </w:pPr>
            <w:r>
              <w:rPr>
                <w:rFonts w:ascii="Arial" w:cs="Arial" w:eastAsia="Arial" w:hAnsi="Arial"/>
                <w:sz w:val="14"/>
                <w:szCs w:val="14"/>
                <w:b w:val="1"/>
                <w:bCs w:val="1"/>
                <w:color w:val="auto"/>
              </w:rPr>
              <w:t>Marketing</w:t>
            </w:r>
          </w:p>
        </w:tc>
        <w:tc>
          <w:tcPr>
            <w:tcW w:w="1320" w:type="dxa"/>
            <w:vAlign w:val="bottom"/>
          </w:tcPr>
          <w:p>
            <w:pPr>
              <w:ind w:left="700"/>
              <w:spacing w:after="0"/>
              <w:rPr>
                <w:sz w:val="20"/>
                <w:szCs w:val="20"/>
                <w:color w:val="auto"/>
              </w:rPr>
            </w:pPr>
            <w:r>
              <w:rPr>
                <w:rFonts w:ascii="Arial" w:cs="Arial" w:eastAsia="Arial" w:hAnsi="Arial"/>
                <w:sz w:val="14"/>
                <w:szCs w:val="14"/>
                <w:b w:val="1"/>
                <w:bCs w:val="1"/>
                <w:color w:val="auto"/>
              </w:rPr>
              <w:t>Digital</w:t>
            </w:r>
          </w:p>
        </w:tc>
        <w:tc>
          <w:tcPr>
            <w:tcW w:w="260" w:type="dxa"/>
            <w:vAlign w:val="bottom"/>
          </w:tcPr>
          <w:p>
            <w:pPr>
              <w:spacing w:after="0"/>
              <w:rPr>
                <w:sz w:val="17"/>
                <w:szCs w:val="17"/>
                <w:color w:val="auto"/>
              </w:rPr>
            </w:pPr>
          </w:p>
        </w:tc>
        <w:tc>
          <w:tcPr>
            <w:tcW w:w="1220" w:type="dxa"/>
            <w:vAlign w:val="bottom"/>
          </w:tcPr>
          <w:p>
            <w:pPr>
              <w:ind w:left="620"/>
              <w:spacing w:after="0"/>
              <w:rPr>
                <w:sz w:val="20"/>
                <w:szCs w:val="20"/>
                <w:color w:val="auto"/>
              </w:rPr>
            </w:pPr>
            <w:r>
              <w:rPr>
                <w:rFonts w:ascii="Arial" w:cs="Arial" w:eastAsia="Arial" w:hAnsi="Arial"/>
                <w:sz w:val="14"/>
                <w:szCs w:val="14"/>
                <w:b w:val="1"/>
                <w:bCs w:val="1"/>
                <w:color w:val="auto"/>
              </w:rPr>
              <w:t>Strategy</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1029335</wp:posOffset>
            </wp:positionH>
            <wp:positionV relativeFrom="paragraph">
              <wp:posOffset>-255270</wp:posOffset>
            </wp:positionV>
            <wp:extent cx="214630" cy="21463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1989455</wp:posOffset>
            </wp:positionH>
            <wp:positionV relativeFrom="paragraph">
              <wp:posOffset>-255270</wp:posOffset>
            </wp:positionV>
            <wp:extent cx="214630" cy="21463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2863850</wp:posOffset>
            </wp:positionH>
            <wp:positionV relativeFrom="paragraph">
              <wp:posOffset>-255270</wp:posOffset>
            </wp:positionV>
            <wp:extent cx="214630" cy="21463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3823970</wp:posOffset>
            </wp:positionH>
            <wp:positionV relativeFrom="paragraph">
              <wp:posOffset>-255270</wp:posOffset>
            </wp:positionV>
            <wp:extent cx="214630" cy="21463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ectPr>
          <w:pgSz w:w="11900" w:h="16838" w:orient="portrait"/>
          <w:cols w:equalWidth="0" w:num="1">
            <w:col w:w="10119"/>
          </w:cols>
          <w:pgMar w:left="340" w:top="1390" w:right="1440" w:bottom="1440" w:gutter="0" w:footer="0" w:header="0"/>
          <w:type w:val="continuous"/>
        </w:sectPr>
      </w:pPr>
    </w:p>
    <w:p>
      <w:pPr>
        <w:spacing w:after="0" w:line="200" w:lineRule="exact"/>
        <w:rPr>
          <w:sz w:val="20"/>
          <w:szCs w:val="20"/>
          <w:color w:val="auto"/>
        </w:rPr>
      </w:pPr>
    </w:p>
    <w:p>
      <w:pPr>
        <w:spacing w:after="0" w:line="315" w:lineRule="exact"/>
        <w:rPr>
          <w:sz w:val="20"/>
          <w:szCs w:val="20"/>
          <w:color w:val="auto"/>
        </w:rPr>
      </w:pPr>
    </w:p>
    <w:p>
      <w:pPr>
        <w:ind w:left="5500"/>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154940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390" w:right="1440"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20"/>
          <w:szCs w:val="20"/>
          <w:b w:val="1"/>
          <w:bCs w:val="1"/>
          <w:color w:val="D52B1E"/>
        </w:rPr>
        <w:t>Class of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109220</wp:posOffset>
            </wp:positionV>
            <wp:extent cx="1311275" cy="1311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311275" cy="131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20"/>
        <w:spacing w:after="0" w:line="247" w:lineRule="auto"/>
        <w:rPr>
          <w:sz w:val="20"/>
          <w:szCs w:val="20"/>
          <w:color w:val="auto"/>
        </w:rPr>
      </w:pPr>
      <w:r>
        <w:rPr>
          <w:rFonts w:ascii="Arial" w:cs="Arial" w:eastAsia="Arial" w:hAnsi="Arial"/>
          <w:sz w:val="22"/>
          <w:szCs w:val="22"/>
          <w:b w:val="1"/>
          <w:bCs w:val="1"/>
          <w:color w:val="EF3729"/>
        </w:rPr>
        <w:t>William G. Kaelin, Jr.,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143129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431290" cy="8255"/>
                    </a:xfrm>
                    <a:prstGeom prst="rect">
                      <a:avLst/>
                    </a:prstGeom>
                    <a:noFill/>
                  </pic:spPr>
                </pic:pic>
              </a:graphicData>
            </a:graphic>
          </wp:anchor>
        </w:drawing>
      </w:r>
    </w:p>
    <w:p>
      <w:pPr>
        <w:spacing w:after="0" w:line="25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67</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2012</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Board Committees:</w:t>
      </w:r>
    </w:p>
    <w:p>
      <w:pPr>
        <w:spacing w:after="0" w:line="73" w:lineRule="exact"/>
        <w:rPr>
          <w:sz w:val="20"/>
          <w:szCs w:val="20"/>
          <w:color w:val="auto"/>
        </w:rPr>
      </w:pPr>
    </w:p>
    <w:p>
      <w:pPr>
        <w:ind w:left="360" w:right="120" w:hanging="162"/>
        <w:spacing w:after="0" w:line="286" w:lineRule="auto"/>
        <w:rPr>
          <w:sz w:val="20"/>
          <w:szCs w:val="20"/>
          <w:color w:val="auto"/>
        </w:rPr>
      </w:pPr>
      <w:r>
        <w:rPr>
          <w:rFonts w:ascii="Arial" w:cs="Arial" w:eastAsia="Arial" w:hAnsi="Arial"/>
          <w:sz w:val="16"/>
          <w:szCs w:val="16"/>
          <w:color w:val="auto"/>
        </w:rPr>
        <w:t>– Directors and Corporate Governance</w:t>
      </w:r>
    </w:p>
    <w:p>
      <w:pPr>
        <w:spacing w:after="0" w:line="7" w:lineRule="exact"/>
        <w:rPr>
          <w:sz w:val="20"/>
          <w:szCs w:val="20"/>
          <w:color w:val="auto"/>
        </w:rPr>
      </w:pPr>
    </w:p>
    <w:p>
      <w:pPr>
        <w:ind w:left="360" w:right="100" w:hanging="162"/>
        <w:spacing w:after="0" w:line="281" w:lineRule="auto"/>
        <w:rPr>
          <w:sz w:val="20"/>
          <w:szCs w:val="20"/>
          <w:color w:val="auto"/>
        </w:rPr>
      </w:pPr>
      <w:r>
        <w:rPr>
          <w:rFonts w:ascii="Arial" w:cs="Arial" w:eastAsia="Arial" w:hAnsi="Arial"/>
          <w:sz w:val="16"/>
          <w:szCs w:val="16"/>
          <w:color w:val="auto"/>
        </w:rPr>
        <w:t>– Science and Technology (Chair)</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Other Public Boards:</w:t>
      </w:r>
    </w:p>
    <w:p>
      <w:pPr>
        <w:spacing w:after="0" w:line="7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 None</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Recent Prior Public Boards:</w:t>
      </w:r>
    </w:p>
    <w:p>
      <w:pPr>
        <w:spacing w:after="0" w:line="7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 None</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Key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46355</wp:posOffset>
            </wp:positionV>
            <wp:extent cx="600075" cy="3003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00075" cy="300355"/>
                    </a:xfrm>
                    <a:prstGeom prst="rect">
                      <a:avLst/>
                    </a:prstGeom>
                    <a:noFill/>
                  </pic:spPr>
                </pic:pic>
              </a:graphicData>
            </a:graphic>
          </wp:anchor>
        </w:drawing>
        <w:drawing>
          <wp:anchor simplePos="0" relativeHeight="251657728" behindDoc="1" locked="0" layoutInCell="0" allowOverlap="1">
            <wp:simplePos x="0" y="0"/>
            <wp:positionH relativeFrom="column">
              <wp:posOffset>759460</wp:posOffset>
            </wp:positionH>
            <wp:positionV relativeFrom="paragraph">
              <wp:posOffset>3869690</wp:posOffset>
            </wp:positionV>
            <wp:extent cx="214630" cy="21463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FFFFFF"/>
        </w:rPr>
        <w:t>KEY EXPERIENCE AND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-127635</wp:posOffset>
            </wp:positionH>
            <wp:positionV relativeFrom="paragraph">
              <wp:posOffset>-127635</wp:posOffset>
            </wp:positionV>
            <wp:extent cx="4260215" cy="212598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4260215" cy="2125980"/>
                    </a:xfrm>
                    <a:prstGeom prst="rect">
                      <a:avLst/>
                    </a:prstGeom>
                    <a:noFill/>
                  </pic:spPr>
                </pic:pic>
              </a:graphicData>
            </a:graphic>
          </wp:anchor>
        </w:drawing>
      </w:r>
    </w:p>
    <w:p>
      <w:pPr>
        <w:spacing w:after="0" w:line="23" w:lineRule="exact"/>
        <w:rPr>
          <w:sz w:val="20"/>
          <w:szCs w:val="20"/>
          <w:color w:val="auto"/>
        </w:rPr>
      </w:pPr>
    </w:p>
    <w:p>
      <w:pPr>
        <w:jc w:val="both"/>
        <w:ind w:right="1059"/>
        <w:spacing w:after="0" w:line="265" w:lineRule="auto"/>
        <w:rPr>
          <w:sz w:val="20"/>
          <w:szCs w:val="20"/>
          <w:color w:val="auto"/>
        </w:rPr>
      </w:pPr>
      <w:r>
        <w:rPr>
          <w:rFonts w:ascii="Arial" w:cs="Arial" w:eastAsia="Arial" w:hAnsi="Arial"/>
          <w:sz w:val="16"/>
          <w:szCs w:val="16"/>
          <w:i w:val="1"/>
          <w:iCs w:val="1"/>
          <w:color w:val="auto"/>
        </w:rPr>
        <w:t>Dr. Kaelin is a world-renowned Nobel Laureate, scientist, academician, and physician who provides valuable leadership to the board’s oversight of Lilly’s discovery and development programs.</w:t>
      </w:r>
    </w:p>
    <w:p>
      <w:pPr>
        <w:spacing w:after="0" w:line="23" w:lineRule="exact"/>
        <w:rPr>
          <w:sz w:val="20"/>
          <w:szCs w:val="20"/>
          <w:color w:val="auto"/>
        </w:rPr>
      </w:pPr>
    </w:p>
    <w:p>
      <w:pPr>
        <w:ind w:left="640" w:right="1039" w:hanging="325"/>
        <w:spacing w:after="0" w:line="265" w:lineRule="auto"/>
        <w:tabs>
          <w:tab w:leader="none" w:pos="629" w:val="left"/>
        </w:tabs>
        <w:numPr>
          <w:ilvl w:val="0"/>
          <w:numId w:val="42"/>
        </w:numPr>
        <w:rPr>
          <w:rFonts w:ascii="Arial" w:cs="Arial" w:eastAsia="Arial" w:hAnsi="Arial"/>
          <w:sz w:val="16"/>
          <w:szCs w:val="16"/>
          <w:color w:val="auto"/>
        </w:rPr>
      </w:pPr>
      <w:r>
        <w:rPr>
          <w:rFonts w:ascii="Arial" w:cs="Arial" w:eastAsia="Arial" w:hAnsi="Arial"/>
          <w:sz w:val="16"/>
          <w:szCs w:val="16"/>
          <w:color w:val="auto"/>
        </w:rPr>
        <w:t>With decades of preeminent medical research and discovery experience, particularly within oncology, Dr. Kaelin offers a valuable perspective and resource to the board and management in pharmaceutical research and discovery in key therapeutic areas.</w:t>
      </w:r>
    </w:p>
    <w:p>
      <w:pPr>
        <w:spacing w:after="0" w:line="10" w:lineRule="exact"/>
        <w:rPr>
          <w:rFonts w:ascii="Arial" w:cs="Arial" w:eastAsia="Arial" w:hAnsi="Arial"/>
          <w:sz w:val="16"/>
          <w:szCs w:val="16"/>
          <w:color w:val="auto"/>
        </w:rPr>
      </w:pPr>
    </w:p>
    <w:p>
      <w:pPr>
        <w:jc w:val="both"/>
        <w:ind w:left="640" w:right="1579" w:hanging="325"/>
        <w:spacing w:after="0" w:line="290" w:lineRule="auto"/>
        <w:tabs>
          <w:tab w:leader="none" w:pos="629" w:val="left"/>
        </w:tabs>
        <w:numPr>
          <w:ilvl w:val="0"/>
          <w:numId w:val="42"/>
        </w:numPr>
        <w:rPr>
          <w:rFonts w:ascii="Arial" w:cs="Arial" w:eastAsia="Arial" w:hAnsi="Arial"/>
          <w:sz w:val="16"/>
          <w:szCs w:val="16"/>
          <w:color w:val="auto"/>
        </w:rPr>
      </w:pPr>
      <w:r>
        <w:rPr>
          <w:rFonts w:ascii="Arial" w:cs="Arial" w:eastAsia="Arial" w:hAnsi="Arial"/>
          <w:sz w:val="16"/>
          <w:szCs w:val="16"/>
          <w:color w:val="auto"/>
        </w:rPr>
        <w:t>Dr. Kaelin has extensive experience as a professor and mentor to medical professionals who are key constituents for Lilly’s business and workforce.</w:t>
      </w:r>
    </w:p>
    <w:p>
      <w:pPr>
        <w:jc w:val="both"/>
        <w:ind w:left="640" w:right="1339" w:hanging="325"/>
        <w:spacing w:after="0" w:line="275" w:lineRule="auto"/>
        <w:tabs>
          <w:tab w:leader="none" w:pos="629" w:val="left"/>
        </w:tabs>
        <w:numPr>
          <w:ilvl w:val="0"/>
          <w:numId w:val="42"/>
        </w:numPr>
        <w:rPr>
          <w:rFonts w:ascii="Arial" w:cs="Arial" w:eastAsia="Arial" w:hAnsi="Arial"/>
          <w:sz w:val="16"/>
          <w:szCs w:val="16"/>
          <w:color w:val="auto"/>
        </w:rPr>
      </w:pPr>
      <w:r>
        <w:rPr>
          <w:rFonts w:ascii="Arial" w:cs="Arial" w:eastAsia="Arial" w:hAnsi="Arial"/>
          <w:sz w:val="16"/>
          <w:szCs w:val="16"/>
          <w:color w:val="auto"/>
        </w:rPr>
        <w:t>As an investigator at Howard Hughes Medical Institute, Dr. Kaelin has a deep understanding of the challenges, perspectives, and opportunities for medical researchers.</w:t>
      </w:r>
    </w:p>
    <w:p>
      <w:pPr>
        <w:spacing w:after="0" w:line="2" w:lineRule="exact"/>
        <w:rPr>
          <w:rFonts w:ascii="Arial" w:cs="Arial" w:eastAsia="Arial" w:hAnsi="Arial"/>
          <w:sz w:val="16"/>
          <w:szCs w:val="16"/>
          <w:color w:val="auto"/>
        </w:rPr>
      </w:pPr>
    </w:p>
    <w:p>
      <w:pPr>
        <w:ind w:left="640" w:right="1399" w:hanging="325"/>
        <w:spacing w:after="0" w:line="304" w:lineRule="auto"/>
        <w:tabs>
          <w:tab w:leader="none" w:pos="629" w:val="left"/>
        </w:tabs>
        <w:numPr>
          <w:ilvl w:val="0"/>
          <w:numId w:val="42"/>
        </w:numPr>
        <w:rPr>
          <w:rFonts w:ascii="Arial" w:cs="Arial" w:eastAsia="Arial" w:hAnsi="Arial"/>
          <w:sz w:val="16"/>
          <w:szCs w:val="16"/>
          <w:color w:val="auto"/>
        </w:rPr>
      </w:pPr>
      <w:r>
        <w:rPr>
          <w:rFonts w:ascii="Arial" w:cs="Arial" w:eastAsia="Arial" w:hAnsi="Arial"/>
          <w:sz w:val="16"/>
          <w:szCs w:val="16"/>
          <w:color w:val="auto"/>
        </w:rPr>
        <w:t>Dr. Kaelin also brings commercialization experience to the board through his work with venture capital funds and biotech companies.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00A1DE"/>
        </w:rPr>
        <w:t>CAREER HIGHLIGHTS</w:t>
      </w:r>
    </w:p>
    <w:p>
      <w:pPr>
        <w:spacing w:after="0" w:line="90" w:lineRule="exact"/>
        <w:rPr>
          <w:sz w:val="20"/>
          <w:szCs w:val="20"/>
          <w:color w:val="auto"/>
        </w:rPr>
      </w:pPr>
    </w:p>
    <w:p>
      <w:pPr>
        <w:ind w:left="640" w:hanging="325"/>
        <w:spacing w:after="0"/>
        <w:tabs>
          <w:tab w:leader="none" w:pos="64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Harvard Medical School</w:t>
      </w:r>
    </w:p>
    <w:p>
      <w:pPr>
        <w:spacing w:after="0" w:line="67"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6"/>
          <w:szCs w:val="16"/>
          <w:color w:val="auto"/>
        </w:rPr>
        <w:t>–   Sidney Farber Professor of Medicine (2018 - present)</w:t>
      </w:r>
    </w:p>
    <w:p>
      <w:pPr>
        <w:spacing w:after="0" w:line="59"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6"/>
          <w:szCs w:val="16"/>
          <w:color w:val="auto"/>
        </w:rPr>
        <w:t>–   Professor of Medicine (2002 - 2018)</w:t>
      </w:r>
    </w:p>
    <w:p>
      <w:pPr>
        <w:spacing w:after="0" w:line="67" w:lineRule="exact"/>
        <w:rPr>
          <w:rFonts w:ascii="Arial" w:cs="Arial" w:eastAsia="Arial" w:hAnsi="Arial"/>
          <w:sz w:val="18"/>
          <w:szCs w:val="18"/>
          <w:b w:val="1"/>
          <w:bCs w:val="1"/>
          <w:color w:val="auto"/>
        </w:rPr>
      </w:pPr>
    </w:p>
    <w:p>
      <w:pPr>
        <w:ind w:left="640" w:hanging="325"/>
        <w:spacing w:after="0"/>
        <w:tabs>
          <w:tab w:leader="none" w:pos="64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Dana-Farber Cancer Institute</w:t>
      </w:r>
    </w:p>
    <w:p>
      <w:pPr>
        <w:spacing w:after="0" w:line="67"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6"/>
          <w:szCs w:val="16"/>
          <w:color w:val="auto"/>
        </w:rPr>
        <w:t>–   Professor (2002 - present)</w:t>
      </w:r>
    </w:p>
    <w:p>
      <w:pPr>
        <w:spacing w:after="0" w:line="54" w:lineRule="exact"/>
        <w:rPr>
          <w:rFonts w:ascii="Arial" w:cs="Arial" w:eastAsia="Arial" w:hAnsi="Arial"/>
          <w:sz w:val="18"/>
          <w:szCs w:val="18"/>
          <w:b w:val="1"/>
          <w:bCs w:val="1"/>
          <w:color w:val="auto"/>
        </w:rPr>
      </w:pPr>
    </w:p>
    <w:p>
      <w:pPr>
        <w:ind w:left="640" w:hanging="325"/>
        <w:spacing w:after="0"/>
        <w:tabs>
          <w:tab w:leader="none" w:pos="64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Howard Hughes Medical Institute</w:t>
      </w:r>
    </w:p>
    <w:p>
      <w:pPr>
        <w:spacing w:after="0" w:line="67"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6"/>
          <w:szCs w:val="16"/>
          <w:color w:val="auto"/>
        </w:rPr>
        <w:t>–   Investigator (2002 - present)</w:t>
      </w:r>
    </w:p>
    <w:p>
      <w:pPr>
        <w:spacing w:after="0" w:line="59"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6"/>
          <w:szCs w:val="16"/>
          <w:color w:val="auto"/>
        </w:rPr>
        <w:t>–   Assistant Investigator (1998 - 2002)</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00A1DE"/>
        </w:rPr>
        <w:t>OTHER HIGHLIGHTS</w:t>
      </w:r>
    </w:p>
    <w:p>
      <w:pPr>
        <w:spacing w:after="0" w:line="95" w:lineRule="exact"/>
        <w:rPr>
          <w:sz w:val="20"/>
          <w:szCs w:val="20"/>
          <w:color w:val="auto"/>
        </w:rPr>
      </w:pPr>
    </w:p>
    <w:p>
      <w:pPr>
        <w:ind w:left="620" w:hanging="305"/>
        <w:spacing w:after="0"/>
        <w:tabs>
          <w:tab w:leader="none" w:pos="6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Recipient of numerous prizes and honors, including:</w:t>
      </w:r>
    </w:p>
    <w:p>
      <w:pPr>
        <w:spacing w:after="0" w:line="59"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6"/>
          <w:szCs w:val="16"/>
          <w:color w:val="auto"/>
        </w:rPr>
        <w:t>–   Nobel Prize in Physiology or Medicine</w:t>
      </w:r>
    </w:p>
    <w:p>
      <w:pPr>
        <w:spacing w:after="0" w:line="72"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6"/>
          <w:szCs w:val="16"/>
          <w:color w:val="auto"/>
        </w:rPr>
        <w:t>–   Albert Lasker Basic Medical Research Award</w:t>
      </w:r>
    </w:p>
    <w:p>
      <w:pPr>
        <w:spacing w:after="0" w:line="59"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6"/>
          <w:szCs w:val="16"/>
          <w:color w:val="auto"/>
        </w:rPr>
        <w:t>–   Canada Gairdner International Award</w:t>
      </w:r>
    </w:p>
    <w:p>
      <w:pPr>
        <w:spacing w:after="0" w:line="59"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6"/>
          <w:szCs w:val="16"/>
          <w:color w:val="auto"/>
        </w:rPr>
        <w:t>–   Wiley Prize in Biomedical Sciences from the Rockefeller University</w:t>
      </w:r>
    </w:p>
    <w:p>
      <w:pPr>
        <w:spacing w:after="0" w:line="72" w:lineRule="exact"/>
        <w:rPr>
          <w:rFonts w:ascii="Arial" w:cs="Arial" w:eastAsia="Arial" w:hAnsi="Arial"/>
          <w:sz w:val="16"/>
          <w:szCs w:val="16"/>
          <w:color w:val="auto"/>
        </w:rPr>
      </w:pPr>
    </w:p>
    <w:p>
      <w:pPr>
        <w:ind w:left="960" w:right="1279" w:hanging="324"/>
        <w:spacing w:after="0" w:line="286" w:lineRule="auto"/>
        <w:rPr>
          <w:rFonts w:ascii="Arial" w:cs="Arial" w:eastAsia="Arial" w:hAnsi="Arial"/>
          <w:sz w:val="16"/>
          <w:szCs w:val="16"/>
          <w:color w:val="auto"/>
        </w:rPr>
      </w:pPr>
      <w:r>
        <w:rPr>
          <w:rFonts w:ascii="Arial" w:cs="Arial" w:eastAsia="Arial" w:hAnsi="Arial"/>
          <w:sz w:val="16"/>
          <w:szCs w:val="16"/>
          <w:color w:val="auto"/>
        </w:rPr>
        <w:t>– Paul Marks Prize for Cancer Research from the Memorial Sloan Kettering Cancer Center</w:t>
      </w:r>
    </w:p>
    <w:p>
      <w:pPr>
        <w:spacing w:after="0" w:line="7" w:lineRule="exact"/>
        <w:rPr>
          <w:rFonts w:ascii="Arial" w:cs="Arial" w:eastAsia="Arial" w:hAnsi="Arial"/>
          <w:sz w:val="16"/>
          <w:szCs w:val="16"/>
          <w:color w:val="auto"/>
        </w:rPr>
      </w:pPr>
    </w:p>
    <w:p>
      <w:pPr>
        <w:ind w:left="640" w:right="1159" w:hanging="325"/>
        <w:spacing w:after="0" w:line="265" w:lineRule="auto"/>
        <w:tabs>
          <w:tab w:leader="none" w:pos="629" w:val="left"/>
        </w:tabs>
        <w:numPr>
          <w:ilvl w:val="0"/>
          <w:numId w:val="44"/>
        </w:numPr>
        <w:rPr>
          <w:rFonts w:ascii="Arial" w:cs="Arial" w:eastAsia="Arial" w:hAnsi="Arial"/>
          <w:sz w:val="16"/>
          <w:szCs w:val="16"/>
          <w:color w:val="auto"/>
        </w:rPr>
      </w:pPr>
      <w:r>
        <w:rPr>
          <w:rFonts w:ascii="Arial" w:cs="Arial" w:eastAsia="Arial" w:hAnsi="Arial"/>
          <w:sz w:val="16"/>
          <w:szCs w:val="16"/>
          <w:color w:val="auto"/>
        </w:rPr>
        <w:t>Member, National Academy of Medicine; National Academy of Sciences; American College of Physicians; Association of American Physicians; American Society of Clinical Investigation; American Academy of Arts and Sciences; American Philosophical Society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1995805</wp:posOffset>
            </wp:positionV>
            <wp:extent cx="213995" cy="21463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13995" cy="214630"/>
                    </a:xfrm>
                    <a:prstGeom prst="rect">
                      <a:avLst/>
                    </a:prstGeom>
                    <a:noFill/>
                  </pic:spPr>
                </pic:pic>
              </a:graphicData>
            </a:graphic>
          </wp:anchor>
        </w:drawing>
        <w:drawing>
          <wp:anchor simplePos="0" relativeHeight="251657728" behindDoc="1" locked="0" layoutInCell="0" allowOverlap="1">
            <wp:simplePos x="0" y="0"/>
            <wp:positionH relativeFrom="column">
              <wp:posOffset>805815</wp:posOffset>
            </wp:positionH>
            <wp:positionV relativeFrom="paragraph">
              <wp:posOffset>1995805</wp:posOffset>
            </wp:positionV>
            <wp:extent cx="214630" cy="21463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1731645</wp:posOffset>
            </wp:positionH>
            <wp:positionV relativeFrom="paragraph">
              <wp:posOffset>1995805</wp:posOffset>
            </wp:positionV>
            <wp:extent cx="214630" cy="21463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2597785</wp:posOffset>
            </wp:positionH>
            <wp:positionV relativeFrom="paragraph">
              <wp:posOffset>1995805</wp:posOffset>
            </wp:positionV>
            <wp:extent cx="214630" cy="21463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200" w:space="440"/>
            <w:col w:w="7499"/>
          </w:cols>
          <w:pgMar w:left="320" w:top="98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1340" w:type="dxa"/>
            <w:vAlign w:val="bottom"/>
          </w:tcPr>
          <w:p>
            <w:pPr>
              <w:jc w:val="center"/>
              <w:ind w:right="488"/>
              <w:spacing w:after="0"/>
              <w:rPr>
                <w:sz w:val="20"/>
                <w:szCs w:val="20"/>
                <w:color w:val="auto"/>
              </w:rPr>
            </w:pPr>
            <w:r>
              <w:rPr>
                <w:rFonts w:ascii="Arial" w:cs="Arial" w:eastAsia="Arial" w:hAnsi="Arial"/>
                <w:sz w:val="14"/>
                <w:szCs w:val="14"/>
                <w:b w:val="1"/>
                <w:bCs w:val="1"/>
                <w:color w:val="auto"/>
                <w:w w:val="98"/>
              </w:rPr>
              <w:t>CEO</w:t>
            </w:r>
          </w:p>
        </w:tc>
        <w:tc>
          <w:tcPr>
            <w:tcW w:w="80" w:type="dxa"/>
            <w:vAlign w:val="bottom"/>
          </w:tcPr>
          <w:p>
            <w:pPr>
              <w:spacing w:after="0"/>
              <w:rPr>
                <w:sz w:val="14"/>
                <w:szCs w:val="14"/>
                <w:color w:val="auto"/>
              </w:rPr>
            </w:pPr>
          </w:p>
        </w:tc>
        <w:tc>
          <w:tcPr>
            <w:tcW w:w="1300" w:type="dxa"/>
            <w:vAlign w:val="bottom"/>
          </w:tcPr>
          <w:p>
            <w:pPr>
              <w:jc w:val="center"/>
              <w:ind w:right="528"/>
              <w:spacing w:after="0"/>
              <w:rPr>
                <w:sz w:val="20"/>
                <w:szCs w:val="20"/>
                <w:color w:val="auto"/>
              </w:rPr>
            </w:pPr>
            <w:r>
              <w:rPr>
                <w:rFonts w:ascii="Arial" w:cs="Arial" w:eastAsia="Arial" w:hAnsi="Arial"/>
                <w:sz w:val="14"/>
                <w:szCs w:val="14"/>
                <w:b w:val="1"/>
                <w:bCs w:val="1"/>
                <w:color w:val="auto"/>
              </w:rPr>
              <w:t>Finance /</w:t>
            </w:r>
          </w:p>
        </w:tc>
        <w:tc>
          <w:tcPr>
            <w:tcW w:w="1320" w:type="dxa"/>
            <w:vAlign w:val="bottom"/>
          </w:tcPr>
          <w:p>
            <w:pPr>
              <w:jc w:val="center"/>
              <w:ind w:right="308"/>
              <w:spacing w:after="0"/>
              <w:rPr>
                <w:sz w:val="20"/>
                <w:szCs w:val="20"/>
                <w:color w:val="auto"/>
              </w:rPr>
            </w:pPr>
            <w:r>
              <w:rPr>
                <w:rFonts w:ascii="Arial" w:cs="Arial" w:eastAsia="Arial" w:hAnsi="Arial"/>
                <w:sz w:val="14"/>
                <w:szCs w:val="14"/>
                <w:b w:val="1"/>
                <w:bCs w:val="1"/>
                <w:color w:val="auto"/>
              </w:rPr>
              <w:t>International</w:t>
            </w:r>
          </w:p>
        </w:tc>
        <w:tc>
          <w:tcPr>
            <w:tcW w:w="1480" w:type="dxa"/>
            <w:vAlign w:val="bottom"/>
            <w:gridSpan w:val="2"/>
          </w:tcPr>
          <w:p>
            <w:pPr>
              <w:jc w:val="center"/>
              <w:ind w:right="308"/>
              <w:spacing w:after="0"/>
              <w:rPr>
                <w:sz w:val="20"/>
                <w:szCs w:val="20"/>
                <w:color w:val="auto"/>
              </w:rPr>
            </w:pPr>
            <w:r>
              <w:rPr>
                <w:rFonts w:ascii="Arial" w:cs="Arial" w:eastAsia="Arial" w:hAnsi="Arial"/>
                <w:sz w:val="14"/>
                <w:szCs w:val="14"/>
                <w:b w:val="1"/>
                <w:bCs w:val="1"/>
                <w:color w:val="auto"/>
              </w:rPr>
              <w:t>Healthcare</w:t>
            </w:r>
          </w:p>
        </w:tc>
        <w:tc>
          <w:tcPr>
            <w:tcW w:w="700" w:type="dxa"/>
            <w:vAlign w:val="bottom"/>
          </w:tcPr>
          <w:p>
            <w:pPr>
              <w:ind w:left="20"/>
              <w:spacing w:after="0"/>
              <w:rPr>
                <w:sz w:val="20"/>
                <w:szCs w:val="20"/>
                <w:color w:val="auto"/>
              </w:rPr>
            </w:pPr>
            <w:r>
              <w:rPr>
                <w:rFonts w:ascii="Arial" w:cs="Arial" w:eastAsia="Arial" w:hAnsi="Arial"/>
                <w:sz w:val="14"/>
                <w:szCs w:val="14"/>
                <w:b w:val="1"/>
                <w:bCs w:val="1"/>
                <w:color w:val="auto"/>
              </w:rPr>
              <w:t>Science /</w:t>
            </w:r>
          </w:p>
        </w:tc>
        <w:tc>
          <w:tcPr>
            <w:tcW w:w="0" w:type="dxa"/>
            <w:vAlign w:val="bottom"/>
          </w:tcPr>
          <w:p>
            <w:pPr>
              <w:spacing w:after="0"/>
              <w:rPr>
                <w:sz w:val="1"/>
                <w:szCs w:val="1"/>
                <w:color w:val="auto"/>
              </w:rPr>
            </w:pPr>
          </w:p>
        </w:tc>
      </w:tr>
      <w:tr>
        <w:trPr>
          <w:trHeight w:val="196"/>
        </w:trPr>
        <w:tc>
          <w:tcPr>
            <w:tcW w:w="1340" w:type="dxa"/>
            <w:vAlign w:val="bottom"/>
          </w:tcPr>
          <w:p>
            <w:pPr>
              <w:jc w:val="center"/>
              <w:ind w:right="488"/>
              <w:spacing w:after="0"/>
              <w:rPr>
                <w:sz w:val="20"/>
                <w:szCs w:val="20"/>
                <w:color w:val="auto"/>
              </w:rPr>
            </w:pPr>
            <w:r>
              <w:rPr>
                <w:rFonts w:ascii="Arial" w:cs="Arial" w:eastAsia="Arial" w:hAnsi="Arial"/>
                <w:sz w:val="14"/>
                <w:szCs w:val="14"/>
                <w:b w:val="1"/>
                <w:bCs w:val="1"/>
                <w:color w:val="auto"/>
              </w:rPr>
              <w:t>Leadership</w:t>
            </w:r>
          </w:p>
        </w:tc>
        <w:tc>
          <w:tcPr>
            <w:tcW w:w="1380" w:type="dxa"/>
            <w:vAlign w:val="bottom"/>
            <w:gridSpan w:val="2"/>
          </w:tcPr>
          <w:p>
            <w:pPr>
              <w:jc w:val="center"/>
              <w:ind w:right="468"/>
              <w:spacing w:after="0"/>
              <w:rPr>
                <w:sz w:val="20"/>
                <w:szCs w:val="20"/>
                <w:color w:val="auto"/>
              </w:rPr>
            </w:pPr>
            <w:r>
              <w:rPr>
                <w:rFonts w:ascii="Arial" w:cs="Arial" w:eastAsia="Arial" w:hAnsi="Arial"/>
                <w:sz w:val="14"/>
                <w:szCs w:val="14"/>
                <w:b w:val="1"/>
                <w:bCs w:val="1"/>
                <w:color w:val="auto"/>
              </w:rPr>
              <w:t>Accounting</w:t>
            </w:r>
          </w:p>
        </w:tc>
        <w:tc>
          <w:tcPr>
            <w:tcW w:w="1320" w:type="dxa"/>
            <w:vAlign w:val="bottom"/>
          </w:tcPr>
          <w:p>
            <w:pPr>
              <w:jc w:val="center"/>
              <w:ind w:right="328"/>
              <w:spacing w:after="0"/>
              <w:rPr>
                <w:sz w:val="20"/>
                <w:szCs w:val="20"/>
                <w:color w:val="auto"/>
              </w:rPr>
            </w:pPr>
            <w:r>
              <w:rPr>
                <w:rFonts w:ascii="Arial" w:cs="Arial" w:eastAsia="Arial" w:hAnsi="Arial"/>
                <w:sz w:val="14"/>
                <w:szCs w:val="14"/>
                <w:b w:val="1"/>
                <w:bCs w:val="1"/>
                <w:color w:val="auto"/>
              </w:rPr>
              <w:t>Business</w:t>
            </w:r>
          </w:p>
        </w:tc>
        <w:tc>
          <w:tcPr>
            <w:tcW w:w="260" w:type="dxa"/>
            <w:vAlign w:val="bottom"/>
          </w:tcPr>
          <w:p>
            <w:pPr>
              <w:spacing w:after="0"/>
              <w:rPr>
                <w:sz w:val="17"/>
                <w:szCs w:val="17"/>
                <w:color w:val="auto"/>
              </w:rPr>
            </w:pPr>
          </w:p>
        </w:tc>
        <w:tc>
          <w:tcPr>
            <w:tcW w:w="1220" w:type="dxa"/>
            <w:vAlign w:val="bottom"/>
          </w:tcPr>
          <w:p>
            <w:pPr>
              <w:jc w:val="center"/>
              <w:ind w:right="568"/>
              <w:spacing w:after="0"/>
              <w:rPr>
                <w:sz w:val="20"/>
                <w:szCs w:val="20"/>
                <w:color w:val="auto"/>
              </w:rPr>
            </w:pPr>
            <w:r>
              <w:rPr>
                <w:rFonts w:ascii="Arial" w:cs="Arial" w:eastAsia="Arial" w:hAnsi="Arial"/>
                <w:sz w:val="14"/>
                <w:szCs w:val="14"/>
                <w:b w:val="1"/>
                <w:bCs w:val="1"/>
                <w:color w:val="auto"/>
              </w:rPr>
              <w:t>Industry</w:t>
            </w:r>
          </w:p>
        </w:tc>
        <w:tc>
          <w:tcPr>
            <w:tcW w:w="700" w:type="dxa"/>
            <w:vAlign w:val="bottom"/>
          </w:tcPr>
          <w:p>
            <w:pPr>
              <w:ind w:left="20"/>
              <w:spacing w:after="0"/>
              <w:rPr>
                <w:sz w:val="20"/>
                <w:szCs w:val="20"/>
                <w:color w:val="auto"/>
              </w:rPr>
            </w:pPr>
            <w:r>
              <w:rPr>
                <w:rFonts w:ascii="Arial" w:cs="Arial" w:eastAsia="Arial" w:hAnsi="Arial"/>
                <w:sz w:val="14"/>
                <w:szCs w:val="14"/>
                <w:b w:val="1"/>
                <w:bCs w:val="1"/>
                <w:color w:val="auto"/>
                <w:w w:val="99"/>
              </w:rPr>
              <w:t>Academia</w:t>
            </w:r>
          </w:p>
        </w:tc>
        <w:tc>
          <w:tcPr>
            <w:tcW w:w="0" w:type="dxa"/>
            <w:vAlign w:val="bottom"/>
          </w:tcPr>
          <w:p>
            <w:pPr>
              <w:spacing w:after="0"/>
              <w:rPr>
                <w:sz w:val="1"/>
                <w:szCs w:val="1"/>
                <w:color w:val="auto"/>
              </w:rPr>
            </w:pPr>
          </w:p>
        </w:tc>
      </w:tr>
      <w:tr>
        <w:trPr>
          <w:trHeight w:val="438"/>
        </w:trPr>
        <w:tc>
          <w:tcPr>
            <w:tcW w:w="1340" w:type="dxa"/>
            <w:vAlign w:val="bottom"/>
          </w:tcPr>
          <w:p>
            <w:pPr>
              <w:ind w:left="480"/>
              <w:spacing w:after="0"/>
              <w:rPr>
                <w:sz w:val="20"/>
                <w:szCs w:val="20"/>
                <w:color w:val="auto"/>
              </w:rPr>
            </w:pPr>
            <w:r>
              <w:rPr>
                <w:rFonts w:ascii="Arial" w:cs="Arial" w:eastAsia="Arial" w:hAnsi="Arial"/>
                <w:sz w:val="14"/>
                <w:szCs w:val="14"/>
                <w:b w:val="1"/>
                <w:bCs w:val="1"/>
                <w:color w:val="auto"/>
              </w:rPr>
              <w:t>Government</w:t>
            </w:r>
          </w:p>
        </w:tc>
        <w:tc>
          <w:tcPr>
            <w:tcW w:w="80" w:type="dxa"/>
            <w:vAlign w:val="bottom"/>
          </w:tcPr>
          <w:p>
            <w:pPr>
              <w:spacing w:after="0"/>
              <w:rPr>
                <w:sz w:val="24"/>
                <w:szCs w:val="24"/>
                <w:color w:val="auto"/>
              </w:rPr>
            </w:pPr>
          </w:p>
        </w:tc>
        <w:tc>
          <w:tcPr>
            <w:tcW w:w="1300" w:type="dxa"/>
            <w:vAlign w:val="bottom"/>
            <w:vMerge w:val="restart"/>
          </w:tcPr>
          <w:p>
            <w:pPr>
              <w:ind w:left="600"/>
              <w:spacing w:after="0"/>
              <w:rPr>
                <w:sz w:val="20"/>
                <w:szCs w:val="20"/>
                <w:color w:val="auto"/>
              </w:rPr>
            </w:pPr>
            <w:r>
              <w:rPr>
                <w:rFonts w:ascii="Arial" w:cs="Arial" w:eastAsia="Arial" w:hAnsi="Arial"/>
                <w:sz w:val="14"/>
                <w:szCs w:val="14"/>
                <w:b w:val="1"/>
                <w:bCs w:val="1"/>
                <w:color w:val="auto"/>
              </w:rPr>
              <w:t>Sales /</w:t>
            </w:r>
          </w:p>
        </w:tc>
        <w:tc>
          <w:tcPr>
            <w:tcW w:w="1580" w:type="dxa"/>
            <w:vAlign w:val="bottom"/>
            <w:gridSpan w:val="2"/>
            <w:vMerge w:val="restart"/>
          </w:tcPr>
          <w:p>
            <w:pPr>
              <w:ind w:left="700"/>
              <w:spacing w:after="0"/>
              <w:rPr>
                <w:sz w:val="20"/>
                <w:szCs w:val="20"/>
                <w:color w:val="auto"/>
              </w:rPr>
            </w:pPr>
            <w:r>
              <w:rPr>
                <w:rFonts w:ascii="Arial" w:cs="Arial" w:eastAsia="Arial" w:hAnsi="Arial"/>
                <w:sz w:val="14"/>
                <w:szCs w:val="14"/>
                <w:b w:val="1"/>
                <w:bCs w:val="1"/>
                <w:color w:val="auto"/>
                <w:w w:val="99"/>
              </w:rPr>
              <w:t>Technology /</w:t>
            </w:r>
          </w:p>
        </w:tc>
        <w:tc>
          <w:tcPr>
            <w:tcW w:w="1920" w:type="dxa"/>
            <w:vAlign w:val="bottom"/>
            <w:gridSpan w:val="2"/>
            <w:vMerge w:val="restart"/>
          </w:tcPr>
          <w:p>
            <w:pPr>
              <w:ind w:left="620"/>
              <w:spacing w:after="0"/>
              <w:rPr>
                <w:sz w:val="20"/>
                <w:szCs w:val="20"/>
                <w:color w:val="auto"/>
              </w:rPr>
            </w:pPr>
            <w:r>
              <w:rPr>
                <w:rFonts w:ascii="Arial" w:cs="Arial" w:eastAsia="Arial" w:hAnsi="Arial"/>
                <w:sz w:val="14"/>
                <w:szCs w:val="14"/>
                <w:b w:val="1"/>
                <w:bCs w:val="1"/>
                <w:color w:val="auto"/>
              </w:rPr>
              <w:t>Operations /</w:t>
            </w:r>
          </w:p>
        </w:tc>
        <w:tc>
          <w:tcPr>
            <w:tcW w:w="0" w:type="dxa"/>
            <w:vAlign w:val="bottom"/>
          </w:tcPr>
          <w:p>
            <w:pPr>
              <w:spacing w:after="0"/>
              <w:rPr>
                <w:sz w:val="1"/>
                <w:szCs w:val="1"/>
                <w:color w:val="auto"/>
              </w:rPr>
            </w:pPr>
          </w:p>
        </w:tc>
      </w:tr>
      <w:tr>
        <w:trPr>
          <w:trHeight w:val="144"/>
        </w:trPr>
        <w:tc>
          <w:tcPr>
            <w:tcW w:w="1340" w:type="dxa"/>
            <w:vAlign w:val="bottom"/>
          </w:tcPr>
          <w:p>
            <w:pPr>
              <w:ind w:left="480"/>
              <w:spacing w:after="0" w:line="145" w:lineRule="exact"/>
              <w:rPr>
                <w:sz w:val="20"/>
                <w:szCs w:val="20"/>
                <w:color w:val="auto"/>
              </w:rPr>
            </w:pPr>
            <w:r>
              <w:rPr>
                <w:rFonts w:ascii="Arial" w:cs="Arial" w:eastAsia="Arial" w:hAnsi="Arial"/>
                <w:sz w:val="14"/>
                <w:szCs w:val="14"/>
                <w:b w:val="1"/>
                <w:bCs w:val="1"/>
                <w:color w:val="auto"/>
              </w:rPr>
              <w:t>Relations /</w:t>
            </w:r>
          </w:p>
        </w:tc>
        <w:tc>
          <w:tcPr>
            <w:tcW w:w="8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1420" w:type="dxa"/>
            <w:vAlign w:val="bottom"/>
            <w:gridSpan w:val="2"/>
          </w:tcPr>
          <w:p>
            <w:pPr>
              <w:ind w:left="480"/>
              <w:spacing w:after="0"/>
              <w:rPr>
                <w:sz w:val="20"/>
                <w:szCs w:val="20"/>
                <w:color w:val="auto"/>
              </w:rPr>
            </w:pPr>
            <w:r>
              <w:rPr>
                <w:rFonts w:ascii="Arial" w:cs="Arial" w:eastAsia="Arial" w:hAnsi="Arial"/>
                <w:sz w:val="14"/>
                <w:szCs w:val="14"/>
                <w:b w:val="1"/>
                <w:bCs w:val="1"/>
                <w:color w:val="auto"/>
              </w:rPr>
              <w:t>Public Policy</w:t>
            </w:r>
          </w:p>
        </w:tc>
        <w:tc>
          <w:tcPr>
            <w:tcW w:w="1300" w:type="dxa"/>
            <w:vAlign w:val="bottom"/>
          </w:tcPr>
          <w:p>
            <w:pPr>
              <w:ind w:left="600"/>
              <w:spacing w:after="0"/>
              <w:rPr>
                <w:sz w:val="20"/>
                <w:szCs w:val="20"/>
                <w:color w:val="auto"/>
              </w:rPr>
            </w:pPr>
            <w:r>
              <w:rPr>
                <w:rFonts w:ascii="Arial" w:cs="Arial" w:eastAsia="Arial" w:hAnsi="Arial"/>
                <w:sz w:val="14"/>
                <w:szCs w:val="14"/>
                <w:b w:val="1"/>
                <w:bCs w:val="1"/>
                <w:color w:val="auto"/>
              </w:rPr>
              <w:t>Marketing</w:t>
            </w:r>
          </w:p>
        </w:tc>
        <w:tc>
          <w:tcPr>
            <w:tcW w:w="1320" w:type="dxa"/>
            <w:vAlign w:val="bottom"/>
          </w:tcPr>
          <w:p>
            <w:pPr>
              <w:ind w:left="700"/>
              <w:spacing w:after="0"/>
              <w:rPr>
                <w:sz w:val="20"/>
                <w:szCs w:val="20"/>
                <w:color w:val="auto"/>
              </w:rPr>
            </w:pPr>
            <w:r>
              <w:rPr>
                <w:rFonts w:ascii="Arial" w:cs="Arial" w:eastAsia="Arial" w:hAnsi="Arial"/>
                <w:sz w:val="14"/>
                <w:szCs w:val="14"/>
                <w:b w:val="1"/>
                <w:bCs w:val="1"/>
                <w:color w:val="auto"/>
              </w:rPr>
              <w:t>Digital</w:t>
            </w:r>
          </w:p>
        </w:tc>
        <w:tc>
          <w:tcPr>
            <w:tcW w:w="260" w:type="dxa"/>
            <w:vAlign w:val="bottom"/>
          </w:tcPr>
          <w:p>
            <w:pPr>
              <w:spacing w:after="0"/>
              <w:rPr>
                <w:sz w:val="17"/>
                <w:szCs w:val="17"/>
                <w:color w:val="auto"/>
              </w:rPr>
            </w:pPr>
          </w:p>
        </w:tc>
        <w:tc>
          <w:tcPr>
            <w:tcW w:w="1220" w:type="dxa"/>
            <w:vAlign w:val="bottom"/>
          </w:tcPr>
          <w:p>
            <w:pPr>
              <w:ind w:left="620"/>
              <w:spacing w:after="0"/>
              <w:rPr>
                <w:sz w:val="20"/>
                <w:szCs w:val="20"/>
                <w:color w:val="auto"/>
              </w:rPr>
            </w:pPr>
            <w:r>
              <w:rPr>
                <w:rFonts w:ascii="Arial" w:cs="Arial" w:eastAsia="Arial" w:hAnsi="Arial"/>
                <w:sz w:val="14"/>
                <w:szCs w:val="14"/>
                <w:b w:val="1"/>
                <w:bCs w:val="1"/>
                <w:color w:val="auto"/>
              </w:rPr>
              <w:t>Strategy</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1042035</wp:posOffset>
            </wp:positionH>
            <wp:positionV relativeFrom="paragraph">
              <wp:posOffset>-264160</wp:posOffset>
            </wp:positionV>
            <wp:extent cx="214630" cy="21463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2002155</wp:posOffset>
            </wp:positionH>
            <wp:positionV relativeFrom="paragraph">
              <wp:posOffset>-264160</wp:posOffset>
            </wp:positionV>
            <wp:extent cx="214630" cy="21463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2876550</wp:posOffset>
            </wp:positionH>
            <wp:positionV relativeFrom="paragraph">
              <wp:posOffset>-264160</wp:posOffset>
            </wp:positionV>
            <wp:extent cx="214630" cy="21463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-264160</wp:posOffset>
            </wp:positionV>
            <wp:extent cx="214630" cy="21463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ectPr>
          <w:pgSz w:w="11900" w:h="16838" w:orient="portrait"/>
          <w:cols w:equalWidth="0" w:num="1">
            <w:col w:w="10139"/>
          </w:cols>
          <w:pgMar w:left="320" w:top="980" w:right="1440" w:bottom="1440" w:gutter="0" w:footer="0" w:header="0"/>
          <w:type w:val="continuous"/>
        </w:sectPr>
      </w:pPr>
    </w:p>
    <w:p>
      <w:pPr>
        <w:spacing w:after="0" w:line="200" w:lineRule="exact"/>
        <w:rPr>
          <w:sz w:val="20"/>
          <w:szCs w:val="20"/>
          <w:color w:val="auto"/>
        </w:rPr>
      </w:pPr>
    </w:p>
    <w:p>
      <w:pPr>
        <w:spacing w:after="0" w:line="315"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154940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980" w:right="1440" w:bottom="1440" w:gutter="0" w:footer="0" w:header="0"/>
          <w:type w:val="continuous"/>
        </w:sectPr>
      </w:pPr>
    </w:p>
    <w:bookmarkStart w:id="22" w:name="page23"/>
    <w:bookmarkEnd w:id="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688975</wp:posOffset>
            </wp:positionV>
            <wp:extent cx="1311275" cy="131127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clrChange>
                        <a:clrFrom>
                          <a:srgbClr val="FFFFFF"/>
                        </a:clrFrom>
                        <a:clrTo>
                          <a:srgbClr val="FFFFFF">
                            <a:alpha val="0"/>
                          </a:srgbClr>
                        </a:clrTo>
                      </a:clrChange>
                      <a:extLst>
                        <a:ext uri="{28A0092B-C50C-407E-A947-70E740481C1C}"/>
                      </a:extLst>
                    </a:blip>
                    <a:srcRect/>
                    <a:stretch>
                      <a:fillRect/>
                    </a:stretch>
                  </pic:blipFill>
                  <pic:spPr bwMode="auto">
                    <a:xfrm>
                      <a:off x="0" y="0"/>
                      <a:ext cx="1311275" cy="131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b w:val="1"/>
          <w:bCs w:val="1"/>
          <w:color w:val="EF3729"/>
        </w:rPr>
        <w:t>David A. Ricks</w:t>
      </w:r>
    </w:p>
    <w:p>
      <w:pPr>
        <w:spacing w:after="0"/>
        <w:rPr>
          <w:sz w:val="20"/>
          <w:szCs w:val="20"/>
          <w:color w:val="auto"/>
        </w:rPr>
      </w:pPr>
      <w:r>
        <w:rPr>
          <w:rFonts w:ascii="Arial" w:cs="Arial" w:eastAsia="Arial" w:hAnsi="Arial"/>
          <w:sz w:val="16"/>
          <w:szCs w:val="16"/>
          <w:color w:val="auto"/>
        </w:rPr>
        <w:t>Chair, President, and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104775</wp:posOffset>
            </wp:positionV>
            <wp:extent cx="143129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431290" cy="8890"/>
                    </a:xfrm>
                    <a:prstGeom prst="rect">
                      <a:avLst/>
                    </a:prstGeom>
                    <a:noFill/>
                  </pic:spPr>
                </pic:pic>
              </a:graphicData>
            </a:graphic>
          </wp:anchor>
        </w:drawing>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57</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2017</w:t>
      </w:r>
    </w:p>
    <w:p>
      <w:pPr>
        <w:spacing w:after="0" w:line="73" w:lineRule="exact"/>
        <w:rPr>
          <w:sz w:val="20"/>
          <w:szCs w:val="20"/>
          <w:color w:val="auto"/>
        </w:rPr>
      </w:pPr>
    </w:p>
    <w:p>
      <w:pPr>
        <w:ind w:right="220"/>
        <w:spacing w:after="0" w:line="325" w:lineRule="auto"/>
        <w:rPr>
          <w:sz w:val="20"/>
          <w:szCs w:val="20"/>
          <w:color w:val="auto"/>
        </w:rPr>
      </w:pPr>
      <w:r>
        <w:rPr>
          <w:rFonts w:ascii="Arial" w:cs="Arial" w:eastAsia="Arial" w:hAnsi="Arial"/>
          <w:sz w:val="16"/>
          <w:szCs w:val="16"/>
          <w:b w:val="1"/>
          <w:bCs w:val="1"/>
          <w:color w:val="auto"/>
        </w:rPr>
        <w:t xml:space="preserve">Board Committees: </w:t>
      </w:r>
      <w:r>
        <w:rPr>
          <w:rFonts w:ascii="Arial" w:cs="Arial" w:eastAsia="Arial" w:hAnsi="Arial"/>
          <w:sz w:val="16"/>
          <w:szCs w:val="16"/>
          <w:color w:val="auto"/>
        </w:rPr>
        <w:t>None</w:t>
      </w:r>
      <w:r>
        <w:rPr>
          <w:rFonts w:ascii="Arial" w:cs="Arial" w:eastAsia="Arial" w:hAnsi="Arial"/>
          <w:sz w:val="16"/>
          <w:szCs w:val="16"/>
          <w:b w:val="1"/>
          <w:bCs w:val="1"/>
          <w:color w:val="auto"/>
        </w:rPr>
        <w:t xml:space="preserve"> Other Public Boards:</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 Adobe Inc.</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Prior Public Boards:</w:t>
      </w:r>
    </w:p>
    <w:p>
      <w:pPr>
        <w:spacing w:after="0" w:line="59" w:lineRule="exact"/>
        <w:rPr>
          <w:sz w:val="20"/>
          <w:szCs w:val="20"/>
          <w:color w:val="auto"/>
        </w:rPr>
      </w:pPr>
    </w:p>
    <w:p>
      <w:pPr>
        <w:ind w:left="160"/>
        <w:spacing w:after="0"/>
        <w:rPr>
          <w:sz w:val="20"/>
          <w:szCs w:val="20"/>
          <w:color w:val="auto"/>
        </w:rPr>
      </w:pPr>
      <w:r>
        <w:rPr>
          <w:rFonts w:ascii="Arial" w:cs="Arial" w:eastAsia="Arial" w:hAnsi="Arial"/>
          <w:sz w:val="16"/>
          <w:szCs w:val="16"/>
          <w:color w:val="auto"/>
        </w:rPr>
        <w:t>– None</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46355</wp:posOffset>
            </wp:positionV>
            <wp:extent cx="1234440" cy="6769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34440" cy="676910"/>
                    </a:xfrm>
                    <a:prstGeom prst="rect">
                      <a:avLst/>
                    </a:prstGeom>
                    <a:noFill/>
                  </pic:spPr>
                </pic:pic>
              </a:graphicData>
            </a:graphic>
          </wp:anchor>
        </w:drawing>
        <w:drawing>
          <wp:anchor simplePos="0" relativeHeight="251657728" behindDoc="1" locked="0" layoutInCell="0" allowOverlap="1">
            <wp:simplePos x="0" y="0"/>
            <wp:positionH relativeFrom="column">
              <wp:posOffset>746760</wp:posOffset>
            </wp:positionH>
            <wp:positionV relativeFrom="paragraph">
              <wp:posOffset>4581525</wp:posOffset>
            </wp:positionV>
            <wp:extent cx="214630" cy="21463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FFFFFF"/>
        </w:rPr>
        <w:t>KEY EXPERIENCE AND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-127635</wp:posOffset>
            </wp:positionH>
            <wp:positionV relativeFrom="paragraph">
              <wp:posOffset>-127635</wp:posOffset>
            </wp:positionV>
            <wp:extent cx="4260215" cy="28632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260215" cy="2863215"/>
                    </a:xfrm>
                    <a:prstGeom prst="rect">
                      <a:avLst/>
                    </a:prstGeom>
                    <a:noFill/>
                  </pic:spPr>
                </pic:pic>
              </a:graphicData>
            </a:graphic>
          </wp:anchor>
        </w:drawing>
      </w:r>
    </w:p>
    <w:p>
      <w:pPr>
        <w:spacing w:after="0" w:line="36" w:lineRule="exact"/>
        <w:rPr>
          <w:sz w:val="20"/>
          <w:szCs w:val="20"/>
          <w:color w:val="auto"/>
        </w:rPr>
      </w:pPr>
    </w:p>
    <w:p>
      <w:pPr>
        <w:ind w:right="1039"/>
        <w:spacing w:after="0" w:line="261" w:lineRule="auto"/>
        <w:rPr>
          <w:sz w:val="20"/>
          <w:szCs w:val="20"/>
          <w:color w:val="auto"/>
        </w:rPr>
      </w:pPr>
      <w:r>
        <w:rPr>
          <w:rFonts w:ascii="Arial" w:cs="Arial" w:eastAsia="Arial" w:hAnsi="Arial"/>
          <w:sz w:val="16"/>
          <w:szCs w:val="16"/>
          <w:i w:val="1"/>
          <w:iCs w:val="1"/>
          <w:color w:val="auto"/>
        </w:rPr>
        <w:t>Mr. Ricks has over 25 years of experience at Lilly, leading and shaping large-scale operations across the world. He has overseen some of the most transformative growth in the company’s history; since assuming the role as Chief Executive Officer, Lilly has (i) experienced revenue growth of approximately 112%, (ii) experienced a five-year total shareholder return of 527%, and (iii) taken important steps to increase the affordability and accessibility of our products around the globe.</w:t>
      </w:r>
    </w:p>
    <w:p>
      <w:pPr>
        <w:spacing w:after="0" w:line="12" w:lineRule="exact"/>
        <w:rPr>
          <w:sz w:val="20"/>
          <w:szCs w:val="20"/>
          <w:color w:val="auto"/>
        </w:rPr>
      </w:pPr>
    </w:p>
    <w:p>
      <w:pPr>
        <w:jc w:val="both"/>
        <w:ind w:left="640" w:right="1039" w:hanging="325"/>
        <w:spacing w:after="0" w:line="275" w:lineRule="auto"/>
        <w:tabs>
          <w:tab w:leader="none" w:pos="629" w:val="left"/>
        </w:tabs>
        <w:numPr>
          <w:ilvl w:val="0"/>
          <w:numId w:val="46"/>
        </w:numPr>
        <w:rPr>
          <w:rFonts w:ascii="Arial" w:cs="Arial" w:eastAsia="Arial" w:hAnsi="Arial"/>
          <w:sz w:val="16"/>
          <w:szCs w:val="16"/>
          <w:color w:val="auto"/>
        </w:rPr>
      </w:pPr>
      <w:r>
        <w:rPr>
          <w:rFonts w:ascii="Arial" w:cs="Arial" w:eastAsia="Arial" w:hAnsi="Arial"/>
          <w:sz w:val="16"/>
          <w:szCs w:val="16"/>
          <w:color w:val="auto"/>
        </w:rPr>
        <w:t>Mr. Ricks embodies the “tone at the top” that strengthens Lilly’s culture, including through his commitment to compliance, talent development, and the expansion of our diverse workforce.</w:t>
      </w:r>
    </w:p>
    <w:p>
      <w:pPr>
        <w:spacing w:after="0" w:line="15" w:lineRule="exact"/>
        <w:rPr>
          <w:rFonts w:ascii="Arial" w:cs="Arial" w:eastAsia="Arial" w:hAnsi="Arial"/>
          <w:sz w:val="16"/>
          <w:szCs w:val="16"/>
          <w:color w:val="auto"/>
        </w:rPr>
      </w:pPr>
    </w:p>
    <w:p>
      <w:pPr>
        <w:ind w:left="640" w:right="1019" w:hanging="325"/>
        <w:spacing w:after="0" w:line="265" w:lineRule="auto"/>
        <w:tabs>
          <w:tab w:leader="none" w:pos="629" w:val="left"/>
        </w:tabs>
        <w:numPr>
          <w:ilvl w:val="0"/>
          <w:numId w:val="46"/>
        </w:numPr>
        <w:rPr>
          <w:rFonts w:ascii="Arial" w:cs="Arial" w:eastAsia="Arial" w:hAnsi="Arial"/>
          <w:sz w:val="16"/>
          <w:szCs w:val="16"/>
          <w:color w:val="auto"/>
        </w:rPr>
      </w:pPr>
      <w:r>
        <w:rPr>
          <w:rFonts w:ascii="Arial" w:cs="Arial" w:eastAsia="Arial" w:hAnsi="Arial"/>
          <w:sz w:val="16"/>
          <w:szCs w:val="16"/>
          <w:color w:val="auto"/>
        </w:rPr>
        <w:t>Mr. Ricks has combined his company-specific and industry knowledge to grow, articulate and implement Lilly’s strategic plan, as reflected by the growth in revenue, robust pipeline, and progressive approach on leveraging technology into the business.</w:t>
      </w:r>
    </w:p>
    <w:p>
      <w:pPr>
        <w:spacing w:after="0" w:line="10" w:lineRule="exact"/>
        <w:rPr>
          <w:rFonts w:ascii="Arial" w:cs="Arial" w:eastAsia="Arial" w:hAnsi="Arial"/>
          <w:sz w:val="16"/>
          <w:szCs w:val="16"/>
          <w:color w:val="auto"/>
        </w:rPr>
      </w:pPr>
    </w:p>
    <w:p>
      <w:pPr>
        <w:ind w:left="640" w:right="1099" w:hanging="325"/>
        <w:spacing w:after="0" w:line="275" w:lineRule="auto"/>
        <w:tabs>
          <w:tab w:leader="none" w:pos="629" w:val="left"/>
        </w:tabs>
        <w:numPr>
          <w:ilvl w:val="0"/>
          <w:numId w:val="46"/>
        </w:numPr>
        <w:rPr>
          <w:rFonts w:ascii="Arial" w:cs="Arial" w:eastAsia="Arial" w:hAnsi="Arial"/>
          <w:sz w:val="16"/>
          <w:szCs w:val="16"/>
          <w:color w:val="auto"/>
        </w:rPr>
      </w:pPr>
      <w:r>
        <w:rPr>
          <w:rFonts w:ascii="Arial" w:cs="Arial" w:eastAsia="Arial" w:hAnsi="Arial"/>
          <w:sz w:val="16"/>
          <w:szCs w:val="16"/>
          <w:color w:val="auto"/>
        </w:rPr>
        <w:t>Mr. Ricks is able to draw on his extensive interactions with various stakeholders to apprise the board of significant developments in our business and industry, as well as to communicate feedback to the board and offer insights.</w:t>
      </w:r>
    </w:p>
    <w:p>
      <w:pPr>
        <w:spacing w:after="0" w:line="2" w:lineRule="exact"/>
        <w:rPr>
          <w:rFonts w:ascii="Arial" w:cs="Arial" w:eastAsia="Arial" w:hAnsi="Arial"/>
          <w:sz w:val="16"/>
          <w:szCs w:val="16"/>
          <w:color w:val="auto"/>
        </w:rPr>
      </w:pPr>
    </w:p>
    <w:p>
      <w:pPr>
        <w:ind w:left="640" w:right="1179" w:hanging="325"/>
        <w:spacing w:after="0" w:line="275" w:lineRule="auto"/>
        <w:tabs>
          <w:tab w:leader="none" w:pos="629" w:val="left"/>
        </w:tabs>
        <w:numPr>
          <w:ilvl w:val="0"/>
          <w:numId w:val="46"/>
        </w:numPr>
        <w:rPr>
          <w:rFonts w:ascii="Arial" w:cs="Arial" w:eastAsia="Arial" w:hAnsi="Arial"/>
          <w:sz w:val="16"/>
          <w:szCs w:val="16"/>
          <w:color w:val="auto"/>
        </w:rPr>
      </w:pPr>
      <w:r>
        <w:rPr>
          <w:rFonts w:ascii="Arial" w:cs="Arial" w:eastAsia="Arial" w:hAnsi="Arial"/>
          <w:sz w:val="16"/>
          <w:szCs w:val="16"/>
          <w:color w:val="auto"/>
        </w:rPr>
        <w:t>Mr. Ricks’ leadership approach is derived from his experience in marketing, sales, drug development, and international operations, as well as his significant experience in public policy.</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00A1DE"/>
        </w:rPr>
        <w:t>CAREER HIGHLIGHTS</w:t>
      </w:r>
    </w:p>
    <w:p>
      <w:pPr>
        <w:spacing w:after="0" w:line="40" w:lineRule="exact"/>
        <w:rPr>
          <w:sz w:val="20"/>
          <w:szCs w:val="20"/>
          <w:color w:val="auto"/>
        </w:rPr>
      </w:pPr>
    </w:p>
    <w:p>
      <w:pPr>
        <w:ind w:left="620" w:hanging="305"/>
        <w:spacing w:after="0"/>
        <w:tabs>
          <w:tab w:leader="none" w:pos="620" w:val="left"/>
        </w:tabs>
        <w:numPr>
          <w:ilvl w:val="0"/>
          <w:numId w:val="47"/>
        </w:numPr>
        <w:rPr>
          <w:rFonts w:ascii="Arial" w:cs="Arial" w:eastAsia="Arial" w:hAnsi="Arial"/>
          <w:sz w:val="16"/>
          <w:szCs w:val="16"/>
          <w:color w:val="auto"/>
        </w:rPr>
      </w:pPr>
      <w:r>
        <w:rPr>
          <w:rFonts w:ascii="Arial" w:cs="Arial" w:eastAsia="Arial" w:hAnsi="Arial"/>
          <w:sz w:val="18"/>
          <w:szCs w:val="18"/>
          <w:b w:val="1"/>
          <w:bCs w:val="1"/>
          <w:color w:val="auto"/>
        </w:rPr>
        <w:t>Eli Lilly and Company</w:t>
      </w:r>
    </w:p>
    <w:p>
      <w:pPr>
        <w:spacing w:after="0" w:line="50" w:lineRule="exact"/>
        <w:rPr>
          <w:rFonts w:ascii="Arial" w:cs="Arial" w:eastAsia="Arial" w:hAnsi="Arial"/>
          <w:sz w:val="16"/>
          <w:szCs w:val="16"/>
          <w:color w:val="auto"/>
        </w:rPr>
      </w:pPr>
    </w:p>
    <w:p>
      <w:pPr>
        <w:ind w:left="620"/>
        <w:spacing w:after="0"/>
        <w:rPr>
          <w:rFonts w:ascii="Arial" w:cs="Arial" w:eastAsia="Arial" w:hAnsi="Arial"/>
          <w:sz w:val="16"/>
          <w:szCs w:val="16"/>
          <w:color w:val="auto"/>
        </w:rPr>
      </w:pPr>
      <w:r>
        <w:rPr>
          <w:rFonts w:ascii="Arial" w:cs="Arial" w:eastAsia="Arial" w:hAnsi="Arial"/>
          <w:sz w:val="14"/>
          <w:szCs w:val="14"/>
          <w:color w:val="auto"/>
        </w:rPr>
        <w:t xml:space="preserve">–   </w:t>
      </w:r>
      <w:r>
        <w:rPr>
          <w:rFonts w:ascii="Arial" w:cs="Arial" w:eastAsia="Arial" w:hAnsi="Arial"/>
          <w:sz w:val="16"/>
          <w:szCs w:val="16"/>
          <w:color w:val="auto"/>
        </w:rPr>
        <w:t>Chair, President, and Chief Executive Officer (2017 - present)</w:t>
      </w:r>
    </w:p>
    <w:p>
      <w:pPr>
        <w:spacing w:after="0" w:line="32" w:lineRule="exact"/>
        <w:rPr>
          <w:rFonts w:ascii="Arial" w:cs="Arial" w:eastAsia="Arial" w:hAnsi="Arial"/>
          <w:sz w:val="16"/>
          <w:szCs w:val="16"/>
          <w:color w:val="auto"/>
        </w:rPr>
      </w:pPr>
    </w:p>
    <w:p>
      <w:pPr>
        <w:ind w:left="620"/>
        <w:spacing w:after="0"/>
        <w:rPr>
          <w:rFonts w:ascii="Arial" w:cs="Arial" w:eastAsia="Arial" w:hAnsi="Arial"/>
          <w:sz w:val="16"/>
          <w:szCs w:val="16"/>
          <w:color w:val="auto"/>
        </w:rPr>
      </w:pPr>
      <w:r>
        <w:rPr>
          <w:rFonts w:ascii="Arial" w:cs="Arial" w:eastAsia="Arial" w:hAnsi="Arial"/>
          <w:sz w:val="14"/>
          <w:szCs w:val="14"/>
          <w:color w:val="auto"/>
        </w:rPr>
        <w:t xml:space="preserve">–   </w:t>
      </w:r>
      <w:r>
        <w:rPr>
          <w:rFonts w:ascii="Arial" w:cs="Arial" w:eastAsia="Arial" w:hAnsi="Arial"/>
          <w:sz w:val="16"/>
          <w:szCs w:val="16"/>
          <w:color w:val="auto"/>
        </w:rPr>
        <w:t>Senior Vice President and President, Lilly Bio-Medicines (2012 - 2016)</w:t>
      </w:r>
    </w:p>
    <w:p>
      <w:pPr>
        <w:spacing w:after="0" w:line="45" w:lineRule="exact"/>
        <w:rPr>
          <w:rFonts w:ascii="Arial" w:cs="Arial" w:eastAsia="Arial" w:hAnsi="Arial"/>
          <w:sz w:val="16"/>
          <w:szCs w:val="16"/>
          <w:color w:val="auto"/>
        </w:rPr>
      </w:pPr>
    </w:p>
    <w:p>
      <w:pPr>
        <w:ind w:left="620"/>
        <w:spacing w:after="0"/>
        <w:rPr>
          <w:rFonts w:ascii="Arial" w:cs="Arial" w:eastAsia="Arial" w:hAnsi="Arial"/>
          <w:sz w:val="16"/>
          <w:szCs w:val="16"/>
          <w:color w:val="auto"/>
        </w:rPr>
      </w:pPr>
      <w:r>
        <w:rPr>
          <w:rFonts w:ascii="Arial" w:cs="Arial" w:eastAsia="Arial" w:hAnsi="Arial"/>
          <w:sz w:val="14"/>
          <w:szCs w:val="14"/>
          <w:color w:val="auto"/>
        </w:rPr>
        <w:t xml:space="preserve">–   </w:t>
      </w:r>
      <w:r>
        <w:rPr>
          <w:rFonts w:ascii="Arial" w:cs="Arial" w:eastAsia="Arial" w:hAnsi="Arial"/>
          <w:sz w:val="16"/>
          <w:szCs w:val="16"/>
          <w:color w:val="auto"/>
        </w:rPr>
        <w:t>President, Lilly USA (2009 - 2012)</w:t>
      </w:r>
    </w:p>
    <w:p>
      <w:pPr>
        <w:spacing w:after="0" w:line="45" w:lineRule="exact"/>
        <w:rPr>
          <w:rFonts w:ascii="Arial" w:cs="Arial" w:eastAsia="Arial" w:hAnsi="Arial"/>
          <w:sz w:val="16"/>
          <w:szCs w:val="16"/>
          <w:color w:val="auto"/>
        </w:rPr>
      </w:pPr>
    </w:p>
    <w:p>
      <w:pPr>
        <w:ind w:left="620"/>
        <w:spacing w:after="0"/>
        <w:rPr>
          <w:rFonts w:ascii="Arial" w:cs="Arial" w:eastAsia="Arial" w:hAnsi="Arial"/>
          <w:sz w:val="16"/>
          <w:szCs w:val="16"/>
          <w:color w:val="auto"/>
        </w:rPr>
      </w:pPr>
      <w:r>
        <w:rPr>
          <w:rFonts w:ascii="Arial" w:cs="Arial" w:eastAsia="Arial" w:hAnsi="Arial"/>
          <w:sz w:val="14"/>
          <w:szCs w:val="14"/>
          <w:color w:val="auto"/>
        </w:rPr>
        <w:t xml:space="preserve">–   </w:t>
      </w:r>
      <w:r>
        <w:rPr>
          <w:rFonts w:ascii="Arial" w:cs="Arial" w:eastAsia="Arial" w:hAnsi="Arial"/>
          <w:sz w:val="16"/>
          <w:szCs w:val="16"/>
          <w:color w:val="auto"/>
        </w:rPr>
        <w:t>Served in various marketing, sales and international leadership roles (1996 -</w:t>
      </w:r>
    </w:p>
    <w:p>
      <w:pPr>
        <w:spacing w:after="0" w:line="32" w:lineRule="exact"/>
        <w:rPr>
          <w:rFonts w:ascii="Arial" w:cs="Arial" w:eastAsia="Arial" w:hAnsi="Arial"/>
          <w:sz w:val="16"/>
          <w:szCs w:val="16"/>
          <w:color w:val="auto"/>
        </w:rPr>
      </w:pPr>
    </w:p>
    <w:p>
      <w:pPr>
        <w:ind w:left="940"/>
        <w:spacing w:after="0"/>
        <w:rPr>
          <w:rFonts w:ascii="Arial" w:cs="Arial" w:eastAsia="Arial" w:hAnsi="Arial"/>
          <w:sz w:val="16"/>
          <w:szCs w:val="16"/>
          <w:color w:val="auto"/>
        </w:rPr>
      </w:pPr>
      <w:r>
        <w:rPr>
          <w:rFonts w:ascii="Arial" w:cs="Arial" w:eastAsia="Arial" w:hAnsi="Arial"/>
          <w:sz w:val="16"/>
          <w:szCs w:val="16"/>
          <w:color w:val="auto"/>
        </w:rPr>
        <w:t>2009), including:</w:t>
      </w:r>
    </w:p>
    <w:p>
      <w:pPr>
        <w:spacing w:after="0" w:line="55" w:lineRule="exact"/>
        <w:rPr>
          <w:rFonts w:ascii="Arial" w:cs="Arial" w:eastAsia="Arial" w:hAnsi="Arial"/>
          <w:sz w:val="16"/>
          <w:szCs w:val="16"/>
          <w:color w:val="auto"/>
        </w:rPr>
      </w:pPr>
    </w:p>
    <w:p>
      <w:pPr>
        <w:ind w:left="1200" w:hanging="237"/>
        <w:spacing w:after="0"/>
        <w:tabs>
          <w:tab w:leader="none" w:pos="1200" w:val="left"/>
        </w:tabs>
        <w:numPr>
          <w:ilvl w:val="2"/>
          <w:numId w:val="47"/>
        </w:numPr>
        <w:rPr>
          <w:rFonts w:ascii="Arial" w:cs="Arial" w:eastAsia="Arial" w:hAnsi="Arial"/>
          <w:sz w:val="19"/>
          <w:szCs w:val="19"/>
          <w:color w:val="auto"/>
        </w:rPr>
      </w:pPr>
      <w:r>
        <w:rPr>
          <w:rFonts w:ascii="Arial" w:cs="Arial" w:eastAsia="Arial" w:hAnsi="Arial"/>
          <w:sz w:val="16"/>
          <w:szCs w:val="16"/>
          <w:color w:val="auto"/>
        </w:rPr>
        <w:t>As President and General Manager of Lilly China</w:t>
      </w:r>
    </w:p>
    <w:p>
      <w:pPr>
        <w:spacing w:after="0" w:line="24" w:lineRule="exact"/>
        <w:rPr>
          <w:rFonts w:ascii="Arial" w:cs="Arial" w:eastAsia="Arial" w:hAnsi="Arial"/>
          <w:sz w:val="19"/>
          <w:szCs w:val="19"/>
          <w:color w:val="auto"/>
        </w:rPr>
      </w:pPr>
    </w:p>
    <w:p>
      <w:pPr>
        <w:ind w:left="1200" w:hanging="237"/>
        <w:spacing w:after="0"/>
        <w:tabs>
          <w:tab w:leader="none" w:pos="1200" w:val="left"/>
        </w:tabs>
        <w:numPr>
          <w:ilvl w:val="2"/>
          <w:numId w:val="47"/>
        </w:numPr>
        <w:rPr>
          <w:rFonts w:ascii="Arial" w:cs="Arial" w:eastAsia="Arial" w:hAnsi="Arial"/>
          <w:sz w:val="19"/>
          <w:szCs w:val="19"/>
          <w:color w:val="auto"/>
        </w:rPr>
      </w:pPr>
      <w:r>
        <w:rPr>
          <w:rFonts w:ascii="Arial" w:cs="Arial" w:eastAsia="Arial" w:hAnsi="Arial"/>
          <w:sz w:val="16"/>
          <w:szCs w:val="16"/>
          <w:color w:val="auto"/>
        </w:rPr>
        <w:t>As General Manager of Lilly Canada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00A1DE"/>
        </w:rPr>
        <w:t>OTHER HIGHLIGHTS</w:t>
      </w:r>
    </w:p>
    <w:p>
      <w:pPr>
        <w:spacing w:after="0" w:line="68" w:lineRule="exact"/>
        <w:rPr>
          <w:sz w:val="20"/>
          <w:szCs w:val="20"/>
          <w:color w:val="auto"/>
        </w:rPr>
      </w:pPr>
    </w:p>
    <w:p>
      <w:pPr>
        <w:ind w:left="640" w:right="1939" w:hanging="325"/>
        <w:spacing w:after="0" w:line="263" w:lineRule="auto"/>
        <w:tabs>
          <w:tab w:leader="none" w:pos="629" w:val="left"/>
        </w:tabs>
        <w:numPr>
          <w:ilvl w:val="0"/>
          <w:numId w:val="48"/>
        </w:numPr>
        <w:rPr>
          <w:rFonts w:ascii="Arial" w:cs="Arial" w:eastAsia="Arial" w:hAnsi="Arial"/>
          <w:sz w:val="16"/>
          <w:szCs w:val="16"/>
          <w:color w:val="auto"/>
        </w:rPr>
      </w:pPr>
      <w:r>
        <w:rPr>
          <w:rFonts w:ascii="Arial" w:cs="Arial" w:eastAsia="Arial" w:hAnsi="Arial"/>
          <w:sz w:val="16"/>
          <w:szCs w:val="16"/>
          <w:color w:val="auto"/>
        </w:rPr>
        <w:t>Director, International Federation of Pharmaceutical Manufacturers &amp; Associations (IFPMA)</w:t>
      </w:r>
    </w:p>
    <w:p>
      <w:pPr>
        <w:ind w:left="620" w:hanging="305"/>
        <w:spacing w:after="0"/>
        <w:tabs>
          <w:tab w:leader="none" w:pos="6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Director, Pharmaceutical Research and Manufacturers of America (PhRMA)</w:t>
      </w:r>
    </w:p>
    <w:p>
      <w:pPr>
        <w:spacing w:after="0" w:line="8" w:lineRule="exact"/>
        <w:rPr>
          <w:rFonts w:ascii="Arial" w:cs="Arial" w:eastAsia="Arial" w:hAnsi="Arial"/>
          <w:sz w:val="16"/>
          <w:szCs w:val="16"/>
          <w:color w:val="auto"/>
        </w:rPr>
      </w:pPr>
    </w:p>
    <w:p>
      <w:pPr>
        <w:ind w:left="620" w:hanging="305"/>
        <w:spacing w:after="0"/>
        <w:tabs>
          <w:tab w:leader="none" w:pos="6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Member, U.S. Patent and Trademark Office Council for Inclusive Innovation</w:t>
      </w:r>
    </w:p>
    <w:p>
      <w:pPr>
        <w:spacing w:after="0" w:line="14" w:lineRule="exact"/>
        <w:rPr>
          <w:rFonts w:ascii="Arial" w:cs="Arial" w:eastAsia="Arial" w:hAnsi="Arial"/>
          <w:sz w:val="16"/>
          <w:szCs w:val="16"/>
          <w:color w:val="auto"/>
        </w:rPr>
      </w:pPr>
    </w:p>
    <w:p>
      <w:pPr>
        <w:ind w:left="640" w:right="1879" w:hanging="325"/>
        <w:spacing w:after="0" w:line="249" w:lineRule="auto"/>
        <w:tabs>
          <w:tab w:leader="none" w:pos="629" w:val="left"/>
        </w:tabs>
        <w:numPr>
          <w:ilvl w:val="0"/>
          <w:numId w:val="48"/>
        </w:numPr>
        <w:rPr>
          <w:rFonts w:ascii="Arial" w:cs="Arial" w:eastAsia="Arial" w:hAnsi="Arial"/>
          <w:sz w:val="16"/>
          <w:szCs w:val="16"/>
          <w:color w:val="auto"/>
        </w:rPr>
      </w:pPr>
      <w:r>
        <w:rPr>
          <w:rFonts w:ascii="Arial" w:cs="Arial" w:eastAsia="Arial" w:hAnsi="Arial"/>
          <w:sz w:val="16"/>
          <w:szCs w:val="16"/>
          <w:color w:val="auto"/>
        </w:rPr>
        <w:t>Director and executive committee member, Central Indiana Corporate Partnership</w:t>
      </w:r>
    </w:p>
    <w:p>
      <w:pPr>
        <w:ind w:left="620" w:hanging="305"/>
        <w:spacing w:after="0"/>
        <w:tabs>
          <w:tab w:leader="none" w:pos="6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Director, The Business Roundtable</w:t>
      </w:r>
    </w:p>
    <w:p>
      <w:pPr>
        <w:spacing w:after="0" w:line="14" w:lineRule="exact"/>
        <w:rPr>
          <w:rFonts w:ascii="Arial" w:cs="Arial" w:eastAsia="Arial" w:hAnsi="Arial"/>
          <w:sz w:val="16"/>
          <w:szCs w:val="16"/>
          <w:color w:val="auto"/>
        </w:rPr>
      </w:pPr>
    </w:p>
    <w:p>
      <w:pPr>
        <w:ind w:left="620" w:hanging="305"/>
        <w:spacing w:after="0"/>
        <w:tabs>
          <w:tab w:leader="none" w:pos="6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Trustee, Purdue University Board of Trustees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2207895</wp:posOffset>
            </wp:positionV>
            <wp:extent cx="213995" cy="21463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13995" cy="214630"/>
                    </a:xfrm>
                    <a:prstGeom prst="rect">
                      <a:avLst/>
                    </a:prstGeom>
                    <a:noFill/>
                  </pic:spPr>
                </pic:pic>
              </a:graphicData>
            </a:graphic>
          </wp:anchor>
        </w:drawing>
        <w:drawing>
          <wp:anchor simplePos="0" relativeHeight="251657728" behindDoc="1" locked="0" layoutInCell="0" allowOverlap="1">
            <wp:simplePos x="0" y="0"/>
            <wp:positionH relativeFrom="column">
              <wp:posOffset>805815</wp:posOffset>
            </wp:positionH>
            <wp:positionV relativeFrom="paragraph">
              <wp:posOffset>2207895</wp:posOffset>
            </wp:positionV>
            <wp:extent cx="214630" cy="21463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1731645</wp:posOffset>
            </wp:positionH>
            <wp:positionV relativeFrom="paragraph">
              <wp:posOffset>2207895</wp:posOffset>
            </wp:positionV>
            <wp:extent cx="214630" cy="21463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2597785</wp:posOffset>
            </wp:positionH>
            <wp:positionV relativeFrom="paragraph">
              <wp:posOffset>2207895</wp:posOffset>
            </wp:positionV>
            <wp:extent cx="214630" cy="21463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60" w:space="460"/>
            <w:col w:w="7499"/>
          </w:cols>
          <w:pgMar w:left="340" w:top="9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1600" w:type="dxa"/>
        <w:tblCellMar>
          <w:top w:w="0" w:type="dxa"/>
          <w:left w:w="0" w:type="dxa"/>
          <w:bottom w:w="0" w:type="dxa"/>
          <w:right w:w="0" w:type="dxa"/>
        </w:tblCellMar>
      </w:tblPr>
      <w:tr>
        <w:trPr>
          <w:trHeight w:val="162"/>
        </w:trPr>
        <w:tc>
          <w:tcPr>
            <w:tcW w:w="1340" w:type="dxa"/>
            <w:vAlign w:val="bottom"/>
          </w:tcPr>
          <w:p>
            <w:pPr>
              <w:jc w:val="center"/>
              <w:ind w:right="488"/>
              <w:spacing w:after="0"/>
              <w:rPr>
                <w:sz w:val="20"/>
                <w:szCs w:val="20"/>
                <w:color w:val="auto"/>
              </w:rPr>
            </w:pPr>
            <w:r>
              <w:rPr>
                <w:rFonts w:ascii="Arial" w:cs="Arial" w:eastAsia="Arial" w:hAnsi="Arial"/>
                <w:sz w:val="14"/>
                <w:szCs w:val="14"/>
                <w:b w:val="1"/>
                <w:bCs w:val="1"/>
                <w:color w:val="auto"/>
                <w:w w:val="98"/>
              </w:rPr>
              <w:t>CEO</w:t>
            </w:r>
          </w:p>
        </w:tc>
        <w:tc>
          <w:tcPr>
            <w:tcW w:w="80" w:type="dxa"/>
            <w:vAlign w:val="bottom"/>
          </w:tcPr>
          <w:p>
            <w:pPr>
              <w:spacing w:after="0"/>
              <w:rPr>
                <w:sz w:val="14"/>
                <w:szCs w:val="14"/>
                <w:color w:val="auto"/>
              </w:rPr>
            </w:pPr>
          </w:p>
        </w:tc>
        <w:tc>
          <w:tcPr>
            <w:tcW w:w="1300" w:type="dxa"/>
            <w:vAlign w:val="bottom"/>
          </w:tcPr>
          <w:p>
            <w:pPr>
              <w:jc w:val="center"/>
              <w:ind w:right="528"/>
              <w:spacing w:after="0"/>
              <w:rPr>
                <w:sz w:val="20"/>
                <w:szCs w:val="20"/>
                <w:color w:val="auto"/>
              </w:rPr>
            </w:pPr>
            <w:r>
              <w:rPr>
                <w:rFonts w:ascii="Arial" w:cs="Arial" w:eastAsia="Arial" w:hAnsi="Arial"/>
                <w:sz w:val="14"/>
                <w:szCs w:val="14"/>
                <w:b w:val="1"/>
                <w:bCs w:val="1"/>
                <w:color w:val="auto"/>
              </w:rPr>
              <w:t>Finance /</w:t>
            </w:r>
          </w:p>
        </w:tc>
        <w:tc>
          <w:tcPr>
            <w:tcW w:w="1320" w:type="dxa"/>
            <w:vAlign w:val="bottom"/>
          </w:tcPr>
          <w:p>
            <w:pPr>
              <w:jc w:val="center"/>
              <w:ind w:right="308"/>
              <w:spacing w:after="0"/>
              <w:rPr>
                <w:sz w:val="20"/>
                <w:szCs w:val="20"/>
                <w:color w:val="auto"/>
              </w:rPr>
            </w:pPr>
            <w:r>
              <w:rPr>
                <w:rFonts w:ascii="Arial" w:cs="Arial" w:eastAsia="Arial" w:hAnsi="Arial"/>
                <w:sz w:val="14"/>
                <w:szCs w:val="14"/>
                <w:b w:val="1"/>
                <w:bCs w:val="1"/>
                <w:color w:val="auto"/>
              </w:rPr>
              <w:t>International</w:t>
            </w:r>
          </w:p>
        </w:tc>
        <w:tc>
          <w:tcPr>
            <w:tcW w:w="1480" w:type="dxa"/>
            <w:vAlign w:val="bottom"/>
            <w:gridSpan w:val="2"/>
          </w:tcPr>
          <w:p>
            <w:pPr>
              <w:jc w:val="center"/>
              <w:ind w:right="308"/>
              <w:spacing w:after="0"/>
              <w:rPr>
                <w:sz w:val="20"/>
                <w:szCs w:val="20"/>
                <w:color w:val="auto"/>
              </w:rPr>
            </w:pPr>
            <w:r>
              <w:rPr>
                <w:rFonts w:ascii="Arial" w:cs="Arial" w:eastAsia="Arial" w:hAnsi="Arial"/>
                <w:sz w:val="14"/>
                <w:szCs w:val="14"/>
                <w:b w:val="1"/>
                <w:bCs w:val="1"/>
                <w:color w:val="auto"/>
              </w:rPr>
              <w:t>Healthcare</w:t>
            </w:r>
          </w:p>
        </w:tc>
        <w:tc>
          <w:tcPr>
            <w:tcW w:w="700" w:type="dxa"/>
            <w:vAlign w:val="bottom"/>
          </w:tcPr>
          <w:p>
            <w:pPr>
              <w:ind w:left="20"/>
              <w:spacing w:after="0"/>
              <w:rPr>
                <w:sz w:val="20"/>
                <w:szCs w:val="20"/>
                <w:color w:val="auto"/>
              </w:rPr>
            </w:pPr>
            <w:r>
              <w:rPr>
                <w:rFonts w:ascii="Arial" w:cs="Arial" w:eastAsia="Arial" w:hAnsi="Arial"/>
                <w:sz w:val="14"/>
                <w:szCs w:val="14"/>
                <w:b w:val="1"/>
                <w:bCs w:val="1"/>
                <w:color w:val="auto"/>
              </w:rPr>
              <w:t>Science /</w:t>
            </w:r>
          </w:p>
        </w:tc>
        <w:tc>
          <w:tcPr>
            <w:tcW w:w="0" w:type="dxa"/>
            <w:vAlign w:val="bottom"/>
          </w:tcPr>
          <w:p>
            <w:pPr>
              <w:spacing w:after="0"/>
              <w:rPr>
                <w:sz w:val="1"/>
                <w:szCs w:val="1"/>
                <w:color w:val="auto"/>
              </w:rPr>
            </w:pPr>
          </w:p>
        </w:tc>
      </w:tr>
      <w:tr>
        <w:trPr>
          <w:trHeight w:val="196"/>
        </w:trPr>
        <w:tc>
          <w:tcPr>
            <w:tcW w:w="1340" w:type="dxa"/>
            <w:vAlign w:val="bottom"/>
          </w:tcPr>
          <w:p>
            <w:pPr>
              <w:jc w:val="center"/>
              <w:ind w:right="488"/>
              <w:spacing w:after="0"/>
              <w:rPr>
                <w:sz w:val="20"/>
                <w:szCs w:val="20"/>
                <w:color w:val="auto"/>
              </w:rPr>
            </w:pPr>
            <w:r>
              <w:rPr>
                <w:rFonts w:ascii="Arial" w:cs="Arial" w:eastAsia="Arial" w:hAnsi="Arial"/>
                <w:sz w:val="14"/>
                <w:szCs w:val="14"/>
                <w:b w:val="1"/>
                <w:bCs w:val="1"/>
                <w:color w:val="auto"/>
              </w:rPr>
              <w:t>Leadership</w:t>
            </w:r>
          </w:p>
        </w:tc>
        <w:tc>
          <w:tcPr>
            <w:tcW w:w="1380" w:type="dxa"/>
            <w:vAlign w:val="bottom"/>
            <w:gridSpan w:val="2"/>
          </w:tcPr>
          <w:p>
            <w:pPr>
              <w:jc w:val="center"/>
              <w:ind w:right="468"/>
              <w:spacing w:after="0"/>
              <w:rPr>
                <w:sz w:val="20"/>
                <w:szCs w:val="20"/>
                <w:color w:val="auto"/>
              </w:rPr>
            </w:pPr>
            <w:r>
              <w:rPr>
                <w:rFonts w:ascii="Arial" w:cs="Arial" w:eastAsia="Arial" w:hAnsi="Arial"/>
                <w:sz w:val="14"/>
                <w:szCs w:val="14"/>
                <w:b w:val="1"/>
                <w:bCs w:val="1"/>
                <w:color w:val="auto"/>
              </w:rPr>
              <w:t>Accounting</w:t>
            </w:r>
          </w:p>
        </w:tc>
        <w:tc>
          <w:tcPr>
            <w:tcW w:w="1320" w:type="dxa"/>
            <w:vAlign w:val="bottom"/>
          </w:tcPr>
          <w:p>
            <w:pPr>
              <w:jc w:val="center"/>
              <w:ind w:right="328"/>
              <w:spacing w:after="0"/>
              <w:rPr>
                <w:sz w:val="20"/>
                <w:szCs w:val="20"/>
                <w:color w:val="auto"/>
              </w:rPr>
            </w:pPr>
            <w:r>
              <w:rPr>
                <w:rFonts w:ascii="Arial" w:cs="Arial" w:eastAsia="Arial" w:hAnsi="Arial"/>
                <w:sz w:val="14"/>
                <w:szCs w:val="14"/>
                <w:b w:val="1"/>
                <w:bCs w:val="1"/>
                <w:color w:val="auto"/>
              </w:rPr>
              <w:t>Business</w:t>
            </w:r>
          </w:p>
        </w:tc>
        <w:tc>
          <w:tcPr>
            <w:tcW w:w="260" w:type="dxa"/>
            <w:vAlign w:val="bottom"/>
          </w:tcPr>
          <w:p>
            <w:pPr>
              <w:spacing w:after="0"/>
              <w:rPr>
                <w:sz w:val="17"/>
                <w:szCs w:val="17"/>
                <w:color w:val="auto"/>
              </w:rPr>
            </w:pPr>
          </w:p>
        </w:tc>
        <w:tc>
          <w:tcPr>
            <w:tcW w:w="1220" w:type="dxa"/>
            <w:vAlign w:val="bottom"/>
          </w:tcPr>
          <w:p>
            <w:pPr>
              <w:jc w:val="center"/>
              <w:ind w:right="568"/>
              <w:spacing w:after="0"/>
              <w:rPr>
                <w:sz w:val="20"/>
                <w:szCs w:val="20"/>
                <w:color w:val="auto"/>
              </w:rPr>
            </w:pPr>
            <w:r>
              <w:rPr>
                <w:rFonts w:ascii="Arial" w:cs="Arial" w:eastAsia="Arial" w:hAnsi="Arial"/>
                <w:sz w:val="14"/>
                <w:szCs w:val="14"/>
                <w:b w:val="1"/>
                <w:bCs w:val="1"/>
                <w:color w:val="auto"/>
              </w:rPr>
              <w:t>Industry</w:t>
            </w:r>
          </w:p>
        </w:tc>
        <w:tc>
          <w:tcPr>
            <w:tcW w:w="700" w:type="dxa"/>
            <w:vAlign w:val="bottom"/>
          </w:tcPr>
          <w:p>
            <w:pPr>
              <w:ind w:left="20"/>
              <w:spacing w:after="0"/>
              <w:rPr>
                <w:sz w:val="20"/>
                <w:szCs w:val="20"/>
                <w:color w:val="auto"/>
              </w:rPr>
            </w:pPr>
            <w:r>
              <w:rPr>
                <w:rFonts w:ascii="Arial" w:cs="Arial" w:eastAsia="Arial" w:hAnsi="Arial"/>
                <w:sz w:val="14"/>
                <w:szCs w:val="14"/>
                <w:b w:val="1"/>
                <w:bCs w:val="1"/>
                <w:color w:val="auto"/>
                <w:w w:val="99"/>
              </w:rPr>
              <w:t>Academia</w:t>
            </w:r>
          </w:p>
        </w:tc>
        <w:tc>
          <w:tcPr>
            <w:tcW w:w="0" w:type="dxa"/>
            <w:vAlign w:val="bottom"/>
          </w:tcPr>
          <w:p>
            <w:pPr>
              <w:spacing w:after="0"/>
              <w:rPr>
                <w:sz w:val="1"/>
                <w:szCs w:val="1"/>
                <w:color w:val="auto"/>
              </w:rPr>
            </w:pPr>
          </w:p>
        </w:tc>
      </w:tr>
      <w:tr>
        <w:trPr>
          <w:trHeight w:val="438"/>
        </w:trPr>
        <w:tc>
          <w:tcPr>
            <w:tcW w:w="1340" w:type="dxa"/>
            <w:vAlign w:val="bottom"/>
          </w:tcPr>
          <w:p>
            <w:pPr>
              <w:ind w:left="480"/>
              <w:spacing w:after="0"/>
              <w:rPr>
                <w:sz w:val="20"/>
                <w:szCs w:val="20"/>
                <w:color w:val="auto"/>
              </w:rPr>
            </w:pPr>
            <w:r>
              <w:rPr>
                <w:rFonts w:ascii="Arial" w:cs="Arial" w:eastAsia="Arial" w:hAnsi="Arial"/>
                <w:sz w:val="14"/>
                <w:szCs w:val="14"/>
                <w:b w:val="1"/>
                <w:bCs w:val="1"/>
                <w:color w:val="auto"/>
              </w:rPr>
              <w:t>Government</w:t>
            </w:r>
          </w:p>
        </w:tc>
        <w:tc>
          <w:tcPr>
            <w:tcW w:w="80" w:type="dxa"/>
            <w:vAlign w:val="bottom"/>
          </w:tcPr>
          <w:p>
            <w:pPr>
              <w:spacing w:after="0"/>
              <w:rPr>
                <w:sz w:val="24"/>
                <w:szCs w:val="24"/>
                <w:color w:val="auto"/>
              </w:rPr>
            </w:pPr>
          </w:p>
        </w:tc>
        <w:tc>
          <w:tcPr>
            <w:tcW w:w="1300" w:type="dxa"/>
            <w:vAlign w:val="bottom"/>
            <w:vMerge w:val="restart"/>
          </w:tcPr>
          <w:p>
            <w:pPr>
              <w:ind w:left="600"/>
              <w:spacing w:after="0"/>
              <w:rPr>
                <w:sz w:val="20"/>
                <w:szCs w:val="20"/>
                <w:color w:val="auto"/>
              </w:rPr>
            </w:pPr>
            <w:r>
              <w:rPr>
                <w:rFonts w:ascii="Arial" w:cs="Arial" w:eastAsia="Arial" w:hAnsi="Arial"/>
                <w:sz w:val="14"/>
                <w:szCs w:val="14"/>
                <w:b w:val="1"/>
                <w:bCs w:val="1"/>
                <w:color w:val="auto"/>
              </w:rPr>
              <w:t>Sales /</w:t>
            </w:r>
          </w:p>
        </w:tc>
        <w:tc>
          <w:tcPr>
            <w:tcW w:w="1580" w:type="dxa"/>
            <w:vAlign w:val="bottom"/>
            <w:gridSpan w:val="2"/>
            <w:vMerge w:val="restart"/>
          </w:tcPr>
          <w:p>
            <w:pPr>
              <w:ind w:left="700"/>
              <w:spacing w:after="0"/>
              <w:rPr>
                <w:sz w:val="20"/>
                <w:szCs w:val="20"/>
                <w:color w:val="auto"/>
              </w:rPr>
            </w:pPr>
            <w:r>
              <w:rPr>
                <w:rFonts w:ascii="Arial" w:cs="Arial" w:eastAsia="Arial" w:hAnsi="Arial"/>
                <w:sz w:val="14"/>
                <w:szCs w:val="14"/>
                <w:b w:val="1"/>
                <w:bCs w:val="1"/>
                <w:color w:val="auto"/>
                <w:w w:val="99"/>
              </w:rPr>
              <w:t>Technology /</w:t>
            </w:r>
          </w:p>
        </w:tc>
        <w:tc>
          <w:tcPr>
            <w:tcW w:w="1920" w:type="dxa"/>
            <w:vAlign w:val="bottom"/>
            <w:gridSpan w:val="2"/>
            <w:vMerge w:val="restart"/>
          </w:tcPr>
          <w:p>
            <w:pPr>
              <w:ind w:left="620"/>
              <w:spacing w:after="0"/>
              <w:rPr>
                <w:sz w:val="20"/>
                <w:szCs w:val="20"/>
                <w:color w:val="auto"/>
              </w:rPr>
            </w:pPr>
            <w:r>
              <w:rPr>
                <w:rFonts w:ascii="Arial" w:cs="Arial" w:eastAsia="Arial" w:hAnsi="Arial"/>
                <w:sz w:val="14"/>
                <w:szCs w:val="14"/>
                <w:b w:val="1"/>
                <w:bCs w:val="1"/>
                <w:color w:val="auto"/>
              </w:rPr>
              <w:t>Operations /</w:t>
            </w:r>
          </w:p>
        </w:tc>
        <w:tc>
          <w:tcPr>
            <w:tcW w:w="0" w:type="dxa"/>
            <w:vAlign w:val="bottom"/>
          </w:tcPr>
          <w:p>
            <w:pPr>
              <w:spacing w:after="0"/>
              <w:rPr>
                <w:sz w:val="1"/>
                <w:szCs w:val="1"/>
                <w:color w:val="auto"/>
              </w:rPr>
            </w:pPr>
          </w:p>
        </w:tc>
      </w:tr>
      <w:tr>
        <w:trPr>
          <w:trHeight w:val="144"/>
        </w:trPr>
        <w:tc>
          <w:tcPr>
            <w:tcW w:w="1340" w:type="dxa"/>
            <w:vAlign w:val="bottom"/>
          </w:tcPr>
          <w:p>
            <w:pPr>
              <w:ind w:left="480"/>
              <w:spacing w:after="0" w:line="145" w:lineRule="exact"/>
              <w:rPr>
                <w:sz w:val="20"/>
                <w:szCs w:val="20"/>
                <w:color w:val="auto"/>
              </w:rPr>
            </w:pPr>
            <w:r>
              <w:rPr>
                <w:rFonts w:ascii="Arial" w:cs="Arial" w:eastAsia="Arial" w:hAnsi="Arial"/>
                <w:sz w:val="14"/>
                <w:szCs w:val="14"/>
                <w:b w:val="1"/>
                <w:bCs w:val="1"/>
                <w:color w:val="auto"/>
              </w:rPr>
              <w:t>Relations /</w:t>
            </w:r>
          </w:p>
        </w:tc>
        <w:tc>
          <w:tcPr>
            <w:tcW w:w="8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1420" w:type="dxa"/>
            <w:vAlign w:val="bottom"/>
            <w:gridSpan w:val="2"/>
          </w:tcPr>
          <w:p>
            <w:pPr>
              <w:ind w:left="480"/>
              <w:spacing w:after="0"/>
              <w:rPr>
                <w:sz w:val="20"/>
                <w:szCs w:val="20"/>
                <w:color w:val="auto"/>
              </w:rPr>
            </w:pPr>
            <w:r>
              <w:rPr>
                <w:rFonts w:ascii="Arial" w:cs="Arial" w:eastAsia="Arial" w:hAnsi="Arial"/>
                <w:sz w:val="14"/>
                <w:szCs w:val="14"/>
                <w:b w:val="1"/>
                <w:bCs w:val="1"/>
                <w:color w:val="auto"/>
              </w:rPr>
              <w:t>Public Policy</w:t>
            </w:r>
          </w:p>
        </w:tc>
        <w:tc>
          <w:tcPr>
            <w:tcW w:w="1300" w:type="dxa"/>
            <w:vAlign w:val="bottom"/>
          </w:tcPr>
          <w:p>
            <w:pPr>
              <w:ind w:left="600"/>
              <w:spacing w:after="0"/>
              <w:rPr>
                <w:sz w:val="20"/>
                <w:szCs w:val="20"/>
                <w:color w:val="auto"/>
              </w:rPr>
            </w:pPr>
            <w:r>
              <w:rPr>
                <w:rFonts w:ascii="Arial" w:cs="Arial" w:eastAsia="Arial" w:hAnsi="Arial"/>
                <w:sz w:val="14"/>
                <w:szCs w:val="14"/>
                <w:b w:val="1"/>
                <w:bCs w:val="1"/>
                <w:color w:val="auto"/>
              </w:rPr>
              <w:t>Marketing</w:t>
            </w:r>
          </w:p>
        </w:tc>
        <w:tc>
          <w:tcPr>
            <w:tcW w:w="1320" w:type="dxa"/>
            <w:vAlign w:val="bottom"/>
          </w:tcPr>
          <w:p>
            <w:pPr>
              <w:ind w:left="700"/>
              <w:spacing w:after="0"/>
              <w:rPr>
                <w:sz w:val="20"/>
                <w:szCs w:val="20"/>
                <w:color w:val="auto"/>
              </w:rPr>
            </w:pPr>
            <w:r>
              <w:rPr>
                <w:rFonts w:ascii="Arial" w:cs="Arial" w:eastAsia="Arial" w:hAnsi="Arial"/>
                <w:sz w:val="14"/>
                <w:szCs w:val="14"/>
                <w:b w:val="1"/>
                <w:bCs w:val="1"/>
                <w:color w:val="auto"/>
              </w:rPr>
              <w:t>Digital</w:t>
            </w:r>
          </w:p>
        </w:tc>
        <w:tc>
          <w:tcPr>
            <w:tcW w:w="260" w:type="dxa"/>
            <w:vAlign w:val="bottom"/>
          </w:tcPr>
          <w:p>
            <w:pPr>
              <w:spacing w:after="0"/>
              <w:rPr>
                <w:sz w:val="17"/>
                <w:szCs w:val="17"/>
                <w:color w:val="auto"/>
              </w:rPr>
            </w:pPr>
          </w:p>
        </w:tc>
        <w:tc>
          <w:tcPr>
            <w:tcW w:w="1220" w:type="dxa"/>
            <w:vAlign w:val="bottom"/>
          </w:tcPr>
          <w:p>
            <w:pPr>
              <w:ind w:left="620"/>
              <w:spacing w:after="0"/>
              <w:rPr>
                <w:sz w:val="20"/>
                <w:szCs w:val="20"/>
                <w:color w:val="auto"/>
              </w:rPr>
            </w:pPr>
            <w:r>
              <w:rPr>
                <w:rFonts w:ascii="Arial" w:cs="Arial" w:eastAsia="Arial" w:hAnsi="Arial"/>
                <w:sz w:val="14"/>
                <w:szCs w:val="14"/>
                <w:b w:val="1"/>
                <w:bCs w:val="1"/>
                <w:color w:val="auto"/>
              </w:rPr>
              <w:t>Strategy</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1029335</wp:posOffset>
            </wp:positionH>
            <wp:positionV relativeFrom="paragraph">
              <wp:posOffset>-264160</wp:posOffset>
            </wp:positionV>
            <wp:extent cx="214630" cy="21463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1989455</wp:posOffset>
            </wp:positionH>
            <wp:positionV relativeFrom="paragraph">
              <wp:posOffset>-264160</wp:posOffset>
            </wp:positionV>
            <wp:extent cx="214630" cy="21463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2863850</wp:posOffset>
            </wp:positionH>
            <wp:positionV relativeFrom="paragraph">
              <wp:posOffset>-264160</wp:posOffset>
            </wp:positionV>
            <wp:extent cx="214630" cy="21463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3823970</wp:posOffset>
            </wp:positionH>
            <wp:positionV relativeFrom="paragraph">
              <wp:posOffset>-264160</wp:posOffset>
            </wp:positionV>
            <wp:extent cx="214630" cy="21463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ectPr>
          <w:pgSz w:w="11900" w:h="16838" w:orient="portrait"/>
          <w:cols w:equalWidth="0" w:num="1">
            <w:col w:w="10119"/>
          </w:cols>
          <w:pgMar w:left="340" w:top="917" w:right="1440" w:bottom="1440" w:gutter="0" w:footer="0" w:header="0"/>
          <w:type w:val="continuous"/>
        </w:sectPr>
      </w:pPr>
    </w:p>
    <w:p>
      <w:pPr>
        <w:spacing w:after="0" w:line="200" w:lineRule="exact"/>
        <w:rPr>
          <w:sz w:val="20"/>
          <w:szCs w:val="20"/>
          <w:color w:val="auto"/>
        </w:rPr>
      </w:pPr>
    </w:p>
    <w:p>
      <w:pPr>
        <w:spacing w:after="0" w:line="315" w:lineRule="exact"/>
        <w:rPr>
          <w:sz w:val="20"/>
          <w:szCs w:val="20"/>
          <w:color w:val="auto"/>
        </w:rPr>
      </w:pPr>
    </w:p>
    <w:p>
      <w:pPr>
        <w:ind w:left="5500"/>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154940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917" w:right="1440" w:bottom="1440" w:gutter="0" w:footer="0" w:header="0"/>
          <w:type w:val="continuous"/>
        </w:sectPr>
      </w:pPr>
    </w:p>
    <w:bookmarkStart w:id="23" w:name="page24"/>
    <w:bookmarkEnd w:id="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620395</wp:posOffset>
            </wp:positionV>
            <wp:extent cx="1311275" cy="131127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clrChange>
                        <a:clrFrom>
                          <a:srgbClr val="FFFFFF"/>
                        </a:clrFrom>
                        <a:clrTo>
                          <a:srgbClr val="FFFFFF">
                            <a:alpha val="0"/>
                          </a:srgbClr>
                        </a:clrTo>
                      </a:clrChange>
                      <a:extLst>
                        <a:ext uri="{28A0092B-C50C-407E-A947-70E740481C1C}"/>
                      </a:extLst>
                    </a:blip>
                    <a:srcRect/>
                    <a:stretch>
                      <a:fillRect/>
                    </a:stretch>
                  </pic:blipFill>
                  <pic:spPr bwMode="auto">
                    <a:xfrm>
                      <a:off x="0" y="0"/>
                      <a:ext cx="1311275" cy="131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22"/>
          <w:szCs w:val="22"/>
          <w:b w:val="1"/>
          <w:bCs w:val="1"/>
          <w:color w:val="EF3729"/>
        </w:rPr>
        <w:t>Jon Moeller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114935</wp:posOffset>
            </wp:positionV>
            <wp:extent cx="143129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431290" cy="825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Age</w:t>
      </w:r>
      <w:r>
        <w:rPr>
          <w:rFonts w:ascii="Arial" w:cs="Arial" w:eastAsia="Arial" w:hAnsi="Arial"/>
          <w:sz w:val="16"/>
          <w:szCs w:val="16"/>
          <w:color w:val="auto"/>
        </w:rPr>
        <w:t>: 60</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 since</w:t>
      </w:r>
      <w:r>
        <w:rPr>
          <w:rFonts w:ascii="Arial" w:cs="Arial" w:eastAsia="Arial" w:hAnsi="Arial"/>
          <w:sz w:val="16"/>
          <w:szCs w:val="16"/>
          <w:color w:val="auto"/>
        </w:rPr>
        <w:t>: 2024</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Committees:</w:t>
      </w:r>
    </w:p>
    <w:p>
      <w:pPr>
        <w:spacing w:after="0" w:line="59" w:lineRule="exact"/>
        <w:rPr>
          <w:sz w:val="20"/>
          <w:szCs w:val="20"/>
          <w:color w:val="auto"/>
        </w:rPr>
      </w:pPr>
    </w:p>
    <w:p>
      <w:pPr>
        <w:ind w:left="16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6"/>
          <w:szCs w:val="16"/>
          <w:color w:val="auto"/>
        </w:rPr>
        <w:t>Audit</w:t>
      </w:r>
    </w:p>
    <w:p>
      <w:pPr>
        <w:spacing w:after="0" w:line="72" w:lineRule="exact"/>
        <w:rPr>
          <w:sz w:val="20"/>
          <w:szCs w:val="20"/>
          <w:color w:val="auto"/>
        </w:rPr>
      </w:pPr>
    </w:p>
    <w:p>
      <w:pPr>
        <w:ind w:left="340" w:right="100" w:hanging="168"/>
        <w:spacing w:after="0" w:line="281" w:lineRule="auto"/>
        <w:rPr>
          <w:sz w:val="20"/>
          <w:szCs w:val="20"/>
          <w:color w:val="auto"/>
        </w:rPr>
      </w:pPr>
      <w:r>
        <w:rPr>
          <w:rFonts w:ascii="Arial" w:cs="Arial" w:eastAsia="Arial" w:hAnsi="Arial"/>
          <w:sz w:val="14"/>
          <w:szCs w:val="14"/>
          <w:color w:val="auto"/>
        </w:rPr>
        <w:t xml:space="preserve">– </w:t>
      </w:r>
      <w:r>
        <w:rPr>
          <w:rFonts w:ascii="Arial" w:cs="Arial" w:eastAsia="Arial" w:hAnsi="Arial"/>
          <w:sz w:val="16"/>
          <w:szCs w:val="16"/>
          <w:color w:val="auto"/>
        </w:rPr>
        <w:t>Directors and Corporate</w:t>
      </w:r>
      <w:r>
        <w:rPr>
          <w:rFonts w:ascii="Arial" w:cs="Arial" w:eastAsia="Arial" w:hAnsi="Arial"/>
          <w:sz w:val="14"/>
          <w:szCs w:val="14"/>
          <w:color w:val="auto"/>
        </w:rPr>
        <w:t xml:space="preserve"> </w:t>
      </w:r>
      <w:r>
        <w:rPr>
          <w:rFonts w:ascii="Arial" w:cs="Arial" w:eastAsia="Arial" w:hAnsi="Arial"/>
          <w:sz w:val="16"/>
          <w:szCs w:val="16"/>
          <w:color w:val="auto"/>
        </w:rPr>
        <w:t>Governance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Public Boards:</w:t>
      </w:r>
    </w:p>
    <w:p>
      <w:pPr>
        <w:spacing w:after="0" w:line="73" w:lineRule="exact"/>
        <w:rPr>
          <w:sz w:val="20"/>
          <w:szCs w:val="20"/>
          <w:color w:val="auto"/>
        </w:rPr>
      </w:pPr>
    </w:p>
    <w:p>
      <w:pPr>
        <w:ind w:left="340" w:right="540" w:hanging="168"/>
        <w:spacing w:after="0" w:line="286" w:lineRule="auto"/>
        <w:rPr>
          <w:sz w:val="20"/>
          <w:szCs w:val="20"/>
          <w:color w:val="auto"/>
        </w:rPr>
      </w:pPr>
      <w:r>
        <w:rPr>
          <w:rFonts w:ascii="Arial" w:cs="Arial" w:eastAsia="Arial" w:hAnsi="Arial"/>
          <w:sz w:val="14"/>
          <w:szCs w:val="14"/>
          <w:color w:val="auto"/>
        </w:rPr>
        <w:t xml:space="preserve">– </w:t>
      </w:r>
      <w:r>
        <w:rPr>
          <w:rFonts w:ascii="Arial" w:cs="Arial" w:eastAsia="Arial" w:hAnsi="Arial"/>
          <w:sz w:val="16"/>
          <w:szCs w:val="16"/>
          <w:color w:val="auto"/>
        </w:rPr>
        <w:t>Procter &amp; Gamble</w:t>
      </w:r>
      <w:r>
        <w:rPr>
          <w:rFonts w:ascii="Arial" w:cs="Arial" w:eastAsia="Arial" w:hAnsi="Arial"/>
          <w:sz w:val="14"/>
          <w:szCs w:val="14"/>
          <w:color w:val="auto"/>
        </w:rPr>
        <w:t xml:space="preserve"> </w:t>
      </w:r>
      <w:r>
        <w:rPr>
          <w:rFonts w:ascii="Arial" w:cs="Arial" w:eastAsia="Arial" w:hAnsi="Arial"/>
          <w:sz w:val="16"/>
          <w:szCs w:val="16"/>
          <w:color w:val="auto"/>
        </w:rPr>
        <w:t>Company</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Prior Public Boards:</w:t>
      </w:r>
    </w:p>
    <w:p>
      <w:pPr>
        <w:spacing w:after="0" w:line="59" w:lineRule="exact"/>
        <w:rPr>
          <w:sz w:val="20"/>
          <w:szCs w:val="20"/>
          <w:color w:val="auto"/>
        </w:rPr>
      </w:pPr>
    </w:p>
    <w:p>
      <w:pPr>
        <w:ind w:left="22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6"/>
          <w:szCs w:val="16"/>
          <w:color w:val="auto"/>
        </w:rPr>
        <w:t>None</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89535</wp:posOffset>
            </wp:positionV>
            <wp:extent cx="1268730" cy="3257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68730" cy="325755"/>
                    </a:xfrm>
                    <a:prstGeom prst="rect">
                      <a:avLst/>
                    </a:prstGeom>
                    <a:noFill/>
                  </pic:spPr>
                </pic:pic>
              </a:graphicData>
            </a:graphic>
          </wp:anchor>
        </w:drawing>
        <w:drawing>
          <wp:anchor simplePos="0" relativeHeight="251657728" behindDoc="1" locked="0" layoutInCell="0" allowOverlap="1">
            <wp:simplePos x="0" y="0"/>
            <wp:positionH relativeFrom="column">
              <wp:posOffset>746760</wp:posOffset>
            </wp:positionH>
            <wp:positionV relativeFrom="paragraph">
              <wp:posOffset>4315460</wp:posOffset>
            </wp:positionV>
            <wp:extent cx="214630" cy="21463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FFFFFF"/>
        </w:rPr>
        <w:t>KEY EXPERIENCE AND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-127635</wp:posOffset>
            </wp:positionH>
            <wp:positionV relativeFrom="paragraph">
              <wp:posOffset>-144780</wp:posOffset>
            </wp:positionV>
            <wp:extent cx="4260215" cy="258889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4260215" cy="2588895"/>
                    </a:xfrm>
                    <a:prstGeom prst="rect">
                      <a:avLst/>
                    </a:prstGeom>
                    <a:noFill/>
                  </pic:spPr>
                </pic:pic>
              </a:graphicData>
            </a:graphic>
          </wp:anchor>
        </w:drawing>
      </w:r>
    </w:p>
    <w:p>
      <w:pPr>
        <w:spacing w:after="0" w:line="50" w:lineRule="exact"/>
        <w:rPr>
          <w:sz w:val="20"/>
          <w:szCs w:val="20"/>
          <w:color w:val="auto"/>
        </w:rPr>
      </w:pPr>
    </w:p>
    <w:p>
      <w:pPr>
        <w:ind w:right="1599"/>
        <w:spacing w:after="0" w:line="283" w:lineRule="auto"/>
        <w:rPr>
          <w:sz w:val="20"/>
          <w:szCs w:val="20"/>
          <w:color w:val="auto"/>
        </w:rPr>
      </w:pPr>
      <w:r>
        <w:rPr>
          <w:rFonts w:ascii="Arial" w:cs="Arial" w:eastAsia="Arial" w:hAnsi="Arial"/>
          <w:sz w:val="16"/>
          <w:szCs w:val="16"/>
          <w:i w:val="1"/>
          <w:iCs w:val="1"/>
          <w:color w:val="auto"/>
        </w:rPr>
        <w:t>Mr. Moeller brings to the board extensive leadership experience, financial acumen, strategic vision, and a commitment to high standards of corporate governance.</w:t>
      </w:r>
    </w:p>
    <w:p>
      <w:pPr>
        <w:spacing w:after="0" w:line="10" w:lineRule="exact"/>
        <w:rPr>
          <w:sz w:val="20"/>
          <w:szCs w:val="20"/>
          <w:color w:val="auto"/>
        </w:rPr>
      </w:pPr>
    </w:p>
    <w:p>
      <w:pPr>
        <w:ind w:left="640" w:right="1019" w:hanging="326"/>
        <w:spacing w:after="0" w:line="261" w:lineRule="auto"/>
        <w:tabs>
          <w:tab w:leader="none" w:pos="629" w:val="left"/>
        </w:tabs>
        <w:numPr>
          <w:ilvl w:val="0"/>
          <w:numId w:val="52"/>
        </w:numPr>
        <w:rPr>
          <w:rFonts w:ascii="Arial" w:cs="Arial" w:eastAsia="Arial" w:hAnsi="Arial"/>
          <w:sz w:val="16"/>
          <w:szCs w:val="16"/>
          <w:color w:val="auto"/>
        </w:rPr>
      </w:pPr>
      <w:r>
        <w:rPr>
          <w:rFonts w:ascii="Arial" w:cs="Arial" w:eastAsia="Arial" w:hAnsi="Arial"/>
          <w:sz w:val="16"/>
          <w:szCs w:val="16"/>
          <w:color w:val="auto"/>
        </w:rPr>
        <w:t>Mr. Moeller has served in various senior capacities at Procter &amp; Gamble (P&amp;G) over the past three decades, giving him a wealth of experience in navigating complex regulatory environments and fostering a culture of integrity. His tenure at P&amp;G has been characterized by his ability to drive growth and innovation, including a willingness to change, adapt and create new trends and embrace new technologies.</w:t>
      </w:r>
    </w:p>
    <w:p>
      <w:pPr>
        <w:spacing w:after="0" w:line="14" w:lineRule="exact"/>
        <w:rPr>
          <w:rFonts w:ascii="Arial" w:cs="Arial" w:eastAsia="Arial" w:hAnsi="Arial"/>
          <w:sz w:val="16"/>
          <w:szCs w:val="16"/>
          <w:color w:val="auto"/>
        </w:rPr>
      </w:pPr>
    </w:p>
    <w:p>
      <w:pPr>
        <w:ind w:left="640" w:right="1059" w:hanging="326"/>
        <w:spacing w:after="0" w:line="265" w:lineRule="auto"/>
        <w:tabs>
          <w:tab w:leader="none" w:pos="629" w:val="left"/>
        </w:tabs>
        <w:numPr>
          <w:ilvl w:val="0"/>
          <w:numId w:val="52"/>
        </w:numPr>
        <w:rPr>
          <w:rFonts w:ascii="Arial" w:cs="Arial" w:eastAsia="Arial" w:hAnsi="Arial"/>
          <w:sz w:val="16"/>
          <w:szCs w:val="16"/>
          <w:i w:val="1"/>
          <w:iCs w:val="1"/>
          <w:color w:val="auto"/>
        </w:rPr>
      </w:pPr>
      <w:r>
        <w:rPr>
          <w:rFonts w:ascii="Arial" w:cs="Arial" w:eastAsia="Arial" w:hAnsi="Arial"/>
          <w:sz w:val="16"/>
          <w:szCs w:val="16"/>
          <w:color w:val="auto"/>
        </w:rPr>
        <w:t>Mr. Moeller was P&amp;G’s chief financial officer for more than 12 years, leading its finance and accounting, tax, treasury, corporate strategy, business development and investor relations functions. His financial background has also equipped him with the skills to oversee complex financial operations, manage risks, and ensure fiscal responsibility.</w:t>
      </w:r>
    </w:p>
    <w:p>
      <w:pPr>
        <w:spacing w:after="0" w:line="10" w:lineRule="exact"/>
        <w:rPr>
          <w:rFonts w:ascii="Arial" w:cs="Arial" w:eastAsia="Arial" w:hAnsi="Arial"/>
          <w:sz w:val="16"/>
          <w:szCs w:val="16"/>
          <w:i w:val="1"/>
          <w:iCs w:val="1"/>
          <w:color w:val="auto"/>
        </w:rPr>
      </w:pPr>
    </w:p>
    <w:p>
      <w:pPr>
        <w:ind w:left="640" w:right="1319" w:hanging="326"/>
        <w:spacing w:after="0" w:line="265" w:lineRule="auto"/>
        <w:tabs>
          <w:tab w:leader="none" w:pos="629" w:val="left"/>
        </w:tabs>
        <w:numPr>
          <w:ilvl w:val="0"/>
          <w:numId w:val="52"/>
        </w:numPr>
        <w:rPr>
          <w:rFonts w:ascii="Arial" w:cs="Arial" w:eastAsia="Arial" w:hAnsi="Arial"/>
          <w:sz w:val="16"/>
          <w:szCs w:val="16"/>
          <w:color w:val="auto"/>
        </w:rPr>
      </w:pPr>
      <w:r>
        <w:rPr>
          <w:rFonts w:ascii="Arial" w:cs="Arial" w:eastAsia="Arial" w:hAnsi="Arial"/>
          <w:sz w:val="16"/>
          <w:szCs w:val="16"/>
          <w:color w:val="auto"/>
        </w:rPr>
        <w:t>As chief operating officer, Mr. Moeller optimized P&amp;G's operations to enhance efficiency and performance. He successfully managed the company's supply chain, manufacturing, and overall operational strategies, ensuring that they aligned with the company's goals and objectives.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00A1DE"/>
        </w:rPr>
        <w:t>CAREER HIGHLIGHTS</w:t>
      </w:r>
    </w:p>
    <w:p>
      <w:pPr>
        <w:spacing w:after="0" w:line="117" w:lineRule="exact"/>
        <w:rPr>
          <w:sz w:val="20"/>
          <w:szCs w:val="20"/>
          <w:color w:val="auto"/>
        </w:rPr>
      </w:pPr>
    </w:p>
    <w:p>
      <w:pPr>
        <w:ind w:left="640" w:hanging="325"/>
        <w:spacing w:after="0"/>
        <w:tabs>
          <w:tab w:leader="none" w:pos="64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Procter &amp; Gamble Company, </w:t>
      </w:r>
      <w:r>
        <w:rPr>
          <w:rFonts w:ascii="Arial" w:cs="Arial" w:eastAsia="Arial" w:hAnsi="Arial"/>
          <w:sz w:val="16"/>
          <w:szCs w:val="16"/>
          <w:color w:val="auto"/>
        </w:rPr>
        <w:t>a multinational consumer goods corporation</w:t>
      </w:r>
    </w:p>
    <w:p>
      <w:pPr>
        <w:spacing w:after="0" w:line="67"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6"/>
          <w:szCs w:val="16"/>
          <w:color w:val="auto"/>
        </w:rPr>
        <w:t>–   Chairman, President and Chief Executive Officer (2022 – present)</w:t>
      </w:r>
    </w:p>
    <w:p>
      <w:pPr>
        <w:spacing w:after="0" w:line="59"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6"/>
          <w:szCs w:val="16"/>
          <w:color w:val="auto"/>
        </w:rPr>
        <w:t>–   President and Chief Executive Officer (2021 - 2022)</w:t>
      </w:r>
    </w:p>
    <w:p>
      <w:pPr>
        <w:spacing w:after="0" w:line="72" w:lineRule="exact"/>
        <w:rPr>
          <w:rFonts w:ascii="Arial" w:cs="Arial" w:eastAsia="Arial" w:hAnsi="Arial"/>
          <w:sz w:val="18"/>
          <w:szCs w:val="18"/>
          <w:b w:val="1"/>
          <w:bCs w:val="1"/>
          <w:color w:val="auto"/>
        </w:rPr>
      </w:pPr>
    </w:p>
    <w:p>
      <w:pPr>
        <w:ind w:left="960" w:right="1199" w:hanging="324"/>
        <w:spacing w:after="0" w:line="286" w:lineRule="auto"/>
        <w:rPr>
          <w:rFonts w:ascii="Arial" w:cs="Arial" w:eastAsia="Arial" w:hAnsi="Arial"/>
          <w:sz w:val="18"/>
          <w:szCs w:val="18"/>
          <w:b w:val="1"/>
          <w:bCs w:val="1"/>
          <w:color w:val="auto"/>
        </w:rPr>
      </w:pPr>
      <w:r>
        <w:rPr>
          <w:rFonts w:ascii="Arial" w:cs="Arial" w:eastAsia="Arial" w:hAnsi="Arial"/>
          <w:sz w:val="16"/>
          <w:szCs w:val="16"/>
          <w:color w:val="auto"/>
        </w:rPr>
        <w:t>– Vice Chairman, Chief Financial Officer, and Chief Operating Officer (2019 - 2021)</w:t>
      </w:r>
    </w:p>
    <w:p>
      <w:pPr>
        <w:spacing w:after="0" w:line="7"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6"/>
          <w:szCs w:val="16"/>
          <w:color w:val="auto"/>
        </w:rPr>
        <w:t>–   Vice Chairman, Chief Financial Officer (2017 - 2019)</w:t>
      </w:r>
    </w:p>
    <w:p>
      <w:pPr>
        <w:spacing w:after="0" w:line="59"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6"/>
          <w:szCs w:val="16"/>
          <w:color w:val="auto"/>
        </w:rPr>
        <w:t>–   Chief Financial Officer (2009 - 2017)</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00A1DE"/>
        </w:rPr>
        <w:t>OTHER HIGHLIGHTS</w:t>
      </w:r>
    </w:p>
    <w:p>
      <w:pPr>
        <w:spacing w:after="0" w:line="122" w:lineRule="exact"/>
        <w:rPr>
          <w:sz w:val="20"/>
          <w:szCs w:val="20"/>
          <w:color w:val="auto"/>
        </w:rPr>
      </w:pPr>
    </w:p>
    <w:p>
      <w:pPr>
        <w:ind w:left="620" w:hanging="305"/>
        <w:spacing w:after="0"/>
        <w:tabs>
          <w:tab w:leader="none" w:pos="6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Director, The Business Roundtable</w:t>
      </w:r>
    </w:p>
    <w:p>
      <w:pPr>
        <w:spacing w:after="0" w:line="21" w:lineRule="exact"/>
        <w:rPr>
          <w:rFonts w:ascii="Arial" w:cs="Arial" w:eastAsia="Arial" w:hAnsi="Arial"/>
          <w:sz w:val="16"/>
          <w:szCs w:val="16"/>
          <w:color w:val="auto"/>
        </w:rPr>
      </w:pPr>
    </w:p>
    <w:p>
      <w:pPr>
        <w:ind w:left="620" w:hanging="305"/>
        <w:spacing w:after="0"/>
        <w:tabs>
          <w:tab w:leader="none" w:pos="6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Member, American Society of Corporate Executives</w:t>
      </w:r>
    </w:p>
    <w:p>
      <w:pPr>
        <w:spacing w:after="0" w:line="14" w:lineRule="exact"/>
        <w:rPr>
          <w:rFonts w:ascii="Arial" w:cs="Arial" w:eastAsia="Arial" w:hAnsi="Arial"/>
          <w:sz w:val="16"/>
          <w:szCs w:val="16"/>
          <w:color w:val="auto"/>
        </w:rPr>
      </w:pPr>
    </w:p>
    <w:p>
      <w:pPr>
        <w:ind w:left="620" w:hanging="305"/>
        <w:spacing w:after="0"/>
        <w:tabs>
          <w:tab w:leader="none" w:pos="6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Director, US China Business Counsel</w:t>
      </w:r>
    </w:p>
    <w:p>
      <w:pPr>
        <w:spacing w:after="0" w:line="8" w:lineRule="exact"/>
        <w:rPr>
          <w:rFonts w:ascii="Arial" w:cs="Arial" w:eastAsia="Arial" w:hAnsi="Arial"/>
          <w:sz w:val="16"/>
          <w:szCs w:val="16"/>
          <w:color w:val="auto"/>
        </w:rPr>
      </w:pPr>
    </w:p>
    <w:p>
      <w:pPr>
        <w:ind w:left="620" w:hanging="305"/>
        <w:spacing w:after="0"/>
        <w:tabs>
          <w:tab w:leader="none" w:pos="6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Director (Vice-Chair), Alliance to End Plastic Waste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3114040</wp:posOffset>
            </wp:positionV>
            <wp:extent cx="213995" cy="21463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13995" cy="214630"/>
                    </a:xfrm>
                    <a:prstGeom prst="rect">
                      <a:avLst/>
                    </a:prstGeom>
                    <a:noFill/>
                  </pic:spPr>
                </pic:pic>
              </a:graphicData>
            </a:graphic>
          </wp:anchor>
        </w:drawing>
        <w:drawing>
          <wp:anchor simplePos="0" relativeHeight="251657728" behindDoc="1" locked="0" layoutInCell="0" allowOverlap="1">
            <wp:simplePos x="0" y="0"/>
            <wp:positionH relativeFrom="column">
              <wp:posOffset>805815</wp:posOffset>
            </wp:positionH>
            <wp:positionV relativeFrom="paragraph">
              <wp:posOffset>3114040</wp:posOffset>
            </wp:positionV>
            <wp:extent cx="214630" cy="21463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1731645</wp:posOffset>
            </wp:positionH>
            <wp:positionV relativeFrom="paragraph">
              <wp:posOffset>3114040</wp:posOffset>
            </wp:positionV>
            <wp:extent cx="214630" cy="21463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2597785</wp:posOffset>
            </wp:positionH>
            <wp:positionV relativeFrom="paragraph">
              <wp:posOffset>3114040</wp:posOffset>
            </wp:positionV>
            <wp:extent cx="214630" cy="21463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60" w:space="460"/>
            <w:col w:w="7499"/>
          </w:cols>
          <w:pgMar w:left="340" w:top="836" w:right="1440" w:bottom="11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tbl>
      <w:tblPr>
        <w:tblLayout w:type="fixed"/>
        <w:tblInd w:w="1600" w:type="dxa"/>
        <w:tblCellMar>
          <w:top w:w="0" w:type="dxa"/>
          <w:left w:w="0" w:type="dxa"/>
          <w:bottom w:w="0" w:type="dxa"/>
          <w:right w:w="0" w:type="dxa"/>
        </w:tblCellMar>
      </w:tblPr>
      <w:tr>
        <w:trPr>
          <w:trHeight w:val="176"/>
        </w:trPr>
        <w:tc>
          <w:tcPr>
            <w:tcW w:w="1340" w:type="dxa"/>
            <w:vAlign w:val="bottom"/>
          </w:tcPr>
          <w:p>
            <w:pPr>
              <w:jc w:val="center"/>
              <w:ind w:right="488"/>
              <w:spacing w:after="0"/>
              <w:rPr>
                <w:sz w:val="20"/>
                <w:szCs w:val="20"/>
                <w:color w:val="auto"/>
              </w:rPr>
            </w:pPr>
            <w:r>
              <w:rPr>
                <w:rFonts w:ascii="Arial" w:cs="Arial" w:eastAsia="Arial" w:hAnsi="Arial"/>
                <w:sz w:val="14"/>
                <w:szCs w:val="14"/>
                <w:b w:val="1"/>
                <w:bCs w:val="1"/>
                <w:color w:val="auto"/>
                <w:w w:val="98"/>
              </w:rPr>
              <w:t>CEO</w:t>
            </w:r>
          </w:p>
        </w:tc>
        <w:tc>
          <w:tcPr>
            <w:tcW w:w="80" w:type="dxa"/>
            <w:vAlign w:val="bottom"/>
          </w:tcPr>
          <w:p>
            <w:pPr>
              <w:spacing w:after="0"/>
              <w:rPr>
                <w:sz w:val="15"/>
                <w:szCs w:val="15"/>
                <w:color w:val="auto"/>
              </w:rPr>
            </w:pPr>
          </w:p>
        </w:tc>
        <w:tc>
          <w:tcPr>
            <w:tcW w:w="1300" w:type="dxa"/>
            <w:vAlign w:val="bottom"/>
          </w:tcPr>
          <w:p>
            <w:pPr>
              <w:jc w:val="center"/>
              <w:ind w:right="528"/>
              <w:spacing w:after="0"/>
              <w:rPr>
                <w:sz w:val="20"/>
                <w:szCs w:val="20"/>
                <w:color w:val="auto"/>
              </w:rPr>
            </w:pPr>
            <w:r>
              <w:rPr>
                <w:rFonts w:ascii="Arial" w:cs="Arial" w:eastAsia="Arial" w:hAnsi="Arial"/>
                <w:sz w:val="14"/>
                <w:szCs w:val="14"/>
                <w:b w:val="1"/>
                <w:bCs w:val="1"/>
                <w:color w:val="auto"/>
              </w:rPr>
              <w:t>Finance /</w:t>
            </w:r>
          </w:p>
        </w:tc>
        <w:tc>
          <w:tcPr>
            <w:tcW w:w="1320" w:type="dxa"/>
            <w:vAlign w:val="bottom"/>
          </w:tcPr>
          <w:p>
            <w:pPr>
              <w:jc w:val="center"/>
              <w:ind w:right="308"/>
              <w:spacing w:after="0"/>
              <w:rPr>
                <w:sz w:val="20"/>
                <w:szCs w:val="20"/>
                <w:color w:val="auto"/>
              </w:rPr>
            </w:pPr>
            <w:r>
              <w:rPr>
                <w:rFonts w:ascii="Arial" w:cs="Arial" w:eastAsia="Arial" w:hAnsi="Arial"/>
                <w:sz w:val="14"/>
                <w:szCs w:val="14"/>
                <w:b w:val="1"/>
                <w:bCs w:val="1"/>
                <w:color w:val="auto"/>
              </w:rPr>
              <w:t>International</w:t>
            </w:r>
          </w:p>
        </w:tc>
        <w:tc>
          <w:tcPr>
            <w:tcW w:w="1480" w:type="dxa"/>
            <w:vAlign w:val="bottom"/>
            <w:gridSpan w:val="2"/>
          </w:tcPr>
          <w:p>
            <w:pPr>
              <w:jc w:val="center"/>
              <w:ind w:right="308"/>
              <w:spacing w:after="0"/>
              <w:rPr>
                <w:sz w:val="20"/>
                <w:szCs w:val="20"/>
                <w:color w:val="auto"/>
              </w:rPr>
            </w:pPr>
            <w:r>
              <w:rPr>
                <w:rFonts w:ascii="Arial" w:cs="Arial" w:eastAsia="Arial" w:hAnsi="Arial"/>
                <w:sz w:val="14"/>
                <w:szCs w:val="14"/>
                <w:b w:val="1"/>
                <w:bCs w:val="1"/>
                <w:color w:val="auto"/>
              </w:rPr>
              <w:t>Healthcare</w:t>
            </w:r>
          </w:p>
        </w:tc>
        <w:tc>
          <w:tcPr>
            <w:tcW w:w="700" w:type="dxa"/>
            <w:vAlign w:val="bottom"/>
          </w:tcPr>
          <w:p>
            <w:pPr>
              <w:ind w:left="20"/>
              <w:spacing w:after="0"/>
              <w:rPr>
                <w:sz w:val="20"/>
                <w:szCs w:val="20"/>
                <w:color w:val="auto"/>
              </w:rPr>
            </w:pPr>
            <w:r>
              <w:rPr>
                <w:rFonts w:ascii="Arial" w:cs="Arial" w:eastAsia="Arial" w:hAnsi="Arial"/>
                <w:sz w:val="14"/>
                <w:szCs w:val="14"/>
                <w:b w:val="1"/>
                <w:bCs w:val="1"/>
                <w:color w:val="auto"/>
              </w:rPr>
              <w:t>Science /</w:t>
            </w:r>
          </w:p>
        </w:tc>
        <w:tc>
          <w:tcPr>
            <w:tcW w:w="0" w:type="dxa"/>
            <w:vAlign w:val="bottom"/>
          </w:tcPr>
          <w:p>
            <w:pPr>
              <w:spacing w:after="0"/>
              <w:rPr>
                <w:sz w:val="1"/>
                <w:szCs w:val="1"/>
                <w:color w:val="auto"/>
              </w:rPr>
            </w:pPr>
          </w:p>
        </w:tc>
      </w:tr>
      <w:tr>
        <w:trPr>
          <w:trHeight w:val="196"/>
        </w:trPr>
        <w:tc>
          <w:tcPr>
            <w:tcW w:w="1340" w:type="dxa"/>
            <w:vAlign w:val="bottom"/>
          </w:tcPr>
          <w:p>
            <w:pPr>
              <w:jc w:val="center"/>
              <w:ind w:right="488"/>
              <w:spacing w:after="0"/>
              <w:rPr>
                <w:sz w:val="20"/>
                <w:szCs w:val="20"/>
                <w:color w:val="auto"/>
              </w:rPr>
            </w:pPr>
            <w:r>
              <w:rPr>
                <w:rFonts w:ascii="Arial" w:cs="Arial" w:eastAsia="Arial" w:hAnsi="Arial"/>
                <w:sz w:val="14"/>
                <w:szCs w:val="14"/>
                <w:b w:val="1"/>
                <w:bCs w:val="1"/>
                <w:color w:val="auto"/>
              </w:rPr>
              <w:t>Leadership</w:t>
            </w:r>
          </w:p>
        </w:tc>
        <w:tc>
          <w:tcPr>
            <w:tcW w:w="1380" w:type="dxa"/>
            <w:vAlign w:val="bottom"/>
            <w:gridSpan w:val="2"/>
          </w:tcPr>
          <w:p>
            <w:pPr>
              <w:jc w:val="center"/>
              <w:ind w:right="468"/>
              <w:spacing w:after="0"/>
              <w:rPr>
                <w:sz w:val="20"/>
                <w:szCs w:val="20"/>
                <w:color w:val="auto"/>
              </w:rPr>
            </w:pPr>
            <w:r>
              <w:rPr>
                <w:rFonts w:ascii="Arial" w:cs="Arial" w:eastAsia="Arial" w:hAnsi="Arial"/>
                <w:sz w:val="14"/>
                <w:szCs w:val="14"/>
                <w:b w:val="1"/>
                <w:bCs w:val="1"/>
                <w:color w:val="auto"/>
              </w:rPr>
              <w:t>Accounting</w:t>
            </w:r>
          </w:p>
        </w:tc>
        <w:tc>
          <w:tcPr>
            <w:tcW w:w="1320" w:type="dxa"/>
            <w:vAlign w:val="bottom"/>
          </w:tcPr>
          <w:p>
            <w:pPr>
              <w:jc w:val="center"/>
              <w:ind w:right="328"/>
              <w:spacing w:after="0"/>
              <w:rPr>
                <w:sz w:val="20"/>
                <w:szCs w:val="20"/>
                <w:color w:val="auto"/>
              </w:rPr>
            </w:pPr>
            <w:r>
              <w:rPr>
                <w:rFonts w:ascii="Arial" w:cs="Arial" w:eastAsia="Arial" w:hAnsi="Arial"/>
                <w:sz w:val="14"/>
                <w:szCs w:val="14"/>
                <w:b w:val="1"/>
                <w:bCs w:val="1"/>
                <w:color w:val="auto"/>
              </w:rPr>
              <w:t>Business</w:t>
            </w:r>
          </w:p>
        </w:tc>
        <w:tc>
          <w:tcPr>
            <w:tcW w:w="260" w:type="dxa"/>
            <w:vAlign w:val="bottom"/>
          </w:tcPr>
          <w:p>
            <w:pPr>
              <w:spacing w:after="0"/>
              <w:rPr>
                <w:sz w:val="17"/>
                <w:szCs w:val="17"/>
                <w:color w:val="auto"/>
              </w:rPr>
            </w:pPr>
          </w:p>
        </w:tc>
        <w:tc>
          <w:tcPr>
            <w:tcW w:w="1220" w:type="dxa"/>
            <w:vAlign w:val="bottom"/>
          </w:tcPr>
          <w:p>
            <w:pPr>
              <w:jc w:val="center"/>
              <w:ind w:right="568"/>
              <w:spacing w:after="0"/>
              <w:rPr>
                <w:sz w:val="20"/>
                <w:szCs w:val="20"/>
                <w:color w:val="auto"/>
              </w:rPr>
            </w:pPr>
            <w:r>
              <w:rPr>
                <w:rFonts w:ascii="Arial" w:cs="Arial" w:eastAsia="Arial" w:hAnsi="Arial"/>
                <w:sz w:val="14"/>
                <w:szCs w:val="14"/>
                <w:b w:val="1"/>
                <w:bCs w:val="1"/>
                <w:color w:val="auto"/>
              </w:rPr>
              <w:t>Industry</w:t>
            </w:r>
          </w:p>
        </w:tc>
        <w:tc>
          <w:tcPr>
            <w:tcW w:w="700" w:type="dxa"/>
            <w:vAlign w:val="bottom"/>
          </w:tcPr>
          <w:p>
            <w:pPr>
              <w:ind w:left="20"/>
              <w:spacing w:after="0"/>
              <w:rPr>
                <w:sz w:val="20"/>
                <w:szCs w:val="20"/>
                <w:color w:val="auto"/>
              </w:rPr>
            </w:pPr>
            <w:r>
              <w:rPr>
                <w:rFonts w:ascii="Arial" w:cs="Arial" w:eastAsia="Arial" w:hAnsi="Arial"/>
                <w:sz w:val="14"/>
                <w:szCs w:val="14"/>
                <w:b w:val="1"/>
                <w:bCs w:val="1"/>
                <w:color w:val="auto"/>
                <w:w w:val="99"/>
              </w:rPr>
              <w:t>Academia</w:t>
            </w:r>
          </w:p>
        </w:tc>
        <w:tc>
          <w:tcPr>
            <w:tcW w:w="0" w:type="dxa"/>
            <w:vAlign w:val="bottom"/>
          </w:tcPr>
          <w:p>
            <w:pPr>
              <w:spacing w:after="0"/>
              <w:rPr>
                <w:sz w:val="1"/>
                <w:szCs w:val="1"/>
                <w:color w:val="auto"/>
              </w:rPr>
            </w:pPr>
          </w:p>
        </w:tc>
      </w:tr>
      <w:tr>
        <w:trPr>
          <w:trHeight w:val="434"/>
        </w:trPr>
        <w:tc>
          <w:tcPr>
            <w:tcW w:w="1340" w:type="dxa"/>
            <w:vAlign w:val="bottom"/>
          </w:tcPr>
          <w:p>
            <w:pPr>
              <w:ind w:left="480"/>
              <w:spacing w:after="0"/>
              <w:rPr>
                <w:sz w:val="20"/>
                <w:szCs w:val="20"/>
                <w:color w:val="auto"/>
              </w:rPr>
            </w:pPr>
            <w:r>
              <w:rPr>
                <w:rFonts w:ascii="Arial" w:cs="Arial" w:eastAsia="Arial" w:hAnsi="Arial"/>
                <w:sz w:val="14"/>
                <w:szCs w:val="14"/>
                <w:b w:val="1"/>
                <w:bCs w:val="1"/>
                <w:color w:val="auto"/>
              </w:rPr>
              <w:t>Government</w:t>
            </w:r>
          </w:p>
        </w:tc>
        <w:tc>
          <w:tcPr>
            <w:tcW w:w="80" w:type="dxa"/>
            <w:vAlign w:val="bottom"/>
          </w:tcPr>
          <w:p>
            <w:pPr>
              <w:spacing w:after="0"/>
              <w:rPr>
                <w:sz w:val="24"/>
                <w:szCs w:val="24"/>
                <w:color w:val="auto"/>
              </w:rPr>
            </w:pPr>
          </w:p>
        </w:tc>
        <w:tc>
          <w:tcPr>
            <w:tcW w:w="1300" w:type="dxa"/>
            <w:vAlign w:val="bottom"/>
            <w:vMerge w:val="restart"/>
          </w:tcPr>
          <w:p>
            <w:pPr>
              <w:ind w:left="600"/>
              <w:spacing w:after="0"/>
              <w:rPr>
                <w:sz w:val="20"/>
                <w:szCs w:val="20"/>
                <w:color w:val="auto"/>
              </w:rPr>
            </w:pPr>
            <w:r>
              <w:rPr>
                <w:rFonts w:ascii="Arial" w:cs="Arial" w:eastAsia="Arial" w:hAnsi="Arial"/>
                <w:sz w:val="14"/>
                <w:szCs w:val="14"/>
                <w:b w:val="1"/>
                <w:bCs w:val="1"/>
                <w:color w:val="auto"/>
              </w:rPr>
              <w:t>Sales /</w:t>
            </w:r>
          </w:p>
        </w:tc>
        <w:tc>
          <w:tcPr>
            <w:tcW w:w="1580" w:type="dxa"/>
            <w:vAlign w:val="bottom"/>
            <w:gridSpan w:val="2"/>
            <w:vMerge w:val="restart"/>
          </w:tcPr>
          <w:p>
            <w:pPr>
              <w:ind w:left="700"/>
              <w:spacing w:after="0"/>
              <w:rPr>
                <w:sz w:val="20"/>
                <w:szCs w:val="20"/>
                <w:color w:val="auto"/>
              </w:rPr>
            </w:pPr>
            <w:r>
              <w:rPr>
                <w:rFonts w:ascii="Arial" w:cs="Arial" w:eastAsia="Arial" w:hAnsi="Arial"/>
                <w:sz w:val="14"/>
                <w:szCs w:val="14"/>
                <w:b w:val="1"/>
                <w:bCs w:val="1"/>
                <w:color w:val="auto"/>
                <w:w w:val="99"/>
              </w:rPr>
              <w:t>Technology /</w:t>
            </w:r>
          </w:p>
        </w:tc>
        <w:tc>
          <w:tcPr>
            <w:tcW w:w="1920" w:type="dxa"/>
            <w:vAlign w:val="bottom"/>
            <w:gridSpan w:val="2"/>
            <w:vMerge w:val="restart"/>
          </w:tcPr>
          <w:p>
            <w:pPr>
              <w:ind w:left="620"/>
              <w:spacing w:after="0"/>
              <w:rPr>
                <w:sz w:val="20"/>
                <w:szCs w:val="20"/>
                <w:color w:val="auto"/>
              </w:rPr>
            </w:pPr>
            <w:r>
              <w:rPr>
                <w:rFonts w:ascii="Arial" w:cs="Arial" w:eastAsia="Arial" w:hAnsi="Arial"/>
                <w:sz w:val="14"/>
                <w:szCs w:val="14"/>
                <w:b w:val="1"/>
                <w:bCs w:val="1"/>
                <w:color w:val="auto"/>
              </w:rPr>
              <w:t>Operations /</w:t>
            </w:r>
          </w:p>
        </w:tc>
        <w:tc>
          <w:tcPr>
            <w:tcW w:w="0" w:type="dxa"/>
            <w:vAlign w:val="bottom"/>
          </w:tcPr>
          <w:p>
            <w:pPr>
              <w:spacing w:after="0"/>
              <w:rPr>
                <w:sz w:val="1"/>
                <w:szCs w:val="1"/>
                <w:color w:val="auto"/>
              </w:rPr>
            </w:pPr>
          </w:p>
        </w:tc>
      </w:tr>
      <w:tr>
        <w:trPr>
          <w:trHeight w:val="135"/>
        </w:trPr>
        <w:tc>
          <w:tcPr>
            <w:tcW w:w="1340" w:type="dxa"/>
            <w:vAlign w:val="bottom"/>
          </w:tcPr>
          <w:p>
            <w:pPr>
              <w:ind w:left="480"/>
              <w:spacing w:after="0" w:line="135" w:lineRule="exact"/>
              <w:rPr>
                <w:sz w:val="20"/>
                <w:szCs w:val="20"/>
                <w:color w:val="auto"/>
              </w:rPr>
            </w:pPr>
            <w:r>
              <w:rPr>
                <w:rFonts w:ascii="Arial" w:cs="Arial" w:eastAsia="Arial" w:hAnsi="Arial"/>
                <w:sz w:val="14"/>
                <w:szCs w:val="14"/>
                <w:b w:val="1"/>
                <w:bCs w:val="1"/>
                <w:color w:val="auto"/>
              </w:rPr>
              <w:t>Relations /</w:t>
            </w:r>
          </w:p>
        </w:tc>
        <w:tc>
          <w:tcPr>
            <w:tcW w:w="80" w:type="dxa"/>
            <w:vAlign w:val="bottom"/>
          </w:tcPr>
          <w:p>
            <w:pPr>
              <w:spacing w:after="0"/>
              <w:rPr>
                <w:sz w:val="11"/>
                <w:szCs w:val="11"/>
                <w:color w:val="auto"/>
              </w:rPr>
            </w:pPr>
          </w:p>
        </w:tc>
        <w:tc>
          <w:tcPr>
            <w:tcW w:w="1300" w:type="dxa"/>
            <w:vAlign w:val="bottom"/>
            <w:vMerge w:val="continue"/>
          </w:tcPr>
          <w:p>
            <w:pPr>
              <w:spacing w:after="0"/>
              <w:rPr>
                <w:sz w:val="11"/>
                <w:szCs w:val="11"/>
                <w:color w:val="auto"/>
              </w:rPr>
            </w:pPr>
          </w:p>
        </w:tc>
        <w:tc>
          <w:tcPr>
            <w:tcW w:w="1580" w:type="dxa"/>
            <w:vAlign w:val="bottom"/>
            <w:gridSpan w:val="2"/>
            <w:vMerge w:val="continue"/>
          </w:tcPr>
          <w:p>
            <w:pPr>
              <w:spacing w:after="0"/>
              <w:rPr>
                <w:sz w:val="11"/>
                <w:szCs w:val="11"/>
                <w:color w:val="auto"/>
              </w:rPr>
            </w:pPr>
          </w:p>
        </w:tc>
        <w:tc>
          <w:tcPr>
            <w:tcW w:w="19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1420" w:type="dxa"/>
            <w:vAlign w:val="bottom"/>
            <w:gridSpan w:val="2"/>
          </w:tcPr>
          <w:p>
            <w:pPr>
              <w:ind w:left="480"/>
              <w:spacing w:after="0"/>
              <w:rPr>
                <w:sz w:val="20"/>
                <w:szCs w:val="20"/>
                <w:color w:val="auto"/>
              </w:rPr>
            </w:pPr>
            <w:r>
              <w:rPr>
                <w:rFonts w:ascii="Arial" w:cs="Arial" w:eastAsia="Arial" w:hAnsi="Arial"/>
                <w:sz w:val="14"/>
                <w:szCs w:val="14"/>
                <w:b w:val="1"/>
                <w:bCs w:val="1"/>
                <w:color w:val="auto"/>
              </w:rPr>
              <w:t>Public Policy</w:t>
            </w:r>
          </w:p>
        </w:tc>
        <w:tc>
          <w:tcPr>
            <w:tcW w:w="1300" w:type="dxa"/>
            <w:vAlign w:val="bottom"/>
          </w:tcPr>
          <w:p>
            <w:pPr>
              <w:ind w:left="600"/>
              <w:spacing w:after="0"/>
              <w:rPr>
                <w:sz w:val="20"/>
                <w:szCs w:val="20"/>
                <w:color w:val="auto"/>
              </w:rPr>
            </w:pPr>
            <w:r>
              <w:rPr>
                <w:rFonts w:ascii="Arial" w:cs="Arial" w:eastAsia="Arial" w:hAnsi="Arial"/>
                <w:sz w:val="14"/>
                <w:szCs w:val="14"/>
                <w:b w:val="1"/>
                <w:bCs w:val="1"/>
                <w:color w:val="auto"/>
              </w:rPr>
              <w:t>Marketing</w:t>
            </w:r>
          </w:p>
        </w:tc>
        <w:tc>
          <w:tcPr>
            <w:tcW w:w="1320" w:type="dxa"/>
            <w:vAlign w:val="bottom"/>
          </w:tcPr>
          <w:p>
            <w:pPr>
              <w:ind w:left="700"/>
              <w:spacing w:after="0"/>
              <w:rPr>
                <w:sz w:val="20"/>
                <w:szCs w:val="20"/>
                <w:color w:val="auto"/>
              </w:rPr>
            </w:pPr>
            <w:r>
              <w:rPr>
                <w:rFonts w:ascii="Arial" w:cs="Arial" w:eastAsia="Arial" w:hAnsi="Arial"/>
                <w:sz w:val="14"/>
                <w:szCs w:val="14"/>
                <w:b w:val="1"/>
                <w:bCs w:val="1"/>
                <w:color w:val="auto"/>
              </w:rPr>
              <w:t>Digital</w:t>
            </w:r>
          </w:p>
        </w:tc>
        <w:tc>
          <w:tcPr>
            <w:tcW w:w="260" w:type="dxa"/>
            <w:vAlign w:val="bottom"/>
          </w:tcPr>
          <w:p>
            <w:pPr>
              <w:spacing w:after="0"/>
              <w:rPr>
                <w:sz w:val="17"/>
                <w:szCs w:val="17"/>
                <w:color w:val="auto"/>
              </w:rPr>
            </w:pPr>
          </w:p>
        </w:tc>
        <w:tc>
          <w:tcPr>
            <w:tcW w:w="1220" w:type="dxa"/>
            <w:vAlign w:val="bottom"/>
          </w:tcPr>
          <w:p>
            <w:pPr>
              <w:ind w:left="620"/>
              <w:spacing w:after="0"/>
              <w:rPr>
                <w:sz w:val="20"/>
                <w:szCs w:val="20"/>
                <w:color w:val="auto"/>
              </w:rPr>
            </w:pPr>
            <w:r>
              <w:rPr>
                <w:rFonts w:ascii="Arial" w:cs="Arial" w:eastAsia="Arial" w:hAnsi="Arial"/>
                <w:sz w:val="14"/>
                <w:szCs w:val="14"/>
                <w:b w:val="1"/>
                <w:bCs w:val="1"/>
                <w:color w:val="auto"/>
              </w:rPr>
              <w:t>Strategy</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1029335</wp:posOffset>
            </wp:positionH>
            <wp:positionV relativeFrom="paragraph">
              <wp:posOffset>-255270</wp:posOffset>
            </wp:positionV>
            <wp:extent cx="214630" cy="21399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14630" cy="213995"/>
                    </a:xfrm>
                    <a:prstGeom prst="rect">
                      <a:avLst/>
                    </a:prstGeom>
                    <a:noFill/>
                  </pic:spPr>
                </pic:pic>
              </a:graphicData>
            </a:graphic>
          </wp:anchor>
        </w:drawing>
        <w:drawing>
          <wp:anchor simplePos="0" relativeHeight="251657728" behindDoc="1" locked="0" layoutInCell="0" allowOverlap="1">
            <wp:simplePos x="0" y="0"/>
            <wp:positionH relativeFrom="column">
              <wp:posOffset>1989455</wp:posOffset>
            </wp:positionH>
            <wp:positionV relativeFrom="paragraph">
              <wp:posOffset>-255270</wp:posOffset>
            </wp:positionV>
            <wp:extent cx="214630" cy="21399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14630" cy="213995"/>
                    </a:xfrm>
                    <a:prstGeom prst="rect">
                      <a:avLst/>
                    </a:prstGeom>
                    <a:noFill/>
                  </pic:spPr>
                </pic:pic>
              </a:graphicData>
            </a:graphic>
          </wp:anchor>
        </w:drawing>
        <w:drawing>
          <wp:anchor simplePos="0" relativeHeight="251657728" behindDoc="1" locked="0" layoutInCell="0" allowOverlap="1">
            <wp:simplePos x="0" y="0"/>
            <wp:positionH relativeFrom="column">
              <wp:posOffset>2863850</wp:posOffset>
            </wp:positionH>
            <wp:positionV relativeFrom="paragraph">
              <wp:posOffset>-255270</wp:posOffset>
            </wp:positionV>
            <wp:extent cx="214630" cy="21399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14630" cy="213995"/>
                    </a:xfrm>
                    <a:prstGeom prst="rect">
                      <a:avLst/>
                    </a:prstGeom>
                    <a:noFill/>
                  </pic:spPr>
                </pic:pic>
              </a:graphicData>
            </a:graphic>
          </wp:anchor>
        </w:drawing>
        <w:drawing>
          <wp:anchor simplePos="0" relativeHeight="251657728" behindDoc="1" locked="0" layoutInCell="0" allowOverlap="1">
            <wp:simplePos x="0" y="0"/>
            <wp:positionH relativeFrom="column">
              <wp:posOffset>3823970</wp:posOffset>
            </wp:positionH>
            <wp:positionV relativeFrom="paragraph">
              <wp:posOffset>-255270</wp:posOffset>
            </wp:positionV>
            <wp:extent cx="214630" cy="21399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14630" cy="213995"/>
                    </a:xfrm>
                    <a:prstGeom prst="rect">
                      <a:avLst/>
                    </a:prstGeom>
                    <a:noFill/>
                  </pic:spPr>
                </pic:pic>
              </a:graphicData>
            </a:graphic>
          </wp:anchor>
        </w:drawing>
      </w:r>
    </w:p>
    <w:p>
      <w:pPr>
        <w:sectPr>
          <w:pgSz w:w="11900" w:h="16838" w:orient="portrait"/>
          <w:cols w:equalWidth="0" w:num="1">
            <w:col w:w="10119"/>
          </w:cols>
          <w:pgMar w:left="340" w:top="836" w:right="1440" w:bottom="1102" w:gutter="0" w:footer="0" w:header="0"/>
          <w:type w:val="continuous"/>
        </w:sectPr>
      </w:pPr>
    </w:p>
    <w:p>
      <w:pPr>
        <w:spacing w:after="0" w:line="200" w:lineRule="exact"/>
        <w:rPr>
          <w:sz w:val="20"/>
          <w:szCs w:val="20"/>
          <w:color w:val="auto"/>
        </w:rPr>
      </w:pPr>
    </w:p>
    <w:p>
      <w:pPr>
        <w:spacing w:after="0" w:line="315" w:lineRule="exact"/>
        <w:rPr>
          <w:sz w:val="20"/>
          <w:szCs w:val="20"/>
          <w:color w:val="auto"/>
        </w:rPr>
      </w:pPr>
    </w:p>
    <w:p>
      <w:pPr>
        <w:ind w:left="5500"/>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154940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836" w:right="1440" w:bottom="1102" w:gutter="0" w:footer="0" w:header="0"/>
          <w:type w:val="continuous"/>
        </w:sectPr>
      </w:pPr>
    </w:p>
    <w:bookmarkStart w:id="24" w:name="page25"/>
    <w:bookmarkEnd w:id="24"/>
    <w:p>
      <w:pPr>
        <w:spacing w:after="0"/>
        <w:rPr>
          <w:sz w:val="20"/>
          <w:szCs w:val="20"/>
          <w:color w:val="auto"/>
        </w:rPr>
      </w:pPr>
      <w:r>
        <w:rPr>
          <w:rFonts w:ascii="Arial" w:cs="Arial" w:eastAsia="Arial" w:hAnsi="Arial"/>
          <w:sz w:val="20"/>
          <w:szCs w:val="20"/>
          <w:b w:val="1"/>
          <w:bCs w:val="1"/>
          <w:color w:val="D52B1E"/>
        </w:rPr>
        <w:t>Class of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143510</wp:posOffset>
            </wp:positionV>
            <wp:extent cx="1311275" cy="131127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311275" cy="131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20" w:right="260"/>
        <w:spacing w:after="0" w:line="247" w:lineRule="auto"/>
        <w:rPr>
          <w:sz w:val="20"/>
          <w:szCs w:val="20"/>
          <w:color w:val="auto"/>
        </w:rPr>
      </w:pPr>
      <w:r>
        <w:rPr>
          <w:rFonts w:ascii="Arial" w:cs="Arial" w:eastAsia="Arial" w:hAnsi="Arial"/>
          <w:sz w:val="22"/>
          <w:szCs w:val="22"/>
          <w:b w:val="1"/>
          <w:bCs w:val="1"/>
          <w:color w:val="EF3729"/>
        </w:rPr>
        <w:t>Katherine Baicker,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143129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431290" cy="8255"/>
                    </a:xfrm>
                    <a:prstGeom prst="rect">
                      <a:avLst/>
                    </a:prstGeom>
                    <a:noFill/>
                  </pic:spPr>
                </pic:pic>
              </a:graphicData>
            </a:graphic>
          </wp:anchor>
        </w:drawing>
      </w:r>
    </w:p>
    <w:p>
      <w:pPr>
        <w:spacing w:after="0" w:line="20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53</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2011</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Board Committees:</w:t>
      </w:r>
    </w:p>
    <w:p>
      <w:pPr>
        <w:spacing w:after="0" w:line="73" w:lineRule="exact"/>
        <w:rPr>
          <w:sz w:val="20"/>
          <w:szCs w:val="20"/>
          <w:color w:val="auto"/>
        </w:rPr>
      </w:pPr>
    </w:p>
    <w:p>
      <w:pPr>
        <w:ind w:left="360" w:right="180" w:hanging="162"/>
        <w:spacing w:after="0" w:line="286" w:lineRule="auto"/>
        <w:rPr>
          <w:sz w:val="20"/>
          <w:szCs w:val="20"/>
          <w:color w:val="auto"/>
        </w:rPr>
      </w:pPr>
      <w:r>
        <w:rPr>
          <w:rFonts w:ascii="Arial" w:cs="Arial" w:eastAsia="Arial" w:hAnsi="Arial"/>
          <w:sz w:val="16"/>
          <w:szCs w:val="16"/>
          <w:color w:val="auto"/>
        </w:rPr>
        <w:t>– Ethics and Compliance (Chair)</w:t>
      </w:r>
    </w:p>
    <w:p>
      <w:pPr>
        <w:spacing w:after="0" w:line="7" w:lineRule="exact"/>
        <w:rPr>
          <w:sz w:val="20"/>
          <w:szCs w:val="20"/>
          <w:color w:val="auto"/>
        </w:rPr>
      </w:pPr>
    </w:p>
    <w:p>
      <w:pPr>
        <w:ind w:left="180"/>
        <w:spacing w:after="0"/>
        <w:rPr>
          <w:sz w:val="20"/>
          <w:szCs w:val="20"/>
          <w:color w:val="auto"/>
        </w:rPr>
      </w:pPr>
      <w:r>
        <w:rPr>
          <w:rFonts w:ascii="Arial" w:cs="Arial" w:eastAsia="Arial" w:hAnsi="Arial"/>
          <w:sz w:val="16"/>
          <w:szCs w:val="16"/>
          <w:color w:val="auto"/>
        </w:rPr>
        <w:t>– Science and Technology</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Other Public Boards:</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 None</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Recent Prior Public Boards:</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 HMS Holdings Corp.</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Key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46355</wp:posOffset>
            </wp:positionV>
            <wp:extent cx="925830" cy="30861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925830" cy="308610"/>
                    </a:xfrm>
                    <a:prstGeom prst="rect">
                      <a:avLst/>
                    </a:prstGeom>
                    <a:noFill/>
                  </pic:spPr>
                </pic:pic>
              </a:graphicData>
            </a:graphic>
          </wp:anchor>
        </w:drawing>
        <w:drawing>
          <wp:anchor simplePos="0" relativeHeight="251657728" behindDoc="1" locked="0" layoutInCell="0" allowOverlap="1">
            <wp:simplePos x="0" y="0"/>
            <wp:positionH relativeFrom="column">
              <wp:posOffset>759460</wp:posOffset>
            </wp:positionH>
            <wp:positionV relativeFrom="paragraph">
              <wp:posOffset>3972560</wp:posOffset>
            </wp:positionV>
            <wp:extent cx="214630" cy="21463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FFFFFF"/>
        </w:rPr>
        <w:t>KEY EXPERIENCE AND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-127635</wp:posOffset>
            </wp:positionH>
            <wp:positionV relativeFrom="paragraph">
              <wp:posOffset>-135890</wp:posOffset>
            </wp:positionV>
            <wp:extent cx="4260215" cy="26314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4260215" cy="2631440"/>
                    </a:xfrm>
                    <a:prstGeom prst="rect">
                      <a:avLst/>
                    </a:prstGeom>
                    <a:noFill/>
                  </pic:spPr>
                </pic:pic>
              </a:graphicData>
            </a:graphic>
          </wp:anchor>
        </w:drawing>
      </w:r>
    </w:p>
    <w:p>
      <w:pPr>
        <w:spacing w:after="0" w:line="36" w:lineRule="exact"/>
        <w:rPr>
          <w:sz w:val="20"/>
          <w:szCs w:val="20"/>
          <w:color w:val="auto"/>
        </w:rPr>
      </w:pPr>
    </w:p>
    <w:p>
      <w:pPr>
        <w:ind w:right="1039"/>
        <w:spacing w:after="0" w:line="265" w:lineRule="auto"/>
        <w:rPr>
          <w:sz w:val="20"/>
          <w:szCs w:val="20"/>
          <w:color w:val="auto"/>
        </w:rPr>
      </w:pPr>
      <w:r>
        <w:rPr>
          <w:rFonts w:ascii="Arial" w:cs="Arial" w:eastAsia="Arial" w:hAnsi="Arial"/>
          <w:sz w:val="16"/>
          <w:szCs w:val="16"/>
          <w:i w:val="1"/>
          <w:iCs w:val="1"/>
          <w:color w:val="auto"/>
        </w:rPr>
        <w:t>Dr. Baicker’s experience in health economics research and policy at the highest levels, including as a former economic advisor to the White House and a current health advisor to the Congressional Budget Office, provides an invaluable perspective to the board.</w:t>
      </w:r>
    </w:p>
    <w:p>
      <w:pPr>
        <w:spacing w:after="0" w:line="23" w:lineRule="exact"/>
        <w:rPr>
          <w:sz w:val="20"/>
          <w:szCs w:val="20"/>
          <w:color w:val="auto"/>
        </w:rPr>
      </w:pPr>
    </w:p>
    <w:p>
      <w:pPr>
        <w:ind w:left="640" w:right="1259" w:hanging="325"/>
        <w:spacing w:after="0" w:line="275" w:lineRule="auto"/>
        <w:tabs>
          <w:tab w:leader="none" w:pos="629" w:val="left"/>
        </w:tabs>
        <w:numPr>
          <w:ilvl w:val="0"/>
          <w:numId w:val="57"/>
        </w:numPr>
        <w:rPr>
          <w:rFonts w:ascii="Arial" w:cs="Arial" w:eastAsia="Arial" w:hAnsi="Arial"/>
          <w:sz w:val="16"/>
          <w:szCs w:val="16"/>
          <w:color w:val="auto"/>
        </w:rPr>
      </w:pPr>
      <w:r>
        <w:rPr>
          <w:rFonts w:ascii="Arial" w:cs="Arial" w:eastAsia="Arial" w:hAnsi="Arial"/>
          <w:sz w:val="16"/>
          <w:szCs w:val="16"/>
          <w:color w:val="auto"/>
        </w:rPr>
        <w:t>In addition to Dr. Baicker’s own high-impact research, her leadership of a preeminent research and educational institution gives her both insight into and influence over the future of health policy.</w:t>
      </w:r>
    </w:p>
    <w:p>
      <w:pPr>
        <w:spacing w:after="0" w:line="2" w:lineRule="exact"/>
        <w:rPr>
          <w:rFonts w:ascii="Arial" w:cs="Arial" w:eastAsia="Arial" w:hAnsi="Arial"/>
          <w:sz w:val="16"/>
          <w:szCs w:val="16"/>
          <w:color w:val="auto"/>
        </w:rPr>
      </w:pPr>
    </w:p>
    <w:p>
      <w:pPr>
        <w:ind w:left="640" w:right="1079" w:hanging="325"/>
        <w:spacing w:after="0" w:line="265" w:lineRule="auto"/>
        <w:tabs>
          <w:tab w:leader="none" w:pos="629"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Through Dr. Baicker’s decades of research and policy engagement, including with respect to the effects of health system reforms of public and private insurance coverage and payment policy, she brings to the board insight and context as it oversees the company’s navigation of the complex environment of government regulation, insurance reimbursement, and access to affordable care.</w:t>
      </w:r>
    </w:p>
    <w:p>
      <w:pPr>
        <w:spacing w:after="0" w:line="10" w:lineRule="exact"/>
        <w:rPr>
          <w:rFonts w:ascii="Arial" w:cs="Arial" w:eastAsia="Arial" w:hAnsi="Arial"/>
          <w:sz w:val="16"/>
          <w:szCs w:val="16"/>
          <w:color w:val="auto"/>
        </w:rPr>
      </w:pPr>
    </w:p>
    <w:p>
      <w:pPr>
        <w:ind w:left="640" w:right="1119" w:hanging="325"/>
        <w:spacing w:after="0" w:line="265" w:lineRule="auto"/>
        <w:tabs>
          <w:tab w:leader="none" w:pos="629" w:val="left"/>
        </w:tabs>
        <w:numPr>
          <w:ilvl w:val="0"/>
          <w:numId w:val="57"/>
        </w:numPr>
        <w:rPr>
          <w:rFonts w:ascii="Arial" w:cs="Arial" w:eastAsia="Arial" w:hAnsi="Arial"/>
          <w:sz w:val="16"/>
          <w:szCs w:val="16"/>
          <w:color w:val="auto"/>
        </w:rPr>
      </w:pPr>
      <w:r>
        <w:rPr>
          <w:rFonts w:ascii="Arial" w:cs="Arial" w:eastAsia="Arial" w:hAnsi="Arial"/>
          <w:sz w:val="16"/>
          <w:szCs w:val="16"/>
          <w:color w:val="auto"/>
        </w:rPr>
        <w:t>Drawing on Dr. Baicker’s experience as an advisor to both the executive and legislative branches of the U.S. government, state governments, and numerous healthcare-related commissions and committees provides a keen understanding of government perspectives in our highly regulated industry.</w:t>
      </w:r>
    </w:p>
    <w:p>
      <w:pPr>
        <w:spacing w:after="0" w:line="10" w:lineRule="exact"/>
        <w:rPr>
          <w:rFonts w:ascii="Arial" w:cs="Arial" w:eastAsia="Arial" w:hAnsi="Arial"/>
          <w:sz w:val="16"/>
          <w:szCs w:val="16"/>
          <w:color w:val="auto"/>
        </w:rPr>
      </w:pPr>
    </w:p>
    <w:p>
      <w:pPr>
        <w:ind w:left="640" w:right="1099" w:hanging="325"/>
        <w:spacing w:after="0" w:line="275" w:lineRule="auto"/>
        <w:tabs>
          <w:tab w:leader="none" w:pos="629" w:val="left"/>
        </w:tabs>
        <w:numPr>
          <w:ilvl w:val="0"/>
          <w:numId w:val="57"/>
        </w:numPr>
        <w:rPr>
          <w:rFonts w:ascii="Arial" w:cs="Arial" w:eastAsia="Arial" w:hAnsi="Arial"/>
          <w:sz w:val="16"/>
          <w:szCs w:val="16"/>
          <w:color w:val="auto"/>
        </w:rPr>
      </w:pPr>
      <w:r>
        <w:rPr>
          <w:rFonts w:ascii="Arial" w:cs="Arial" w:eastAsia="Arial" w:hAnsi="Arial"/>
          <w:sz w:val="16"/>
          <w:szCs w:val="16"/>
          <w:color w:val="auto"/>
        </w:rPr>
        <w:t>Dr. Baicker, with extensive involvement with medical and health system research organizations, adds valuable input on the research and development landscape within the pharmaceutical industry.</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00A1DE"/>
        </w:rPr>
        <w:t>CAREER HIGHLIGHTS</w:t>
      </w:r>
    </w:p>
    <w:p>
      <w:pPr>
        <w:spacing w:after="0" w:line="40" w:lineRule="exact"/>
        <w:rPr>
          <w:sz w:val="20"/>
          <w:szCs w:val="20"/>
          <w:color w:val="auto"/>
        </w:rPr>
      </w:pPr>
    </w:p>
    <w:p>
      <w:pPr>
        <w:ind w:left="620" w:hanging="305"/>
        <w:spacing w:after="0"/>
        <w:tabs>
          <w:tab w:leader="none" w:pos="620" w:val="left"/>
        </w:tabs>
        <w:numPr>
          <w:ilvl w:val="0"/>
          <w:numId w:val="58"/>
        </w:numPr>
        <w:rPr>
          <w:rFonts w:ascii="Arial" w:cs="Arial" w:eastAsia="Arial" w:hAnsi="Arial"/>
          <w:sz w:val="16"/>
          <w:szCs w:val="16"/>
          <w:color w:val="auto"/>
        </w:rPr>
      </w:pPr>
      <w:r>
        <w:rPr>
          <w:rFonts w:ascii="Arial" w:cs="Arial" w:eastAsia="Arial" w:hAnsi="Arial"/>
          <w:sz w:val="18"/>
          <w:szCs w:val="18"/>
          <w:b w:val="1"/>
          <w:bCs w:val="1"/>
          <w:color w:val="auto"/>
        </w:rPr>
        <w:t>University of Chicago</w:t>
      </w:r>
    </w:p>
    <w:p>
      <w:pPr>
        <w:spacing w:after="0" w:line="36"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6"/>
          <w:szCs w:val="16"/>
          <w:color w:val="auto"/>
        </w:rPr>
        <w:t>–   Provost (2023 - present)</w:t>
      </w:r>
    </w:p>
    <w:p>
      <w:pPr>
        <w:spacing w:after="0" w:line="45"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6"/>
          <w:szCs w:val="16"/>
          <w:color w:val="auto"/>
        </w:rPr>
        <w:t>–   Emmett Dedmon Professor, Harris School of Public Policy (2017 - present)</w:t>
      </w:r>
    </w:p>
    <w:p>
      <w:pPr>
        <w:spacing w:after="0" w:line="45"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6"/>
          <w:szCs w:val="16"/>
          <w:color w:val="auto"/>
        </w:rPr>
        <w:t>–   Dean of the Harris School of Public Policy (2017 - 2023)</w:t>
      </w:r>
    </w:p>
    <w:p>
      <w:pPr>
        <w:spacing w:after="0" w:line="54" w:lineRule="exact"/>
        <w:rPr>
          <w:rFonts w:ascii="Arial" w:cs="Arial" w:eastAsia="Arial" w:hAnsi="Arial"/>
          <w:sz w:val="16"/>
          <w:szCs w:val="16"/>
          <w:color w:val="auto"/>
        </w:rPr>
      </w:pPr>
    </w:p>
    <w:p>
      <w:pPr>
        <w:ind w:left="620" w:hanging="305"/>
        <w:spacing w:after="0"/>
        <w:tabs>
          <w:tab w:leader="none" w:pos="620" w:val="left"/>
        </w:tabs>
        <w:numPr>
          <w:ilvl w:val="0"/>
          <w:numId w:val="58"/>
        </w:numPr>
        <w:rPr>
          <w:rFonts w:ascii="Arial" w:cs="Arial" w:eastAsia="Arial" w:hAnsi="Arial"/>
          <w:sz w:val="16"/>
          <w:szCs w:val="16"/>
          <w:color w:val="auto"/>
        </w:rPr>
      </w:pPr>
      <w:r>
        <w:rPr>
          <w:rFonts w:ascii="Arial" w:cs="Arial" w:eastAsia="Arial" w:hAnsi="Arial"/>
          <w:sz w:val="18"/>
          <w:szCs w:val="18"/>
          <w:b w:val="1"/>
          <w:bCs w:val="1"/>
          <w:color w:val="auto"/>
        </w:rPr>
        <w:t>Harvard University</w:t>
      </w:r>
    </w:p>
    <w:p>
      <w:pPr>
        <w:spacing w:after="0" w:line="67"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4"/>
          <w:szCs w:val="14"/>
          <w:color w:val="auto"/>
        </w:rPr>
        <w:t xml:space="preserve">–   </w:t>
      </w:r>
      <w:r>
        <w:rPr>
          <w:rFonts w:ascii="Arial" w:cs="Arial" w:eastAsia="Arial" w:hAnsi="Arial"/>
          <w:sz w:val="16"/>
          <w:szCs w:val="16"/>
          <w:color w:val="auto"/>
        </w:rPr>
        <w:t>C. Boyden Gray Professor of Health Economics (2014 - 2017)</w:t>
      </w:r>
    </w:p>
    <w:p>
      <w:pPr>
        <w:spacing w:after="0" w:line="32"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4"/>
          <w:szCs w:val="14"/>
          <w:color w:val="auto"/>
        </w:rPr>
        <w:t xml:space="preserve">–   </w:t>
      </w:r>
      <w:r>
        <w:rPr>
          <w:rFonts w:ascii="Arial" w:cs="Arial" w:eastAsia="Arial" w:hAnsi="Arial"/>
          <w:sz w:val="16"/>
          <w:szCs w:val="16"/>
          <w:color w:val="auto"/>
        </w:rPr>
        <w:t>Department of Health Policy and Management, chair (2014 - 2016)</w:t>
      </w:r>
    </w:p>
    <w:p>
      <w:pPr>
        <w:spacing w:after="0" w:line="45"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4"/>
          <w:szCs w:val="14"/>
          <w:color w:val="auto"/>
        </w:rPr>
        <w:t xml:space="preserve">–   </w:t>
      </w:r>
      <w:r>
        <w:rPr>
          <w:rFonts w:ascii="Arial" w:cs="Arial" w:eastAsia="Arial" w:hAnsi="Arial"/>
          <w:sz w:val="16"/>
          <w:szCs w:val="16"/>
          <w:color w:val="auto"/>
        </w:rPr>
        <w:t>Harvard T.H. Chan School of Public Health (primary)</w:t>
      </w:r>
    </w:p>
    <w:p>
      <w:pPr>
        <w:spacing w:after="0" w:line="45"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4"/>
          <w:szCs w:val="14"/>
          <w:color w:val="auto"/>
        </w:rPr>
        <w:t xml:space="preserve">–   </w:t>
      </w:r>
      <w:r>
        <w:rPr>
          <w:rFonts w:ascii="Arial" w:cs="Arial" w:eastAsia="Arial" w:hAnsi="Arial"/>
          <w:sz w:val="16"/>
          <w:szCs w:val="16"/>
          <w:color w:val="auto"/>
        </w:rPr>
        <w:t>Harvard Kennedy School of Government (secondary</w:t>
      </w:r>
      <w:r>
        <w:rPr>
          <w:rFonts w:ascii="Arial" w:cs="Arial" w:eastAsia="Arial" w:hAnsi="Arial"/>
          <w:sz w:val="14"/>
          <w:szCs w:val="14"/>
          <w:color w:val="auto"/>
        </w:rPr>
        <w:t>)</w:t>
      </w:r>
    </w:p>
    <w:p>
      <w:pPr>
        <w:spacing w:after="0" w:line="54" w:lineRule="exact"/>
        <w:rPr>
          <w:rFonts w:ascii="Arial" w:cs="Arial" w:eastAsia="Arial" w:hAnsi="Arial"/>
          <w:sz w:val="16"/>
          <w:szCs w:val="16"/>
          <w:color w:val="auto"/>
        </w:rPr>
      </w:pPr>
    </w:p>
    <w:p>
      <w:pPr>
        <w:ind w:left="620" w:hanging="305"/>
        <w:spacing w:after="0"/>
        <w:tabs>
          <w:tab w:leader="none" w:pos="620" w:val="left"/>
        </w:tabs>
        <w:numPr>
          <w:ilvl w:val="0"/>
          <w:numId w:val="58"/>
        </w:numPr>
        <w:rPr>
          <w:rFonts w:ascii="Arial" w:cs="Arial" w:eastAsia="Arial" w:hAnsi="Arial"/>
          <w:sz w:val="16"/>
          <w:szCs w:val="16"/>
          <w:color w:val="auto"/>
        </w:rPr>
      </w:pPr>
      <w:r>
        <w:rPr>
          <w:rFonts w:ascii="Arial" w:cs="Arial" w:eastAsia="Arial" w:hAnsi="Arial"/>
          <w:sz w:val="18"/>
          <w:szCs w:val="18"/>
          <w:b w:val="1"/>
          <w:bCs w:val="1"/>
          <w:color w:val="auto"/>
        </w:rPr>
        <w:t>National Bureau of Economic Research</w:t>
      </w:r>
    </w:p>
    <w:p>
      <w:pPr>
        <w:spacing w:after="0" w:line="40" w:lineRule="exact"/>
        <w:rPr>
          <w:rFonts w:ascii="Arial" w:cs="Arial" w:eastAsia="Arial" w:hAnsi="Arial"/>
          <w:sz w:val="16"/>
          <w:szCs w:val="16"/>
          <w:color w:val="auto"/>
        </w:rPr>
      </w:pPr>
    </w:p>
    <w:p>
      <w:pPr>
        <w:ind w:left="980" w:right="1179" w:hanging="324"/>
        <w:spacing w:after="0" w:line="245" w:lineRule="auto"/>
        <w:rPr>
          <w:rFonts w:ascii="Arial" w:cs="Arial" w:eastAsia="Arial" w:hAnsi="Arial"/>
          <w:sz w:val="16"/>
          <w:szCs w:val="16"/>
          <w:color w:val="auto"/>
        </w:rPr>
      </w:pPr>
      <w:r>
        <w:rPr>
          <w:rFonts w:ascii="Arial" w:cs="Arial" w:eastAsia="Arial" w:hAnsi="Arial"/>
          <w:sz w:val="14"/>
          <w:szCs w:val="14"/>
          <w:color w:val="auto"/>
        </w:rPr>
        <w:t xml:space="preserve">– </w:t>
      </w:r>
      <w:r>
        <w:rPr>
          <w:rFonts w:ascii="Arial" w:cs="Arial" w:eastAsia="Arial" w:hAnsi="Arial"/>
          <w:sz w:val="16"/>
          <w:szCs w:val="16"/>
          <w:color w:val="auto"/>
        </w:rPr>
        <w:t>Research Associate, Health Care and Public Economics Programs (2007 -</w:t>
      </w:r>
      <w:r>
        <w:rPr>
          <w:rFonts w:ascii="Arial" w:cs="Arial" w:eastAsia="Arial" w:hAnsi="Arial"/>
          <w:sz w:val="14"/>
          <w:szCs w:val="14"/>
          <w:color w:val="auto"/>
        </w:rPr>
        <w:t xml:space="preserve"> </w:t>
      </w:r>
      <w:r>
        <w:rPr>
          <w:rFonts w:ascii="Arial" w:cs="Arial" w:eastAsia="Arial" w:hAnsi="Arial"/>
          <w:sz w:val="16"/>
          <w:szCs w:val="16"/>
          <w:color w:val="auto"/>
        </w:rPr>
        <w:t>present)</w:t>
      </w:r>
    </w:p>
    <w:p>
      <w:pPr>
        <w:ind w:left="620" w:hanging="305"/>
        <w:spacing w:after="0"/>
        <w:tabs>
          <w:tab w:leader="none" w:pos="620" w:val="left"/>
        </w:tabs>
        <w:numPr>
          <w:ilvl w:val="0"/>
          <w:numId w:val="58"/>
        </w:numPr>
        <w:rPr>
          <w:rFonts w:ascii="Arial" w:cs="Arial" w:eastAsia="Arial" w:hAnsi="Arial"/>
          <w:sz w:val="16"/>
          <w:szCs w:val="16"/>
          <w:color w:val="auto"/>
        </w:rPr>
      </w:pPr>
      <w:r>
        <w:rPr>
          <w:rFonts w:ascii="Arial" w:cs="Arial" w:eastAsia="Arial" w:hAnsi="Arial"/>
          <w:sz w:val="18"/>
          <w:szCs w:val="18"/>
          <w:b w:val="1"/>
          <w:bCs w:val="1"/>
          <w:color w:val="auto"/>
        </w:rPr>
        <w:t>Council of Economic Advisers, Executive Office of the President</w:t>
      </w:r>
    </w:p>
    <w:p>
      <w:pPr>
        <w:spacing w:after="0" w:line="50"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4"/>
          <w:szCs w:val="14"/>
          <w:color w:val="auto"/>
        </w:rPr>
        <w:t xml:space="preserve">–   </w:t>
      </w:r>
      <w:r>
        <w:rPr>
          <w:rFonts w:ascii="Arial" w:cs="Arial" w:eastAsia="Arial" w:hAnsi="Arial"/>
          <w:sz w:val="16"/>
          <w:szCs w:val="16"/>
          <w:color w:val="auto"/>
        </w:rPr>
        <w:t>Member, confirmed by U.S. Senate (2005 - 2007)</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00A1DE"/>
        </w:rPr>
        <w:t>OTHER HIGHLIGHTS</w:t>
      </w:r>
    </w:p>
    <w:p>
      <w:pPr>
        <w:spacing w:after="0" w:line="54" w:lineRule="exact"/>
        <w:rPr>
          <w:sz w:val="20"/>
          <w:szCs w:val="20"/>
          <w:color w:val="auto"/>
        </w:rPr>
      </w:pPr>
    </w:p>
    <w:p>
      <w:pPr>
        <w:ind w:left="620" w:hanging="305"/>
        <w:spacing w:after="0"/>
        <w:tabs>
          <w:tab w:leader="none" w:pos="620" w:val="left"/>
        </w:tabs>
        <w:numPr>
          <w:ilvl w:val="0"/>
          <w:numId w:val="59"/>
        </w:numPr>
        <w:rPr>
          <w:rFonts w:ascii="Arial" w:cs="Arial" w:eastAsia="Arial" w:hAnsi="Arial"/>
          <w:sz w:val="16"/>
          <w:szCs w:val="16"/>
          <w:color w:val="auto"/>
        </w:rPr>
      </w:pPr>
      <w:r>
        <w:rPr>
          <w:rFonts w:ascii="Arial" w:cs="Arial" w:eastAsia="Arial" w:hAnsi="Arial"/>
          <w:sz w:val="16"/>
          <w:szCs w:val="16"/>
          <w:color w:val="auto"/>
        </w:rPr>
        <w:t>Panel of Health Advisers to the Congressional Budget Office</w:t>
      </w:r>
    </w:p>
    <w:p>
      <w:pPr>
        <w:spacing w:after="0" w:line="45" w:lineRule="exact"/>
        <w:rPr>
          <w:rFonts w:ascii="Arial" w:cs="Arial" w:eastAsia="Arial" w:hAnsi="Arial"/>
          <w:sz w:val="16"/>
          <w:szCs w:val="16"/>
          <w:color w:val="auto"/>
        </w:rPr>
      </w:pPr>
    </w:p>
    <w:p>
      <w:pPr>
        <w:ind w:left="620" w:hanging="305"/>
        <w:spacing w:after="0"/>
        <w:tabs>
          <w:tab w:leader="none" w:pos="620" w:val="left"/>
        </w:tabs>
        <w:numPr>
          <w:ilvl w:val="0"/>
          <w:numId w:val="59"/>
        </w:numPr>
        <w:rPr>
          <w:rFonts w:ascii="Arial" w:cs="Arial" w:eastAsia="Arial" w:hAnsi="Arial"/>
          <w:sz w:val="16"/>
          <w:szCs w:val="16"/>
          <w:color w:val="auto"/>
        </w:rPr>
      </w:pPr>
      <w:r>
        <w:rPr>
          <w:rFonts w:ascii="Arial" w:cs="Arial" w:eastAsia="Arial" w:hAnsi="Arial"/>
          <w:sz w:val="16"/>
          <w:szCs w:val="16"/>
          <w:color w:val="auto"/>
        </w:rPr>
        <w:t>Advisory Board, the National Institute for Health Care Management</w:t>
      </w:r>
    </w:p>
    <w:p>
      <w:pPr>
        <w:spacing w:after="0" w:line="32" w:lineRule="exact"/>
        <w:rPr>
          <w:rFonts w:ascii="Arial" w:cs="Arial" w:eastAsia="Arial" w:hAnsi="Arial"/>
          <w:sz w:val="16"/>
          <w:szCs w:val="16"/>
          <w:color w:val="auto"/>
        </w:rPr>
      </w:pPr>
    </w:p>
    <w:p>
      <w:pPr>
        <w:ind w:left="620" w:hanging="305"/>
        <w:spacing w:after="0"/>
        <w:tabs>
          <w:tab w:leader="none" w:pos="620" w:val="left"/>
        </w:tabs>
        <w:numPr>
          <w:ilvl w:val="0"/>
          <w:numId w:val="59"/>
        </w:numPr>
        <w:rPr>
          <w:rFonts w:ascii="Arial" w:cs="Arial" w:eastAsia="Arial" w:hAnsi="Arial"/>
          <w:sz w:val="16"/>
          <w:szCs w:val="16"/>
          <w:color w:val="auto"/>
        </w:rPr>
      </w:pPr>
      <w:r>
        <w:rPr>
          <w:rFonts w:ascii="Arial" w:cs="Arial" w:eastAsia="Arial" w:hAnsi="Arial"/>
          <w:sz w:val="16"/>
          <w:szCs w:val="16"/>
          <w:color w:val="auto"/>
        </w:rPr>
        <w:t>Editorial Board of Health Affairs, JAMA Health Forum</w:t>
      </w:r>
    </w:p>
    <w:p>
      <w:pPr>
        <w:spacing w:after="0" w:line="45" w:lineRule="exact"/>
        <w:rPr>
          <w:rFonts w:ascii="Arial" w:cs="Arial" w:eastAsia="Arial" w:hAnsi="Arial"/>
          <w:sz w:val="16"/>
          <w:szCs w:val="16"/>
          <w:color w:val="auto"/>
        </w:rPr>
      </w:pPr>
    </w:p>
    <w:p>
      <w:pPr>
        <w:ind w:left="620" w:hanging="305"/>
        <w:spacing w:after="0"/>
        <w:tabs>
          <w:tab w:leader="none" w:pos="62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Trustee, the Mayo Clinic</w:t>
      </w:r>
    </w:p>
    <w:p>
      <w:pPr>
        <w:spacing w:after="0" w:line="45" w:lineRule="exact"/>
        <w:rPr>
          <w:rFonts w:ascii="Arial" w:cs="Arial" w:eastAsia="Arial" w:hAnsi="Arial"/>
          <w:sz w:val="16"/>
          <w:szCs w:val="16"/>
          <w:color w:val="auto"/>
        </w:rPr>
      </w:pPr>
    </w:p>
    <w:p>
      <w:pPr>
        <w:ind w:left="640" w:right="1119" w:hanging="325"/>
        <w:spacing w:after="0" w:line="310" w:lineRule="auto"/>
        <w:tabs>
          <w:tab w:leader="none" w:pos="629" w:val="left"/>
        </w:tabs>
        <w:numPr>
          <w:ilvl w:val="0"/>
          <w:numId w:val="59"/>
        </w:numPr>
        <w:rPr>
          <w:rFonts w:ascii="Arial" w:cs="Arial" w:eastAsia="Arial" w:hAnsi="Arial"/>
          <w:sz w:val="16"/>
          <w:szCs w:val="16"/>
          <w:color w:val="auto"/>
        </w:rPr>
      </w:pPr>
      <w:r>
        <w:rPr>
          <w:rFonts w:ascii="Arial" w:cs="Arial" w:eastAsia="Arial" w:hAnsi="Arial"/>
          <w:sz w:val="16"/>
          <w:szCs w:val="16"/>
          <w:color w:val="auto"/>
        </w:rPr>
        <w:t>Member, the National Academy of Medicine; the National Academy of Social Insurance; the Council on Foreign Relations; and the American Academy of Arts and Sciences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1313815</wp:posOffset>
            </wp:positionV>
            <wp:extent cx="213995" cy="21463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13995" cy="214630"/>
                    </a:xfrm>
                    <a:prstGeom prst="rect">
                      <a:avLst/>
                    </a:prstGeom>
                    <a:noFill/>
                  </pic:spPr>
                </pic:pic>
              </a:graphicData>
            </a:graphic>
          </wp:anchor>
        </w:drawing>
        <w:drawing>
          <wp:anchor simplePos="0" relativeHeight="251657728" behindDoc="1" locked="0" layoutInCell="0" allowOverlap="1">
            <wp:simplePos x="0" y="0"/>
            <wp:positionH relativeFrom="column">
              <wp:posOffset>805815</wp:posOffset>
            </wp:positionH>
            <wp:positionV relativeFrom="paragraph">
              <wp:posOffset>1313815</wp:posOffset>
            </wp:positionV>
            <wp:extent cx="214630" cy="21463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1731645</wp:posOffset>
            </wp:positionH>
            <wp:positionV relativeFrom="paragraph">
              <wp:posOffset>1313815</wp:posOffset>
            </wp:positionV>
            <wp:extent cx="214630" cy="21463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2597785</wp:posOffset>
            </wp:positionH>
            <wp:positionV relativeFrom="paragraph">
              <wp:posOffset>1313815</wp:posOffset>
            </wp:positionV>
            <wp:extent cx="214630" cy="21463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80" w:space="460"/>
            <w:col w:w="7499"/>
          </w:cols>
          <w:pgMar w:left="320" w:top="98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1620" w:type="dxa"/>
        <w:tblCellMar>
          <w:top w:w="0" w:type="dxa"/>
          <w:left w:w="0" w:type="dxa"/>
          <w:bottom w:w="0" w:type="dxa"/>
          <w:right w:w="0" w:type="dxa"/>
        </w:tblCellMar>
      </w:tblPr>
      <w:tr>
        <w:trPr>
          <w:trHeight w:val="175"/>
        </w:trPr>
        <w:tc>
          <w:tcPr>
            <w:tcW w:w="1340" w:type="dxa"/>
            <w:vAlign w:val="bottom"/>
          </w:tcPr>
          <w:p>
            <w:pPr>
              <w:jc w:val="center"/>
              <w:ind w:right="488"/>
              <w:spacing w:after="0"/>
              <w:rPr>
                <w:sz w:val="20"/>
                <w:szCs w:val="20"/>
                <w:color w:val="auto"/>
              </w:rPr>
            </w:pPr>
            <w:r>
              <w:rPr>
                <w:rFonts w:ascii="Arial" w:cs="Arial" w:eastAsia="Arial" w:hAnsi="Arial"/>
                <w:sz w:val="14"/>
                <w:szCs w:val="14"/>
                <w:b w:val="1"/>
                <w:bCs w:val="1"/>
                <w:color w:val="auto"/>
                <w:w w:val="98"/>
              </w:rPr>
              <w:t>CEO</w:t>
            </w:r>
          </w:p>
        </w:tc>
        <w:tc>
          <w:tcPr>
            <w:tcW w:w="80" w:type="dxa"/>
            <w:vAlign w:val="bottom"/>
          </w:tcPr>
          <w:p>
            <w:pPr>
              <w:spacing w:after="0"/>
              <w:rPr>
                <w:sz w:val="15"/>
                <w:szCs w:val="15"/>
                <w:color w:val="auto"/>
              </w:rPr>
            </w:pPr>
          </w:p>
        </w:tc>
        <w:tc>
          <w:tcPr>
            <w:tcW w:w="1300" w:type="dxa"/>
            <w:vAlign w:val="bottom"/>
          </w:tcPr>
          <w:p>
            <w:pPr>
              <w:jc w:val="center"/>
              <w:ind w:right="528"/>
              <w:spacing w:after="0"/>
              <w:rPr>
                <w:sz w:val="20"/>
                <w:szCs w:val="20"/>
                <w:color w:val="auto"/>
              </w:rPr>
            </w:pPr>
            <w:r>
              <w:rPr>
                <w:rFonts w:ascii="Arial" w:cs="Arial" w:eastAsia="Arial" w:hAnsi="Arial"/>
                <w:sz w:val="14"/>
                <w:szCs w:val="14"/>
                <w:b w:val="1"/>
                <w:bCs w:val="1"/>
                <w:color w:val="auto"/>
              </w:rPr>
              <w:t>Finance /</w:t>
            </w:r>
          </w:p>
        </w:tc>
        <w:tc>
          <w:tcPr>
            <w:tcW w:w="1320" w:type="dxa"/>
            <w:vAlign w:val="bottom"/>
          </w:tcPr>
          <w:p>
            <w:pPr>
              <w:jc w:val="center"/>
              <w:ind w:right="308"/>
              <w:spacing w:after="0"/>
              <w:rPr>
                <w:sz w:val="20"/>
                <w:szCs w:val="20"/>
                <w:color w:val="auto"/>
              </w:rPr>
            </w:pPr>
            <w:r>
              <w:rPr>
                <w:rFonts w:ascii="Arial" w:cs="Arial" w:eastAsia="Arial" w:hAnsi="Arial"/>
                <w:sz w:val="14"/>
                <w:szCs w:val="14"/>
                <w:b w:val="1"/>
                <w:bCs w:val="1"/>
                <w:color w:val="auto"/>
              </w:rPr>
              <w:t>International</w:t>
            </w:r>
          </w:p>
        </w:tc>
        <w:tc>
          <w:tcPr>
            <w:tcW w:w="1480" w:type="dxa"/>
            <w:vAlign w:val="bottom"/>
            <w:gridSpan w:val="2"/>
          </w:tcPr>
          <w:p>
            <w:pPr>
              <w:jc w:val="center"/>
              <w:ind w:right="308"/>
              <w:spacing w:after="0"/>
              <w:rPr>
                <w:sz w:val="20"/>
                <w:szCs w:val="20"/>
                <w:color w:val="auto"/>
              </w:rPr>
            </w:pPr>
            <w:r>
              <w:rPr>
                <w:rFonts w:ascii="Arial" w:cs="Arial" w:eastAsia="Arial" w:hAnsi="Arial"/>
                <w:sz w:val="14"/>
                <w:szCs w:val="14"/>
                <w:b w:val="1"/>
                <w:bCs w:val="1"/>
                <w:color w:val="auto"/>
              </w:rPr>
              <w:t>Healthcare</w:t>
            </w:r>
          </w:p>
        </w:tc>
        <w:tc>
          <w:tcPr>
            <w:tcW w:w="700" w:type="dxa"/>
            <w:vAlign w:val="bottom"/>
          </w:tcPr>
          <w:p>
            <w:pPr>
              <w:ind w:left="20"/>
              <w:spacing w:after="0"/>
              <w:rPr>
                <w:sz w:val="20"/>
                <w:szCs w:val="20"/>
                <w:color w:val="auto"/>
              </w:rPr>
            </w:pPr>
            <w:r>
              <w:rPr>
                <w:rFonts w:ascii="Arial" w:cs="Arial" w:eastAsia="Arial" w:hAnsi="Arial"/>
                <w:sz w:val="14"/>
                <w:szCs w:val="14"/>
                <w:b w:val="1"/>
                <w:bCs w:val="1"/>
                <w:color w:val="auto"/>
              </w:rPr>
              <w:t>Science /</w:t>
            </w:r>
          </w:p>
        </w:tc>
        <w:tc>
          <w:tcPr>
            <w:tcW w:w="0" w:type="dxa"/>
            <w:vAlign w:val="bottom"/>
          </w:tcPr>
          <w:p>
            <w:pPr>
              <w:spacing w:after="0"/>
              <w:rPr>
                <w:sz w:val="1"/>
                <w:szCs w:val="1"/>
                <w:color w:val="auto"/>
              </w:rPr>
            </w:pPr>
          </w:p>
        </w:tc>
      </w:tr>
      <w:tr>
        <w:trPr>
          <w:trHeight w:val="196"/>
        </w:trPr>
        <w:tc>
          <w:tcPr>
            <w:tcW w:w="1340" w:type="dxa"/>
            <w:vAlign w:val="bottom"/>
          </w:tcPr>
          <w:p>
            <w:pPr>
              <w:jc w:val="center"/>
              <w:ind w:right="488"/>
              <w:spacing w:after="0"/>
              <w:rPr>
                <w:sz w:val="20"/>
                <w:szCs w:val="20"/>
                <w:color w:val="auto"/>
              </w:rPr>
            </w:pPr>
            <w:r>
              <w:rPr>
                <w:rFonts w:ascii="Arial" w:cs="Arial" w:eastAsia="Arial" w:hAnsi="Arial"/>
                <w:sz w:val="14"/>
                <w:szCs w:val="14"/>
                <w:b w:val="1"/>
                <w:bCs w:val="1"/>
                <w:color w:val="auto"/>
              </w:rPr>
              <w:t>Leadership</w:t>
            </w:r>
          </w:p>
        </w:tc>
        <w:tc>
          <w:tcPr>
            <w:tcW w:w="1380" w:type="dxa"/>
            <w:vAlign w:val="bottom"/>
            <w:gridSpan w:val="2"/>
          </w:tcPr>
          <w:p>
            <w:pPr>
              <w:jc w:val="center"/>
              <w:ind w:right="468"/>
              <w:spacing w:after="0"/>
              <w:rPr>
                <w:sz w:val="20"/>
                <w:szCs w:val="20"/>
                <w:color w:val="auto"/>
              </w:rPr>
            </w:pPr>
            <w:r>
              <w:rPr>
                <w:rFonts w:ascii="Arial" w:cs="Arial" w:eastAsia="Arial" w:hAnsi="Arial"/>
                <w:sz w:val="14"/>
                <w:szCs w:val="14"/>
                <w:b w:val="1"/>
                <w:bCs w:val="1"/>
                <w:color w:val="auto"/>
              </w:rPr>
              <w:t>Accounting</w:t>
            </w:r>
          </w:p>
        </w:tc>
        <w:tc>
          <w:tcPr>
            <w:tcW w:w="1320" w:type="dxa"/>
            <w:vAlign w:val="bottom"/>
          </w:tcPr>
          <w:p>
            <w:pPr>
              <w:jc w:val="center"/>
              <w:ind w:right="328"/>
              <w:spacing w:after="0"/>
              <w:rPr>
                <w:sz w:val="20"/>
                <w:szCs w:val="20"/>
                <w:color w:val="auto"/>
              </w:rPr>
            </w:pPr>
            <w:r>
              <w:rPr>
                <w:rFonts w:ascii="Arial" w:cs="Arial" w:eastAsia="Arial" w:hAnsi="Arial"/>
                <w:sz w:val="14"/>
                <w:szCs w:val="14"/>
                <w:b w:val="1"/>
                <w:bCs w:val="1"/>
                <w:color w:val="auto"/>
              </w:rPr>
              <w:t>Business</w:t>
            </w:r>
          </w:p>
        </w:tc>
        <w:tc>
          <w:tcPr>
            <w:tcW w:w="260" w:type="dxa"/>
            <w:vAlign w:val="bottom"/>
          </w:tcPr>
          <w:p>
            <w:pPr>
              <w:spacing w:after="0"/>
              <w:rPr>
                <w:sz w:val="17"/>
                <w:szCs w:val="17"/>
                <w:color w:val="auto"/>
              </w:rPr>
            </w:pPr>
          </w:p>
        </w:tc>
        <w:tc>
          <w:tcPr>
            <w:tcW w:w="1220" w:type="dxa"/>
            <w:vAlign w:val="bottom"/>
          </w:tcPr>
          <w:p>
            <w:pPr>
              <w:jc w:val="center"/>
              <w:ind w:right="568"/>
              <w:spacing w:after="0"/>
              <w:rPr>
                <w:sz w:val="20"/>
                <w:szCs w:val="20"/>
                <w:color w:val="auto"/>
              </w:rPr>
            </w:pPr>
            <w:r>
              <w:rPr>
                <w:rFonts w:ascii="Arial" w:cs="Arial" w:eastAsia="Arial" w:hAnsi="Arial"/>
                <w:sz w:val="14"/>
                <w:szCs w:val="14"/>
                <w:b w:val="1"/>
                <w:bCs w:val="1"/>
                <w:color w:val="auto"/>
              </w:rPr>
              <w:t>Industry</w:t>
            </w:r>
          </w:p>
        </w:tc>
        <w:tc>
          <w:tcPr>
            <w:tcW w:w="700" w:type="dxa"/>
            <w:vAlign w:val="bottom"/>
          </w:tcPr>
          <w:p>
            <w:pPr>
              <w:ind w:left="20"/>
              <w:spacing w:after="0"/>
              <w:rPr>
                <w:sz w:val="20"/>
                <w:szCs w:val="20"/>
                <w:color w:val="auto"/>
              </w:rPr>
            </w:pPr>
            <w:r>
              <w:rPr>
                <w:rFonts w:ascii="Arial" w:cs="Arial" w:eastAsia="Arial" w:hAnsi="Arial"/>
                <w:sz w:val="14"/>
                <w:szCs w:val="14"/>
                <w:b w:val="1"/>
                <w:bCs w:val="1"/>
                <w:color w:val="auto"/>
                <w:w w:val="99"/>
              </w:rPr>
              <w:t>Academia</w:t>
            </w:r>
          </w:p>
        </w:tc>
        <w:tc>
          <w:tcPr>
            <w:tcW w:w="0" w:type="dxa"/>
            <w:vAlign w:val="bottom"/>
          </w:tcPr>
          <w:p>
            <w:pPr>
              <w:spacing w:after="0"/>
              <w:rPr>
                <w:sz w:val="1"/>
                <w:szCs w:val="1"/>
                <w:color w:val="auto"/>
              </w:rPr>
            </w:pPr>
          </w:p>
        </w:tc>
      </w:tr>
      <w:tr>
        <w:trPr>
          <w:trHeight w:val="438"/>
        </w:trPr>
        <w:tc>
          <w:tcPr>
            <w:tcW w:w="1340" w:type="dxa"/>
            <w:vAlign w:val="bottom"/>
          </w:tcPr>
          <w:p>
            <w:pPr>
              <w:ind w:left="480"/>
              <w:spacing w:after="0"/>
              <w:rPr>
                <w:sz w:val="20"/>
                <w:szCs w:val="20"/>
                <w:color w:val="auto"/>
              </w:rPr>
            </w:pPr>
            <w:r>
              <w:rPr>
                <w:rFonts w:ascii="Arial" w:cs="Arial" w:eastAsia="Arial" w:hAnsi="Arial"/>
                <w:sz w:val="14"/>
                <w:szCs w:val="14"/>
                <w:b w:val="1"/>
                <w:bCs w:val="1"/>
                <w:color w:val="auto"/>
              </w:rPr>
              <w:t>Government</w:t>
            </w:r>
          </w:p>
        </w:tc>
        <w:tc>
          <w:tcPr>
            <w:tcW w:w="80" w:type="dxa"/>
            <w:vAlign w:val="bottom"/>
          </w:tcPr>
          <w:p>
            <w:pPr>
              <w:spacing w:after="0"/>
              <w:rPr>
                <w:sz w:val="24"/>
                <w:szCs w:val="24"/>
                <w:color w:val="auto"/>
              </w:rPr>
            </w:pPr>
          </w:p>
        </w:tc>
        <w:tc>
          <w:tcPr>
            <w:tcW w:w="1300" w:type="dxa"/>
            <w:vAlign w:val="bottom"/>
            <w:vMerge w:val="restart"/>
          </w:tcPr>
          <w:p>
            <w:pPr>
              <w:ind w:left="600"/>
              <w:spacing w:after="0"/>
              <w:rPr>
                <w:sz w:val="20"/>
                <w:szCs w:val="20"/>
                <w:color w:val="auto"/>
              </w:rPr>
            </w:pPr>
            <w:r>
              <w:rPr>
                <w:rFonts w:ascii="Arial" w:cs="Arial" w:eastAsia="Arial" w:hAnsi="Arial"/>
                <w:sz w:val="14"/>
                <w:szCs w:val="14"/>
                <w:b w:val="1"/>
                <w:bCs w:val="1"/>
                <w:color w:val="auto"/>
              </w:rPr>
              <w:t>Sales /</w:t>
            </w:r>
          </w:p>
        </w:tc>
        <w:tc>
          <w:tcPr>
            <w:tcW w:w="1580" w:type="dxa"/>
            <w:vAlign w:val="bottom"/>
            <w:gridSpan w:val="2"/>
            <w:vMerge w:val="restart"/>
          </w:tcPr>
          <w:p>
            <w:pPr>
              <w:ind w:left="700"/>
              <w:spacing w:after="0"/>
              <w:rPr>
                <w:sz w:val="20"/>
                <w:szCs w:val="20"/>
                <w:color w:val="auto"/>
              </w:rPr>
            </w:pPr>
            <w:r>
              <w:rPr>
                <w:rFonts w:ascii="Arial" w:cs="Arial" w:eastAsia="Arial" w:hAnsi="Arial"/>
                <w:sz w:val="14"/>
                <w:szCs w:val="14"/>
                <w:b w:val="1"/>
                <w:bCs w:val="1"/>
                <w:color w:val="auto"/>
                <w:w w:val="99"/>
              </w:rPr>
              <w:t>Technology /</w:t>
            </w:r>
          </w:p>
        </w:tc>
        <w:tc>
          <w:tcPr>
            <w:tcW w:w="1920" w:type="dxa"/>
            <w:vAlign w:val="bottom"/>
            <w:gridSpan w:val="2"/>
            <w:vMerge w:val="restart"/>
          </w:tcPr>
          <w:p>
            <w:pPr>
              <w:ind w:left="620"/>
              <w:spacing w:after="0"/>
              <w:rPr>
                <w:sz w:val="20"/>
                <w:szCs w:val="20"/>
                <w:color w:val="auto"/>
              </w:rPr>
            </w:pPr>
            <w:r>
              <w:rPr>
                <w:rFonts w:ascii="Arial" w:cs="Arial" w:eastAsia="Arial" w:hAnsi="Arial"/>
                <w:sz w:val="14"/>
                <w:szCs w:val="14"/>
                <w:b w:val="1"/>
                <w:bCs w:val="1"/>
                <w:color w:val="auto"/>
              </w:rPr>
              <w:t>Operations /</w:t>
            </w:r>
          </w:p>
        </w:tc>
        <w:tc>
          <w:tcPr>
            <w:tcW w:w="0" w:type="dxa"/>
            <w:vAlign w:val="bottom"/>
          </w:tcPr>
          <w:p>
            <w:pPr>
              <w:spacing w:after="0"/>
              <w:rPr>
                <w:sz w:val="1"/>
                <w:szCs w:val="1"/>
                <w:color w:val="auto"/>
              </w:rPr>
            </w:pPr>
          </w:p>
        </w:tc>
      </w:tr>
      <w:tr>
        <w:trPr>
          <w:trHeight w:val="144"/>
        </w:trPr>
        <w:tc>
          <w:tcPr>
            <w:tcW w:w="1340" w:type="dxa"/>
            <w:vAlign w:val="bottom"/>
          </w:tcPr>
          <w:p>
            <w:pPr>
              <w:ind w:left="480"/>
              <w:spacing w:after="0" w:line="145" w:lineRule="exact"/>
              <w:rPr>
                <w:sz w:val="20"/>
                <w:szCs w:val="20"/>
                <w:color w:val="auto"/>
              </w:rPr>
            </w:pPr>
            <w:r>
              <w:rPr>
                <w:rFonts w:ascii="Arial" w:cs="Arial" w:eastAsia="Arial" w:hAnsi="Arial"/>
                <w:sz w:val="14"/>
                <w:szCs w:val="14"/>
                <w:b w:val="1"/>
                <w:bCs w:val="1"/>
                <w:color w:val="auto"/>
              </w:rPr>
              <w:t>Relations /</w:t>
            </w:r>
          </w:p>
        </w:tc>
        <w:tc>
          <w:tcPr>
            <w:tcW w:w="8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1420" w:type="dxa"/>
            <w:vAlign w:val="bottom"/>
            <w:gridSpan w:val="2"/>
          </w:tcPr>
          <w:p>
            <w:pPr>
              <w:ind w:left="480"/>
              <w:spacing w:after="0"/>
              <w:rPr>
                <w:sz w:val="20"/>
                <w:szCs w:val="20"/>
                <w:color w:val="auto"/>
              </w:rPr>
            </w:pPr>
            <w:r>
              <w:rPr>
                <w:rFonts w:ascii="Arial" w:cs="Arial" w:eastAsia="Arial" w:hAnsi="Arial"/>
                <w:sz w:val="14"/>
                <w:szCs w:val="14"/>
                <w:b w:val="1"/>
                <w:bCs w:val="1"/>
                <w:color w:val="auto"/>
              </w:rPr>
              <w:t>Public Policy</w:t>
            </w:r>
          </w:p>
        </w:tc>
        <w:tc>
          <w:tcPr>
            <w:tcW w:w="1300" w:type="dxa"/>
            <w:vAlign w:val="bottom"/>
          </w:tcPr>
          <w:p>
            <w:pPr>
              <w:ind w:left="600"/>
              <w:spacing w:after="0"/>
              <w:rPr>
                <w:sz w:val="20"/>
                <w:szCs w:val="20"/>
                <w:color w:val="auto"/>
              </w:rPr>
            </w:pPr>
            <w:r>
              <w:rPr>
                <w:rFonts w:ascii="Arial" w:cs="Arial" w:eastAsia="Arial" w:hAnsi="Arial"/>
                <w:sz w:val="14"/>
                <w:szCs w:val="14"/>
                <w:b w:val="1"/>
                <w:bCs w:val="1"/>
                <w:color w:val="auto"/>
              </w:rPr>
              <w:t>Marketing</w:t>
            </w:r>
          </w:p>
        </w:tc>
        <w:tc>
          <w:tcPr>
            <w:tcW w:w="1320" w:type="dxa"/>
            <w:vAlign w:val="bottom"/>
          </w:tcPr>
          <w:p>
            <w:pPr>
              <w:ind w:left="700"/>
              <w:spacing w:after="0"/>
              <w:rPr>
                <w:sz w:val="20"/>
                <w:szCs w:val="20"/>
                <w:color w:val="auto"/>
              </w:rPr>
            </w:pPr>
            <w:r>
              <w:rPr>
                <w:rFonts w:ascii="Arial" w:cs="Arial" w:eastAsia="Arial" w:hAnsi="Arial"/>
                <w:sz w:val="14"/>
                <w:szCs w:val="14"/>
                <w:b w:val="1"/>
                <w:bCs w:val="1"/>
                <w:color w:val="auto"/>
              </w:rPr>
              <w:t>Digital</w:t>
            </w:r>
          </w:p>
        </w:tc>
        <w:tc>
          <w:tcPr>
            <w:tcW w:w="260" w:type="dxa"/>
            <w:vAlign w:val="bottom"/>
          </w:tcPr>
          <w:p>
            <w:pPr>
              <w:spacing w:after="0"/>
              <w:rPr>
                <w:sz w:val="17"/>
                <w:szCs w:val="17"/>
                <w:color w:val="auto"/>
              </w:rPr>
            </w:pPr>
          </w:p>
        </w:tc>
        <w:tc>
          <w:tcPr>
            <w:tcW w:w="1220" w:type="dxa"/>
            <w:vAlign w:val="bottom"/>
          </w:tcPr>
          <w:p>
            <w:pPr>
              <w:ind w:left="620"/>
              <w:spacing w:after="0"/>
              <w:rPr>
                <w:sz w:val="20"/>
                <w:szCs w:val="20"/>
                <w:color w:val="auto"/>
              </w:rPr>
            </w:pPr>
            <w:r>
              <w:rPr>
                <w:rFonts w:ascii="Arial" w:cs="Arial" w:eastAsia="Arial" w:hAnsi="Arial"/>
                <w:sz w:val="14"/>
                <w:szCs w:val="14"/>
                <w:b w:val="1"/>
                <w:bCs w:val="1"/>
                <w:color w:val="auto"/>
              </w:rPr>
              <w:t>Strategy</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1042035</wp:posOffset>
            </wp:positionH>
            <wp:positionV relativeFrom="paragraph">
              <wp:posOffset>-264160</wp:posOffset>
            </wp:positionV>
            <wp:extent cx="214630" cy="21463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2002155</wp:posOffset>
            </wp:positionH>
            <wp:positionV relativeFrom="paragraph">
              <wp:posOffset>-264160</wp:posOffset>
            </wp:positionV>
            <wp:extent cx="214630" cy="21463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2876550</wp:posOffset>
            </wp:positionH>
            <wp:positionV relativeFrom="paragraph">
              <wp:posOffset>-264160</wp:posOffset>
            </wp:positionV>
            <wp:extent cx="214630" cy="21463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-264160</wp:posOffset>
            </wp:positionV>
            <wp:extent cx="214630" cy="21463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ectPr>
          <w:pgSz w:w="11900" w:h="16838" w:orient="portrait"/>
          <w:cols w:equalWidth="0" w:num="1">
            <w:col w:w="10139"/>
          </w:cols>
          <w:pgMar w:left="320" w:top="980" w:right="1440" w:bottom="1440" w:gutter="0" w:footer="0" w:header="0"/>
          <w:type w:val="continuous"/>
        </w:sectPr>
      </w:pPr>
    </w:p>
    <w:p>
      <w:pPr>
        <w:spacing w:after="0" w:line="200" w:lineRule="exact"/>
        <w:rPr>
          <w:sz w:val="20"/>
          <w:szCs w:val="20"/>
          <w:color w:val="auto"/>
        </w:rPr>
      </w:pPr>
    </w:p>
    <w:p>
      <w:pPr>
        <w:spacing w:after="0" w:line="315"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154940</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980" w:right="1440" w:bottom="1440" w:gutter="0" w:footer="0" w:header="0"/>
          <w:type w:val="continuous"/>
        </w:sectPr>
      </w:pPr>
    </w:p>
    <w:bookmarkStart w:id="25" w:name="page26"/>
    <w:bookmarkEnd w:id="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654685</wp:posOffset>
            </wp:positionV>
            <wp:extent cx="1311275" cy="131127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clrChange>
                        <a:clrFrom>
                          <a:srgbClr val="FFFFFF"/>
                        </a:clrFrom>
                        <a:clrTo>
                          <a:srgbClr val="FFFFFF">
                            <a:alpha val="0"/>
                          </a:srgbClr>
                        </a:clrTo>
                      </a:clrChange>
                      <a:extLst>
                        <a:ext uri="{28A0092B-C50C-407E-A947-70E740481C1C}"/>
                      </a:extLst>
                    </a:blip>
                    <a:srcRect/>
                    <a:stretch>
                      <a:fillRect/>
                    </a:stretch>
                  </pic:blipFill>
                  <pic:spPr bwMode="auto">
                    <a:xfrm>
                      <a:off x="0" y="0"/>
                      <a:ext cx="1311275" cy="131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2"/>
          <w:szCs w:val="22"/>
          <w:b w:val="1"/>
          <w:bCs w:val="1"/>
          <w:color w:val="EF3729"/>
        </w:rPr>
        <w:t>J. Erik Fyrwald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54610</wp:posOffset>
            </wp:positionV>
            <wp:extent cx="143129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431290" cy="8255"/>
                    </a:xfrm>
                    <a:prstGeom prst="rect">
                      <a:avLst/>
                    </a:prstGeom>
                    <a:noFill/>
                  </pic:spPr>
                </pic:pic>
              </a:graphicData>
            </a:graphic>
          </wp:anchor>
        </w:drawing>
      </w:r>
    </w:p>
    <w:p>
      <w:pPr>
        <w:spacing w:after="0" w:line="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65</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 since</w:t>
      </w:r>
      <w:r>
        <w:rPr>
          <w:rFonts w:ascii="Arial" w:cs="Arial" w:eastAsia="Arial" w:hAnsi="Arial"/>
          <w:sz w:val="16"/>
          <w:szCs w:val="16"/>
          <w:color w:val="auto"/>
        </w:rPr>
        <w:t>: 2005</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Committees</w:t>
      </w:r>
      <w:r>
        <w:rPr>
          <w:rFonts w:ascii="Arial" w:cs="Arial" w:eastAsia="Arial" w:hAnsi="Arial"/>
          <w:sz w:val="16"/>
          <w:szCs w:val="16"/>
          <w:color w:val="auto"/>
        </w:rPr>
        <w:t>:</w:t>
      </w:r>
    </w:p>
    <w:p>
      <w:pPr>
        <w:spacing w:after="0" w:line="59" w:lineRule="exact"/>
        <w:rPr>
          <w:sz w:val="20"/>
          <w:szCs w:val="20"/>
          <w:color w:val="auto"/>
        </w:rPr>
      </w:pPr>
    </w:p>
    <w:p>
      <w:pPr>
        <w:ind w:left="160"/>
        <w:spacing w:after="0"/>
        <w:rPr>
          <w:sz w:val="20"/>
          <w:szCs w:val="20"/>
          <w:color w:val="auto"/>
        </w:rPr>
      </w:pPr>
      <w:r>
        <w:rPr>
          <w:rFonts w:ascii="Arial" w:cs="Arial" w:eastAsia="Arial" w:hAnsi="Arial"/>
          <w:sz w:val="16"/>
          <w:szCs w:val="16"/>
          <w:color w:val="auto"/>
        </w:rPr>
        <w:t>– Talent and Compensation</w:t>
      </w:r>
    </w:p>
    <w:p>
      <w:pPr>
        <w:spacing w:after="0" w:line="72" w:lineRule="exact"/>
        <w:rPr>
          <w:sz w:val="20"/>
          <w:szCs w:val="20"/>
          <w:color w:val="auto"/>
        </w:rPr>
      </w:pPr>
    </w:p>
    <w:p>
      <w:pPr>
        <w:ind w:left="160"/>
        <w:spacing w:after="0"/>
        <w:rPr>
          <w:sz w:val="20"/>
          <w:szCs w:val="20"/>
          <w:color w:val="auto"/>
        </w:rPr>
      </w:pPr>
      <w:r>
        <w:rPr>
          <w:rFonts w:ascii="Arial" w:cs="Arial" w:eastAsia="Arial" w:hAnsi="Arial"/>
          <w:sz w:val="16"/>
          <w:szCs w:val="16"/>
          <w:color w:val="auto"/>
        </w:rPr>
        <w:t>– Science and Technology</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Public Boards:</w:t>
      </w:r>
    </w:p>
    <w:p>
      <w:pPr>
        <w:spacing w:after="0" w:line="59" w:lineRule="exact"/>
        <w:rPr>
          <w:sz w:val="20"/>
          <w:szCs w:val="20"/>
          <w:color w:val="auto"/>
        </w:rPr>
      </w:pPr>
    </w:p>
    <w:p>
      <w:pPr>
        <w:ind w:left="340" w:right="220" w:hanging="162"/>
        <w:spacing w:after="0" w:line="290" w:lineRule="auto"/>
        <w:rPr>
          <w:sz w:val="20"/>
          <w:szCs w:val="20"/>
          <w:color w:val="auto"/>
        </w:rPr>
      </w:pPr>
      <w:r>
        <w:rPr>
          <w:rFonts w:ascii="Arial" w:cs="Arial" w:eastAsia="Arial" w:hAnsi="Arial"/>
          <w:sz w:val="16"/>
          <w:szCs w:val="16"/>
          <w:color w:val="auto"/>
        </w:rPr>
        <w:t>– International Flavors &amp; Fragrances Inc.</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Prior Public Boards:</w:t>
      </w:r>
    </w:p>
    <w:p>
      <w:pPr>
        <w:spacing w:after="0" w:line="7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 Syngenta Group</w:t>
      </w:r>
    </w:p>
    <w:p>
      <w:pPr>
        <w:spacing w:after="0" w:line="59" w:lineRule="exact"/>
        <w:rPr>
          <w:sz w:val="20"/>
          <w:szCs w:val="20"/>
          <w:color w:val="auto"/>
        </w:rPr>
      </w:pPr>
    </w:p>
    <w:p>
      <w:pPr>
        <w:ind w:left="160"/>
        <w:spacing w:after="0"/>
        <w:rPr>
          <w:sz w:val="20"/>
          <w:szCs w:val="20"/>
          <w:color w:val="auto"/>
        </w:rPr>
      </w:pPr>
      <w:r>
        <w:rPr>
          <w:rFonts w:ascii="Arial" w:cs="Arial" w:eastAsia="Arial" w:hAnsi="Arial"/>
          <w:sz w:val="16"/>
          <w:szCs w:val="16"/>
          <w:color w:val="auto"/>
        </w:rPr>
        <w:t>– Bunge Limited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45085</wp:posOffset>
            </wp:positionV>
            <wp:extent cx="1234440" cy="6686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34440" cy="668655"/>
                    </a:xfrm>
                    <a:prstGeom prst="rect">
                      <a:avLst/>
                    </a:prstGeom>
                    <a:noFill/>
                  </pic:spPr>
                </pic:pic>
              </a:graphicData>
            </a:graphic>
          </wp:anchor>
        </w:drawing>
        <w:drawing>
          <wp:anchor simplePos="0" relativeHeight="251657728" behindDoc="1" locked="0" layoutInCell="0" allowOverlap="1">
            <wp:simplePos x="0" y="0"/>
            <wp:positionH relativeFrom="column">
              <wp:posOffset>746760</wp:posOffset>
            </wp:positionH>
            <wp:positionV relativeFrom="paragraph">
              <wp:posOffset>4219575</wp:posOffset>
            </wp:positionV>
            <wp:extent cx="214630" cy="21463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FFFFFF"/>
        </w:rPr>
        <w:t>KEY EXPERIENCE AND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-127635</wp:posOffset>
            </wp:positionH>
            <wp:positionV relativeFrom="paragraph">
              <wp:posOffset>-161925</wp:posOffset>
            </wp:positionV>
            <wp:extent cx="4260215" cy="194627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4260215" cy="1946275"/>
                    </a:xfrm>
                    <a:prstGeom prst="rect">
                      <a:avLst/>
                    </a:prstGeom>
                    <a:noFill/>
                  </pic:spPr>
                </pic:pic>
              </a:graphicData>
            </a:graphic>
          </wp:anchor>
        </w:drawing>
      </w:r>
    </w:p>
    <w:p>
      <w:pPr>
        <w:spacing w:after="0" w:line="198" w:lineRule="exact"/>
        <w:rPr>
          <w:sz w:val="20"/>
          <w:szCs w:val="20"/>
          <w:color w:val="auto"/>
        </w:rPr>
      </w:pPr>
    </w:p>
    <w:p>
      <w:pPr>
        <w:ind w:right="1659"/>
        <w:spacing w:after="0" w:line="283" w:lineRule="auto"/>
        <w:rPr>
          <w:sz w:val="20"/>
          <w:szCs w:val="20"/>
          <w:color w:val="auto"/>
        </w:rPr>
      </w:pPr>
      <w:r>
        <w:rPr>
          <w:rFonts w:ascii="Arial" w:cs="Arial" w:eastAsia="Arial" w:hAnsi="Arial"/>
          <w:sz w:val="16"/>
          <w:szCs w:val="16"/>
          <w:i w:val="1"/>
          <w:iCs w:val="1"/>
          <w:color w:val="auto"/>
        </w:rPr>
        <w:t>Mr. Fyrwald brings to the board a deep understanding of operational and strategic leadership and international business.</w:t>
      </w:r>
    </w:p>
    <w:p>
      <w:pPr>
        <w:spacing w:after="0" w:line="10" w:lineRule="exact"/>
        <w:rPr>
          <w:sz w:val="20"/>
          <w:szCs w:val="20"/>
          <w:color w:val="auto"/>
        </w:rPr>
      </w:pPr>
    </w:p>
    <w:p>
      <w:pPr>
        <w:ind w:left="640" w:right="1119" w:hanging="325"/>
        <w:spacing w:after="0" w:line="275" w:lineRule="auto"/>
        <w:tabs>
          <w:tab w:leader="none" w:pos="629" w:val="left"/>
        </w:tabs>
        <w:numPr>
          <w:ilvl w:val="0"/>
          <w:numId w:val="62"/>
        </w:numPr>
        <w:rPr>
          <w:rFonts w:ascii="Arial" w:cs="Arial" w:eastAsia="Arial" w:hAnsi="Arial"/>
          <w:sz w:val="16"/>
          <w:szCs w:val="16"/>
          <w:color w:val="auto"/>
        </w:rPr>
      </w:pPr>
      <w:r>
        <w:rPr>
          <w:rFonts w:ascii="Arial" w:cs="Arial" w:eastAsia="Arial" w:hAnsi="Arial"/>
          <w:sz w:val="16"/>
          <w:szCs w:val="16"/>
          <w:color w:val="auto"/>
        </w:rPr>
        <w:t>Mr. Fyrwald’s substantial experience in leading international companies provides valuable perspectives relating to international operations, manufacturing, logistics, and sustainability.</w:t>
      </w:r>
    </w:p>
    <w:p>
      <w:pPr>
        <w:spacing w:after="0" w:line="2" w:lineRule="exact"/>
        <w:rPr>
          <w:rFonts w:ascii="Arial" w:cs="Arial" w:eastAsia="Arial" w:hAnsi="Arial"/>
          <w:sz w:val="16"/>
          <w:szCs w:val="16"/>
          <w:color w:val="auto"/>
        </w:rPr>
      </w:pPr>
    </w:p>
    <w:p>
      <w:pPr>
        <w:ind w:left="640" w:right="1079" w:hanging="325"/>
        <w:spacing w:after="0" w:line="265" w:lineRule="auto"/>
        <w:tabs>
          <w:tab w:leader="none" w:pos="629" w:val="left"/>
        </w:tabs>
        <w:numPr>
          <w:ilvl w:val="0"/>
          <w:numId w:val="62"/>
        </w:numPr>
        <w:rPr>
          <w:rFonts w:ascii="Arial" w:cs="Arial" w:eastAsia="Arial" w:hAnsi="Arial"/>
          <w:sz w:val="16"/>
          <w:szCs w:val="16"/>
          <w:color w:val="auto"/>
        </w:rPr>
      </w:pPr>
      <w:r>
        <w:rPr>
          <w:rFonts w:ascii="Arial" w:cs="Arial" w:eastAsia="Arial" w:hAnsi="Arial"/>
          <w:sz w:val="16"/>
          <w:szCs w:val="16"/>
          <w:color w:val="auto"/>
        </w:rPr>
        <w:t>Mr. Fyrwald has a demonstrated focus on technology and a deep understanding of the challenges of developing and commercializing the results of innovation, as he worked to align Syngenta to digital innovation and new agricultural technologies in the fight against climate change.</w:t>
      </w:r>
    </w:p>
    <w:p>
      <w:pPr>
        <w:spacing w:after="0" w:line="24" w:lineRule="exact"/>
        <w:rPr>
          <w:rFonts w:ascii="Arial" w:cs="Arial" w:eastAsia="Arial" w:hAnsi="Arial"/>
          <w:sz w:val="16"/>
          <w:szCs w:val="16"/>
          <w:color w:val="auto"/>
        </w:rPr>
      </w:pPr>
    </w:p>
    <w:p>
      <w:pPr>
        <w:ind w:left="640" w:right="1279" w:hanging="325"/>
        <w:spacing w:after="0" w:line="266" w:lineRule="auto"/>
        <w:tabs>
          <w:tab w:leader="none" w:pos="629" w:val="left"/>
        </w:tabs>
        <w:numPr>
          <w:ilvl w:val="0"/>
          <w:numId w:val="62"/>
        </w:numPr>
        <w:rPr>
          <w:rFonts w:ascii="Arial" w:cs="Arial" w:eastAsia="Arial" w:hAnsi="Arial"/>
          <w:sz w:val="16"/>
          <w:szCs w:val="16"/>
          <w:color w:val="auto"/>
        </w:rPr>
      </w:pPr>
      <w:r>
        <w:rPr>
          <w:rFonts w:ascii="Arial" w:cs="Arial" w:eastAsia="Arial" w:hAnsi="Arial"/>
          <w:sz w:val="16"/>
          <w:szCs w:val="16"/>
          <w:color w:val="auto"/>
        </w:rPr>
        <w:t>Mr. Fyrwald has also developed significant corporate governance experience through his current and prior service on the boards of directors of international companies and not-for-profit entities.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00A1DE"/>
        </w:rPr>
        <w:t>CAREER HIGHLIGHTS</w:t>
      </w:r>
    </w:p>
    <w:p>
      <w:pPr>
        <w:spacing w:after="0" w:line="63" w:lineRule="exact"/>
        <w:rPr>
          <w:sz w:val="20"/>
          <w:szCs w:val="20"/>
          <w:color w:val="auto"/>
        </w:rPr>
      </w:pPr>
    </w:p>
    <w:p>
      <w:pPr>
        <w:ind w:left="640" w:right="1039" w:hanging="325"/>
        <w:spacing w:after="0" w:line="264" w:lineRule="auto"/>
        <w:tabs>
          <w:tab w:leader="none" w:pos="635"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International Flavors &amp; Fragrances Inc., </w:t>
      </w:r>
      <w:r>
        <w:rPr>
          <w:rFonts w:ascii="Arial" w:cs="Arial" w:eastAsia="Arial" w:hAnsi="Arial"/>
          <w:sz w:val="16"/>
          <w:szCs w:val="16"/>
          <w:color w:val="auto"/>
        </w:rPr>
        <w:t>creator and manufacturer of food,</w:t>
      </w:r>
      <w:r>
        <w:rPr>
          <w:rFonts w:ascii="Arial" w:cs="Arial" w:eastAsia="Arial" w:hAnsi="Arial"/>
          <w:sz w:val="18"/>
          <w:szCs w:val="18"/>
          <w:b w:val="1"/>
          <w:bCs w:val="1"/>
          <w:color w:val="auto"/>
        </w:rPr>
        <w:t xml:space="preserve"> </w:t>
      </w:r>
      <w:r>
        <w:rPr>
          <w:rFonts w:ascii="Arial" w:cs="Arial" w:eastAsia="Arial" w:hAnsi="Arial"/>
          <w:sz w:val="16"/>
          <w:szCs w:val="16"/>
          <w:color w:val="auto"/>
        </w:rPr>
        <w:t>beverage, health and biosciences, scent and pharma solutions</w:t>
      </w:r>
    </w:p>
    <w:p>
      <w:pPr>
        <w:spacing w:after="0" w:line="8"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4"/>
          <w:szCs w:val="14"/>
          <w:color w:val="auto"/>
        </w:rPr>
        <w:t xml:space="preserve">–   </w:t>
      </w:r>
      <w:r>
        <w:rPr>
          <w:rFonts w:ascii="Arial" w:cs="Arial" w:eastAsia="Arial" w:hAnsi="Arial"/>
          <w:sz w:val="16"/>
          <w:szCs w:val="16"/>
          <w:color w:val="auto"/>
        </w:rPr>
        <w:t>Chief Executive Officer (2024 - present)</w:t>
      </w:r>
    </w:p>
    <w:p>
      <w:pPr>
        <w:spacing w:after="0" w:line="72"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4"/>
          <w:szCs w:val="14"/>
          <w:color w:val="auto"/>
        </w:rPr>
        <w:t xml:space="preserve">–   </w:t>
      </w:r>
      <w:r>
        <w:rPr>
          <w:rFonts w:ascii="Arial" w:cs="Arial" w:eastAsia="Arial" w:hAnsi="Arial"/>
          <w:sz w:val="16"/>
          <w:szCs w:val="16"/>
          <w:color w:val="auto"/>
        </w:rPr>
        <w:t>Member of the board of directors (2024 - present)</w:t>
      </w:r>
    </w:p>
    <w:p>
      <w:pPr>
        <w:spacing w:after="0" w:line="54" w:lineRule="exact"/>
        <w:rPr>
          <w:rFonts w:ascii="Arial" w:cs="Arial" w:eastAsia="Arial" w:hAnsi="Arial"/>
          <w:sz w:val="18"/>
          <w:szCs w:val="18"/>
          <w:b w:val="1"/>
          <w:bCs w:val="1"/>
          <w:color w:val="auto"/>
        </w:rPr>
      </w:pPr>
    </w:p>
    <w:p>
      <w:pPr>
        <w:ind w:left="640" w:right="1199" w:hanging="325"/>
        <w:spacing w:after="0" w:line="264" w:lineRule="auto"/>
        <w:tabs>
          <w:tab w:leader="none" w:pos="629" w:val="left"/>
        </w:tabs>
        <w:numPr>
          <w:ilvl w:val="0"/>
          <w:numId w:val="63"/>
        </w:numPr>
        <w:rPr>
          <w:rFonts w:ascii="Arial" w:cs="Arial" w:eastAsia="Arial" w:hAnsi="Arial"/>
          <w:sz w:val="16"/>
          <w:szCs w:val="16"/>
          <w:b w:val="1"/>
          <w:bCs w:val="1"/>
          <w:color w:val="auto"/>
        </w:rPr>
      </w:pPr>
      <w:r>
        <w:rPr>
          <w:rFonts w:ascii="Arial" w:cs="Arial" w:eastAsia="Arial" w:hAnsi="Arial"/>
          <w:sz w:val="18"/>
          <w:szCs w:val="18"/>
          <w:b w:val="1"/>
          <w:bCs w:val="1"/>
          <w:color w:val="auto"/>
        </w:rPr>
        <w:t>Syngenta Group</w:t>
      </w:r>
      <w:r>
        <w:rPr>
          <w:rFonts w:ascii="Arial" w:cs="Arial" w:eastAsia="Arial" w:hAnsi="Arial"/>
          <w:sz w:val="17"/>
          <w:szCs w:val="17"/>
          <w:b w:val="1"/>
          <w:bCs w:val="1"/>
          <w:color w:val="auto"/>
        </w:rPr>
        <w:t>,</w:t>
      </w:r>
      <w:r>
        <w:rPr>
          <w:rFonts w:ascii="Arial" w:cs="Arial" w:eastAsia="Arial" w:hAnsi="Arial"/>
          <w:sz w:val="18"/>
          <w:szCs w:val="18"/>
          <w:b w:val="1"/>
          <w:bCs w:val="1"/>
          <w:color w:val="auto"/>
        </w:rPr>
        <w:t xml:space="preserve"> </w:t>
      </w:r>
      <w:r>
        <w:rPr>
          <w:rFonts w:ascii="Arial" w:cs="Arial" w:eastAsia="Arial" w:hAnsi="Arial"/>
          <w:sz w:val="16"/>
          <w:szCs w:val="16"/>
          <w:color w:val="auto"/>
        </w:rPr>
        <w:t>a global Swiss-based agriculture technology company that</w:t>
      </w:r>
      <w:r>
        <w:rPr>
          <w:rFonts w:ascii="Arial" w:cs="Arial" w:eastAsia="Arial" w:hAnsi="Arial"/>
          <w:sz w:val="18"/>
          <w:szCs w:val="18"/>
          <w:b w:val="1"/>
          <w:bCs w:val="1"/>
          <w:color w:val="auto"/>
        </w:rPr>
        <w:t xml:space="preserve"> </w:t>
      </w:r>
      <w:r>
        <w:rPr>
          <w:rFonts w:ascii="Arial" w:cs="Arial" w:eastAsia="Arial" w:hAnsi="Arial"/>
          <w:sz w:val="16"/>
          <w:szCs w:val="16"/>
          <w:color w:val="auto"/>
        </w:rPr>
        <w:t>produces agrochemicals and seeds</w:t>
      </w:r>
    </w:p>
    <w:p>
      <w:pPr>
        <w:spacing w:after="0" w:line="21" w:lineRule="exact"/>
        <w:rPr>
          <w:rFonts w:ascii="Arial" w:cs="Arial" w:eastAsia="Arial" w:hAnsi="Arial"/>
          <w:sz w:val="16"/>
          <w:szCs w:val="16"/>
          <w:b w:val="1"/>
          <w:bCs w:val="1"/>
          <w:color w:val="auto"/>
        </w:rPr>
      </w:pPr>
    </w:p>
    <w:p>
      <w:pPr>
        <w:ind w:left="640"/>
        <w:spacing w:after="0"/>
        <w:rPr>
          <w:rFonts w:ascii="Arial" w:cs="Arial" w:eastAsia="Arial" w:hAnsi="Arial"/>
          <w:sz w:val="16"/>
          <w:szCs w:val="16"/>
          <w:b w:val="1"/>
          <w:bCs w:val="1"/>
          <w:color w:val="auto"/>
        </w:rPr>
      </w:pPr>
      <w:r>
        <w:rPr>
          <w:rFonts w:ascii="Arial" w:cs="Arial" w:eastAsia="Arial" w:hAnsi="Arial"/>
          <w:sz w:val="14"/>
          <w:szCs w:val="14"/>
          <w:color w:val="auto"/>
        </w:rPr>
        <w:t xml:space="preserve">–   </w:t>
      </w:r>
      <w:r>
        <w:rPr>
          <w:rFonts w:ascii="Arial" w:cs="Arial" w:eastAsia="Arial" w:hAnsi="Arial"/>
          <w:sz w:val="16"/>
          <w:szCs w:val="16"/>
          <w:color w:val="auto"/>
        </w:rPr>
        <w:t>President and Chief Executive Officer (2016 - 2023)</w:t>
      </w:r>
    </w:p>
    <w:p>
      <w:pPr>
        <w:spacing w:after="0" w:line="59" w:lineRule="exact"/>
        <w:rPr>
          <w:rFonts w:ascii="Arial" w:cs="Arial" w:eastAsia="Arial" w:hAnsi="Arial"/>
          <w:sz w:val="16"/>
          <w:szCs w:val="16"/>
          <w:b w:val="1"/>
          <w:bCs w:val="1"/>
          <w:color w:val="auto"/>
        </w:rPr>
      </w:pPr>
    </w:p>
    <w:p>
      <w:pPr>
        <w:ind w:left="640"/>
        <w:spacing w:after="0"/>
        <w:rPr>
          <w:rFonts w:ascii="Arial" w:cs="Arial" w:eastAsia="Arial" w:hAnsi="Arial"/>
          <w:sz w:val="16"/>
          <w:szCs w:val="16"/>
          <w:b w:val="1"/>
          <w:bCs w:val="1"/>
          <w:color w:val="auto"/>
        </w:rPr>
      </w:pPr>
      <w:r>
        <w:rPr>
          <w:rFonts w:ascii="Arial" w:cs="Arial" w:eastAsia="Arial" w:hAnsi="Arial"/>
          <w:sz w:val="14"/>
          <w:szCs w:val="14"/>
          <w:color w:val="auto"/>
        </w:rPr>
        <w:t xml:space="preserve">–   </w:t>
      </w:r>
      <w:r>
        <w:rPr>
          <w:rFonts w:ascii="Arial" w:cs="Arial" w:eastAsia="Arial" w:hAnsi="Arial"/>
          <w:sz w:val="16"/>
          <w:szCs w:val="16"/>
          <w:color w:val="auto"/>
        </w:rPr>
        <w:t>Member of the board of directors (2016 - 2024)</w:t>
      </w:r>
    </w:p>
    <w:p>
      <w:pPr>
        <w:spacing w:after="0" w:line="72" w:lineRule="exact"/>
        <w:rPr>
          <w:rFonts w:ascii="Arial" w:cs="Arial" w:eastAsia="Arial" w:hAnsi="Arial"/>
          <w:sz w:val="16"/>
          <w:szCs w:val="16"/>
          <w:b w:val="1"/>
          <w:bCs w:val="1"/>
          <w:color w:val="auto"/>
        </w:rPr>
      </w:pPr>
    </w:p>
    <w:p>
      <w:pPr>
        <w:ind w:left="640"/>
        <w:spacing w:after="0"/>
        <w:rPr>
          <w:rFonts w:ascii="Arial" w:cs="Arial" w:eastAsia="Arial" w:hAnsi="Arial"/>
          <w:sz w:val="16"/>
          <w:szCs w:val="16"/>
          <w:b w:val="1"/>
          <w:bCs w:val="1"/>
          <w:color w:val="auto"/>
        </w:rPr>
      </w:pPr>
      <w:r>
        <w:rPr>
          <w:rFonts w:ascii="Arial" w:cs="Arial" w:eastAsia="Arial" w:hAnsi="Arial"/>
          <w:sz w:val="14"/>
          <w:szCs w:val="14"/>
          <w:color w:val="auto"/>
        </w:rPr>
        <w:t xml:space="preserve">–   </w:t>
      </w:r>
      <w:r>
        <w:rPr>
          <w:rFonts w:ascii="Arial" w:cs="Arial" w:eastAsia="Arial" w:hAnsi="Arial"/>
          <w:sz w:val="16"/>
          <w:szCs w:val="16"/>
          <w:color w:val="auto"/>
        </w:rPr>
        <w:t>Member of the sustainability committee (2016 - 2024)</w:t>
      </w:r>
    </w:p>
    <w:p>
      <w:pPr>
        <w:spacing w:after="0" w:line="54" w:lineRule="exact"/>
        <w:rPr>
          <w:rFonts w:ascii="Arial" w:cs="Arial" w:eastAsia="Arial" w:hAnsi="Arial"/>
          <w:sz w:val="16"/>
          <w:szCs w:val="16"/>
          <w:b w:val="1"/>
          <w:bCs w:val="1"/>
          <w:color w:val="auto"/>
        </w:rPr>
      </w:pPr>
    </w:p>
    <w:p>
      <w:pPr>
        <w:ind w:left="620" w:hanging="305"/>
        <w:spacing w:after="0"/>
        <w:tabs>
          <w:tab w:leader="none" w:pos="620" w:val="left"/>
        </w:tabs>
        <w:numPr>
          <w:ilvl w:val="0"/>
          <w:numId w:val="63"/>
        </w:numPr>
        <w:rPr>
          <w:rFonts w:ascii="Arial" w:cs="Arial" w:eastAsia="Arial" w:hAnsi="Arial"/>
          <w:sz w:val="16"/>
          <w:szCs w:val="16"/>
          <w:color w:val="auto"/>
        </w:rPr>
      </w:pPr>
      <w:r>
        <w:rPr>
          <w:rFonts w:ascii="Arial" w:cs="Arial" w:eastAsia="Arial" w:hAnsi="Arial"/>
          <w:sz w:val="18"/>
          <w:szCs w:val="18"/>
          <w:b w:val="1"/>
          <w:bCs w:val="1"/>
          <w:color w:val="auto"/>
        </w:rPr>
        <w:t xml:space="preserve">Univar, Inc., </w:t>
      </w:r>
      <w:r>
        <w:rPr>
          <w:rFonts w:ascii="Arial" w:cs="Arial" w:eastAsia="Arial" w:hAnsi="Arial"/>
          <w:sz w:val="16"/>
          <w:szCs w:val="16"/>
          <w:color w:val="auto"/>
        </w:rPr>
        <w:t>a leading distributor of chemicals and provider of related services</w:t>
      </w:r>
    </w:p>
    <w:p>
      <w:pPr>
        <w:spacing w:after="0" w:line="67"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4"/>
          <w:szCs w:val="14"/>
          <w:color w:val="auto"/>
        </w:rPr>
        <w:t xml:space="preserve">–   </w:t>
      </w:r>
      <w:r>
        <w:rPr>
          <w:rFonts w:ascii="Arial" w:cs="Arial" w:eastAsia="Arial" w:hAnsi="Arial"/>
          <w:sz w:val="16"/>
          <w:szCs w:val="16"/>
          <w:color w:val="auto"/>
        </w:rPr>
        <w:t>President and Chief Executive Officer (2012 - 2016)</w:t>
      </w:r>
    </w:p>
    <w:p>
      <w:pPr>
        <w:spacing w:after="0" w:line="54" w:lineRule="exact"/>
        <w:rPr>
          <w:rFonts w:ascii="Arial" w:cs="Arial" w:eastAsia="Arial" w:hAnsi="Arial"/>
          <w:sz w:val="16"/>
          <w:szCs w:val="16"/>
          <w:color w:val="auto"/>
        </w:rPr>
      </w:pPr>
    </w:p>
    <w:p>
      <w:pPr>
        <w:ind w:left="640" w:right="1139" w:hanging="325"/>
        <w:spacing w:after="0" w:line="264" w:lineRule="auto"/>
        <w:tabs>
          <w:tab w:leader="none" w:pos="629" w:val="left"/>
        </w:tabs>
        <w:numPr>
          <w:ilvl w:val="0"/>
          <w:numId w:val="63"/>
        </w:numPr>
        <w:rPr>
          <w:rFonts w:ascii="Arial" w:cs="Arial" w:eastAsia="Arial" w:hAnsi="Arial"/>
          <w:sz w:val="16"/>
          <w:szCs w:val="16"/>
          <w:color w:val="auto"/>
        </w:rPr>
      </w:pPr>
      <w:r>
        <w:rPr>
          <w:rFonts w:ascii="Arial" w:cs="Arial" w:eastAsia="Arial" w:hAnsi="Arial"/>
          <w:sz w:val="18"/>
          <w:szCs w:val="18"/>
          <w:b w:val="1"/>
          <w:bCs w:val="1"/>
          <w:color w:val="auto"/>
        </w:rPr>
        <w:t xml:space="preserve">Ecolab, Inc., </w:t>
      </w:r>
      <w:r>
        <w:rPr>
          <w:rFonts w:ascii="Arial" w:cs="Arial" w:eastAsia="Arial" w:hAnsi="Arial"/>
          <w:sz w:val="16"/>
          <w:szCs w:val="16"/>
          <w:color w:val="auto"/>
        </w:rPr>
        <w:t>a leading provider of cleaning, sanitation and water products and</w:t>
      </w:r>
      <w:r>
        <w:rPr>
          <w:rFonts w:ascii="Arial" w:cs="Arial" w:eastAsia="Arial" w:hAnsi="Arial"/>
          <w:sz w:val="18"/>
          <w:szCs w:val="18"/>
          <w:b w:val="1"/>
          <w:bCs w:val="1"/>
          <w:color w:val="auto"/>
        </w:rPr>
        <w:t xml:space="preserve"> </w:t>
      </w:r>
      <w:r>
        <w:rPr>
          <w:rFonts w:ascii="Arial" w:cs="Arial" w:eastAsia="Arial" w:hAnsi="Arial"/>
          <w:sz w:val="16"/>
          <w:szCs w:val="16"/>
          <w:color w:val="auto"/>
        </w:rPr>
        <w:t>services</w:t>
      </w:r>
    </w:p>
    <w:p>
      <w:pPr>
        <w:spacing w:after="0" w:line="21"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4"/>
          <w:szCs w:val="14"/>
          <w:color w:val="auto"/>
        </w:rPr>
        <w:t xml:space="preserve">–   </w:t>
      </w:r>
      <w:r>
        <w:rPr>
          <w:rFonts w:ascii="Arial" w:cs="Arial" w:eastAsia="Arial" w:hAnsi="Arial"/>
          <w:sz w:val="16"/>
          <w:szCs w:val="16"/>
          <w:color w:val="auto"/>
        </w:rPr>
        <w:t>President (2011 - 2012)</w:t>
      </w:r>
    </w:p>
    <w:p>
      <w:pPr>
        <w:spacing w:after="0" w:line="54" w:lineRule="exact"/>
        <w:rPr>
          <w:rFonts w:ascii="Arial" w:cs="Arial" w:eastAsia="Arial" w:hAnsi="Arial"/>
          <w:sz w:val="16"/>
          <w:szCs w:val="16"/>
          <w:color w:val="auto"/>
        </w:rPr>
      </w:pPr>
    </w:p>
    <w:p>
      <w:pPr>
        <w:ind w:left="620" w:hanging="305"/>
        <w:spacing w:after="0"/>
        <w:tabs>
          <w:tab w:leader="none" w:pos="620" w:val="left"/>
        </w:tabs>
        <w:numPr>
          <w:ilvl w:val="0"/>
          <w:numId w:val="63"/>
        </w:numPr>
        <w:rPr>
          <w:rFonts w:ascii="Arial" w:cs="Arial" w:eastAsia="Arial" w:hAnsi="Arial"/>
          <w:sz w:val="16"/>
          <w:szCs w:val="16"/>
          <w:color w:val="auto"/>
        </w:rPr>
      </w:pPr>
      <w:r>
        <w:rPr>
          <w:rFonts w:ascii="Arial" w:cs="Arial" w:eastAsia="Arial" w:hAnsi="Arial"/>
          <w:sz w:val="18"/>
          <w:szCs w:val="18"/>
          <w:b w:val="1"/>
          <w:bCs w:val="1"/>
          <w:color w:val="auto"/>
        </w:rPr>
        <w:t xml:space="preserve">Nalco Company, </w:t>
      </w:r>
      <w:r>
        <w:rPr>
          <w:rFonts w:ascii="Arial" w:cs="Arial" w:eastAsia="Arial" w:hAnsi="Arial"/>
          <w:sz w:val="16"/>
          <w:szCs w:val="16"/>
          <w:color w:val="auto"/>
        </w:rPr>
        <w:t>a leading provider of water treatment products and services</w:t>
      </w:r>
    </w:p>
    <w:p>
      <w:pPr>
        <w:spacing w:after="0" w:line="67"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4"/>
          <w:szCs w:val="14"/>
          <w:color w:val="auto"/>
        </w:rPr>
        <w:t xml:space="preserve">–   </w:t>
      </w:r>
      <w:r>
        <w:rPr>
          <w:rFonts w:ascii="Arial" w:cs="Arial" w:eastAsia="Arial" w:hAnsi="Arial"/>
          <w:sz w:val="16"/>
          <w:szCs w:val="16"/>
          <w:color w:val="auto"/>
        </w:rPr>
        <w:t>Chairman and Chief Executive Officer (2008 - 2011)</w:t>
      </w:r>
    </w:p>
    <w:p>
      <w:pPr>
        <w:spacing w:after="0" w:line="54" w:lineRule="exact"/>
        <w:rPr>
          <w:rFonts w:ascii="Arial" w:cs="Arial" w:eastAsia="Arial" w:hAnsi="Arial"/>
          <w:sz w:val="16"/>
          <w:szCs w:val="16"/>
          <w:color w:val="auto"/>
        </w:rPr>
      </w:pPr>
    </w:p>
    <w:p>
      <w:pPr>
        <w:ind w:left="620" w:hanging="305"/>
        <w:spacing w:after="0"/>
        <w:tabs>
          <w:tab w:leader="none" w:pos="620" w:val="left"/>
        </w:tabs>
        <w:numPr>
          <w:ilvl w:val="0"/>
          <w:numId w:val="63"/>
        </w:numPr>
        <w:rPr>
          <w:rFonts w:ascii="Arial" w:cs="Arial" w:eastAsia="Arial" w:hAnsi="Arial"/>
          <w:sz w:val="16"/>
          <w:szCs w:val="16"/>
          <w:color w:val="auto"/>
        </w:rPr>
      </w:pPr>
      <w:r>
        <w:rPr>
          <w:rFonts w:ascii="Arial" w:cs="Arial" w:eastAsia="Arial" w:hAnsi="Arial"/>
          <w:sz w:val="18"/>
          <w:szCs w:val="18"/>
          <w:b w:val="1"/>
          <w:bCs w:val="1"/>
          <w:color w:val="auto"/>
        </w:rPr>
        <w:t xml:space="preserve">E.I. du Pont de Nemours and Company, </w:t>
      </w:r>
      <w:r>
        <w:rPr>
          <w:rFonts w:ascii="Arial" w:cs="Arial" w:eastAsia="Arial" w:hAnsi="Arial"/>
          <w:sz w:val="16"/>
          <w:szCs w:val="16"/>
          <w:color w:val="auto"/>
        </w:rPr>
        <w:t>a global chemical company</w:t>
      </w:r>
    </w:p>
    <w:p>
      <w:pPr>
        <w:spacing w:after="0" w:line="67" w:lineRule="exact"/>
        <w:rPr>
          <w:rFonts w:ascii="Arial" w:cs="Arial" w:eastAsia="Arial" w:hAnsi="Arial"/>
          <w:sz w:val="16"/>
          <w:szCs w:val="16"/>
          <w:color w:val="auto"/>
        </w:rPr>
      </w:pPr>
    </w:p>
    <w:p>
      <w:pPr>
        <w:ind w:left="960" w:right="1179" w:hanging="324"/>
        <w:spacing w:after="0" w:line="275" w:lineRule="auto"/>
        <w:rPr>
          <w:rFonts w:ascii="Arial" w:cs="Arial" w:eastAsia="Arial" w:hAnsi="Arial"/>
          <w:sz w:val="16"/>
          <w:szCs w:val="16"/>
          <w:color w:val="auto"/>
        </w:rPr>
      </w:pPr>
      <w:r>
        <w:rPr>
          <w:rFonts w:ascii="Arial" w:cs="Arial" w:eastAsia="Arial" w:hAnsi="Arial"/>
          <w:sz w:val="14"/>
          <w:szCs w:val="14"/>
          <w:color w:val="auto"/>
        </w:rPr>
        <w:t xml:space="preserve">– </w:t>
      </w:r>
      <w:r>
        <w:rPr>
          <w:rFonts w:ascii="Arial" w:cs="Arial" w:eastAsia="Arial" w:hAnsi="Arial"/>
          <w:sz w:val="16"/>
          <w:szCs w:val="16"/>
          <w:color w:val="auto"/>
        </w:rPr>
        <w:t>Various management positions from 1980 to 2008 in production, sales, and</w:t>
      </w:r>
      <w:r>
        <w:rPr>
          <w:rFonts w:ascii="Arial" w:cs="Arial" w:eastAsia="Arial" w:hAnsi="Arial"/>
          <w:sz w:val="14"/>
          <w:szCs w:val="14"/>
          <w:color w:val="auto"/>
        </w:rPr>
        <w:t xml:space="preserve"> </w:t>
      </w:r>
      <w:r>
        <w:rPr>
          <w:rFonts w:ascii="Arial" w:cs="Arial" w:eastAsia="Arial" w:hAnsi="Arial"/>
          <w:sz w:val="16"/>
          <w:szCs w:val="16"/>
          <w:color w:val="auto"/>
        </w:rPr>
        <w:t>marketing, including most recently Group vice president, agriculture and nutrition (2003 - 2008)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2461895</wp:posOffset>
            </wp:positionV>
            <wp:extent cx="213995" cy="21463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13995" cy="214630"/>
                    </a:xfrm>
                    <a:prstGeom prst="rect">
                      <a:avLst/>
                    </a:prstGeom>
                    <a:noFill/>
                  </pic:spPr>
                </pic:pic>
              </a:graphicData>
            </a:graphic>
          </wp:anchor>
        </w:drawing>
        <w:drawing>
          <wp:anchor simplePos="0" relativeHeight="251657728" behindDoc="1" locked="0" layoutInCell="0" allowOverlap="1">
            <wp:simplePos x="0" y="0"/>
            <wp:positionH relativeFrom="column">
              <wp:posOffset>805815</wp:posOffset>
            </wp:positionH>
            <wp:positionV relativeFrom="paragraph">
              <wp:posOffset>2461895</wp:posOffset>
            </wp:positionV>
            <wp:extent cx="214630" cy="21463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1731645</wp:posOffset>
            </wp:positionH>
            <wp:positionV relativeFrom="paragraph">
              <wp:posOffset>2461895</wp:posOffset>
            </wp:positionV>
            <wp:extent cx="214630" cy="21463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2597785</wp:posOffset>
            </wp:positionH>
            <wp:positionV relativeFrom="paragraph">
              <wp:posOffset>2461895</wp:posOffset>
            </wp:positionV>
            <wp:extent cx="214630" cy="21463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60" w:space="460"/>
            <w:col w:w="7499"/>
          </w:cols>
          <w:pgMar w:left="340" w:top="97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1600" w:type="dxa"/>
        <w:tblCellMar>
          <w:top w:w="0" w:type="dxa"/>
          <w:left w:w="0" w:type="dxa"/>
          <w:bottom w:w="0" w:type="dxa"/>
          <w:right w:w="0" w:type="dxa"/>
        </w:tblCellMar>
      </w:tblPr>
      <w:tr>
        <w:trPr>
          <w:trHeight w:val="175"/>
        </w:trPr>
        <w:tc>
          <w:tcPr>
            <w:tcW w:w="1340" w:type="dxa"/>
            <w:vAlign w:val="bottom"/>
          </w:tcPr>
          <w:p>
            <w:pPr>
              <w:jc w:val="center"/>
              <w:ind w:right="488"/>
              <w:spacing w:after="0"/>
              <w:rPr>
                <w:sz w:val="20"/>
                <w:szCs w:val="20"/>
                <w:color w:val="auto"/>
              </w:rPr>
            </w:pPr>
            <w:r>
              <w:rPr>
                <w:rFonts w:ascii="Arial" w:cs="Arial" w:eastAsia="Arial" w:hAnsi="Arial"/>
                <w:sz w:val="14"/>
                <w:szCs w:val="14"/>
                <w:b w:val="1"/>
                <w:bCs w:val="1"/>
                <w:color w:val="auto"/>
                <w:w w:val="98"/>
              </w:rPr>
              <w:t>CEO</w:t>
            </w:r>
          </w:p>
        </w:tc>
        <w:tc>
          <w:tcPr>
            <w:tcW w:w="80" w:type="dxa"/>
            <w:vAlign w:val="bottom"/>
          </w:tcPr>
          <w:p>
            <w:pPr>
              <w:spacing w:after="0"/>
              <w:rPr>
                <w:sz w:val="15"/>
                <w:szCs w:val="15"/>
                <w:color w:val="auto"/>
              </w:rPr>
            </w:pPr>
          </w:p>
        </w:tc>
        <w:tc>
          <w:tcPr>
            <w:tcW w:w="1300" w:type="dxa"/>
            <w:vAlign w:val="bottom"/>
          </w:tcPr>
          <w:p>
            <w:pPr>
              <w:jc w:val="center"/>
              <w:ind w:right="528"/>
              <w:spacing w:after="0"/>
              <w:rPr>
                <w:sz w:val="20"/>
                <w:szCs w:val="20"/>
                <w:color w:val="auto"/>
              </w:rPr>
            </w:pPr>
            <w:r>
              <w:rPr>
                <w:rFonts w:ascii="Arial" w:cs="Arial" w:eastAsia="Arial" w:hAnsi="Arial"/>
                <w:sz w:val="14"/>
                <w:szCs w:val="14"/>
                <w:b w:val="1"/>
                <w:bCs w:val="1"/>
                <w:color w:val="auto"/>
              </w:rPr>
              <w:t>Finance /</w:t>
            </w:r>
          </w:p>
        </w:tc>
        <w:tc>
          <w:tcPr>
            <w:tcW w:w="1320" w:type="dxa"/>
            <w:vAlign w:val="bottom"/>
          </w:tcPr>
          <w:p>
            <w:pPr>
              <w:jc w:val="center"/>
              <w:ind w:right="308"/>
              <w:spacing w:after="0"/>
              <w:rPr>
                <w:sz w:val="20"/>
                <w:szCs w:val="20"/>
                <w:color w:val="auto"/>
              </w:rPr>
            </w:pPr>
            <w:r>
              <w:rPr>
                <w:rFonts w:ascii="Arial" w:cs="Arial" w:eastAsia="Arial" w:hAnsi="Arial"/>
                <w:sz w:val="14"/>
                <w:szCs w:val="14"/>
                <w:b w:val="1"/>
                <w:bCs w:val="1"/>
                <w:color w:val="auto"/>
              </w:rPr>
              <w:t>International</w:t>
            </w:r>
          </w:p>
        </w:tc>
        <w:tc>
          <w:tcPr>
            <w:tcW w:w="1480" w:type="dxa"/>
            <w:vAlign w:val="bottom"/>
            <w:gridSpan w:val="2"/>
          </w:tcPr>
          <w:p>
            <w:pPr>
              <w:jc w:val="center"/>
              <w:ind w:right="308"/>
              <w:spacing w:after="0"/>
              <w:rPr>
                <w:sz w:val="20"/>
                <w:szCs w:val="20"/>
                <w:color w:val="auto"/>
              </w:rPr>
            </w:pPr>
            <w:r>
              <w:rPr>
                <w:rFonts w:ascii="Arial" w:cs="Arial" w:eastAsia="Arial" w:hAnsi="Arial"/>
                <w:sz w:val="14"/>
                <w:szCs w:val="14"/>
                <w:b w:val="1"/>
                <w:bCs w:val="1"/>
                <w:color w:val="auto"/>
              </w:rPr>
              <w:t>Healthcare</w:t>
            </w:r>
          </w:p>
        </w:tc>
        <w:tc>
          <w:tcPr>
            <w:tcW w:w="700" w:type="dxa"/>
            <w:vAlign w:val="bottom"/>
          </w:tcPr>
          <w:p>
            <w:pPr>
              <w:ind w:left="20"/>
              <w:spacing w:after="0"/>
              <w:rPr>
                <w:sz w:val="20"/>
                <w:szCs w:val="20"/>
                <w:color w:val="auto"/>
              </w:rPr>
            </w:pPr>
            <w:r>
              <w:rPr>
                <w:rFonts w:ascii="Arial" w:cs="Arial" w:eastAsia="Arial" w:hAnsi="Arial"/>
                <w:sz w:val="14"/>
                <w:szCs w:val="14"/>
                <w:b w:val="1"/>
                <w:bCs w:val="1"/>
                <w:color w:val="auto"/>
              </w:rPr>
              <w:t>Science /</w:t>
            </w:r>
          </w:p>
        </w:tc>
        <w:tc>
          <w:tcPr>
            <w:tcW w:w="0" w:type="dxa"/>
            <w:vAlign w:val="bottom"/>
          </w:tcPr>
          <w:p>
            <w:pPr>
              <w:spacing w:after="0"/>
              <w:rPr>
                <w:sz w:val="1"/>
                <w:szCs w:val="1"/>
                <w:color w:val="auto"/>
              </w:rPr>
            </w:pPr>
          </w:p>
        </w:tc>
      </w:tr>
      <w:tr>
        <w:trPr>
          <w:trHeight w:val="196"/>
        </w:trPr>
        <w:tc>
          <w:tcPr>
            <w:tcW w:w="1340" w:type="dxa"/>
            <w:vAlign w:val="bottom"/>
          </w:tcPr>
          <w:p>
            <w:pPr>
              <w:jc w:val="center"/>
              <w:ind w:right="488"/>
              <w:spacing w:after="0"/>
              <w:rPr>
                <w:sz w:val="20"/>
                <w:szCs w:val="20"/>
                <w:color w:val="auto"/>
              </w:rPr>
            </w:pPr>
            <w:r>
              <w:rPr>
                <w:rFonts w:ascii="Arial" w:cs="Arial" w:eastAsia="Arial" w:hAnsi="Arial"/>
                <w:sz w:val="14"/>
                <w:szCs w:val="14"/>
                <w:b w:val="1"/>
                <w:bCs w:val="1"/>
                <w:color w:val="auto"/>
              </w:rPr>
              <w:t>Leadership</w:t>
            </w:r>
          </w:p>
        </w:tc>
        <w:tc>
          <w:tcPr>
            <w:tcW w:w="1380" w:type="dxa"/>
            <w:vAlign w:val="bottom"/>
            <w:gridSpan w:val="2"/>
          </w:tcPr>
          <w:p>
            <w:pPr>
              <w:jc w:val="center"/>
              <w:ind w:right="468"/>
              <w:spacing w:after="0"/>
              <w:rPr>
                <w:sz w:val="20"/>
                <w:szCs w:val="20"/>
                <w:color w:val="auto"/>
              </w:rPr>
            </w:pPr>
            <w:r>
              <w:rPr>
                <w:rFonts w:ascii="Arial" w:cs="Arial" w:eastAsia="Arial" w:hAnsi="Arial"/>
                <w:sz w:val="14"/>
                <w:szCs w:val="14"/>
                <w:b w:val="1"/>
                <w:bCs w:val="1"/>
                <w:color w:val="auto"/>
              </w:rPr>
              <w:t>Accounting</w:t>
            </w:r>
          </w:p>
        </w:tc>
        <w:tc>
          <w:tcPr>
            <w:tcW w:w="1320" w:type="dxa"/>
            <w:vAlign w:val="bottom"/>
          </w:tcPr>
          <w:p>
            <w:pPr>
              <w:jc w:val="center"/>
              <w:ind w:right="328"/>
              <w:spacing w:after="0"/>
              <w:rPr>
                <w:sz w:val="20"/>
                <w:szCs w:val="20"/>
                <w:color w:val="auto"/>
              </w:rPr>
            </w:pPr>
            <w:r>
              <w:rPr>
                <w:rFonts w:ascii="Arial" w:cs="Arial" w:eastAsia="Arial" w:hAnsi="Arial"/>
                <w:sz w:val="14"/>
                <w:szCs w:val="14"/>
                <w:b w:val="1"/>
                <w:bCs w:val="1"/>
                <w:color w:val="auto"/>
              </w:rPr>
              <w:t>Business</w:t>
            </w:r>
          </w:p>
        </w:tc>
        <w:tc>
          <w:tcPr>
            <w:tcW w:w="260" w:type="dxa"/>
            <w:vAlign w:val="bottom"/>
          </w:tcPr>
          <w:p>
            <w:pPr>
              <w:spacing w:after="0"/>
              <w:rPr>
                <w:sz w:val="17"/>
                <w:szCs w:val="17"/>
                <w:color w:val="auto"/>
              </w:rPr>
            </w:pPr>
          </w:p>
        </w:tc>
        <w:tc>
          <w:tcPr>
            <w:tcW w:w="1220" w:type="dxa"/>
            <w:vAlign w:val="bottom"/>
          </w:tcPr>
          <w:p>
            <w:pPr>
              <w:jc w:val="center"/>
              <w:ind w:right="568"/>
              <w:spacing w:after="0"/>
              <w:rPr>
                <w:sz w:val="20"/>
                <w:szCs w:val="20"/>
                <w:color w:val="auto"/>
              </w:rPr>
            </w:pPr>
            <w:r>
              <w:rPr>
                <w:rFonts w:ascii="Arial" w:cs="Arial" w:eastAsia="Arial" w:hAnsi="Arial"/>
                <w:sz w:val="14"/>
                <w:szCs w:val="14"/>
                <w:b w:val="1"/>
                <w:bCs w:val="1"/>
                <w:color w:val="auto"/>
              </w:rPr>
              <w:t>Industry</w:t>
            </w:r>
          </w:p>
        </w:tc>
        <w:tc>
          <w:tcPr>
            <w:tcW w:w="700" w:type="dxa"/>
            <w:vAlign w:val="bottom"/>
          </w:tcPr>
          <w:p>
            <w:pPr>
              <w:ind w:left="20"/>
              <w:spacing w:after="0"/>
              <w:rPr>
                <w:sz w:val="20"/>
                <w:szCs w:val="20"/>
                <w:color w:val="auto"/>
              </w:rPr>
            </w:pPr>
            <w:r>
              <w:rPr>
                <w:rFonts w:ascii="Arial" w:cs="Arial" w:eastAsia="Arial" w:hAnsi="Arial"/>
                <w:sz w:val="14"/>
                <w:szCs w:val="14"/>
                <w:b w:val="1"/>
                <w:bCs w:val="1"/>
                <w:color w:val="auto"/>
                <w:w w:val="99"/>
              </w:rPr>
              <w:t>Academia</w:t>
            </w:r>
          </w:p>
        </w:tc>
        <w:tc>
          <w:tcPr>
            <w:tcW w:w="0" w:type="dxa"/>
            <w:vAlign w:val="bottom"/>
          </w:tcPr>
          <w:p>
            <w:pPr>
              <w:spacing w:after="0"/>
              <w:rPr>
                <w:sz w:val="1"/>
                <w:szCs w:val="1"/>
                <w:color w:val="auto"/>
              </w:rPr>
            </w:pPr>
          </w:p>
        </w:tc>
      </w:tr>
      <w:tr>
        <w:trPr>
          <w:trHeight w:val="438"/>
        </w:trPr>
        <w:tc>
          <w:tcPr>
            <w:tcW w:w="1340" w:type="dxa"/>
            <w:vAlign w:val="bottom"/>
          </w:tcPr>
          <w:p>
            <w:pPr>
              <w:ind w:left="480"/>
              <w:spacing w:after="0"/>
              <w:rPr>
                <w:sz w:val="20"/>
                <w:szCs w:val="20"/>
                <w:color w:val="auto"/>
              </w:rPr>
            </w:pPr>
            <w:r>
              <w:rPr>
                <w:rFonts w:ascii="Arial" w:cs="Arial" w:eastAsia="Arial" w:hAnsi="Arial"/>
                <w:sz w:val="14"/>
                <w:szCs w:val="14"/>
                <w:b w:val="1"/>
                <w:bCs w:val="1"/>
                <w:color w:val="auto"/>
              </w:rPr>
              <w:t>Government</w:t>
            </w:r>
          </w:p>
        </w:tc>
        <w:tc>
          <w:tcPr>
            <w:tcW w:w="80" w:type="dxa"/>
            <w:vAlign w:val="bottom"/>
          </w:tcPr>
          <w:p>
            <w:pPr>
              <w:spacing w:after="0"/>
              <w:rPr>
                <w:sz w:val="24"/>
                <w:szCs w:val="24"/>
                <w:color w:val="auto"/>
              </w:rPr>
            </w:pPr>
          </w:p>
        </w:tc>
        <w:tc>
          <w:tcPr>
            <w:tcW w:w="1300" w:type="dxa"/>
            <w:vAlign w:val="bottom"/>
            <w:vMerge w:val="restart"/>
          </w:tcPr>
          <w:p>
            <w:pPr>
              <w:ind w:left="600"/>
              <w:spacing w:after="0"/>
              <w:rPr>
                <w:sz w:val="20"/>
                <w:szCs w:val="20"/>
                <w:color w:val="auto"/>
              </w:rPr>
            </w:pPr>
            <w:r>
              <w:rPr>
                <w:rFonts w:ascii="Arial" w:cs="Arial" w:eastAsia="Arial" w:hAnsi="Arial"/>
                <w:sz w:val="14"/>
                <w:szCs w:val="14"/>
                <w:b w:val="1"/>
                <w:bCs w:val="1"/>
                <w:color w:val="auto"/>
              </w:rPr>
              <w:t>Sales /</w:t>
            </w:r>
          </w:p>
        </w:tc>
        <w:tc>
          <w:tcPr>
            <w:tcW w:w="1580" w:type="dxa"/>
            <w:vAlign w:val="bottom"/>
            <w:gridSpan w:val="2"/>
            <w:vMerge w:val="restart"/>
          </w:tcPr>
          <w:p>
            <w:pPr>
              <w:ind w:left="700"/>
              <w:spacing w:after="0"/>
              <w:rPr>
                <w:sz w:val="20"/>
                <w:szCs w:val="20"/>
                <w:color w:val="auto"/>
              </w:rPr>
            </w:pPr>
            <w:r>
              <w:rPr>
                <w:rFonts w:ascii="Arial" w:cs="Arial" w:eastAsia="Arial" w:hAnsi="Arial"/>
                <w:sz w:val="14"/>
                <w:szCs w:val="14"/>
                <w:b w:val="1"/>
                <w:bCs w:val="1"/>
                <w:color w:val="auto"/>
                <w:w w:val="99"/>
              </w:rPr>
              <w:t>Technology /</w:t>
            </w:r>
          </w:p>
        </w:tc>
        <w:tc>
          <w:tcPr>
            <w:tcW w:w="1920" w:type="dxa"/>
            <w:vAlign w:val="bottom"/>
            <w:gridSpan w:val="2"/>
            <w:vMerge w:val="restart"/>
          </w:tcPr>
          <w:p>
            <w:pPr>
              <w:ind w:left="620"/>
              <w:spacing w:after="0"/>
              <w:rPr>
                <w:sz w:val="20"/>
                <w:szCs w:val="20"/>
                <w:color w:val="auto"/>
              </w:rPr>
            </w:pPr>
            <w:r>
              <w:rPr>
                <w:rFonts w:ascii="Arial" w:cs="Arial" w:eastAsia="Arial" w:hAnsi="Arial"/>
                <w:sz w:val="14"/>
                <w:szCs w:val="14"/>
                <w:b w:val="1"/>
                <w:bCs w:val="1"/>
                <w:color w:val="auto"/>
              </w:rPr>
              <w:t>Operations /</w:t>
            </w:r>
          </w:p>
        </w:tc>
        <w:tc>
          <w:tcPr>
            <w:tcW w:w="0" w:type="dxa"/>
            <w:vAlign w:val="bottom"/>
          </w:tcPr>
          <w:p>
            <w:pPr>
              <w:spacing w:after="0"/>
              <w:rPr>
                <w:sz w:val="1"/>
                <w:szCs w:val="1"/>
                <w:color w:val="auto"/>
              </w:rPr>
            </w:pPr>
          </w:p>
        </w:tc>
      </w:tr>
      <w:tr>
        <w:trPr>
          <w:trHeight w:val="144"/>
        </w:trPr>
        <w:tc>
          <w:tcPr>
            <w:tcW w:w="1340" w:type="dxa"/>
            <w:vAlign w:val="bottom"/>
          </w:tcPr>
          <w:p>
            <w:pPr>
              <w:ind w:left="480"/>
              <w:spacing w:after="0" w:line="145" w:lineRule="exact"/>
              <w:rPr>
                <w:sz w:val="20"/>
                <w:szCs w:val="20"/>
                <w:color w:val="auto"/>
              </w:rPr>
            </w:pPr>
            <w:r>
              <w:rPr>
                <w:rFonts w:ascii="Arial" w:cs="Arial" w:eastAsia="Arial" w:hAnsi="Arial"/>
                <w:sz w:val="14"/>
                <w:szCs w:val="14"/>
                <w:b w:val="1"/>
                <w:bCs w:val="1"/>
                <w:color w:val="auto"/>
              </w:rPr>
              <w:t>Relations /</w:t>
            </w:r>
          </w:p>
        </w:tc>
        <w:tc>
          <w:tcPr>
            <w:tcW w:w="8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1420" w:type="dxa"/>
            <w:vAlign w:val="bottom"/>
            <w:gridSpan w:val="2"/>
          </w:tcPr>
          <w:p>
            <w:pPr>
              <w:ind w:left="480"/>
              <w:spacing w:after="0"/>
              <w:rPr>
                <w:sz w:val="20"/>
                <w:szCs w:val="20"/>
                <w:color w:val="auto"/>
              </w:rPr>
            </w:pPr>
            <w:r>
              <w:rPr>
                <w:rFonts w:ascii="Arial" w:cs="Arial" w:eastAsia="Arial" w:hAnsi="Arial"/>
                <w:sz w:val="14"/>
                <w:szCs w:val="14"/>
                <w:b w:val="1"/>
                <w:bCs w:val="1"/>
                <w:color w:val="auto"/>
              </w:rPr>
              <w:t>Public Policy</w:t>
            </w:r>
          </w:p>
        </w:tc>
        <w:tc>
          <w:tcPr>
            <w:tcW w:w="1300" w:type="dxa"/>
            <w:vAlign w:val="bottom"/>
          </w:tcPr>
          <w:p>
            <w:pPr>
              <w:ind w:left="600"/>
              <w:spacing w:after="0"/>
              <w:rPr>
                <w:sz w:val="20"/>
                <w:szCs w:val="20"/>
                <w:color w:val="auto"/>
              </w:rPr>
            </w:pPr>
            <w:r>
              <w:rPr>
                <w:rFonts w:ascii="Arial" w:cs="Arial" w:eastAsia="Arial" w:hAnsi="Arial"/>
                <w:sz w:val="14"/>
                <w:szCs w:val="14"/>
                <w:b w:val="1"/>
                <w:bCs w:val="1"/>
                <w:color w:val="auto"/>
              </w:rPr>
              <w:t>Marketing</w:t>
            </w:r>
          </w:p>
        </w:tc>
        <w:tc>
          <w:tcPr>
            <w:tcW w:w="1320" w:type="dxa"/>
            <w:vAlign w:val="bottom"/>
          </w:tcPr>
          <w:p>
            <w:pPr>
              <w:ind w:left="700"/>
              <w:spacing w:after="0"/>
              <w:rPr>
                <w:sz w:val="20"/>
                <w:szCs w:val="20"/>
                <w:color w:val="auto"/>
              </w:rPr>
            </w:pPr>
            <w:r>
              <w:rPr>
                <w:rFonts w:ascii="Arial" w:cs="Arial" w:eastAsia="Arial" w:hAnsi="Arial"/>
                <w:sz w:val="14"/>
                <w:szCs w:val="14"/>
                <w:b w:val="1"/>
                <w:bCs w:val="1"/>
                <w:color w:val="auto"/>
              </w:rPr>
              <w:t>Digital</w:t>
            </w:r>
          </w:p>
        </w:tc>
        <w:tc>
          <w:tcPr>
            <w:tcW w:w="260" w:type="dxa"/>
            <w:vAlign w:val="bottom"/>
          </w:tcPr>
          <w:p>
            <w:pPr>
              <w:spacing w:after="0"/>
              <w:rPr>
                <w:sz w:val="17"/>
                <w:szCs w:val="17"/>
                <w:color w:val="auto"/>
              </w:rPr>
            </w:pPr>
          </w:p>
        </w:tc>
        <w:tc>
          <w:tcPr>
            <w:tcW w:w="1220" w:type="dxa"/>
            <w:vAlign w:val="bottom"/>
          </w:tcPr>
          <w:p>
            <w:pPr>
              <w:ind w:left="620"/>
              <w:spacing w:after="0"/>
              <w:rPr>
                <w:sz w:val="20"/>
                <w:szCs w:val="20"/>
                <w:color w:val="auto"/>
              </w:rPr>
            </w:pPr>
            <w:r>
              <w:rPr>
                <w:rFonts w:ascii="Arial" w:cs="Arial" w:eastAsia="Arial" w:hAnsi="Arial"/>
                <w:sz w:val="14"/>
                <w:szCs w:val="14"/>
                <w:b w:val="1"/>
                <w:bCs w:val="1"/>
                <w:color w:val="auto"/>
              </w:rPr>
              <w:t>Strategy</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1029335</wp:posOffset>
            </wp:positionH>
            <wp:positionV relativeFrom="paragraph">
              <wp:posOffset>-264160</wp:posOffset>
            </wp:positionV>
            <wp:extent cx="214630" cy="21463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1989455</wp:posOffset>
            </wp:positionH>
            <wp:positionV relativeFrom="paragraph">
              <wp:posOffset>-264160</wp:posOffset>
            </wp:positionV>
            <wp:extent cx="214630" cy="21463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2863850</wp:posOffset>
            </wp:positionH>
            <wp:positionV relativeFrom="paragraph">
              <wp:posOffset>-264160</wp:posOffset>
            </wp:positionV>
            <wp:extent cx="214630" cy="21463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3823970</wp:posOffset>
            </wp:positionH>
            <wp:positionV relativeFrom="paragraph">
              <wp:posOffset>-264160</wp:posOffset>
            </wp:positionV>
            <wp:extent cx="214630" cy="21463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ectPr>
          <w:pgSz w:w="11900" w:h="16838" w:orient="portrait"/>
          <w:cols w:equalWidth="0" w:num="1">
            <w:col w:w="10119"/>
          </w:cols>
          <w:pgMar w:left="340" w:top="971" w:right="1440" w:bottom="1440" w:gutter="0" w:footer="0" w:header="0"/>
          <w:type w:val="continuous"/>
        </w:sectPr>
      </w:pPr>
    </w:p>
    <w:p>
      <w:pPr>
        <w:spacing w:after="0" w:line="200" w:lineRule="exact"/>
        <w:rPr>
          <w:sz w:val="20"/>
          <w:szCs w:val="20"/>
          <w:color w:val="auto"/>
        </w:rPr>
      </w:pPr>
    </w:p>
    <w:p>
      <w:pPr>
        <w:spacing w:after="0" w:line="315" w:lineRule="exact"/>
        <w:rPr>
          <w:sz w:val="20"/>
          <w:szCs w:val="20"/>
          <w:color w:val="auto"/>
        </w:rPr>
      </w:pPr>
    </w:p>
    <w:p>
      <w:pPr>
        <w:ind w:left="5500"/>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154940</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971" w:right="1440" w:bottom="1440" w:gutter="0" w:footer="0" w:header="0"/>
          <w:type w:val="continuous"/>
        </w:sectPr>
      </w:pPr>
    </w:p>
    <w:bookmarkStart w:id="26" w:name="page27"/>
    <w:bookmarkEnd w:id="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250825</wp:posOffset>
            </wp:positionH>
            <wp:positionV relativeFrom="page">
              <wp:posOffset>688975</wp:posOffset>
            </wp:positionV>
            <wp:extent cx="1303020" cy="130302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clrChange>
                        <a:clrFrom>
                          <a:srgbClr val="FFFFFF"/>
                        </a:clrFrom>
                        <a:clrTo>
                          <a:srgbClr val="FFFFFF">
                            <a:alpha val="0"/>
                          </a:srgbClr>
                        </a:clrTo>
                      </a:clrChange>
                      <a:extLst>
                        <a:ext uri="{28A0092B-C50C-407E-A947-70E740481C1C}"/>
                      </a:extLst>
                    </a:blip>
                    <a:srcRect/>
                    <a:stretch>
                      <a:fillRect/>
                    </a:stretch>
                  </pic:blipFill>
                  <pic:spPr bwMode="auto">
                    <a:xfrm>
                      <a:off x="0" y="0"/>
                      <a:ext cx="1303020" cy="130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22"/>
          <w:szCs w:val="22"/>
          <w:b w:val="1"/>
          <w:bCs w:val="1"/>
          <w:color w:val="EF3729"/>
        </w:rPr>
        <w:t>Jamere Jackson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88900</wp:posOffset>
            </wp:positionV>
            <wp:extent cx="138874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388745" cy="8255"/>
                    </a:xfrm>
                    <a:prstGeom prst="rect">
                      <a:avLst/>
                    </a:prstGeom>
                    <a:noFill/>
                  </pic:spPr>
                </pic:pic>
              </a:graphicData>
            </a:graphic>
          </wp:anchor>
        </w:drawing>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56</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2016</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Committees:</w:t>
      </w:r>
    </w:p>
    <w:p>
      <w:pPr>
        <w:spacing w:after="0" w:line="59" w:lineRule="exact"/>
        <w:rPr>
          <w:sz w:val="20"/>
          <w:szCs w:val="20"/>
          <w:color w:val="auto"/>
        </w:rPr>
      </w:pPr>
    </w:p>
    <w:p>
      <w:pPr>
        <w:ind w:left="160"/>
        <w:spacing w:after="0"/>
        <w:rPr>
          <w:sz w:val="20"/>
          <w:szCs w:val="20"/>
          <w:color w:val="auto"/>
        </w:rPr>
      </w:pPr>
      <w:r>
        <w:rPr>
          <w:rFonts w:ascii="Arial" w:cs="Arial" w:eastAsia="Arial" w:hAnsi="Arial"/>
          <w:sz w:val="16"/>
          <w:szCs w:val="16"/>
          <w:color w:val="auto"/>
        </w:rPr>
        <w:t>– Audit (Chair)</w:t>
      </w:r>
    </w:p>
    <w:p>
      <w:pPr>
        <w:spacing w:after="0" w:line="72" w:lineRule="exact"/>
        <w:rPr>
          <w:sz w:val="20"/>
          <w:szCs w:val="20"/>
          <w:color w:val="auto"/>
        </w:rPr>
      </w:pPr>
    </w:p>
    <w:p>
      <w:pPr>
        <w:ind w:left="340" w:hanging="162"/>
        <w:spacing w:after="0" w:line="281" w:lineRule="auto"/>
        <w:rPr>
          <w:sz w:val="20"/>
          <w:szCs w:val="20"/>
          <w:color w:val="auto"/>
        </w:rPr>
      </w:pPr>
      <w:r>
        <w:rPr>
          <w:rFonts w:ascii="Arial" w:cs="Arial" w:eastAsia="Arial" w:hAnsi="Arial"/>
          <w:sz w:val="16"/>
          <w:szCs w:val="16"/>
          <w:color w:val="auto"/>
        </w:rPr>
        <w:t>– Directors and Corporate Governance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Public Boards:</w:t>
      </w:r>
    </w:p>
    <w:p>
      <w:pPr>
        <w:spacing w:after="0" w:line="7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 None</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Prior Public</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Boards:</w:t>
      </w:r>
    </w:p>
    <w:p>
      <w:pPr>
        <w:spacing w:after="0" w:line="4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 Hibbett, Inc.</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55245</wp:posOffset>
            </wp:positionV>
            <wp:extent cx="925830" cy="30861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925830" cy="308610"/>
                    </a:xfrm>
                    <a:prstGeom prst="rect">
                      <a:avLst/>
                    </a:prstGeom>
                    <a:noFill/>
                  </pic:spPr>
                </pic:pic>
              </a:graphicData>
            </a:graphic>
          </wp:anchor>
        </w:drawing>
        <w:drawing>
          <wp:anchor simplePos="0" relativeHeight="251657728" behindDoc="1" locked="0" layoutInCell="0" allowOverlap="1">
            <wp:simplePos x="0" y="0"/>
            <wp:positionH relativeFrom="column">
              <wp:posOffset>746760</wp:posOffset>
            </wp:positionH>
            <wp:positionV relativeFrom="paragraph">
              <wp:posOffset>4349750</wp:posOffset>
            </wp:positionV>
            <wp:extent cx="214630" cy="21463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FFFFFF"/>
        </w:rPr>
        <w:t>KEY EXPERIENCE AND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-135890</wp:posOffset>
            </wp:positionV>
            <wp:extent cx="4260215" cy="183451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4260215" cy="1834515"/>
                    </a:xfrm>
                    <a:prstGeom prst="rect">
                      <a:avLst/>
                    </a:prstGeom>
                    <a:noFill/>
                  </pic:spPr>
                </pic:pic>
              </a:graphicData>
            </a:graphic>
          </wp:anchor>
        </w:drawing>
      </w:r>
    </w:p>
    <w:p>
      <w:pPr>
        <w:spacing w:after="0" w:line="50" w:lineRule="exact"/>
        <w:rPr>
          <w:sz w:val="20"/>
          <w:szCs w:val="20"/>
          <w:color w:val="auto"/>
        </w:rPr>
      </w:pPr>
    </w:p>
    <w:p>
      <w:pPr>
        <w:ind w:right="1639"/>
        <w:spacing w:after="0" w:line="283" w:lineRule="auto"/>
        <w:rPr>
          <w:sz w:val="20"/>
          <w:szCs w:val="20"/>
          <w:color w:val="auto"/>
        </w:rPr>
      </w:pPr>
      <w:r>
        <w:rPr>
          <w:rFonts w:ascii="Arial" w:cs="Arial" w:eastAsia="Arial" w:hAnsi="Arial"/>
          <w:sz w:val="16"/>
          <w:szCs w:val="16"/>
          <w:i w:val="1"/>
          <w:iCs w:val="1"/>
          <w:color w:val="auto"/>
        </w:rPr>
        <w:t>Mr. Jackson brings to the board significant global financial experience and a strong background in strategic planning.</w:t>
      </w:r>
    </w:p>
    <w:p>
      <w:pPr>
        <w:spacing w:after="0" w:line="10" w:lineRule="exact"/>
        <w:rPr>
          <w:sz w:val="20"/>
          <w:szCs w:val="20"/>
          <w:color w:val="auto"/>
        </w:rPr>
      </w:pPr>
    </w:p>
    <w:p>
      <w:pPr>
        <w:ind w:left="660" w:right="1259" w:hanging="332"/>
        <w:spacing w:after="0" w:line="275" w:lineRule="auto"/>
        <w:tabs>
          <w:tab w:leader="none" w:pos="649" w:val="left"/>
        </w:tabs>
        <w:numPr>
          <w:ilvl w:val="0"/>
          <w:numId w:val="66"/>
        </w:numPr>
        <w:rPr>
          <w:rFonts w:ascii="Arial" w:cs="Arial" w:eastAsia="Arial" w:hAnsi="Arial"/>
          <w:sz w:val="16"/>
          <w:szCs w:val="16"/>
          <w:color w:val="auto"/>
        </w:rPr>
      </w:pPr>
      <w:r>
        <w:rPr>
          <w:rFonts w:ascii="Arial" w:cs="Arial" w:eastAsia="Arial" w:hAnsi="Arial"/>
          <w:sz w:val="16"/>
          <w:szCs w:val="16"/>
          <w:color w:val="auto"/>
        </w:rPr>
        <w:t>Mr. Jackson’s global finance experience, including as chief financial officer at multiple Fortune 500 companies, provides extensive knowledge of international business operations and their associated financial complexities.</w:t>
      </w:r>
    </w:p>
    <w:p>
      <w:pPr>
        <w:spacing w:after="0" w:line="2" w:lineRule="exact"/>
        <w:rPr>
          <w:rFonts w:ascii="Arial" w:cs="Arial" w:eastAsia="Arial" w:hAnsi="Arial"/>
          <w:sz w:val="16"/>
          <w:szCs w:val="16"/>
          <w:color w:val="auto"/>
        </w:rPr>
      </w:pPr>
    </w:p>
    <w:p>
      <w:pPr>
        <w:ind w:left="660" w:right="1199" w:hanging="332"/>
        <w:spacing w:after="0" w:line="275" w:lineRule="auto"/>
        <w:tabs>
          <w:tab w:leader="none" w:pos="649" w:val="left"/>
        </w:tabs>
        <w:numPr>
          <w:ilvl w:val="0"/>
          <w:numId w:val="66"/>
        </w:numPr>
        <w:rPr>
          <w:rFonts w:ascii="Arial" w:cs="Arial" w:eastAsia="Arial" w:hAnsi="Arial"/>
          <w:sz w:val="16"/>
          <w:szCs w:val="16"/>
          <w:color w:val="auto"/>
        </w:rPr>
      </w:pPr>
      <w:r>
        <w:rPr>
          <w:rFonts w:ascii="Arial" w:cs="Arial" w:eastAsia="Arial" w:hAnsi="Arial"/>
          <w:sz w:val="16"/>
          <w:szCs w:val="16"/>
          <w:color w:val="auto"/>
        </w:rPr>
        <w:t>Mr. Jackson brings a valuable perspective on the management of complex financial risks and wide-ranging knowledge of finance and accounting matters to his role as Audit Committee Chair.</w:t>
      </w:r>
    </w:p>
    <w:p>
      <w:pPr>
        <w:spacing w:after="0" w:line="2" w:lineRule="exact"/>
        <w:rPr>
          <w:rFonts w:ascii="Arial" w:cs="Arial" w:eastAsia="Arial" w:hAnsi="Arial"/>
          <w:sz w:val="16"/>
          <w:szCs w:val="16"/>
          <w:color w:val="auto"/>
        </w:rPr>
      </w:pPr>
    </w:p>
    <w:p>
      <w:pPr>
        <w:ind w:left="660" w:right="1119" w:hanging="332"/>
        <w:spacing w:after="0" w:line="275" w:lineRule="auto"/>
        <w:tabs>
          <w:tab w:leader="none" w:pos="649" w:val="left"/>
        </w:tabs>
        <w:numPr>
          <w:ilvl w:val="0"/>
          <w:numId w:val="66"/>
        </w:numPr>
        <w:rPr>
          <w:rFonts w:ascii="Arial" w:cs="Arial" w:eastAsia="Arial" w:hAnsi="Arial"/>
          <w:sz w:val="16"/>
          <w:szCs w:val="16"/>
          <w:color w:val="auto"/>
        </w:rPr>
      </w:pPr>
      <w:r>
        <w:rPr>
          <w:rFonts w:ascii="Arial" w:cs="Arial" w:eastAsia="Arial" w:hAnsi="Arial"/>
          <w:sz w:val="16"/>
          <w:szCs w:val="16"/>
          <w:color w:val="auto"/>
        </w:rPr>
        <w:t>Mr. Jackson has also held roles in strategic planning and mergers and acquisitions, including responsibility for driving financial rigor, developing strategy and implementing change.</w:t>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00A1DE"/>
        </w:rPr>
        <w:t>CAREER HIGHLIGHTS</w:t>
      </w:r>
    </w:p>
    <w:p>
      <w:pPr>
        <w:spacing w:after="0" w:line="40" w:lineRule="exact"/>
        <w:rPr>
          <w:sz w:val="20"/>
          <w:szCs w:val="20"/>
          <w:color w:val="auto"/>
        </w:rPr>
      </w:pPr>
    </w:p>
    <w:p>
      <w:pPr>
        <w:ind w:left="660" w:right="1359" w:hanging="332"/>
        <w:spacing w:after="0" w:line="226" w:lineRule="auto"/>
        <w:tabs>
          <w:tab w:leader="none" w:pos="649" w:val="left"/>
        </w:tabs>
        <w:numPr>
          <w:ilvl w:val="0"/>
          <w:numId w:val="67"/>
        </w:numPr>
        <w:rPr>
          <w:rFonts w:ascii="Arial" w:cs="Arial" w:eastAsia="Arial" w:hAnsi="Arial"/>
          <w:sz w:val="16"/>
          <w:szCs w:val="16"/>
          <w:color w:val="auto"/>
        </w:rPr>
      </w:pPr>
      <w:r>
        <w:rPr>
          <w:rFonts w:ascii="Arial" w:cs="Arial" w:eastAsia="Arial" w:hAnsi="Arial"/>
          <w:sz w:val="18"/>
          <w:szCs w:val="18"/>
          <w:b w:val="1"/>
          <w:bCs w:val="1"/>
          <w:color w:val="auto"/>
        </w:rPr>
        <w:t xml:space="preserve">AutoZone, Inc., </w:t>
      </w:r>
      <w:r>
        <w:rPr>
          <w:rFonts w:ascii="Arial" w:cs="Arial" w:eastAsia="Arial" w:hAnsi="Arial"/>
          <w:sz w:val="16"/>
          <w:szCs w:val="16"/>
          <w:color w:val="auto"/>
        </w:rPr>
        <w:t>a leading retailer and distributor of automotive replacement</w:t>
      </w:r>
      <w:r>
        <w:rPr>
          <w:rFonts w:ascii="Arial" w:cs="Arial" w:eastAsia="Arial" w:hAnsi="Arial"/>
          <w:sz w:val="18"/>
          <w:szCs w:val="18"/>
          <w:b w:val="1"/>
          <w:bCs w:val="1"/>
          <w:color w:val="auto"/>
        </w:rPr>
        <w:t xml:space="preserve"> </w:t>
      </w:r>
      <w:r>
        <w:rPr>
          <w:rFonts w:ascii="Arial" w:cs="Arial" w:eastAsia="Arial" w:hAnsi="Arial"/>
          <w:sz w:val="16"/>
          <w:szCs w:val="16"/>
          <w:color w:val="auto"/>
        </w:rPr>
        <w:t>parts and accessories in the United States, Mexico and Brazil</w:t>
      </w:r>
    </w:p>
    <w:p>
      <w:pPr>
        <w:spacing w:after="0" w:line="29"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4"/>
          <w:szCs w:val="14"/>
          <w:color w:val="auto"/>
        </w:rPr>
        <w:t xml:space="preserve">–   </w:t>
      </w:r>
      <w:r>
        <w:rPr>
          <w:rFonts w:ascii="Arial" w:cs="Arial" w:eastAsia="Arial" w:hAnsi="Arial"/>
          <w:sz w:val="16"/>
          <w:szCs w:val="16"/>
          <w:color w:val="auto"/>
        </w:rPr>
        <w:t>Chief Financial Officer (2020 - present)</w:t>
      </w:r>
    </w:p>
    <w:p>
      <w:pPr>
        <w:spacing w:after="0" w:line="54" w:lineRule="exact"/>
        <w:rPr>
          <w:rFonts w:ascii="Arial" w:cs="Arial" w:eastAsia="Arial" w:hAnsi="Arial"/>
          <w:sz w:val="16"/>
          <w:szCs w:val="16"/>
          <w:color w:val="auto"/>
        </w:rPr>
      </w:pPr>
    </w:p>
    <w:p>
      <w:pPr>
        <w:ind w:left="660" w:right="1719" w:hanging="332"/>
        <w:spacing w:after="0" w:line="236" w:lineRule="auto"/>
        <w:tabs>
          <w:tab w:leader="none" w:pos="649" w:val="left"/>
        </w:tabs>
        <w:numPr>
          <w:ilvl w:val="0"/>
          <w:numId w:val="67"/>
        </w:numPr>
        <w:rPr>
          <w:rFonts w:ascii="Arial" w:cs="Arial" w:eastAsia="Arial" w:hAnsi="Arial"/>
          <w:sz w:val="16"/>
          <w:szCs w:val="16"/>
          <w:color w:val="auto"/>
        </w:rPr>
      </w:pPr>
      <w:r>
        <w:rPr>
          <w:rFonts w:ascii="Arial" w:cs="Arial" w:eastAsia="Arial" w:hAnsi="Arial"/>
          <w:sz w:val="18"/>
          <w:szCs w:val="18"/>
          <w:b w:val="1"/>
          <w:bCs w:val="1"/>
          <w:color w:val="auto"/>
        </w:rPr>
        <w:t xml:space="preserve">Hertz Global Holdings, Inc., </w:t>
      </w:r>
      <w:r>
        <w:rPr>
          <w:rFonts w:ascii="Arial" w:cs="Arial" w:eastAsia="Arial" w:hAnsi="Arial"/>
          <w:sz w:val="16"/>
          <w:szCs w:val="16"/>
          <w:color w:val="auto"/>
        </w:rPr>
        <w:t>a global vehicle rental, leasing and fleet</w:t>
      </w:r>
      <w:r>
        <w:rPr>
          <w:rFonts w:ascii="Arial" w:cs="Arial" w:eastAsia="Arial" w:hAnsi="Arial"/>
          <w:sz w:val="18"/>
          <w:szCs w:val="18"/>
          <w:b w:val="1"/>
          <w:bCs w:val="1"/>
          <w:color w:val="auto"/>
        </w:rPr>
        <w:t xml:space="preserve"> </w:t>
      </w:r>
      <w:r>
        <w:rPr>
          <w:rFonts w:ascii="Arial" w:cs="Arial" w:eastAsia="Arial" w:hAnsi="Arial"/>
          <w:sz w:val="16"/>
          <w:szCs w:val="16"/>
          <w:color w:val="auto"/>
        </w:rPr>
        <w:t>management business</w:t>
      </w:r>
    </w:p>
    <w:p>
      <w:pPr>
        <w:spacing w:after="0" w:line="29"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4"/>
          <w:szCs w:val="14"/>
          <w:color w:val="auto"/>
        </w:rPr>
        <w:t xml:space="preserve">–   </w:t>
      </w:r>
      <w:r>
        <w:rPr>
          <w:rFonts w:ascii="Arial" w:cs="Arial" w:eastAsia="Arial" w:hAnsi="Arial"/>
          <w:sz w:val="16"/>
          <w:szCs w:val="16"/>
          <w:color w:val="auto"/>
        </w:rPr>
        <w:t>Chief Financial Officer (2018 - 2020)</w:t>
      </w:r>
    </w:p>
    <w:p>
      <w:pPr>
        <w:spacing w:after="0" w:line="54" w:lineRule="exact"/>
        <w:rPr>
          <w:rFonts w:ascii="Arial" w:cs="Arial" w:eastAsia="Arial" w:hAnsi="Arial"/>
          <w:sz w:val="16"/>
          <w:szCs w:val="16"/>
          <w:color w:val="auto"/>
        </w:rPr>
      </w:pPr>
    </w:p>
    <w:p>
      <w:pPr>
        <w:ind w:left="640" w:hanging="312"/>
        <w:spacing w:after="0"/>
        <w:tabs>
          <w:tab w:leader="none" w:pos="640" w:val="left"/>
        </w:tabs>
        <w:numPr>
          <w:ilvl w:val="0"/>
          <w:numId w:val="67"/>
        </w:numPr>
        <w:rPr>
          <w:rFonts w:ascii="Arial" w:cs="Arial" w:eastAsia="Arial" w:hAnsi="Arial"/>
          <w:sz w:val="16"/>
          <w:szCs w:val="16"/>
          <w:color w:val="auto"/>
        </w:rPr>
      </w:pPr>
      <w:r>
        <w:rPr>
          <w:rFonts w:ascii="Arial" w:cs="Arial" w:eastAsia="Arial" w:hAnsi="Arial"/>
          <w:sz w:val="18"/>
          <w:szCs w:val="18"/>
          <w:b w:val="1"/>
          <w:bCs w:val="1"/>
          <w:color w:val="auto"/>
        </w:rPr>
        <w:t xml:space="preserve">Nielsen Holdings plc, </w:t>
      </w:r>
      <w:r>
        <w:rPr>
          <w:rFonts w:ascii="Arial" w:cs="Arial" w:eastAsia="Arial" w:hAnsi="Arial"/>
          <w:sz w:val="16"/>
          <w:szCs w:val="16"/>
          <w:color w:val="auto"/>
        </w:rPr>
        <w:t>a global measurement and data analytics company</w:t>
      </w:r>
    </w:p>
    <w:p>
      <w:pPr>
        <w:spacing w:after="0" w:line="67"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4"/>
          <w:szCs w:val="14"/>
          <w:color w:val="auto"/>
        </w:rPr>
        <w:t xml:space="preserve">–   </w:t>
      </w:r>
      <w:r>
        <w:rPr>
          <w:rFonts w:ascii="Arial" w:cs="Arial" w:eastAsia="Arial" w:hAnsi="Arial"/>
          <w:sz w:val="16"/>
          <w:szCs w:val="16"/>
          <w:color w:val="auto"/>
        </w:rPr>
        <w:t>Chief Financial Officer (2014 - 2018)</w:t>
      </w:r>
    </w:p>
    <w:p>
      <w:pPr>
        <w:spacing w:after="0" w:line="54" w:lineRule="exact"/>
        <w:rPr>
          <w:rFonts w:ascii="Arial" w:cs="Arial" w:eastAsia="Arial" w:hAnsi="Arial"/>
          <w:sz w:val="16"/>
          <w:szCs w:val="16"/>
          <w:color w:val="auto"/>
        </w:rPr>
      </w:pPr>
    </w:p>
    <w:p>
      <w:pPr>
        <w:ind w:left="660" w:right="1499" w:hanging="332"/>
        <w:spacing w:after="0" w:line="236" w:lineRule="auto"/>
        <w:tabs>
          <w:tab w:leader="none" w:pos="649" w:val="left"/>
        </w:tabs>
        <w:numPr>
          <w:ilvl w:val="0"/>
          <w:numId w:val="67"/>
        </w:numPr>
        <w:rPr>
          <w:rFonts w:ascii="Arial" w:cs="Arial" w:eastAsia="Arial" w:hAnsi="Arial"/>
          <w:sz w:val="16"/>
          <w:szCs w:val="16"/>
          <w:color w:val="auto"/>
        </w:rPr>
      </w:pPr>
      <w:r>
        <w:rPr>
          <w:rFonts w:ascii="Arial" w:cs="Arial" w:eastAsia="Arial" w:hAnsi="Arial"/>
          <w:sz w:val="18"/>
          <w:szCs w:val="18"/>
          <w:b w:val="1"/>
          <w:bCs w:val="1"/>
          <w:color w:val="auto"/>
        </w:rPr>
        <w:t xml:space="preserve">General Electric Corporation, </w:t>
      </w:r>
      <w:r>
        <w:rPr>
          <w:rFonts w:ascii="Arial" w:cs="Arial" w:eastAsia="Arial" w:hAnsi="Arial"/>
          <w:sz w:val="16"/>
          <w:szCs w:val="16"/>
          <w:color w:val="auto"/>
        </w:rPr>
        <w:t>an American multinational company and</w:t>
      </w:r>
      <w:r>
        <w:rPr>
          <w:rFonts w:ascii="Arial" w:cs="Arial" w:eastAsia="Arial" w:hAnsi="Arial"/>
          <w:sz w:val="18"/>
          <w:szCs w:val="18"/>
          <w:b w:val="1"/>
          <w:bCs w:val="1"/>
          <w:color w:val="auto"/>
        </w:rPr>
        <w:t xml:space="preserve"> </w:t>
      </w:r>
      <w:r>
        <w:rPr>
          <w:rFonts w:ascii="Arial" w:cs="Arial" w:eastAsia="Arial" w:hAnsi="Arial"/>
          <w:sz w:val="16"/>
          <w:szCs w:val="16"/>
          <w:color w:val="auto"/>
        </w:rPr>
        <w:t>leader in the power renewable energy, aviation and healthcare industries</w:t>
      </w:r>
    </w:p>
    <w:p>
      <w:pPr>
        <w:spacing w:after="0" w:line="16" w:lineRule="exact"/>
        <w:rPr>
          <w:rFonts w:ascii="Arial" w:cs="Arial" w:eastAsia="Arial" w:hAnsi="Arial"/>
          <w:sz w:val="16"/>
          <w:szCs w:val="16"/>
          <w:color w:val="auto"/>
        </w:rPr>
      </w:pPr>
    </w:p>
    <w:p>
      <w:pPr>
        <w:ind w:left="980" w:right="1439" w:hanging="324"/>
        <w:spacing w:after="0" w:line="263" w:lineRule="auto"/>
        <w:rPr>
          <w:rFonts w:ascii="Arial" w:cs="Arial" w:eastAsia="Arial" w:hAnsi="Arial"/>
          <w:sz w:val="16"/>
          <w:szCs w:val="16"/>
          <w:color w:val="auto"/>
        </w:rPr>
      </w:pPr>
      <w:r>
        <w:rPr>
          <w:rFonts w:ascii="Arial" w:cs="Arial" w:eastAsia="Arial" w:hAnsi="Arial"/>
          <w:sz w:val="14"/>
          <w:szCs w:val="14"/>
          <w:color w:val="auto"/>
        </w:rPr>
        <w:t xml:space="preserve">– </w:t>
      </w:r>
      <w:r>
        <w:rPr>
          <w:rFonts w:ascii="Arial" w:cs="Arial" w:eastAsia="Arial" w:hAnsi="Arial"/>
          <w:sz w:val="16"/>
          <w:szCs w:val="16"/>
          <w:color w:val="auto"/>
        </w:rPr>
        <w:t>Vice President and Chief Financial Officer, General Electric Oil and Gas,</w:t>
      </w:r>
      <w:r>
        <w:rPr>
          <w:rFonts w:ascii="Arial" w:cs="Arial" w:eastAsia="Arial" w:hAnsi="Arial"/>
          <w:sz w:val="14"/>
          <w:szCs w:val="14"/>
          <w:color w:val="auto"/>
        </w:rPr>
        <w:t xml:space="preserve"> </w:t>
      </w:r>
      <w:r>
        <w:rPr>
          <w:rFonts w:ascii="Arial" w:cs="Arial" w:eastAsia="Arial" w:hAnsi="Arial"/>
          <w:sz w:val="16"/>
          <w:szCs w:val="16"/>
          <w:color w:val="auto"/>
        </w:rPr>
        <w:t>drilling and surface division (2013 - 2014)</w:t>
      </w:r>
    </w:p>
    <w:p>
      <w:pPr>
        <w:ind w:left="640"/>
        <w:spacing w:after="0"/>
        <w:rPr>
          <w:rFonts w:ascii="Arial" w:cs="Arial" w:eastAsia="Arial" w:hAnsi="Arial"/>
          <w:sz w:val="16"/>
          <w:szCs w:val="16"/>
          <w:color w:val="auto"/>
        </w:rPr>
      </w:pPr>
      <w:r>
        <w:rPr>
          <w:rFonts w:ascii="Arial" w:cs="Arial" w:eastAsia="Arial" w:hAnsi="Arial"/>
          <w:sz w:val="14"/>
          <w:szCs w:val="14"/>
          <w:color w:val="auto"/>
        </w:rPr>
        <w:t xml:space="preserve">–   </w:t>
      </w:r>
      <w:r>
        <w:rPr>
          <w:rFonts w:ascii="Arial" w:cs="Arial" w:eastAsia="Arial" w:hAnsi="Arial"/>
          <w:sz w:val="16"/>
          <w:szCs w:val="16"/>
          <w:color w:val="auto"/>
        </w:rPr>
        <w:t>Senior Executive, Finance, General Electric Aviation (2007 - 2013)</w:t>
      </w:r>
    </w:p>
    <w:p>
      <w:pPr>
        <w:spacing w:after="0" w:line="33"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4"/>
          <w:szCs w:val="14"/>
          <w:color w:val="auto"/>
        </w:rPr>
        <w:t xml:space="preserve">–   </w:t>
      </w:r>
      <w:r>
        <w:rPr>
          <w:rFonts w:ascii="Arial" w:cs="Arial" w:eastAsia="Arial" w:hAnsi="Arial"/>
          <w:sz w:val="16"/>
          <w:szCs w:val="16"/>
          <w:color w:val="auto"/>
        </w:rPr>
        <w:t>Finance Executive, General Electric Corporate (2004 - 2007)</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00A1DE"/>
        </w:rPr>
        <w:t>OTHER HIGHLIGHTS</w:t>
      </w:r>
    </w:p>
    <w:p>
      <w:pPr>
        <w:spacing w:after="0" w:line="68" w:lineRule="exact"/>
        <w:rPr>
          <w:sz w:val="20"/>
          <w:szCs w:val="20"/>
          <w:color w:val="auto"/>
        </w:rPr>
      </w:pPr>
    </w:p>
    <w:p>
      <w:pPr>
        <w:ind w:left="640" w:hanging="312"/>
        <w:spacing w:after="0"/>
        <w:tabs>
          <w:tab w:leader="none" w:pos="640" w:val="left"/>
        </w:tabs>
        <w:numPr>
          <w:ilvl w:val="0"/>
          <w:numId w:val="68"/>
        </w:numPr>
        <w:rPr>
          <w:rFonts w:ascii="Arial" w:cs="Arial" w:eastAsia="Arial" w:hAnsi="Arial"/>
          <w:sz w:val="16"/>
          <w:szCs w:val="16"/>
          <w:color w:val="auto"/>
        </w:rPr>
      </w:pPr>
      <w:r>
        <w:rPr>
          <w:rFonts w:ascii="Arial" w:cs="Arial" w:eastAsia="Arial" w:hAnsi="Arial"/>
          <w:sz w:val="16"/>
          <w:szCs w:val="16"/>
          <w:color w:val="auto"/>
        </w:rPr>
        <w:t>Certified Public Accountant</w:t>
      </w:r>
    </w:p>
    <w:p>
      <w:pPr>
        <w:spacing w:after="0" w:line="59" w:lineRule="exact"/>
        <w:rPr>
          <w:rFonts w:ascii="Arial" w:cs="Arial" w:eastAsia="Arial" w:hAnsi="Arial"/>
          <w:sz w:val="16"/>
          <w:szCs w:val="16"/>
          <w:color w:val="auto"/>
        </w:rPr>
      </w:pPr>
    </w:p>
    <w:p>
      <w:pPr>
        <w:ind w:left="640" w:hanging="312"/>
        <w:spacing w:after="0"/>
        <w:tabs>
          <w:tab w:leader="none" w:pos="640" w:val="left"/>
        </w:tabs>
        <w:numPr>
          <w:ilvl w:val="0"/>
          <w:numId w:val="68"/>
        </w:numPr>
        <w:rPr>
          <w:rFonts w:ascii="Arial" w:cs="Arial" w:eastAsia="Arial" w:hAnsi="Arial"/>
          <w:sz w:val="16"/>
          <w:szCs w:val="16"/>
          <w:color w:val="auto"/>
        </w:rPr>
      </w:pPr>
      <w:r>
        <w:rPr>
          <w:rFonts w:ascii="Arial" w:cs="Arial" w:eastAsia="Arial" w:hAnsi="Arial"/>
          <w:sz w:val="16"/>
          <w:szCs w:val="16"/>
          <w:color w:val="auto"/>
        </w:rPr>
        <w:t>Not-for-profit boards of directors:</w:t>
      </w:r>
    </w:p>
    <w:p>
      <w:pPr>
        <w:spacing w:after="0" w:line="72"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6"/>
          <w:szCs w:val="16"/>
          <w:color w:val="auto"/>
        </w:rPr>
        <w:t>–   Youth Villages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3183890</wp:posOffset>
            </wp:positionV>
            <wp:extent cx="213995" cy="21463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13995" cy="214630"/>
                    </a:xfrm>
                    <a:prstGeom prst="rect">
                      <a:avLst/>
                    </a:prstGeom>
                    <a:noFill/>
                  </pic:spPr>
                </pic:pic>
              </a:graphicData>
            </a:graphic>
          </wp:anchor>
        </w:drawing>
        <w:drawing>
          <wp:anchor simplePos="0" relativeHeight="251657728" behindDoc="1" locked="0" layoutInCell="0" allowOverlap="1">
            <wp:simplePos x="0" y="0"/>
            <wp:positionH relativeFrom="column">
              <wp:posOffset>856615</wp:posOffset>
            </wp:positionH>
            <wp:positionV relativeFrom="paragraph">
              <wp:posOffset>3183890</wp:posOffset>
            </wp:positionV>
            <wp:extent cx="214630" cy="21463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1782445</wp:posOffset>
            </wp:positionH>
            <wp:positionV relativeFrom="paragraph">
              <wp:posOffset>3183890</wp:posOffset>
            </wp:positionV>
            <wp:extent cx="214630" cy="21463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3183890</wp:posOffset>
            </wp:positionV>
            <wp:extent cx="214630" cy="21463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60" w:space="480"/>
            <w:col w:w="7579"/>
          </w:cols>
          <w:pgMar w:left="340" w:top="931" w:right="1440" w:bottom="98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1600" w:type="dxa"/>
        <w:tblCellMar>
          <w:top w:w="0" w:type="dxa"/>
          <w:left w:w="0" w:type="dxa"/>
          <w:bottom w:w="0" w:type="dxa"/>
          <w:right w:w="0" w:type="dxa"/>
        </w:tblCellMar>
      </w:tblPr>
      <w:tr>
        <w:trPr>
          <w:trHeight w:val="175"/>
        </w:trPr>
        <w:tc>
          <w:tcPr>
            <w:tcW w:w="1340" w:type="dxa"/>
            <w:vAlign w:val="bottom"/>
          </w:tcPr>
          <w:p>
            <w:pPr>
              <w:jc w:val="center"/>
              <w:ind w:right="488"/>
              <w:spacing w:after="0"/>
              <w:rPr>
                <w:sz w:val="20"/>
                <w:szCs w:val="20"/>
                <w:color w:val="auto"/>
              </w:rPr>
            </w:pPr>
            <w:r>
              <w:rPr>
                <w:rFonts w:ascii="Arial" w:cs="Arial" w:eastAsia="Arial" w:hAnsi="Arial"/>
                <w:sz w:val="14"/>
                <w:szCs w:val="14"/>
                <w:b w:val="1"/>
                <w:bCs w:val="1"/>
                <w:color w:val="auto"/>
                <w:w w:val="98"/>
              </w:rPr>
              <w:t>CEO</w:t>
            </w:r>
          </w:p>
        </w:tc>
        <w:tc>
          <w:tcPr>
            <w:tcW w:w="80" w:type="dxa"/>
            <w:vAlign w:val="bottom"/>
          </w:tcPr>
          <w:p>
            <w:pPr>
              <w:spacing w:after="0"/>
              <w:rPr>
                <w:sz w:val="15"/>
                <w:szCs w:val="15"/>
                <w:color w:val="auto"/>
              </w:rPr>
            </w:pPr>
          </w:p>
        </w:tc>
        <w:tc>
          <w:tcPr>
            <w:tcW w:w="1300" w:type="dxa"/>
            <w:vAlign w:val="bottom"/>
          </w:tcPr>
          <w:p>
            <w:pPr>
              <w:jc w:val="center"/>
              <w:ind w:right="528"/>
              <w:spacing w:after="0"/>
              <w:rPr>
                <w:sz w:val="20"/>
                <w:szCs w:val="20"/>
                <w:color w:val="auto"/>
              </w:rPr>
            </w:pPr>
            <w:r>
              <w:rPr>
                <w:rFonts w:ascii="Arial" w:cs="Arial" w:eastAsia="Arial" w:hAnsi="Arial"/>
                <w:sz w:val="14"/>
                <w:szCs w:val="14"/>
                <w:b w:val="1"/>
                <w:bCs w:val="1"/>
                <w:color w:val="auto"/>
              </w:rPr>
              <w:t>Finance /</w:t>
            </w:r>
          </w:p>
        </w:tc>
        <w:tc>
          <w:tcPr>
            <w:tcW w:w="1320" w:type="dxa"/>
            <w:vAlign w:val="bottom"/>
          </w:tcPr>
          <w:p>
            <w:pPr>
              <w:jc w:val="center"/>
              <w:ind w:right="308"/>
              <w:spacing w:after="0"/>
              <w:rPr>
                <w:sz w:val="20"/>
                <w:szCs w:val="20"/>
                <w:color w:val="auto"/>
              </w:rPr>
            </w:pPr>
            <w:r>
              <w:rPr>
                <w:rFonts w:ascii="Arial" w:cs="Arial" w:eastAsia="Arial" w:hAnsi="Arial"/>
                <w:sz w:val="14"/>
                <w:szCs w:val="14"/>
                <w:b w:val="1"/>
                <w:bCs w:val="1"/>
                <w:color w:val="auto"/>
              </w:rPr>
              <w:t>International</w:t>
            </w:r>
          </w:p>
        </w:tc>
        <w:tc>
          <w:tcPr>
            <w:tcW w:w="1480" w:type="dxa"/>
            <w:vAlign w:val="bottom"/>
            <w:gridSpan w:val="2"/>
          </w:tcPr>
          <w:p>
            <w:pPr>
              <w:jc w:val="center"/>
              <w:ind w:right="308"/>
              <w:spacing w:after="0"/>
              <w:rPr>
                <w:sz w:val="20"/>
                <w:szCs w:val="20"/>
                <w:color w:val="auto"/>
              </w:rPr>
            </w:pPr>
            <w:r>
              <w:rPr>
                <w:rFonts w:ascii="Arial" w:cs="Arial" w:eastAsia="Arial" w:hAnsi="Arial"/>
                <w:sz w:val="14"/>
                <w:szCs w:val="14"/>
                <w:b w:val="1"/>
                <w:bCs w:val="1"/>
                <w:color w:val="auto"/>
              </w:rPr>
              <w:t>Healthcare</w:t>
            </w:r>
          </w:p>
        </w:tc>
        <w:tc>
          <w:tcPr>
            <w:tcW w:w="700" w:type="dxa"/>
            <w:vAlign w:val="bottom"/>
          </w:tcPr>
          <w:p>
            <w:pPr>
              <w:ind w:left="20"/>
              <w:spacing w:after="0"/>
              <w:rPr>
                <w:sz w:val="20"/>
                <w:szCs w:val="20"/>
                <w:color w:val="auto"/>
              </w:rPr>
            </w:pPr>
            <w:r>
              <w:rPr>
                <w:rFonts w:ascii="Arial" w:cs="Arial" w:eastAsia="Arial" w:hAnsi="Arial"/>
                <w:sz w:val="14"/>
                <w:szCs w:val="14"/>
                <w:b w:val="1"/>
                <w:bCs w:val="1"/>
                <w:color w:val="auto"/>
              </w:rPr>
              <w:t>Science /</w:t>
            </w:r>
          </w:p>
        </w:tc>
        <w:tc>
          <w:tcPr>
            <w:tcW w:w="0" w:type="dxa"/>
            <w:vAlign w:val="bottom"/>
          </w:tcPr>
          <w:p>
            <w:pPr>
              <w:spacing w:after="0"/>
              <w:rPr>
                <w:sz w:val="1"/>
                <w:szCs w:val="1"/>
                <w:color w:val="auto"/>
              </w:rPr>
            </w:pPr>
          </w:p>
        </w:tc>
      </w:tr>
      <w:tr>
        <w:trPr>
          <w:trHeight w:val="196"/>
        </w:trPr>
        <w:tc>
          <w:tcPr>
            <w:tcW w:w="1340" w:type="dxa"/>
            <w:vAlign w:val="bottom"/>
          </w:tcPr>
          <w:p>
            <w:pPr>
              <w:jc w:val="center"/>
              <w:ind w:right="488"/>
              <w:spacing w:after="0"/>
              <w:rPr>
                <w:sz w:val="20"/>
                <w:szCs w:val="20"/>
                <w:color w:val="auto"/>
              </w:rPr>
            </w:pPr>
            <w:r>
              <w:rPr>
                <w:rFonts w:ascii="Arial" w:cs="Arial" w:eastAsia="Arial" w:hAnsi="Arial"/>
                <w:sz w:val="14"/>
                <w:szCs w:val="14"/>
                <w:b w:val="1"/>
                <w:bCs w:val="1"/>
                <w:color w:val="auto"/>
              </w:rPr>
              <w:t>Leadership</w:t>
            </w:r>
          </w:p>
        </w:tc>
        <w:tc>
          <w:tcPr>
            <w:tcW w:w="1380" w:type="dxa"/>
            <w:vAlign w:val="bottom"/>
            <w:gridSpan w:val="2"/>
          </w:tcPr>
          <w:p>
            <w:pPr>
              <w:jc w:val="center"/>
              <w:ind w:right="468"/>
              <w:spacing w:after="0"/>
              <w:rPr>
                <w:sz w:val="20"/>
                <w:szCs w:val="20"/>
                <w:color w:val="auto"/>
              </w:rPr>
            </w:pPr>
            <w:r>
              <w:rPr>
                <w:rFonts w:ascii="Arial" w:cs="Arial" w:eastAsia="Arial" w:hAnsi="Arial"/>
                <w:sz w:val="14"/>
                <w:szCs w:val="14"/>
                <w:b w:val="1"/>
                <w:bCs w:val="1"/>
                <w:color w:val="auto"/>
              </w:rPr>
              <w:t>Accounting</w:t>
            </w:r>
          </w:p>
        </w:tc>
        <w:tc>
          <w:tcPr>
            <w:tcW w:w="1320" w:type="dxa"/>
            <w:vAlign w:val="bottom"/>
          </w:tcPr>
          <w:p>
            <w:pPr>
              <w:jc w:val="center"/>
              <w:ind w:right="328"/>
              <w:spacing w:after="0"/>
              <w:rPr>
                <w:sz w:val="20"/>
                <w:szCs w:val="20"/>
                <w:color w:val="auto"/>
              </w:rPr>
            </w:pPr>
            <w:r>
              <w:rPr>
                <w:rFonts w:ascii="Arial" w:cs="Arial" w:eastAsia="Arial" w:hAnsi="Arial"/>
                <w:sz w:val="14"/>
                <w:szCs w:val="14"/>
                <w:b w:val="1"/>
                <w:bCs w:val="1"/>
                <w:color w:val="auto"/>
              </w:rPr>
              <w:t>Business</w:t>
            </w:r>
          </w:p>
        </w:tc>
        <w:tc>
          <w:tcPr>
            <w:tcW w:w="260" w:type="dxa"/>
            <w:vAlign w:val="bottom"/>
          </w:tcPr>
          <w:p>
            <w:pPr>
              <w:spacing w:after="0"/>
              <w:rPr>
                <w:sz w:val="17"/>
                <w:szCs w:val="17"/>
                <w:color w:val="auto"/>
              </w:rPr>
            </w:pPr>
          </w:p>
        </w:tc>
        <w:tc>
          <w:tcPr>
            <w:tcW w:w="1220" w:type="dxa"/>
            <w:vAlign w:val="bottom"/>
          </w:tcPr>
          <w:p>
            <w:pPr>
              <w:jc w:val="center"/>
              <w:ind w:right="568"/>
              <w:spacing w:after="0"/>
              <w:rPr>
                <w:sz w:val="20"/>
                <w:szCs w:val="20"/>
                <w:color w:val="auto"/>
              </w:rPr>
            </w:pPr>
            <w:r>
              <w:rPr>
                <w:rFonts w:ascii="Arial" w:cs="Arial" w:eastAsia="Arial" w:hAnsi="Arial"/>
                <w:sz w:val="14"/>
                <w:szCs w:val="14"/>
                <w:b w:val="1"/>
                <w:bCs w:val="1"/>
                <w:color w:val="auto"/>
              </w:rPr>
              <w:t>Industry</w:t>
            </w:r>
          </w:p>
        </w:tc>
        <w:tc>
          <w:tcPr>
            <w:tcW w:w="700" w:type="dxa"/>
            <w:vAlign w:val="bottom"/>
          </w:tcPr>
          <w:p>
            <w:pPr>
              <w:ind w:left="20"/>
              <w:spacing w:after="0"/>
              <w:rPr>
                <w:sz w:val="20"/>
                <w:szCs w:val="20"/>
                <w:color w:val="auto"/>
              </w:rPr>
            </w:pPr>
            <w:r>
              <w:rPr>
                <w:rFonts w:ascii="Arial" w:cs="Arial" w:eastAsia="Arial" w:hAnsi="Arial"/>
                <w:sz w:val="14"/>
                <w:szCs w:val="14"/>
                <w:b w:val="1"/>
                <w:bCs w:val="1"/>
                <w:color w:val="auto"/>
                <w:w w:val="99"/>
              </w:rPr>
              <w:t>Academia</w:t>
            </w:r>
          </w:p>
        </w:tc>
        <w:tc>
          <w:tcPr>
            <w:tcW w:w="0" w:type="dxa"/>
            <w:vAlign w:val="bottom"/>
          </w:tcPr>
          <w:p>
            <w:pPr>
              <w:spacing w:after="0"/>
              <w:rPr>
                <w:sz w:val="1"/>
                <w:szCs w:val="1"/>
                <w:color w:val="auto"/>
              </w:rPr>
            </w:pPr>
          </w:p>
        </w:tc>
      </w:tr>
      <w:tr>
        <w:trPr>
          <w:trHeight w:val="438"/>
        </w:trPr>
        <w:tc>
          <w:tcPr>
            <w:tcW w:w="1340" w:type="dxa"/>
            <w:vAlign w:val="bottom"/>
          </w:tcPr>
          <w:p>
            <w:pPr>
              <w:ind w:left="480"/>
              <w:spacing w:after="0"/>
              <w:rPr>
                <w:sz w:val="20"/>
                <w:szCs w:val="20"/>
                <w:color w:val="auto"/>
              </w:rPr>
            </w:pPr>
            <w:r>
              <w:rPr>
                <w:rFonts w:ascii="Arial" w:cs="Arial" w:eastAsia="Arial" w:hAnsi="Arial"/>
                <w:sz w:val="14"/>
                <w:szCs w:val="14"/>
                <w:b w:val="1"/>
                <w:bCs w:val="1"/>
                <w:color w:val="auto"/>
              </w:rPr>
              <w:t>Government</w:t>
            </w:r>
          </w:p>
        </w:tc>
        <w:tc>
          <w:tcPr>
            <w:tcW w:w="80" w:type="dxa"/>
            <w:vAlign w:val="bottom"/>
          </w:tcPr>
          <w:p>
            <w:pPr>
              <w:spacing w:after="0"/>
              <w:rPr>
                <w:sz w:val="24"/>
                <w:szCs w:val="24"/>
                <w:color w:val="auto"/>
              </w:rPr>
            </w:pPr>
          </w:p>
        </w:tc>
        <w:tc>
          <w:tcPr>
            <w:tcW w:w="1300" w:type="dxa"/>
            <w:vAlign w:val="bottom"/>
            <w:vMerge w:val="restart"/>
          </w:tcPr>
          <w:p>
            <w:pPr>
              <w:ind w:left="600"/>
              <w:spacing w:after="0"/>
              <w:rPr>
                <w:sz w:val="20"/>
                <w:szCs w:val="20"/>
                <w:color w:val="auto"/>
              </w:rPr>
            </w:pPr>
            <w:r>
              <w:rPr>
                <w:rFonts w:ascii="Arial" w:cs="Arial" w:eastAsia="Arial" w:hAnsi="Arial"/>
                <w:sz w:val="14"/>
                <w:szCs w:val="14"/>
                <w:b w:val="1"/>
                <w:bCs w:val="1"/>
                <w:color w:val="auto"/>
              </w:rPr>
              <w:t>Sales /</w:t>
            </w:r>
          </w:p>
        </w:tc>
        <w:tc>
          <w:tcPr>
            <w:tcW w:w="1580" w:type="dxa"/>
            <w:vAlign w:val="bottom"/>
            <w:gridSpan w:val="2"/>
            <w:vMerge w:val="restart"/>
          </w:tcPr>
          <w:p>
            <w:pPr>
              <w:ind w:left="700"/>
              <w:spacing w:after="0"/>
              <w:rPr>
                <w:sz w:val="20"/>
                <w:szCs w:val="20"/>
                <w:color w:val="auto"/>
              </w:rPr>
            </w:pPr>
            <w:r>
              <w:rPr>
                <w:rFonts w:ascii="Arial" w:cs="Arial" w:eastAsia="Arial" w:hAnsi="Arial"/>
                <w:sz w:val="14"/>
                <w:szCs w:val="14"/>
                <w:b w:val="1"/>
                <w:bCs w:val="1"/>
                <w:color w:val="auto"/>
                <w:w w:val="99"/>
              </w:rPr>
              <w:t>Technology /</w:t>
            </w:r>
          </w:p>
        </w:tc>
        <w:tc>
          <w:tcPr>
            <w:tcW w:w="1920" w:type="dxa"/>
            <w:vAlign w:val="bottom"/>
            <w:gridSpan w:val="2"/>
            <w:vMerge w:val="restart"/>
          </w:tcPr>
          <w:p>
            <w:pPr>
              <w:ind w:left="620"/>
              <w:spacing w:after="0"/>
              <w:rPr>
                <w:sz w:val="20"/>
                <w:szCs w:val="20"/>
                <w:color w:val="auto"/>
              </w:rPr>
            </w:pPr>
            <w:r>
              <w:rPr>
                <w:rFonts w:ascii="Arial" w:cs="Arial" w:eastAsia="Arial" w:hAnsi="Arial"/>
                <w:sz w:val="14"/>
                <w:szCs w:val="14"/>
                <w:b w:val="1"/>
                <w:bCs w:val="1"/>
                <w:color w:val="auto"/>
              </w:rPr>
              <w:t>Operations /</w:t>
            </w:r>
          </w:p>
        </w:tc>
        <w:tc>
          <w:tcPr>
            <w:tcW w:w="0" w:type="dxa"/>
            <w:vAlign w:val="bottom"/>
          </w:tcPr>
          <w:p>
            <w:pPr>
              <w:spacing w:after="0"/>
              <w:rPr>
                <w:sz w:val="1"/>
                <w:szCs w:val="1"/>
                <w:color w:val="auto"/>
              </w:rPr>
            </w:pPr>
          </w:p>
        </w:tc>
      </w:tr>
      <w:tr>
        <w:trPr>
          <w:trHeight w:val="144"/>
        </w:trPr>
        <w:tc>
          <w:tcPr>
            <w:tcW w:w="1340" w:type="dxa"/>
            <w:vAlign w:val="bottom"/>
          </w:tcPr>
          <w:p>
            <w:pPr>
              <w:ind w:left="480"/>
              <w:spacing w:after="0" w:line="145" w:lineRule="exact"/>
              <w:rPr>
                <w:sz w:val="20"/>
                <w:szCs w:val="20"/>
                <w:color w:val="auto"/>
              </w:rPr>
            </w:pPr>
            <w:r>
              <w:rPr>
                <w:rFonts w:ascii="Arial" w:cs="Arial" w:eastAsia="Arial" w:hAnsi="Arial"/>
                <w:sz w:val="14"/>
                <w:szCs w:val="14"/>
                <w:b w:val="1"/>
                <w:bCs w:val="1"/>
                <w:color w:val="auto"/>
              </w:rPr>
              <w:t>Relations /</w:t>
            </w:r>
          </w:p>
        </w:tc>
        <w:tc>
          <w:tcPr>
            <w:tcW w:w="8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1420" w:type="dxa"/>
            <w:vAlign w:val="bottom"/>
            <w:gridSpan w:val="2"/>
          </w:tcPr>
          <w:p>
            <w:pPr>
              <w:ind w:left="480"/>
              <w:spacing w:after="0"/>
              <w:rPr>
                <w:sz w:val="20"/>
                <w:szCs w:val="20"/>
                <w:color w:val="auto"/>
              </w:rPr>
            </w:pPr>
            <w:r>
              <w:rPr>
                <w:rFonts w:ascii="Arial" w:cs="Arial" w:eastAsia="Arial" w:hAnsi="Arial"/>
                <w:sz w:val="14"/>
                <w:szCs w:val="14"/>
                <w:b w:val="1"/>
                <w:bCs w:val="1"/>
                <w:color w:val="auto"/>
              </w:rPr>
              <w:t>Public Policy</w:t>
            </w:r>
          </w:p>
        </w:tc>
        <w:tc>
          <w:tcPr>
            <w:tcW w:w="1300" w:type="dxa"/>
            <w:vAlign w:val="bottom"/>
          </w:tcPr>
          <w:p>
            <w:pPr>
              <w:ind w:left="600"/>
              <w:spacing w:after="0"/>
              <w:rPr>
                <w:sz w:val="20"/>
                <w:szCs w:val="20"/>
                <w:color w:val="auto"/>
              </w:rPr>
            </w:pPr>
            <w:r>
              <w:rPr>
                <w:rFonts w:ascii="Arial" w:cs="Arial" w:eastAsia="Arial" w:hAnsi="Arial"/>
                <w:sz w:val="14"/>
                <w:szCs w:val="14"/>
                <w:b w:val="1"/>
                <w:bCs w:val="1"/>
                <w:color w:val="auto"/>
              </w:rPr>
              <w:t>Marketing</w:t>
            </w:r>
          </w:p>
        </w:tc>
        <w:tc>
          <w:tcPr>
            <w:tcW w:w="1320" w:type="dxa"/>
            <w:vAlign w:val="bottom"/>
          </w:tcPr>
          <w:p>
            <w:pPr>
              <w:ind w:left="700"/>
              <w:spacing w:after="0"/>
              <w:rPr>
                <w:sz w:val="20"/>
                <w:szCs w:val="20"/>
                <w:color w:val="auto"/>
              </w:rPr>
            </w:pPr>
            <w:r>
              <w:rPr>
                <w:rFonts w:ascii="Arial" w:cs="Arial" w:eastAsia="Arial" w:hAnsi="Arial"/>
                <w:sz w:val="14"/>
                <w:szCs w:val="14"/>
                <w:b w:val="1"/>
                <w:bCs w:val="1"/>
                <w:color w:val="auto"/>
              </w:rPr>
              <w:t>Digital</w:t>
            </w:r>
          </w:p>
        </w:tc>
        <w:tc>
          <w:tcPr>
            <w:tcW w:w="260" w:type="dxa"/>
            <w:vAlign w:val="bottom"/>
          </w:tcPr>
          <w:p>
            <w:pPr>
              <w:spacing w:after="0"/>
              <w:rPr>
                <w:sz w:val="17"/>
                <w:szCs w:val="17"/>
                <w:color w:val="auto"/>
              </w:rPr>
            </w:pPr>
          </w:p>
        </w:tc>
        <w:tc>
          <w:tcPr>
            <w:tcW w:w="1220" w:type="dxa"/>
            <w:vAlign w:val="bottom"/>
          </w:tcPr>
          <w:p>
            <w:pPr>
              <w:ind w:left="620"/>
              <w:spacing w:after="0"/>
              <w:rPr>
                <w:sz w:val="20"/>
                <w:szCs w:val="20"/>
                <w:color w:val="auto"/>
              </w:rPr>
            </w:pPr>
            <w:r>
              <w:rPr>
                <w:rFonts w:ascii="Arial" w:cs="Arial" w:eastAsia="Arial" w:hAnsi="Arial"/>
                <w:sz w:val="14"/>
                <w:szCs w:val="14"/>
                <w:b w:val="1"/>
                <w:bCs w:val="1"/>
                <w:color w:val="auto"/>
              </w:rPr>
              <w:t>Strategy</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1029335</wp:posOffset>
            </wp:positionH>
            <wp:positionV relativeFrom="paragraph">
              <wp:posOffset>-264160</wp:posOffset>
            </wp:positionV>
            <wp:extent cx="214630" cy="21463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1989455</wp:posOffset>
            </wp:positionH>
            <wp:positionV relativeFrom="paragraph">
              <wp:posOffset>-264160</wp:posOffset>
            </wp:positionV>
            <wp:extent cx="214630" cy="21463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2863850</wp:posOffset>
            </wp:positionH>
            <wp:positionV relativeFrom="paragraph">
              <wp:posOffset>-264160</wp:posOffset>
            </wp:positionV>
            <wp:extent cx="214630" cy="21463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3823970</wp:posOffset>
            </wp:positionH>
            <wp:positionV relativeFrom="paragraph">
              <wp:posOffset>-264160</wp:posOffset>
            </wp:positionV>
            <wp:extent cx="214630" cy="21463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ectPr>
          <w:pgSz w:w="11900" w:h="16838" w:orient="portrait"/>
          <w:cols w:equalWidth="0" w:num="1">
            <w:col w:w="10119"/>
          </w:cols>
          <w:pgMar w:left="340" w:top="931" w:right="1440" w:bottom="980" w:gutter="0" w:footer="0" w:header="0"/>
          <w:type w:val="continuous"/>
        </w:sectPr>
      </w:pPr>
    </w:p>
    <w:p>
      <w:pPr>
        <w:spacing w:after="0" w:line="200" w:lineRule="exact"/>
        <w:rPr>
          <w:sz w:val="20"/>
          <w:szCs w:val="20"/>
          <w:color w:val="auto"/>
        </w:rPr>
      </w:pPr>
    </w:p>
    <w:p>
      <w:pPr>
        <w:spacing w:after="0" w:line="315" w:lineRule="exact"/>
        <w:rPr>
          <w:sz w:val="20"/>
          <w:szCs w:val="20"/>
          <w:color w:val="auto"/>
        </w:rPr>
      </w:pPr>
    </w:p>
    <w:p>
      <w:pPr>
        <w:ind w:left="5500"/>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154940</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931" w:right="1440" w:bottom="980" w:gutter="0" w:footer="0" w:header="0"/>
          <w:type w:val="continuous"/>
        </w:sectPr>
      </w:pPr>
    </w:p>
    <w:bookmarkStart w:id="27" w:name="page28"/>
    <w:bookmarkEnd w:id="2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817245</wp:posOffset>
            </wp:positionV>
            <wp:extent cx="1311275" cy="131127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clrChange>
                        <a:clrFrom>
                          <a:srgbClr val="FFFFFF"/>
                        </a:clrFrom>
                        <a:clrTo>
                          <a:srgbClr val="FFFFFF">
                            <a:alpha val="0"/>
                          </a:srgbClr>
                        </a:clrTo>
                      </a:clrChange>
                      <a:extLst>
                        <a:ext uri="{28A0092B-C50C-407E-A947-70E740481C1C}"/>
                      </a:extLst>
                    </a:blip>
                    <a:srcRect/>
                    <a:stretch>
                      <a:fillRect/>
                    </a:stretch>
                  </pic:blipFill>
                  <pic:spPr bwMode="auto">
                    <a:xfrm>
                      <a:off x="0" y="0"/>
                      <a:ext cx="1311275" cy="131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b w:val="1"/>
          <w:bCs w:val="1"/>
          <w:color w:val="EF3729"/>
        </w:rPr>
        <w:t>Gabrielle Sulzberger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174625</wp:posOffset>
            </wp:positionV>
            <wp:extent cx="143129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431290" cy="8255"/>
                    </a:xfrm>
                    <a:prstGeom prst="rect">
                      <a:avLst/>
                    </a:prstGeom>
                    <a:noFill/>
                  </pic:spPr>
                </pic:pic>
              </a:graphicData>
            </a:graphic>
          </wp:anchor>
        </w:drawing>
      </w: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64</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2021</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Committees:</w:t>
      </w:r>
    </w:p>
    <w:p>
      <w:pPr>
        <w:spacing w:after="0" w:line="7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 Audit</w:t>
      </w:r>
    </w:p>
    <w:p>
      <w:pPr>
        <w:spacing w:after="0" w:line="59" w:lineRule="exact"/>
        <w:rPr>
          <w:sz w:val="20"/>
          <w:szCs w:val="20"/>
          <w:color w:val="auto"/>
        </w:rPr>
      </w:pPr>
    </w:p>
    <w:p>
      <w:pPr>
        <w:ind w:left="340" w:right="100" w:hanging="162"/>
        <w:spacing w:after="0" w:line="290" w:lineRule="auto"/>
        <w:rPr>
          <w:sz w:val="20"/>
          <w:szCs w:val="20"/>
          <w:color w:val="auto"/>
        </w:rPr>
      </w:pPr>
      <w:r>
        <w:rPr>
          <w:rFonts w:ascii="Arial" w:cs="Arial" w:eastAsia="Arial" w:hAnsi="Arial"/>
          <w:sz w:val="16"/>
          <w:szCs w:val="16"/>
          <w:color w:val="auto"/>
        </w:rPr>
        <w:t>– Directors and Corporate Governance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Public Boards:</w:t>
      </w:r>
    </w:p>
    <w:p>
      <w:pPr>
        <w:spacing w:after="0" w:line="59" w:lineRule="exact"/>
        <w:rPr>
          <w:sz w:val="20"/>
          <w:szCs w:val="20"/>
          <w:color w:val="auto"/>
        </w:rPr>
      </w:pPr>
    </w:p>
    <w:p>
      <w:pPr>
        <w:ind w:left="160"/>
        <w:spacing w:after="0"/>
        <w:rPr>
          <w:sz w:val="20"/>
          <w:szCs w:val="20"/>
          <w:color w:val="auto"/>
        </w:rPr>
      </w:pPr>
      <w:r>
        <w:rPr>
          <w:rFonts w:ascii="Arial" w:cs="Arial" w:eastAsia="Arial" w:hAnsi="Arial"/>
          <w:sz w:val="16"/>
          <w:szCs w:val="16"/>
          <w:color w:val="auto"/>
        </w:rPr>
        <w:t>– Mastercard Incorporated</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Prior Public Boards:</w:t>
      </w:r>
    </w:p>
    <w:p>
      <w:pPr>
        <w:spacing w:after="0" w:line="59" w:lineRule="exact"/>
        <w:rPr>
          <w:sz w:val="20"/>
          <w:szCs w:val="20"/>
          <w:color w:val="auto"/>
        </w:rPr>
      </w:pPr>
    </w:p>
    <w:p>
      <w:pPr>
        <w:ind w:left="160"/>
        <w:spacing w:after="0"/>
        <w:rPr>
          <w:sz w:val="20"/>
          <w:szCs w:val="20"/>
          <w:color w:val="auto"/>
        </w:rPr>
      </w:pPr>
      <w:r>
        <w:rPr>
          <w:rFonts w:ascii="Arial" w:cs="Arial" w:eastAsia="Arial" w:hAnsi="Arial"/>
          <w:sz w:val="16"/>
          <w:szCs w:val="16"/>
          <w:color w:val="auto"/>
        </w:rPr>
        <w:t>– Warby Parker Inc.</w:t>
      </w:r>
    </w:p>
    <w:p>
      <w:pPr>
        <w:spacing w:after="0" w:line="72" w:lineRule="exact"/>
        <w:rPr>
          <w:sz w:val="20"/>
          <w:szCs w:val="20"/>
          <w:color w:val="auto"/>
        </w:rPr>
      </w:pPr>
    </w:p>
    <w:p>
      <w:pPr>
        <w:ind w:left="340" w:right="300" w:hanging="162"/>
        <w:spacing w:after="0" w:line="256" w:lineRule="auto"/>
        <w:rPr>
          <w:sz w:val="20"/>
          <w:szCs w:val="20"/>
          <w:color w:val="auto"/>
        </w:rPr>
      </w:pPr>
      <w:r>
        <w:rPr>
          <w:rFonts w:ascii="Arial" w:cs="Arial" w:eastAsia="Arial" w:hAnsi="Arial"/>
          <w:sz w:val="16"/>
          <w:szCs w:val="16"/>
          <w:color w:val="auto"/>
        </w:rPr>
        <w:t>– Cerevel Therapeutics Holdings, Inc.</w:t>
      </w:r>
    </w:p>
    <w:p>
      <w:pPr>
        <w:spacing w:after="0" w:line="1" w:lineRule="exact"/>
        <w:rPr>
          <w:sz w:val="20"/>
          <w:szCs w:val="20"/>
          <w:color w:val="auto"/>
        </w:rPr>
      </w:pPr>
    </w:p>
    <w:p>
      <w:pPr>
        <w:ind w:left="340" w:right="120" w:hanging="162"/>
        <w:spacing w:after="0" w:line="280" w:lineRule="auto"/>
        <w:rPr>
          <w:sz w:val="20"/>
          <w:szCs w:val="20"/>
          <w:color w:val="auto"/>
        </w:rPr>
      </w:pPr>
      <w:r>
        <w:rPr>
          <w:rFonts w:ascii="Arial" w:cs="Arial" w:eastAsia="Arial" w:hAnsi="Arial"/>
          <w:sz w:val="16"/>
          <w:szCs w:val="16"/>
          <w:color w:val="auto"/>
        </w:rPr>
        <w:t>– Brixmor Property Group Inc.</w:t>
      </w:r>
    </w:p>
    <w:p>
      <w:pPr>
        <w:spacing w:after="0"/>
        <w:rPr>
          <w:sz w:val="20"/>
          <w:szCs w:val="20"/>
          <w:color w:val="auto"/>
        </w:rPr>
      </w:pPr>
      <w:r>
        <w:rPr>
          <w:rFonts w:ascii="Arial" w:cs="Arial" w:eastAsia="Arial" w:hAnsi="Arial"/>
          <w:sz w:val="16"/>
          <w:szCs w:val="16"/>
          <w:b w:val="1"/>
          <w:bCs w:val="1"/>
          <w:color w:val="auto"/>
        </w:rPr>
        <w:t>Key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55245</wp:posOffset>
            </wp:positionV>
            <wp:extent cx="925830" cy="30861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925830" cy="308610"/>
                    </a:xfrm>
                    <a:prstGeom prst="rect">
                      <a:avLst/>
                    </a:prstGeom>
                    <a:noFill/>
                  </pic:spPr>
                </pic:pic>
              </a:graphicData>
            </a:graphic>
          </wp:anchor>
        </w:drawing>
        <w:drawing>
          <wp:anchor simplePos="0" relativeHeight="251657728" behindDoc="1" locked="0" layoutInCell="0" allowOverlap="1">
            <wp:simplePos x="0" y="0"/>
            <wp:positionH relativeFrom="column">
              <wp:posOffset>746760</wp:posOffset>
            </wp:positionH>
            <wp:positionV relativeFrom="paragraph">
              <wp:posOffset>3646805</wp:posOffset>
            </wp:positionV>
            <wp:extent cx="214630" cy="21463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FFFFFF"/>
        </w:rPr>
        <w:t>KEY EXPERIENCE AND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-127635</wp:posOffset>
            </wp:positionH>
            <wp:positionV relativeFrom="paragraph">
              <wp:posOffset>-135890</wp:posOffset>
            </wp:positionV>
            <wp:extent cx="4260215" cy="229743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4260215" cy="2297430"/>
                    </a:xfrm>
                    <a:prstGeom prst="rect">
                      <a:avLst/>
                    </a:prstGeom>
                    <a:noFill/>
                  </pic:spPr>
                </pic:pic>
              </a:graphicData>
            </a:graphic>
          </wp:anchor>
        </w:drawing>
      </w:r>
    </w:p>
    <w:p>
      <w:pPr>
        <w:spacing w:after="0" w:line="144" w:lineRule="exact"/>
        <w:rPr>
          <w:sz w:val="20"/>
          <w:szCs w:val="20"/>
          <w:color w:val="auto"/>
        </w:rPr>
      </w:pPr>
    </w:p>
    <w:p>
      <w:pPr>
        <w:ind w:right="1459"/>
        <w:spacing w:after="0" w:line="280" w:lineRule="auto"/>
        <w:rPr>
          <w:sz w:val="20"/>
          <w:szCs w:val="20"/>
          <w:color w:val="auto"/>
        </w:rPr>
      </w:pPr>
      <w:r>
        <w:rPr>
          <w:rFonts w:ascii="Arial" w:cs="Arial" w:eastAsia="Arial" w:hAnsi="Arial"/>
          <w:sz w:val="16"/>
          <w:szCs w:val="16"/>
          <w:i w:val="1"/>
          <w:iCs w:val="1"/>
          <w:color w:val="auto"/>
        </w:rPr>
        <w:t>Ms. Sulzberger brings over 30 years of experience advising public and privately held companies in consumer products, retail, financial services, and life sciences.</w:t>
      </w:r>
    </w:p>
    <w:p>
      <w:pPr>
        <w:spacing w:after="0" w:line="1" w:lineRule="exact"/>
        <w:rPr>
          <w:sz w:val="20"/>
          <w:szCs w:val="20"/>
          <w:color w:val="auto"/>
        </w:rPr>
      </w:pPr>
    </w:p>
    <w:p>
      <w:pPr>
        <w:ind w:left="640" w:right="1119" w:hanging="325"/>
        <w:spacing w:after="0" w:line="281" w:lineRule="auto"/>
        <w:tabs>
          <w:tab w:leader="none" w:pos="636" w:val="left"/>
        </w:tabs>
        <w:numPr>
          <w:ilvl w:val="0"/>
          <w:numId w:val="71"/>
        </w:numPr>
        <w:rPr>
          <w:rFonts w:ascii="Times New Roman" w:cs="Times New Roman" w:eastAsia="Times New Roman" w:hAnsi="Times New Roman"/>
          <w:sz w:val="14"/>
          <w:szCs w:val="14"/>
          <w:color w:val="auto"/>
        </w:rPr>
      </w:pPr>
      <w:r>
        <w:rPr>
          <w:rFonts w:ascii="Arial" w:cs="Arial" w:eastAsia="Arial" w:hAnsi="Arial"/>
          <w:sz w:val="16"/>
          <w:szCs w:val="16"/>
          <w:color w:val="auto"/>
        </w:rPr>
        <w:t>Ms. Sulzberger provides global perspective from her time as chair of global ESG advisory at Teneo, supporting Lilly and the board’s commitment to continuous progress and improving our positive impact on people, the planet, and society.</w:t>
      </w:r>
    </w:p>
    <w:p>
      <w:pPr>
        <w:spacing w:after="0" w:line="1" w:lineRule="exact"/>
        <w:rPr>
          <w:rFonts w:ascii="Times New Roman" w:cs="Times New Roman" w:eastAsia="Times New Roman" w:hAnsi="Times New Roman"/>
          <w:sz w:val="14"/>
          <w:szCs w:val="14"/>
          <w:color w:val="auto"/>
        </w:rPr>
      </w:pPr>
    </w:p>
    <w:p>
      <w:pPr>
        <w:ind w:left="640" w:right="1239" w:hanging="325"/>
        <w:spacing w:after="0" w:line="275" w:lineRule="auto"/>
        <w:tabs>
          <w:tab w:leader="none" w:pos="636" w:val="left"/>
        </w:tabs>
        <w:numPr>
          <w:ilvl w:val="0"/>
          <w:numId w:val="71"/>
        </w:numPr>
        <w:rPr>
          <w:rFonts w:ascii="Times New Roman" w:cs="Times New Roman" w:eastAsia="Times New Roman" w:hAnsi="Times New Roman"/>
          <w:sz w:val="14"/>
          <w:szCs w:val="14"/>
          <w:color w:val="auto"/>
        </w:rPr>
      </w:pPr>
      <w:r>
        <w:rPr>
          <w:rFonts w:ascii="Arial" w:cs="Arial" w:eastAsia="Arial" w:hAnsi="Arial"/>
          <w:sz w:val="16"/>
          <w:szCs w:val="16"/>
          <w:color w:val="auto"/>
        </w:rPr>
        <w:t>Ms. Sulzberger developed deep corporate governance experience through her work with corporate boards, both as a board member and as a governance committee chair.</w:t>
      </w:r>
    </w:p>
    <w:p>
      <w:pPr>
        <w:spacing w:after="0" w:line="15" w:lineRule="exact"/>
        <w:rPr>
          <w:rFonts w:ascii="Times New Roman" w:cs="Times New Roman" w:eastAsia="Times New Roman" w:hAnsi="Times New Roman"/>
          <w:sz w:val="14"/>
          <w:szCs w:val="14"/>
          <w:color w:val="auto"/>
        </w:rPr>
      </w:pPr>
    </w:p>
    <w:p>
      <w:pPr>
        <w:ind w:left="640" w:right="1299" w:hanging="325"/>
        <w:spacing w:after="0" w:line="266" w:lineRule="auto"/>
        <w:tabs>
          <w:tab w:leader="none" w:pos="629" w:val="left"/>
        </w:tabs>
        <w:numPr>
          <w:ilvl w:val="0"/>
          <w:numId w:val="71"/>
        </w:numPr>
        <w:rPr>
          <w:rFonts w:ascii="Arial" w:cs="Arial" w:eastAsia="Arial" w:hAnsi="Arial"/>
          <w:sz w:val="16"/>
          <w:szCs w:val="16"/>
          <w:color w:val="auto"/>
        </w:rPr>
      </w:pPr>
      <w:r>
        <w:rPr>
          <w:rFonts w:ascii="Arial" w:cs="Arial" w:eastAsia="Arial" w:hAnsi="Arial"/>
          <w:sz w:val="16"/>
          <w:szCs w:val="16"/>
          <w:color w:val="auto"/>
        </w:rPr>
        <w:t>Ms. Sulzberger’s career in private equity has given her valuable experience in helping companies navigate disruption and transformation, engage with shareholders, and position businesses for growth and success.</w:t>
      </w:r>
    </w:p>
    <w:p>
      <w:pPr>
        <w:spacing w:after="0" w:line="22" w:lineRule="exact"/>
        <w:rPr>
          <w:rFonts w:ascii="Arial" w:cs="Arial" w:eastAsia="Arial" w:hAnsi="Arial"/>
          <w:sz w:val="16"/>
          <w:szCs w:val="16"/>
          <w:color w:val="auto"/>
        </w:rPr>
      </w:pPr>
    </w:p>
    <w:p>
      <w:pPr>
        <w:ind w:left="640" w:right="1279" w:hanging="325"/>
        <w:spacing w:after="0" w:line="265" w:lineRule="auto"/>
        <w:tabs>
          <w:tab w:leader="none" w:pos="636" w:val="left"/>
        </w:tabs>
        <w:numPr>
          <w:ilvl w:val="0"/>
          <w:numId w:val="71"/>
        </w:numPr>
        <w:rPr>
          <w:rFonts w:ascii="Times New Roman" w:cs="Times New Roman" w:eastAsia="Times New Roman" w:hAnsi="Times New Roman"/>
          <w:sz w:val="14"/>
          <w:szCs w:val="14"/>
          <w:color w:val="auto"/>
        </w:rPr>
      </w:pPr>
      <w:r>
        <w:rPr>
          <w:rFonts w:ascii="Arial" w:cs="Arial" w:eastAsia="Arial" w:hAnsi="Arial"/>
          <w:sz w:val="16"/>
          <w:szCs w:val="16"/>
          <w:color w:val="auto"/>
        </w:rPr>
        <w:t>Ms. Sulzberger also draws on experiences from her prior service as chief financial officer of several publicly and privately held companies and audit committee chair of several public companies, providing leadership as an Audit Committee Financial Expert.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00A1DE"/>
        </w:rPr>
        <w:t>CAREER HIGHLIGHTS</w:t>
      </w:r>
    </w:p>
    <w:p>
      <w:pPr>
        <w:spacing w:after="0" w:line="63" w:lineRule="exact"/>
        <w:rPr>
          <w:sz w:val="20"/>
          <w:szCs w:val="20"/>
          <w:color w:val="auto"/>
        </w:rPr>
      </w:pPr>
    </w:p>
    <w:p>
      <w:pPr>
        <w:ind w:left="620" w:hanging="305"/>
        <w:spacing w:after="0"/>
        <w:tabs>
          <w:tab w:leader="none" w:pos="620" w:val="left"/>
        </w:tabs>
        <w:numPr>
          <w:ilvl w:val="0"/>
          <w:numId w:val="72"/>
        </w:numPr>
        <w:rPr>
          <w:rFonts w:ascii="Arial" w:cs="Arial" w:eastAsia="Arial" w:hAnsi="Arial"/>
          <w:sz w:val="16"/>
          <w:szCs w:val="16"/>
          <w:color w:val="auto"/>
        </w:rPr>
      </w:pPr>
      <w:r>
        <w:rPr>
          <w:rFonts w:ascii="Arial" w:cs="Arial" w:eastAsia="Arial" w:hAnsi="Arial"/>
          <w:sz w:val="18"/>
          <w:szCs w:val="18"/>
          <w:b w:val="1"/>
          <w:bCs w:val="1"/>
          <w:color w:val="auto"/>
        </w:rPr>
        <w:t xml:space="preserve">Centerbridge Partners, </w:t>
      </w:r>
      <w:r>
        <w:rPr>
          <w:rFonts w:ascii="Arial" w:cs="Arial" w:eastAsia="Arial" w:hAnsi="Arial"/>
          <w:sz w:val="16"/>
          <w:szCs w:val="16"/>
          <w:color w:val="auto"/>
        </w:rPr>
        <w:t>a multidisciplinary investment firm</w:t>
      </w:r>
    </w:p>
    <w:p>
      <w:pPr>
        <w:spacing w:after="0" w:line="67"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6"/>
          <w:szCs w:val="16"/>
          <w:color w:val="auto"/>
        </w:rPr>
        <w:t>–   Senior Managing Director (2024 - present)</w:t>
      </w:r>
    </w:p>
    <w:p>
      <w:pPr>
        <w:spacing w:after="0" w:line="21"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6"/>
          <w:szCs w:val="16"/>
          <w:color w:val="auto"/>
        </w:rPr>
        <w:t>–   Senior Advisor (2021 - 2024)</w:t>
      </w:r>
    </w:p>
    <w:p>
      <w:pPr>
        <w:spacing w:after="0" w:line="38" w:lineRule="exact"/>
        <w:rPr>
          <w:rFonts w:ascii="Arial" w:cs="Arial" w:eastAsia="Arial" w:hAnsi="Arial"/>
          <w:sz w:val="16"/>
          <w:szCs w:val="16"/>
          <w:color w:val="auto"/>
        </w:rPr>
      </w:pPr>
    </w:p>
    <w:p>
      <w:pPr>
        <w:ind w:left="620" w:hanging="305"/>
        <w:spacing w:after="0"/>
        <w:tabs>
          <w:tab w:leader="none" w:pos="620" w:val="left"/>
        </w:tabs>
        <w:numPr>
          <w:ilvl w:val="0"/>
          <w:numId w:val="72"/>
        </w:numPr>
        <w:rPr>
          <w:rFonts w:ascii="Arial" w:cs="Arial" w:eastAsia="Arial" w:hAnsi="Arial"/>
          <w:sz w:val="16"/>
          <w:szCs w:val="16"/>
          <w:color w:val="auto"/>
        </w:rPr>
      </w:pPr>
      <w:r>
        <w:rPr>
          <w:rFonts w:ascii="Arial" w:cs="Arial" w:eastAsia="Arial" w:hAnsi="Arial"/>
          <w:sz w:val="18"/>
          <w:szCs w:val="18"/>
          <w:b w:val="1"/>
          <w:bCs w:val="1"/>
          <w:color w:val="auto"/>
        </w:rPr>
        <w:t xml:space="preserve">Teneo, </w:t>
      </w:r>
      <w:r>
        <w:rPr>
          <w:rFonts w:ascii="Arial" w:cs="Arial" w:eastAsia="Arial" w:hAnsi="Arial"/>
          <w:sz w:val="16"/>
          <w:szCs w:val="16"/>
          <w:color w:val="auto"/>
        </w:rPr>
        <w:t>a global CEO advisory firm</w:t>
      </w:r>
    </w:p>
    <w:p>
      <w:pPr>
        <w:spacing w:after="0" w:line="67"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6"/>
          <w:szCs w:val="16"/>
          <w:color w:val="auto"/>
        </w:rPr>
        <w:t>–   Senior Advisor (2024 - present)</w:t>
      </w:r>
    </w:p>
    <w:p>
      <w:pPr>
        <w:spacing w:after="0" w:line="30"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6"/>
          <w:szCs w:val="16"/>
          <w:color w:val="auto"/>
        </w:rPr>
        <w:t>–   Chair of Global ESG Advisory (2021 - 2024)</w:t>
      </w:r>
    </w:p>
    <w:p>
      <w:pPr>
        <w:spacing w:after="0" w:line="42" w:lineRule="exact"/>
        <w:rPr>
          <w:rFonts w:ascii="Arial" w:cs="Arial" w:eastAsia="Arial" w:hAnsi="Arial"/>
          <w:sz w:val="16"/>
          <w:szCs w:val="16"/>
          <w:color w:val="auto"/>
        </w:rPr>
      </w:pPr>
    </w:p>
    <w:p>
      <w:pPr>
        <w:ind w:left="620" w:hanging="305"/>
        <w:spacing w:after="0"/>
        <w:tabs>
          <w:tab w:leader="none" w:pos="620" w:val="left"/>
        </w:tabs>
        <w:numPr>
          <w:ilvl w:val="0"/>
          <w:numId w:val="72"/>
        </w:numPr>
        <w:rPr>
          <w:rFonts w:ascii="Arial" w:cs="Arial" w:eastAsia="Arial" w:hAnsi="Arial"/>
          <w:sz w:val="16"/>
          <w:szCs w:val="16"/>
          <w:color w:val="auto"/>
        </w:rPr>
      </w:pPr>
      <w:r>
        <w:rPr>
          <w:rFonts w:ascii="Arial" w:cs="Arial" w:eastAsia="Arial" w:hAnsi="Arial"/>
          <w:sz w:val="18"/>
          <w:szCs w:val="18"/>
          <w:b w:val="1"/>
          <w:bCs w:val="1"/>
          <w:color w:val="auto"/>
        </w:rPr>
        <w:t>Two Sigma Impact</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6"/>
          <w:szCs w:val="16"/>
          <w:color w:val="auto"/>
        </w:rPr>
        <w:t>a private equity firm based in New York, New York</w:t>
      </w:r>
    </w:p>
    <w:p>
      <w:pPr>
        <w:spacing w:after="0" w:line="67"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4"/>
          <w:szCs w:val="14"/>
          <w:color w:val="auto"/>
        </w:rPr>
        <w:t xml:space="preserve">–   </w:t>
      </w:r>
      <w:r>
        <w:rPr>
          <w:rFonts w:ascii="Arial" w:cs="Arial" w:eastAsia="Arial" w:hAnsi="Arial"/>
          <w:sz w:val="16"/>
          <w:szCs w:val="16"/>
          <w:color w:val="auto"/>
        </w:rPr>
        <w:t>Senior Advisor (2021 - 2023)</w:t>
      </w:r>
    </w:p>
    <w:p>
      <w:pPr>
        <w:spacing w:after="0" w:line="67" w:lineRule="exact"/>
        <w:rPr>
          <w:rFonts w:ascii="Arial" w:cs="Arial" w:eastAsia="Arial" w:hAnsi="Arial"/>
          <w:sz w:val="16"/>
          <w:szCs w:val="16"/>
          <w:color w:val="auto"/>
        </w:rPr>
      </w:pPr>
    </w:p>
    <w:p>
      <w:pPr>
        <w:ind w:left="640" w:right="1719" w:hanging="325"/>
        <w:spacing w:after="0" w:line="264" w:lineRule="auto"/>
        <w:tabs>
          <w:tab w:leader="none" w:pos="629" w:val="left"/>
        </w:tabs>
        <w:numPr>
          <w:ilvl w:val="0"/>
          <w:numId w:val="72"/>
        </w:numPr>
        <w:rPr>
          <w:rFonts w:ascii="Arial" w:cs="Arial" w:eastAsia="Arial" w:hAnsi="Arial"/>
          <w:sz w:val="16"/>
          <w:szCs w:val="16"/>
          <w:b w:val="1"/>
          <w:bCs w:val="1"/>
          <w:color w:val="auto"/>
        </w:rPr>
      </w:pPr>
      <w:r>
        <w:rPr>
          <w:rFonts w:ascii="Arial" w:cs="Arial" w:eastAsia="Arial" w:hAnsi="Arial"/>
          <w:sz w:val="18"/>
          <w:szCs w:val="18"/>
          <w:b w:val="1"/>
          <w:bCs w:val="1"/>
          <w:color w:val="auto"/>
        </w:rPr>
        <w:t xml:space="preserve">Rustic Canyon/Fontis Partners L.P., </w:t>
      </w:r>
      <w:r>
        <w:rPr>
          <w:rFonts w:ascii="Arial" w:cs="Arial" w:eastAsia="Arial" w:hAnsi="Arial"/>
          <w:sz w:val="16"/>
          <w:szCs w:val="16"/>
          <w:color w:val="auto"/>
        </w:rPr>
        <w:t>a private equity firm based in</w:t>
      </w:r>
      <w:r>
        <w:rPr>
          <w:rFonts w:ascii="Arial" w:cs="Arial" w:eastAsia="Arial" w:hAnsi="Arial"/>
          <w:sz w:val="18"/>
          <w:szCs w:val="18"/>
          <w:b w:val="1"/>
          <w:bCs w:val="1"/>
          <w:color w:val="auto"/>
        </w:rPr>
        <w:t xml:space="preserve"> </w:t>
      </w:r>
      <w:r>
        <w:rPr>
          <w:rFonts w:ascii="Arial" w:cs="Arial" w:eastAsia="Arial" w:hAnsi="Arial"/>
          <w:sz w:val="16"/>
          <w:szCs w:val="16"/>
          <w:color w:val="auto"/>
        </w:rPr>
        <w:t>California</w:t>
      </w:r>
    </w:p>
    <w:p>
      <w:pPr>
        <w:spacing w:after="0" w:line="8" w:lineRule="exact"/>
        <w:rPr>
          <w:rFonts w:ascii="Arial" w:cs="Arial" w:eastAsia="Arial" w:hAnsi="Arial"/>
          <w:sz w:val="16"/>
          <w:szCs w:val="16"/>
          <w:b w:val="1"/>
          <w:bCs w:val="1"/>
          <w:color w:val="auto"/>
        </w:rPr>
      </w:pPr>
    </w:p>
    <w:p>
      <w:pPr>
        <w:ind w:left="640"/>
        <w:spacing w:after="0"/>
        <w:rPr>
          <w:rFonts w:ascii="Arial" w:cs="Arial" w:eastAsia="Arial" w:hAnsi="Arial"/>
          <w:sz w:val="16"/>
          <w:szCs w:val="16"/>
          <w:b w:val="1"/>
          <w:bCs w:val="1"/>
          <w:color w:val="auto"/>
        </w:rPr>
      </w:pPr>
      <w:r>
        <w:rPr>
          <w:rFonts w:ascii="Arial" w:cs="Arial" w:eastAsia="Arial" w:hAnsi="Arial"/>
          <w:sz w:val="16"/>
          <w:szCs w:val="16"/>
          <w:color w:val="auto"/>
        </w:rPr>
        <w:t>–   General Partner (2005 - 2018)</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00A1DE"/>
        </w:rPr>
        <w:t>OTHER HIGHLIGHTS</w:t>
      </w:r>
    </w:p>
    <w:p>
      <w:pPr>
        <w:spacing w:after="0" w:line="95" w:lineRule="exact"/>
        <w:rPr>
          <w:sz w:val="20"/>
          <w:szCs w:val="20"/>
          <w:color w:val="auto"/>
        </w:rPr>
      </w:pPr>
    </w:p>
    <w:p>
      <w:pPr>
        <w:ind w:left="620" w:hanging="305"/>
        <w:spacing w:after="0"/>
        <w:tabs>
          <w:tab w:leader="none" w:pos="620" w:val="left"/>
        </w:tabs>
        <w:numPr>
          <w:ilvl w:val="0"/>
          <w:numId w:val="73"/>
        </w:numPr>
        <w:rPr>
          <w:rFonts w:ascii="Arial" w:cs="Arial" w:eastAsia="Arial" w:hAnsi="Arial"/>
          <w:sz w:val="16"/>
          <w:szCs w:val="16"/>
          <w:color w:val="auto"/>
        </w:rPr>
      </w:pPr>
      <w:r>
        <w:rPr>
          <w:rFonts w:ascii="Arial" w:cs="Arial" w:eastAsia="Arial" w:hAnsi="Arial"/>
          <w:sz w:val="16"/>
          <w:szCs w:val="16"/>
          <w:color w:val="auto"/>
        </w:rPr>
        <w:t>Director or trustee of the following not-for-profit organizations:</w:t>
      </w:r>
    </w:p>
    <w:p>
      <w:pPr>
        <w:spacing w:after="0" w:line="59"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6"/>
          <w:szCs w:val="16"/>
          <w:color w:val="auto"/>
        </w:rPr>
        <w:t>–   Metropolitan Museum of Art</w:t>
      </w:r>
    </w:p>
    <w:p>
      <w:pPr>
        <w:spacing w:after="0" w:line="72"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6"/>
          <w:szCs w:val="16"/>
          <w:color w:val="auto"/>
        </w:rPr>
        <w:t>–   Ford Foundation</w:t>
      </w:r>
    </w:p>
    <w:p>
      <w:pPr>
        <w:spacing w:after="0" w:line="59"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6"/>
          <w:szCs w:val="16"/>
          <w:color w:val="auto"/>
        </w:rPr>
        <w:t>–   Sesame Street Workshop</w:t>
      </w:r>
    </w:p>
    <w:p>
      <w:pPr>
        <w:spacing w:after="0" w:line="72" w:lineRule="exact"/>
        <w:rPr>
          <w:rFonts w:ascii="Arial" w:cs="Arial" w:eastAsia="Arial" w:hAnsi="Arial"/>
          <w:sz w:val="16"/>
          <w:szCs w:val="16"/>
          <w:color w:val="auto"/>
        </w:rPr>
      </w:pPr>
    </w:p>
    <w:p>
      <w:pPr>
        <w:ind w:left="620" w:hanging="305"/>
        <w:spacing w:after="0"/>
        <w:tabs>
          <w:tab w:leader="none" w:pos="620" w:val="left"/>
        </w:tabs>
        <w:numPr>
          <w:ilvl w:val="0"/>
          <w:numId w:val="73"/>
        </w:numPr>
        <w:rPr>
          <w:rFonts w:ascii="Arial" w:cs="Arial" w:eastAsia="Arial" w:hAnsi="Arial"/>
          <w:sz w:val="16"/>
          <w:szCs w:val="16"/>
          <w:color w:val="auto"/>
        </w:rPr>
      </w:pPr>
      <w:r>
        <w:rPr>
          <w:rFonts w:ascii="Arial" w:cs="Arial" w:eastAsia="Arial" w:hAnsi="Arial"/>
          <w:sz w:val="16"/>
          <w:szCs w:val="16"/>
          <w:color w:val="auto"/>
        </w:rPr>
        <w:t>Former director, board chair and audit committee chair, Whole Foods Market,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2343785</wp:posOffset>
            </wp:positionV>
            <wp:extent cx="213995" cy="21463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13995" cy="214630"/>
                    </a:xfrm>
                    <a:prstGeom prst="rect">
                      <a:avLst/>
                    </a:prstGeom>
                    <a:noFill/>
                  </pic:spPr>
                </pic:pic>
              </a:graphicData>
            </a:graphic>
          </wp:anchor>
        </w:drawing>
        <w:drawing>
          <wp:anchor simplePos="0" relativeHeight="251657728" behindDoc="1" locked="0" layoutInCell="0" allowOverlap="1">
            <wp:simplePos x="0" y="0"/>
            <wp:positionH relativeFrom="column">
              <wp:posOffset>805815</wp:posOffset>
            </wp:positionH>
            <wp:positionV relativeFrom="paragraph">
              <wp:posOffset>2343785</wp:posOffset>
            </wp:positionV>
            <wp:extent cx="214630" cy="21463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1731645</wp:posOffset>
            </wp:positionH>
            <wp:positionV relativeFrom="paragraph">
              <wp:posOffset>2343785</wp:posOffset>
            </wp:positionV>
            <wp:extent cx="214630" cy="21463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2597785</wp:posOffset>
            </wp:positionH>
            <wp:positionV relativeFrom="paragraph">
              <wp:posOffset>2343785</wp:posOffset>
            </wp:positionV>
            <wp:extent cx="214630" cy="21463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60" w:space="460"/>
            <w:col w:w="7499"/>
          </w:cols>
          <w:pgMar w:left="340" w:top="12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tbl>
      <w:tblPr>
        <w:tblLayout w:type="fixed"/>
        <w:tblInd w:w="1600" w:type="dxa"/>
        <w:tblCellMar>
          <w:top w:w="0" w:type="dxa"/>
          <w:left w:w="0" w:type="dxa"/>
          <w:bottom w:w="0" w:type="dxa"/>
          <w:right w:w="0" w:type="dxa"/>
        </w:tblCellMar>
      </w:tblPr>
      <w:tr>
        <w:trPr>
          <w:trHeight w:val="176"/>
        </w:trPr>
        <w:tc>
          <w:tcPr>
            <w:tcW w:w="1340" w:type="dxa"/>
            <w:vAlign w:val="bottom"/>
          </w:tcPr>
          <w:p>
            <w:pPr>
              <w:jc w:val="center"/>
              <w:ind w:right="488"/>
              <w:spacing w:after="0"/>
              <w:rPr>
                <w:sz w:val="20"/>
                <w:szCs w:val="20"/>
                <w:color w:val="auto"/>
              </w:rPr>
            </w:pPr>
            <w:r>
              <w:rPr>
                <w:rFonts w:ascii="Arial" w:cs="Arial" w:eastAsia="Arial" w:hAnsi="Arial"/>
                <w:sz w:val="14"/>
                <w:szCs w:val="14"/>
                <w:b w:val="1"/>
                <w:bCs w:val="1"/>
                <w:color w:val="auto"/>
                <w:w w:val="98"/>
              </w:rPr>
              <w:t>CEO</w:t>
            </w:r>
          </w:p>
        </w:tc>
        <w:tc>
          <w:tcPr>
            <w:tcW w:w="80" w:type="dxa"/>
            <w:vAlign w:val="bottom"/>
          </w:tcPr>
          <w:p>
            <w:pPr>
              <w:spacing w:after="0"/>
              <w:rPr>
                <w:sz w:val="15"/>
                <w:szCs w:val="15"/>
                <w:color w:val="auto"/>
              </w:rPr>
            </w:pPr>
          </w:p>
        </w:tc>
        <w:tc>
          <w:tcPr>
            <w:tcW w:w="1300" w:type="dxa"/>
            <w:vAlign w:val="bottom"/>
          </w:tcPr>
          <w:p>
            <w:pPr>
              <w:jc w:val="center"/>
              <w:ind w:right="528"/>
              <w:spacing w:after="0"/>
              <w:rPr>
                <w:sz w:val="20"/>
                <w:szCs w:val="20"/>
                <w:color w:val="auto"/>
              </w:rPr>
            </w:pPr>
            <w:r>
              <w:rPr>
                <w:rFonts w:ascii="Arial" w:cs="Arial" w:eastAsia="Arial" w:hAnsi="Arial"/>
                <w:sz w:val="14"/>
                <w:szCs w:val="14"/>
                <w:b w:val="1"/>
                <w:bCs w:val="1"/>
                <w:color w:val="auto"/>
              </w:rPr>
              <w:t>Finance /</w:t>
            </w:r>
          </w:p>
        </w:tc>
        <w:tc>
          <w:tcPr>
            <w:tcW w:w="1320" w:type="dxa"/>
            <w:vAlign w:val="bottom"/>
          </w:tcPr>
          <w:p>
            <w:pPr>
              <w:jc w:val="center"/>
              <w:ind w:right="308"/>
              <w:spacing w:after="0"/>
              <w:rPr>
                <w:sz w:val="20"/>
                <w:szCs w:val="20"/>
                <w:color w:val="auto"/>
              </w:rPr>
            </w:pPr>
            <w:r>
              <w:rPr>
                <w:rFonts w:ascii="Arial" w:cs="Arial" w:eastAsia="Arial" w:hAnsi="Arial"/>
                <w:sz w:val="14"/>
                <w:szCs w:val="14"/>
                <w:b w:val="1"/>
                <w:bCs w:val="1"/>
                <w:color w:val="auto"/>
              </w:rPr>
              <w:t>International</w:t>
            </w:r>
          </w:p>
        </w:tc>
        <w:tc>
          <w:tcPr>
            <w:tcW w:w="1480" w:type="dxa"/>
            <w:vAlign w:val="bottom"/>
            <w:gridSpan w:val="2"/>
          </w:tcPr>
          <w:p>
            <w:pPr>
              <w:jc w:val="center"/>
              <w:ind w:right="308"/>
              <w:spacing w:after="0"/>
              <w:rPr>
                <w:sz w:val="20"/>
                <w:szCs w:val="20"/>
                <w:color w:val="auto"/>
              </w:rPr>
            </w:pPr>
            <w:r>
              <w:rPr>
                <w:rFonts w:ascii="Arial" w:cs="Arial" w:eastAsia="Arial" w:hAnsi="Arial"/>
                <w:sz w:val="14"/>
                <w:szCs w:val="14"/>
                <w:b w:val="1"/>
                <w:bCs w:val="1"/>
                <w:color w:val="auto"/>
              </w:rPr>
              <w:t>Healthcare</w:t>
            </w:r>
          </w:p>
        </w:tc>
        <w:tc>
          <w:tcPr>
            <w:tcW w:w="700" w:type="dxa"/>
            <w:vAlign w:val="bottom"/>
          </w:tcPr>
          <w:p>
            <w:pPr>
              <w:ind w:left="20"/>
              <w:spacing w:after="0"/>
              <w:rPr>
                <w:sz w:val="20"/>
                <w:szCs w:val="20"/>
                <w:color w:val="auto"/>
              </w:rPr>
            </w:pPr>
            <w:r>
              <w:rPr>
                <w:rFonts w:ascii="Arial" w:cs="Arial" w:eastAsia="Arial" w:hAnsi="Arial"/>
                <w:sz w:val="14"/>
                <w:szCs w:val="14"/>
                <w:b w:val="1"/>
                <w:bCs w:val="1"/>
                <w:color w:val="auto"/>
              </w:rPr>
              <w:t>Science /</w:t>
            </w:r>
          </w:p>
        </w:tc>
        <w:tc>
          <w:tcPr>
            <w:tcW w:w="0" w:type="dxa"/>
            <w:vAlign w:val="bottom"/>
          </w:tcPr>
          <w:p>
            <w:pPr>
              <w:spacing w:after="0"/>
              <w:rPr>
                <w:sz w:val="1"/>
                <w:szCs w:val="1"/>
                <w:color w:val="auto"/>
              </w:rPr>
            </w:pPr>
          </w:p>
        </w:tc>
      </w:tr>
      <w:tr>
        <w:trPr>
          <w:trHeight w:val="196"/>
        </w:trPr>
        <w:tc>
          <w:tcPr>
            <w:tcW w:w="1340" w:type="dxa"/>
            <w:vAlign w:val="bottom"/>
          </w:tcPr>
          <w:p>
            <w:pPr>
              <w:jc w:val="center"/>
              <w:ind w:right="488"/>
              <w:spacing w:after="0"/>
              <w:rPr>
                <w:sz w:val="20"/>
                <w:szCs w:val="20"/>
                <w:color w:val="auto"/>
              </w:rPr>
            </w:pPr>
            <w:r>
              <w:rPr>
                <w:rFonts w:ascii="Arial" w:cs="Arial" w:eastAsia="Arial" w:hAnsi="Arial"/>
                <w:sz w:val="14"/>
                <w:szCs w:val="14"/>
                <w:b w:val="1"/>
                <w:bCs w:val="1"/>
                <w:color w:val="auto"/>
              </w:rPr>
              <w:t>Leadership</w:t>
            </w:r>
          </w:p>
        </w:tc>
        <w:tc>
          <w:tcPr>
            <w:tcW w:w="1380" w:type="dxa"/>
            <w:vAlign w:val="bottom"/>
            <w:gridSpan w:val="2"/>
          </w:tcPr>
          <w:p>
            <w:pPr>
              <w:jc w:val="center"/>
              <w:ind w:right="468"/>
              <w:spacing w:after="0"/>
              <w:rPr>
                <w:sz w:val="20"/>
                <w:szCs w:val="20"/>
                <w:color w:val="auto"/>
              </w:rPr>
            </w:pPr>
            <w:r>
              <w:rPr>
                <w:rFonts w:ascii="Arial" w:cs="Arial" w:eastAsia="Arial" w:hAnsi="Arial"/>
                <w:sz w:val="14"/>
                <w:szCs w:val="14"/>
                <w:b w:val="1"/>
                <w:bCs w:val="1"/>
                <w:color w:val="auto"/>
              </w:rPr>
              <w:t>Accounting</w:t>
            </w:r>
          </w:p>
        </w:tc>
        <w:tc>
          <w:tcPr>
            <w:tcW w:w="1320" w:type="dxa"/>
            <w:vAlign w:val="bottom"/>
          </w:tcPr>
          <w:p>
            <w:pPr>
              <w:jc w:val="center"/>
              <w:ind w:right="328"/>
              <w:spacing w:after="0"/>
              <w:rPr>
                <w:sz w:val="20"/>
                <w:szCs w:val="20"/>
                <w:color w:val="auto"/>
              </w:rPr>
            </w:pPr>
            <w:r>
              <w:rPr>
                <w:rFonts w:ascii="Arial" w:cs="Arial" w:eastAsia="Arial" w:hAnsi="Arial"/>
                <w:sz w:val="14"/>
                <w:szCs w:val="14"/>
                <w:b w:val="1"/>
                <w:bCs w:val="1"/>
                <w:color w:val="auto"/>
              </w:rPr>
              <w:t>Business</w:t>
            </w:r>
          </w:p>
        </w:tc>
        <w:tc>
          <w:tcPr>
            <w:tcW w:w="260" w:type="dxa"/>
            <w:vAlign w:val="bottom"/>
          </w:tcPr>
          <w:p>
            <w:pPr>
              <w:spacing w:after="0"/>
              <w:rPr>
                <w:sz w:val="17"/>
                <w:szCs w:val="17"/>
                <w:color w:val="auto"/>
              </w:rPr>
            </w:pPr>
          </w:p>
        </w:tc>
        <w:tc>
          <w:tcPr>
            <w:tcW w:w="1220" w:type="dxa"/>
            <w:vAlign w:val="bottom"/>
          </w:tcPr>
          <w:p>
            <w:pPr>
              <w:jc w:val="center"/>
              <w:ind w:right="568"/>
              <w:spacing w:after="0"/>
              <w:rPr>
                <w:sz w:val="20"/>
                <w:szCs w:val="20"/>
                <w:color w:val="auto"/>
              </w:rPr>
            </w:pPr>
            <w:r>
              <w:rPr>
                <w:rFonts w:ascii="Arial" w:cs="Arial" w:eastAsia="Arial" w:hAnsi="Arial"/>
                <w:sz w:val="14"/>
                <w:szCs w:val="14"/>
                <w:b w:val="1"/>
                <w:bCs w:val="1"/>
                <w:color w:val="auto"/>
              </w:rPr>
              <w:t>Industry</w:t>
            </w:r>
          </w:p>
        </w:tc>
        <w:tc>
          <w:tcPr>
            <w:tcW w:w="700" w:type="dxa"/>
            <w:vAlign w:val="bottom"/>
          </w:tcPr>
          <w:p>
            <w:pPr>
              <w:ind w:left="20"/>
              <w:spacing w:after="0"/>
              <w:rPr>
                <w:sz w:val="20"/>
                <w:szCs w:val="20"/>
                <w:color w:val="auto"/>
              </w:rPr>
            </w:pPr>
            <w:r>
              <w:rPr>
                <w:rFonts w:ascii="Arial" w:cs="Arial" w:eastAsia="Arial" w:hAnsi="Arial"/>
                <w:sz w:val="14"/>
                <w:szCs w:val="14"/>
                <w:b w:val="1"/>
                <w:bCs w:val="1"/>
                <w:color w:val="auto"/>
                <w:w w:val="99"/>
              </w:rPr>
              <w:t>Academia</w:t>
            </w:r>
          </w:p>
        </w:tc>
        <w:tc>
          <w:tcPr>
            <w:tcW w:w="0" w:type="dxa"/>
            <w:vAlign w:val="bottom"/>
          </w:tcPr>
          <w:p>
            <w:pPr>
              <w:spacing w:after="0"/>
              <w:rPr>
                <w:sz w:val="1"/>
                <w:szCs w:val="1"/>
                <w:color w:val="auto"/>
              </w:rPr>
            </w:pPr>
          </w:p>
        </w:tc>
      </w:tr>
      <w:tr>
        <w:trPr>
          <w:trHeight w:val="434"/>
        </w:trPr>
        <w:tc>
          <w:tcPr>
            <w:tcW w:w="1340" w:type="dxa"/>
            <w:vAlign w:val="bottom"/>
          </w:tcPr>
          <w:p>
            <w:pPr>
              <w:ind w:left="480"/>
              <w:spacing w:after="0"/>
              <w:rPr>
                <w:sz w:val="20"/>
                <w:szCs w:val="20"/>
                <w:color w:val="auto"/>
              </w:rPr>
            </w:pPr>
            <w:r>
              <w:rPr>
                <w:rFonts w:ascii="Arial" w:cs="Arial" w:eastAsia="Arial" w:hAnsi="Arial"/>
                <w:sz w:val="14"/>
                <w:szCs w:val="14"/>
                <w:b w:val="1"/>
                <w:bCs w:val="1"/>
                <w:color w:val="auto"/>
              </w:rPr>
              <w:t>Government</w:t>
            </w:r>
          </w:p>
        </w:tc>
        <w:tc>
          <w:tcPr>
            <w:tcW w:w="80" w:type="dxa"/>
            <w:vAlign w:val="bottom"/>
          </w:tcPr>
          <w:p>
            <w:pPr>
              <w:spacing w:after="0"/>
              <w:rPr>
                <w:sz w:val="24"/>
                <w:szCs w:val="24"/>
                <w:color w:val="auto"/>
              </w:rPr>
            </w:pPr>
          </w:p>
        </w:tc>
        <w:tc>
          <w:tcPr>
            <w:tcW w:w="1300" w:type="dxa"/>
            <w:vAlign w:val="bottom"/>
            <w:vMerge w:val="restart"/>
          </w:tcPr>
          <w:p>
            <w:pPr>
              <w:ind w:left="600"/>
              <w:spacing w:after="0"/>
              <w:rPr>
                <w:sz w:val="20"/>
                <w:szCs w:val="20"/>
                <w:color w:val="auto"/>
              </w:rPr>
            </w:pPr>
            <w:r>
              <w:rPr>
                <w:rFonts w:ascii="Arial" w:cs="Arial" w:eastAsia="Arial" w:hAnsi="Arial"/>
                <w:sz w:val="14"/>
                <w:szCs w:val="14"/>
                <w:b w:val="1"/>
                <w:bCs w:val="1"/>
                <w:color w:val="auto"/>
              </w:rPr>
              <w:t>Sales /</w:t>
            </w:r>
          </w:p>
        </w:tc>
        <w:tc>
          <w:tcPr>
            <w:tcW w:w="1580" w:type="dxa"/>
            <w:vAlign w:val="bottom"/>
            <w:gridSpan w:val="2"/>
            <w:vMerge w:val="restart"/>
          </w:tcPr>
          <w:p>
            <w:pPr>
              <w:ind w:left="700"/>
              <w:spacing w:after="0"/>
              <w:rPr>
                <w:sz w:val="20"/>
                <w:szCs w:val="20"/>
                <w:color w:val="auto"/>
              </w:rPr>
            </w:pPr>
            <w:r>
              <w:rPr>
                <w:rFonts w:ascii="Arial" w:cs="Arial" w:eastAsia="Arial" w:hAnsi="Arial"/>
                <w:sz w:val="14"/>
                <w:szCs w:val="14"/>
                <w:b w:val="1"/>
                <w:bCs w:val="1"/>
                <w:color w:val="auto"/>
                <w:w w:val="99"/>
              </w:rPr>
              <w:t>Technology /</w:t>
            </w:r>
          </w:p>
        </w:tc>
        <w:tc>
          <w:tcPr>
            <w:tcW w:w="1920" w:type="dxa"/>
            <w:vAlign w:val="bottom"/>
            <w:gridSpan w:val="2"/>
            <w:vMerge w:val="restart"/>
          </w:tcPr>
          <w:p>
            <w:pPr>
              <w:ind w:left="620"/>
              <w:spacing w:after="0"/>
              <w:rPr>
                <w:sz w:val="20"/>
                <w:szCs w:val="20"/>
                <w:color w:val="auto"/>
              </w:rPr>
            </w:pPr>
            <w:r>
              <w:rPr>
                <w:rFonts w:ascii="Arial" w:cs="Arial" w:eastAsia="Arial" w:hAnsi="Arial"/>
                <w:sz w:val="14"/>
                <w:szCs w:val="14"/>
                <w:b w:val="1"/>
                <w:bCs w:val="1"/>
                <w:color w:val="auto"/>
              </w:rPr>
              <w:t>Operations /</w:t>
            </w:r>
          </w:p>
        </w:tc>
        <w:tc>
          <w:tcPr>
            <w:tcW w:w="0" w:type="dxa"/>
            <w:vAlign w:val="bottom"/>
          </w:tcPr>
          <w:p>
            <w:pPr>
              <w:spacing w:after="0"/>
              <w:rPr>
                <w:sz w:val="1"/>
                <w:szCs w:val="1"/>
                <w:color w:val="auto"/>
              </w:rPr>
            </w:pPr>
          </w:p>
        </w:tc>
      </w:tr>
      <w:tr>
        <w:trPr>
          <w:trHeight w:val="135"/>
        </w:trPr>
        <w:tc>
          <w:tcPr>
            <w:tcW w:w="1340" w:type="dxa"/>
            <w:vAlign w:val="bottom"/>
          </w:tcPr>
          <w:p>
            <w:pPr>
              <w:ind w:left="480"/>
              <w:spacing w:after="0" w:line="135" w:lineRule="exact"/>
              <w:rPr>
                <w:sz w:val="20"/>
                <w:szCs w:val="20"/>
                <w:color w:val="auto"/>
              </w:rPr>
            </w:pPr>
            <w:r>
              <w:rPr>
                <w:rFonts w:ascii="Arial" w:cs="Arial" w:eastAsia="Arial" w:hAnsi="Arial"/>
                <w:sz w:val="14"/>
                <w:szCs w:val="14"/>
                <w:b w:val="1"/>
                <w:bCs w:val="1"/>
                <w:color w:val="auto"/>
              </w:rPr>
              <w:t>Relations /</w:t>
            </w:r>
          </w:p>
        </w:tc>
        <w:tc>
          <w:tcPr>
            <w:tcW w:w="80" w:type="dxa"/>
            <w:vAlign w:val="bottom"/>
          </w:tcPr>
          <w:p>
            <w:pPr>
              <w:spacing w:after="0"/>
              <w:rPr>
                <w:sz w:val="11"/>
                <w:szCs w:val="11"/>
                <w:color w:val="auto"/>
              </w:rPr>
            </w:pPr>
          </w:p>
        </w:tc>
        <w:tc>
          <w:tcPr>
            <w:tcW w:w="1300" w:type="dxa"/>
            <w:vAlign w:val="bottom"/>
            <w:vMerge w:val="continue"/>
          </w:tcPr>
          <w:p>
            <w:pPr>
              <w:spacing w:after="0"/>
              <w:rPr>
                <w:sz w:val="11"/>
                <w:szCs w:val="11"/>
                <w:color w:val="auto"/>
              </w:rPr>
            </w:pPr>
          </w:p>
        </w:tc>
        <w:tc>
          <w:tcPr>
            <w:tcW w:w="1580" w:type="dxa"/>
            <w:vAlign w:val="bottom"/>
            <w:gridSpan w:val="2"/>
            <w:vMerge w:val="continue"/>
          </w:tcPr>
          <w:p>
            <w:pPr>
              <w:spacing w:after="0"/>
              <w:rPr>
                <w:sz w:val="11"/>
                <w:szCs w:val="11"/>
                <w:color w:val="auto"/>
              </w:rPr>
            </w:pPr>
          </w:p>
        </w:tc>
        <w:tc>
          <w:tcPr>
            <w:tcW w:w="19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1420" w:type="dxa"/>
            <w:vAlign w:val="bottom"/>
            <w:gridSpan w:val="2"/>
          </w:tcPr>
          <w:p>
            <w:pPr>
              <w:ind w:left="480"/>
              <w:spacing w:after="0"/>
              <w:rPr>
                <w:sz w:val="20"/>
                <w:szCs w:val="20"/>
                <w:color w:val="auto"/>
              </w:rPr>
            </w:pPr>
            <w:r>
              <w:rPr>
                <w:rFonts w:ascii="Arial" w:cs="Arial" w:eastAsia="Arial" w:hAnsi="Arial"/>
                <w:sz w:val="14"/>
                <w:szCs w:val="14"/>
                <w:b w:val="1"/>
                <w:bCs w:val="1"/>
                <w:color w:val="auto"/>
              </w:rPr>
              <w:t>Public Policy</w:t>
            </w:r>
          </w:p>
        </w:tc>
        <w:tc>
          <w:tcPr>
            <w:tcW w:w="1300" w:type="dxa"/>
            <w:vAlign w:val="bottom"/>
          </w:tcPr>
          <w:p>
            <w:pPr>
              <w:ind w:left="600"/>
              <w:spacing w:after="0"/>
              <w:rPr>
                <w:sz w:val="20"/>
                <w:szCs w:val="20"/>
                <w:color w:val="auto"/>
              </w:rPr>
            </w:pPr>
            <w:r>
              <w:rPr>
                <w:rFonts w:ascii="Arial" w:cs="Arial" w:eastAsia="Arial" w:hAnsi="Arial"/>
                <w:sz w:val="14"/>
                <w:szCs w:val="14"/>
                <w:b w:val="1"/>
                <w:bCs w:val="1"/>
                <w:color w:val="auto"/>
              </w:rPr>
              <w:t>Marketing</w:t>
            </w:r>
          </w:p>
        </w:tc>
        <w:tc>
          <w:tcPr>
            <w:tcW w:w="1320" w:type="dxa"/>
            <w:vAlign w:val="bottom"/>
          </w:tcPr>
          <w:p>
            <w:pPr>
              <w:ind w:left="700"/>
              <w:spacing w:after="0"/>
              <w:rPr>
                <w:sz w:val="20"/>
                <w:szCs w:val="20"/>
                <w:color w:val="auto"/>
              </w:rPr>
            </w:pPr>
            <w:r>
              <w:rPr>
                <w:rFonts w:ascii="Arial" w:cs="Arial" w:eastAsia="Arial" w:hAnsi="Arial"/>
                <w:sz w:val="14"/>
                <w:szCs w:val="14"/>
                <w:b w:val="1"/>
                <w:bCs w:val="1"/>
                <w:color w:val="auto"/>
              </w:rPr>
              <w:t>Digital</w:t>
            </w:r>
          </w:p>
        </w:tc>
        <w:tc>
          <w:tcPr>
            <w:tcW w:w="260" w:type="dxa"/>
            <w:vAlign w:val="bottom"/>
          </w:tcPr>
          <w:p>
            <w:pPr>
              <w:spacing w:after="0"/>
              <w:rPr>
                <w:sz w:val="17"/>
                <w:szCs w:val="17"/>
                <w:color w:val="auto"/>
              </w:rPr>
            </w:pPr>
          </w:p>
        </w:tc>
        <w:tc>
          <w:tcPr>
            <w:tcW w:w="1220" w:type="dxa"/>
            <w:vAlign w:val="bottom"/>
          </w:tcPr>
          <w:p>
            <w:pPr>
              <w:ind w:left="620"/>
              <w:spacing w:after="0"/>
              <w:rPr>
                <w:sz w:val="20"/>
                <w:szCs w:val="20"/>
                <w:color w:val="auto"/>
              </w:rPr>
            </w:pPr>
            <w:r>
              <w:rPr>
                <w:rFonts w:ascii="Arial" w:cs="Arial" w:eastAsia="Arial" w:hAnsi="Arial"/>
                <w:sz w:val="14"/>
                <w:szCs w:val="14"/>
                <w:b w:val="1"/>
                <w:bCs w:val="1"/>
                <w:color w:val="auto"/>
              </w:rPr>
              <w:t>Strategy</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1029335</wp:posOffset>
            </wp:positionH>
            <wp:positionV relativeFrom="paragraph">
              <wp:posOffset>-255270</wp:posOffset>
            </wp:positionV>
            <wp:extent cx="214630" cy="21463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1989455</wp:posOffset>
            </wp:positionH>
            <wp:positionV relativeFrom="paragraph">
              <wp:posOffset>-255270</wp:posOffset>
            </wp:positionV>
            <wp:extent cx="214630" cy="21463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2863850</wp:posOffset>
            </wp:positionH>
            <wp:positionV relativeFrom="paragraph">
              <wp:posOffset>-255270</wp:posOffset>
            </wp:positionV>
            <wp:extent cx="214630" cy="21463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3823970</wp:posOffset>
            </wp:positionH>
            <wp:positionV relativeFrom="paragraph">
              <wp:posOffset>-255270</wp:posOffset>
            </wp:positionV>
            <wp:extent cx="214630" cy="21463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ectPr>
          <w:pgSz w:w="11900" w:h="16838" w:orient="portrait"/>
          <w:cols w:equalWidth="0" w:num="1">
            <w:col w:w="10119"/>
          </w:cols>
          <w:pgMar w:left="340" w:top="1214" w:right="1440" w:bottom="1440" w:gutter="0" w:footer="0" w:header="0"/>
          <w:type w:val="continuous"/>
        </w:sectPr>
      </w:pPr>
    </w:p>
    <w:p>
      <w:pPr>
        <w:spacing w:after="0" w:line="200" w:lineRule="exact"/>
        <w:rPr>
          <w:sz w:val="20"/>
          <w:szCs w:val="20"/>
          <w:color w:val="auto"/>
        </w:rPr>
      </w:pPr>
    </w:p>
    <w:p>
      <w:pPr>
        <w:spacing w:after="0" w:line="315" w:lineRule="exact"/>
        <w:rPr>
          <w:sz w:val="20"/>
          <w:szCs w:val="20"/>
          <w:color w:val="auto"/>
        </w:rPr>
      </w:pPr>
    </w:p>
    <w:p>
      <w:pPr>
        <w:ind w:left="5500"/>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154940</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214" w:right="1440"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25"/>
          <w:szCs w:val="25"/>
          <w:b w:val="1"/>
          <w:bCs w:val="1"/>
          <w:color w:val="00A1DE"/>
        </w:rPr>
        <w:t>Director Nominations</w:t>
      </w:r>
    </w:p>
    <w:p>
      <w:pPr>
        <w:spacing w:after="0" w:line="31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Each year, the board proposes a slate of director nominees for election by shareholders at the Annual Meeting. The board has delegated the process of screening potential director candidates to the Directors and Corporate Governance Committee, which receives input from other board 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1419225</wp:posOffset>
            </wp:positionH>
            <wp:positionV relativeFrom="paragraph">
              <wp:posOffset>102870</wp:posOffset>
            </wp:positionV>
            <wp:extent cx="59690" cy="17145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9690" cy="171450"/>
                    </a:xfrm>
                    <a:prstGeom prst="rect">
                      <a:avLst/>
                    </a:prstGeom>
                    <a:noFill/>
                  </pic:spPr>
                </pic:pic>
              </a:graphicData>
            </a:graphic>
          </wp:anchor>
        </w:drawing>
        <w:drawing>
          <wp:anchor simplePos="0" relativeHeight="251657728" behindDoc="1" locked="0" layoutInCell="0" allowOverlap="1">
            <wp:simplePos x="0" y="0"/>
            <wp:positionH relativeFrom="column">
              <wp:posOffset>1607820</wp:posOffset>
            </wp:positionH>
            <wp:positionV relativeFrom="paragraph">
              <wp:posOffset>102870</wp:posOffset>
            </wp:positionV>
            <wp:extent cx="85725" cy="16319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85725" cy="163195"/>
                    </a:xfrm>
                    <a:prstGeom prst="rect">
                      <a:avLst/>
                    </a:prstGeom>
                    <a:noFill/>
                  </pic:spPr>
                </pic:pic>
              </a:graphicData>
            </a:graphic>
          </wp:anchor>
        </w:drawing>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344"/>
        </w:trPr>
        <w:tc>
          <w:tcPr>
            <w:tcW w:w="2440" w:type="dxa"/>
            <w:vAlign w:val="bottom"/>
            <w:tcBorders>
              <w:bottom w:val="single" w:sz="8" w:color="D52B1E"/>
            </w:tcBorders>
            <w:shd w:val="clear" w:color="auto" w:fill="D52B1E"/>
          </w:tcPr>
          <w:p>
            <w:pPr>
              <w:ind w:left="20"/>
              <w:spacing w:after="0"/>
              <w:rPr>
                <w:sz w:val="20"/>
                <w:szCs w:val="20"/>
                <w:color w:val="auto"/>
              </w:rPr>
            </w:pPr>
            <w:r>
              <w:rPr>
                <w:rFonts w:ascii="Arial" w:cs="Arial" w:eastAsia="Arial" w:hAnsi="Arial"/>
                <w:sz w:val="18"/>
                <w:szCs w:val="18"/>
                <w:color w:val="FFFFFF"/>
              </w:rPr>
              <w:t>Incumbent Directors</w:t>
            </w:r>
          </w:p>
        </w:tc>
        <w:tc>
          <w:tcPr>
            <w:tcW w:w="320" w:type="dxa"/>
            <w:vAlign w:val="bottom"/>
          </w:tcPr>
          <w:p>
            <w:pPr>
              <w:spacing w:after="0"/>
              <w:rPr>
                <w:sz w:val="24"/>
                <w:szCs w:val="24"/>
                <w:color w:val="auto"/>
              </w:rPr>
            </w:pPr>
          </w:p>
        </w:tc>
        <w:tc>
          <w:tcPr>
            <w:tcW w:w="1480" w:type="dxa"/>
            <w:vAlign w:val="bottom"/>
            <w:tcBorders>
              <w:bottom w:val="single" w:sz="8" w:color="D52B1E"/>
            </w:tcBorders>
            <w:vMerge w:val="restart"/>
            <w:shd w:val="clear" w:color="auto" w:fill="D52B1E"/>
          </w:tcPr>
          <w:p>
            <w:pPr>
              <w:ind w:left="340"/>
              <w:spacing w:after="0"/>
              <w:rPr>
                <w:sz w:val="20"/>
                <w:szCs w:val="20"/>
                <w:color w:val="auto"/>
              </w:rPr>
            </w:pPr>
            <w:r>
              <w:rPr>
                <w:rFonts w:ascii="Arial" w:cs="Arial" w:eastAsia="Arial" w:hAnsi="Arial"/>
                <w:sz w:val="18"/>
                <w:szCs w:val="18"/>
                <w:color w:val="FFFFFF"/>
              </w:rPr>
              <w:t>Candidate</w:t>
            </w:r>
          </w:p>
        </w:tc>
        <w:tc>
          <w:tcPr>
            <w:tcW w:w="340" w:type="dxa"/>
            <w:vAlign w:val="bottom"/>
          </w:tcPr>
          <w:p>
            <w:pPr>
              <w:spacing w:after="0"/>
              <w:rPr>
                <w:sz w:val="24"/>
                <w:szCs w:val="24"/>
                <w:color w:val="auto"/>
              </w:rPr>
            </w:pPr>
          </w:p>
        </w:tc>
        <w:tc>
          <w:tcPr>
            <w:tcW w:w="280" w:type="dxa"/>
            <w:vAlign w:val="bottom"/>
            <w:tcBorders>
              <w:bottom w:val="single" w:sz="8" w:color="6D6D6D"/>
            </w:tcBorders>
            <w:shd w:val="clear" w:color="auto" w:fill="6D6D6D"/>
          </w:tcPr>
          <w:p>
            <w:pPr>
              <w:spacing w:after="0"/>
              <w:rPr>
                <w:sz w:val="24"/>
                <w:szCs w:val="24"/>
                <w:color w:val="auto"/>
              </w:rPr>
            </w:pPr>
          </w:p>
        </w:tc>
        <w:tc>
          <w:tcPr>
            <w:tcW w:w="2160" w:type="dxa"/>
            <w:vAlign w:val="bottom"/>
            <w:tcBorders>
              <w:bottom w:val="single" w:sz="8" w:color="6D6D6D"/>
            </w:tcBorders>
            <w:shd w:val="clear" w:color="auto" w:fill="6D6D6D"/>
          </w:tcPr>
          <w:p>
            <w:pPr>
              <w:ind w:left="280"/>
              <w:spacing w:after="0"/>
              <w:rPr>
                <w:sz w:val="20"/>
                <w:szCs w:val="20"/>
                <w:color w:val="auto"/>
              </w:rPr>
            </w:pPr>
            <w:r>
              <w:rPr>
                <w:rFonts w:ascii="Arial" w:cs="Arial" w:eastAsia="Arial" w:hAnsi="Arial"/>
                <w:sz w:val="18"/>
                <w:szCs w:val="18"/>
                <w:color w:val="FFFFFF"/>
              </w:rPr>
              <w:t>In-Depth Review</w:t>
            </w:r>
          </w:p>
        </w:tc>
        <w:tc>
          <w:tcPr>
            <w:tcW w:w="340" w:type="dxa"/>
            <w:vAlign w:val="bottom"/>
          </w:tcPr>
          <w:p>
            <w:pPr>
              <w:spacing w:after="0"/>
              <w:rPr>
                <w:sz w:val="24"/>
                <w:szCs w:val="24"/>
                <w:color w:val="auto"/>
              </w:rPr>
            </w:pPr>
          </w:p>
        </w:tc>
        <w:tc>
          <w:tcPr>
            <w:tcW w:w="1500" w:type="dxa"/>
            <w:vAlign w:val="bottom"/>
            <w:tcBorders>
              <w:bottom w:val="single" w:sz="8" w:color="00A1DE"/>
            </w:tcBorders>
            <w:shd w:val="clear" w:color="auto" w:fill="00A1DE"/>
          </w:tcPr>
          <w:p>
            <w:pPr>
              <w:jc w:val="center"/>
              <w:spacing w:after="0"/>
              <w:rPr>
                <w:sz w:val="20"/>
                <w:szCs w:val="20"/>
                <w:color w:val="auto"/>
              </w:rPr>
            </w:pPr>
            <w:r>
              <w:rPr>
                <w:rFonts w:ascii="Arial" w:cs="Arial" w:eastAsia="Arial" w:hAnsi="Arial"/>
                <w:sz w:val="18"/>
                <w:szCs w:val="18"/>
                <w:color w:val="FFFFFF"/>
                <w:w w:val="99"/>
              </w:rPr>
              <w:t>Recommend</w:t>
            </w:r>
          </w:p>
        </w:tc>
        <w:tc>
          <w:tcPr>
            <w:tcW w:w="0" w:type="dxa"/>
            <w:vAlign w:val="bottom"/>
          </w:tcPr>
          <w:p>
            <w:pPr>
              <w:spacing w:after="0"/>
              <w:rPr>
                <w:sz w:val="1"/>
                <w:szCs w:val="1"/>
                <w:color w:val="auto"/>
              </w:rPr>
            </w:pPr>
          </w:p>
        </w:tc>
      </w:tr>
      <w:tr>
        <w:trPr>
          <w:trHeight w:val="62"/>
        </w:trPr>
        <w:tc>
          <w:tcPr>
            <w:tcW w:w="24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80" w:type="dxa"/>
            <w:vAlign w:val="bottom"/>
            <w:vMerge w:val="continue"/>
            <w:shd w:val="clear" w:color="auto" w:fill="D52B1E"/>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1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500" w:type="dxa"/>
            <w:vAlign w:val="bottom"/>
            <w:vMerge w:val="restart"/>
            <w:shd w:val="clear" w:color="auto" w:fill="00A1DE"/>
          </w:tcPr>
          <w:p>
            <w:pPr>
              <w:jc w:val="center"/>
              <w:spacing w:after="0" w:line="115" w:lineRule="exact"/>
              <w:rPr>
                <w:sz w:val="20"/>
                <w:szCs w:val="20"/>
                <w:color w:val="auto"/>
              </w:rPr>
            </w:pPr>
            <w:r>
              <w:rPr>
                <w:rFonts w:ascii="Arial" w:cs="Arial" w:eastAsia="Arial" w:hAnsi="Arial"/>
                <w:sz w:val="13"/>
                <w:szCs w:val="13"/>
                <w:color w:val="FFFFFF"/>
              </w:rPr>
              <w:t>Selected</w:t>
            </w:r>
          </w:p>
        </w:tc>
        <w:tc>
          <w:tcPr>
            <w:tcW w:w="0" w:type="dxa"/>
            <w:vAlign w:val="bottom"/>
          </w:tcPr>
          <w:p>
            <w:pPr>
              <w:spacing w:after="0"/>
              <w:rPr>
                <w:sz w:val="1"/>
                <w:szCs w:val="1"/>
                <w:color w:val="auto"/>
              </w:rPr>
            </w:pPr>
          </w:p>
        </w:tc>
      </w:tr>
      <w:tr>
        <w:trPr>
          <w:trHeight w:val="53"/>
        </w:trPr>
        <w:tc>
          <w:tcPr>
            <w:tcW w:w="2440" w:type="dxa"/>
            <w:vAlign w:val="bottom"/>
            <w:tcBorders>
              <w:bottom w:val="single" w:sz="8" w:color="D52B1E"/>
            </w:tcBorders>
          </w:tcPr>
          <w:p>
            <w:pPr>
              <w:spacing w:after="0"/>
              <w:rPr>
                <w:sz w:val="4"/>
                <w:szCs w:val="4"/>
                <w:color w:val="auto"/>
              </w:rPr>
            </w:pPr>
          </w:p>
        </w:tc>
        <w:tc>
          <w:tcPr>
            <w:tcW w:w="320" w:type="dxa"/>
            <w:vAlign w:val="bottom"/>
          </w:tcPr>
          <w:p>
            <w:pPr>
              <w:spacing w:after="0"/>
              <w:rPr>
                <w:sz w:val="4"/>
                <w:szCs w:val="4"/>
                <w:color w:val="auto"/>
              </w:rPr>
            </w:pPr>
          </w:p>
        </w:tc>
        <w:tc>
          <w:tcPr>
            <w:tcW w:w="1480" w:type="dxa"/>
            <w:vAlign w:val="bottom"/>
            <w:tcBorders>
              <w:bottom w:val="single" w:sz="8" w:color="D52B1E"/>
            </w:tcBorders>
            <w:vMerge w:val="restart"/>
            <w:shd w:val="clear" w:color="auto" w:fill="D52B1E"/>
          </w:tcPr>
          <w:p>
            <w:pPr>
              <w:ind w:left="580"/>
              <w:spacing w:after="0"/>
              <w:rPr>
                <w:sz w:val="20"/>
                <w:szCs w:val="20"/>
                <w:color w:val="auto"/>
              </w:rPr>
            </w:pPr>
            <w:r>
              <w:rPr>
                <w:rFonts w:ascii="Arial" w:cs="Arial" w:eastAsia="Arial" w:hAnsi="Arial"/>
                <w:sz w:val="18"/>
                <w:szCs w:val="18"/>
                <w:color w:val="FFFFFF"/>
              </w:rPr>
              <w:t>Pool</w:t>
            </w:r>
          </w:p>
        </w:tc>
        <w:tc>
          <w:tcPr>
            <w:tcW w:w="3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1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500" w:type="dxa"/>
            <w:vAlign w:val="bottom"/>
            <w:tcBorders>
              <w:bottom w:val="single" w:sz="8" w:color="00A1DE"/>
            </w:tcBorders>
            <w:vMerge w:val="continue"/>
            <w:shd w:val="clear" w:color="auto" w:fill="00A1D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440" w:type="dxa"/>
            <w:vAlign w:val="bottom"/>
            <w:vMerge w:val="restart"/>
            <w:shd w:val="clear" w:color="auto" w:fill="D52B1E"/>
          </w:tcPr>
          <w:p>
            <w:pPr>
              <w:ind w:left="20"/>
              <w:spacing w:after="0" w:line="202" w:lineRule="exact"/>
              <w:rPr>
                <w:sz w:val="20"/>
                <w:szCs w:val="20"/>
                <w:color w:val="auto"/>
              </w:rPr>
            </w:pPr>
            <w:r>
              <w:rPr>
                <w:rFonts w:ascii="Arial" w:cs="Arial" w:eastAsia="Arial" w:hAnsi="Arial"/>
                <w:sz w:val="18"/>
                <w:szCs w:val="18"/>
                <w:color w:val="FFFFFF"/>
              </w:rPr>
              <w:t>Shareholders</w:t>
            </w:r>
          </w:p>
        </w:tc>
        <w:tc>
          <w:tcPr>
            <w:tcW w:w="320" w:type="dxa"/>
            <w:vAlign w:val="bottom"/>
          </w:tcPr>
          <w:p>
            <w:pPr>
              <w:spacing w:after="0"/>
              <w:rPr>
                <w:sz w:val="14"/>
                <w:szCs w:val="14"/>
                <w:color w:val="auto"/>
              </w:rPr>
            </w:pPr>
          </w:p>
        </w:tc>
        <w:tc>
          <w:tcPr>
            <w:tcW w:w="1480" w:type="dxa"/>
            <w:vAlign w:val="bottom"/>
            <w:vMerge w:val="continue"/>
            <w:shd w:val="clear" w:color="auto" w:fill="D52B1E"/>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00" w:type="dxa"/>
            <w:vAlign w:val="bottom"/>
            <w:vMerge w:val="restart"/>
            <w:shd w:val="clear" w:color="auto" w:fill="00A1DE"/>
          </w:tcPr>
          <w:p>
            <w:pPr>
              <w:jc w:val="center"/>
              <w:spacing w:after="0" w:line="202" w:lineRule="exact"/>
              <w:rPr>
                <w:sz w:val="20"/>
                <w:szCs w:val="20"/>
                <w:color w:val="auto"/>
              </w:rPr>
            </w:pPr>
            <w:r>
              <w:rPr>
                <w:rFonts w:ascii="Arial" w:cs="Arial" w:eastAsia="Arial" w:hAnsi="Arial"/>
                <w:sz w:val="18"/>
                <w:szCs w:val="18"/>
                <w:color w:val="FFFFFF"/>
              </w:rPr>
              <w:t>Candidates for</w:t>
            </w:r>
          </w:p>
        </w:tc>
        <w:tc>
          <w:tcPr>
            <w:tcW w:w="0" w:type="dxa"/>
            <w:vAlign w:val="bottom"/>
          </w:tcPr>
          <w:p>
            <w:pPr>
              <w:spacing w:after="0"/>
              <w:rPr>
                <w:sz w:val="1"/>
                <w:szCs w:val="1"/>
                <w:color w:val="auto"/>
              </w:rPr>
            </w:pPr>
          </w:p>
        </w:tc>
      </w:tr>
      <w:tr>
        <w:trPr>
          <w:trHeight w:val="40"/>
        </w:trPr>
        <w:tc>
          <w:tcPr>
            <w:tcW w:w="2440" w:type="dxa"/>
            <w:vAlign w:val="bottom"/>
            <w:vMerge w:val="continue"/>
            <w:shd w:val="clear" w:color="auto" w:fill="D52B1E"/>
          </w:tcPr>
          <w:p>
            <w:pPr>
              <w:spacing w:after="0"/>
              <w:rPr>
                <w:sz w:val="3"/>
                <w:szCs w:val="3"/>
                <w:color w:val="auto"/>
              </w:rPr>
            </w:pPr>
          </w:p>
        </w:tc>
        <w:tc>
          <w:tcPr>
            <w:tcW w:w="320" w:type="dxa"/>
            <w:vAlign w:val="bottom"/>
          </w:tcPr>
          <w:p>
            <w:pPr>
              <w:spacing w:after="0"/>
              <w:rPr>
                <w:sz w:val="3"/>
                <w:szCs w:val="3"/>
                <w:color w:val="auto"/>
              </w:rPr>
            </w:pPr>
          </w:p>
        </w:tc>
        <w:tc>
          <w:tcPr>
            <w:tcW w:w="1480" w:type="dxa"/>
            <w:vAlign w:val="bottom"/>
            <w:shd w:val="clear" w:color="auto" w:fill="D52B1E"/>
          </w:tcPr>
          <w:p>
            <w:pPr>
              <w:spacing w:after="0"/>
              <w:rPr>
                <w:sz w:val="3"/>
                <w:szCs w:val="3"/>
                <w:color w:val="auto"/>
              </w:rPr>
            </w:pPr>
          </w:p>
        </w:tc>
        <w:tc>
          <w:tcPr>
            <w:tcW w:w="340" w:type="dxa"/>
            <w:vAlign w:val="bottom"/>
          </w:tcPr>
          <w:p>
            <w:pPr>
              <w:spacing w:after="0"/>
              <w:rPr>
                <w:sz w:val="3"/>
                <w:szCs w:val="3"/>
                <w:color w:val="auto"/>
              </w:rPr>
            </w:pPr>
          </w:p>
        </w:tc>
        <w:tc>
          <w:tcPr>
            <w:tcW w:w="280" w:type="dxa"/>
            <w:vAlign w:val="bottom"/>
            <w:vMerge w:val="restart"/>
            <w:shd w:val="clear" w:color="auto" w:fill="6D6D6D"/>
          </w:tcPr>
          <w:p>
            <w:pPr>
              <w:ind w:left="180"/>
              <w:spacing w:after="0" w:line="178" w:lineRule="exact"/>
              <w:rPr>
                <w:sz w:val="20"/>
                <w:szCs w:val="20"/>
                <w:color w:val="auto"/>
              </w:rPr>
            </w:pPr>
            <w:r>
              <w:rPr>
                <w:rFonts w:ascii="Arial" w:cs="Arial" w:eastAsia="Arial" w:hAnsi="Arial"/>
                <w:sz w:val="16"/>
                <w:szCs w:val="16"/>
                <w:color w:val="FFFFFF"/>
              </w:rPr>
              <w:t>•</w:t>
            </w:r>
          </w:p>
        </w:tc>
        <w:tc>
          <w:tcPr>
            <w:tcW w:w="2160" w:type="dxa"/>
            <w:vAlign w:val="bottom"/>
            <w:vMerge w:val="restart"/>
            <w:shd w:val="clear" w:color="auto" w:fill="6D6D6D"/>
          </w:tcPr>
          <w:p>
            <w:pPr>
              <w:ind w:left="40"/>
              <w:spacing w:after="0" w:line="178" w:lineRule="exact"/>
              <w:rPr>
                <w:sz w:val="20"/>
                <w:szCs w:val="20"/>
                <w:color w:val="auto"/>
              </w:rPr>
            </w:pPr>
            <w:r>
              <w:rPr>
                <w:rFonts w:ascii="Arial" w:cs="Arial" w:eastAsia="Arial" w:hAnsi="Arial"/>
                <w:sz w:val="16"/>
                <w:szCs w:val="16"/>
                <w:color w:val="FFFFFF"/>
              </w:rPr>
              <w:t>Evaluate qualifications</w:t>
            </w:r>
          </w:p>
        </w:tc>
        <w:tc>
          <w:tcPr>
            <w:tcW w:w="340" w:type="dxa"/>
            <w:vAlign w:val="bottom"/>
          </w:tcPr>
          <w:p>
            <w:pPr>
              <w:spacing w:after="0"/>
              <w:rPr>
                <w:sz w:val="3"/>
                <w:szCs w:val="3"/>
                <w:color w:val="auto"/>
              </w:rPr>
            </w:pPr>
          </w:p>
        </w:tc>
        <w:tc>
          <w:tcPr>
            <w:tcW w:w="1500" w:type="dxa"/>
            <w:vAlign w:val="bottom"/>
            <w:vMerge w:val="continue"/>
            <w:shd w:val="clear" w:color="auto" w:fill="00A1DE"/>
          </w:tcPr>
          <w:p>
            <w:pPr>
              <w:spacing w:after="0"/>
              <w:rPr>
                <w:sz w:val="3"/>
                <w:szCs w:val="3"/>
                <w:color w:val="auto"/>
              </w:rPr>
            </w:pPr>
          </w:p>
        </w:tc>
        <w:tc>
          <w:tcPr>
            <w:tcW w:w="0" w:type="dxa"/>
            <w:vAlign w:val="bottom"/>
          </w:tcPr>
          <w:p>
            <w:pPr>
              <w:spacing w:after="0"/>
              <w:rPr>
                <w:sz w:val="1"/>
                <w:szCs w:val="1"/>
                <w:color w:val="auto"/>
              </w:rPr>
            </w:pPr>
          </w:p>
        </w:tc>
      </w:tr>
      <w:tr>
        <w:trPr>
          <w:trHeight w:val="137"/>
        </w:trPr>
        <w:tc>
          <w:tcPr>
            <w:tcW w:w="2440" w:type="dxa"/>
            <w:vAlign w:val="bottom"/>
            <w:shd w:val="clear" w:color="auto" w:fill="D52B1E"/>
          </w:tcPr>
          <w:p>
            <w:pPr>
              <w:spacing w:after="0"/>
              <w:rPr>
                <w:sz w:val="11"/>
                <w:szCs w:val="11"/>
                <w:color w:val="auto"/>
              </w:rPr>
            </w:pPr>
          </w:p>
        </w:tc>
        <w:tc>
          <w:tcPr>
            <w:tcW w:w="320" w:type="dxa"/>
            <w:vAlign w:val="bottom"/>
          </w:tcPr>
          <w:p>
            <w:pPr>
              <w:spacing w:after="0"/>
              <w:rPr>
                <w:sz w:val="11"/>
                <w:szCs w:val="11"/>
                <w:color w:val="auto"/>
              </w:rPr>
            </w:pPr>
          </w:p>
        </w:tc>
        <w:tc>
          <w:tcPr>
            <w:tcW w:w="1480" w:type="dxa"/>
            <w:vAlign w:val="bottom"/>
            <w:shd w:val="clear" w:color="auto" w:fill="D52B1E"/>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vMerge w:val="continue"/>
            <w:shd w:val="clear" w:color="auto" w:fill="6D6D6D"/>
          </w:tcPr>
          <w:p>
            <w:pPr>
              <w:spacing w:after="0"/>
              <w:rPr>
                <w:sz w:val="11"/>
                <w:szCs w:val="11"/>
                <w:color w:val="auto"/>
              </w:rPr>
            </w:pPr>
          </w:p>
        </w:tc>
        <w:tc>
          <w:tcPr>
            <w:tcW w:w="2160" w:type="dxa"/>
            <w:vAlign w:val="bottom"/>
            <w:vMerge w:val="continue"/>
            <w:shd w:val="clear" w:color="auto" w:fill="6D6D6D"/>
          </w:tcPr>
          <w:p>
            <w:pPr>
              <w:spacing w:after="0"/>
              <w:rPr>
                <w:sz w:val="11"/>
                <w:szCs w:val="11"/>
                <w:color w:val="auto"/>
              </w:rPr>
            </w:pPr>
          </w:p>
        </w:tc>
        <w:tc>
          <w:tcPr>
            <w:tcW w:w="340" w:type="dxa"/>
            <w:vAlign w:val="bottom"/>
          </w:tcPr>
          <w:p>
            <w:pPr>
              <w:spacing w:after="0"/>
              <w:rPr>
                <w:sz w:val="11"/>
                <w:szCs w:val="11"/>
                <w:color w:val="auto"/>
              </w:rPr>
            </w:pPr>
          </w:p>
        </w:tc>
        <w:tc>
          <w:tcPr>
            <w:tcW w:w="1500" w:type="dxa"/>
            <w:vAlign w:val="bottom"/>
            <w:shd w:val="clear" w:color="auto" w:fill="00A1DE"/>
          </w:tcPr>
          <w:p>
            <w:pPr>
              <w:jc w:val="center"/>
              <w:spacing w:after="0" w:line="137" w:lineRule="exact"/>
              <w:rPr>
                <w:sz w:val="20"/>
                <w:szCs w:val="20"/>
                <w:color w:val="auto"/>
              </w:rPr>
            </w:pPr>
            <w:r>
              <w:rPr>
                <w:rFonts w:ascii="Arial" w:cs="Arial" w:eastAsia="Arial" w:hAnsi="Arial"/>
                <w:sz w:val="15"/>
                <w:szCs w:val="15"/>
                <w:color w:val="FFFFFF"/>
              </w:rPr>
              <w:t>Election to the</w:t>
            </w:r>
          </w:p>
        </w:tc>
        <w:tc>
          <w:tcPr>
            <w:tcW w:w="0" w:type="dxa"/>
            <w:vAlign w:val="bottom"/>
          </w:tcPr>
          <w:p>
            <w:pPr>
              <w:spacing w:after="0"/>
              <w:rPr>
                <w:sz w:val="1"/>
                <w:szCs w:val="1"/>
                <w:color w:val="auto"/>
              </w:rPr>
            </w:pPr>
          </w:p>
        </w:tc>
      </w:tr>
      <w:tr>
        <w:trPr>
          <w:trHeight w:val="79"/>
        </w:trPr>
        <w:tc>
          <w:tcPr>
            <w:tcW w:w="24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80" w:type="dxa"/>
            <w:vAlign w:val="bottom"/>
            <w:shd w:val="clear" w:color="auto" w:fill="D52B1E"/>
          </w:tcPr>
          <w:p>
            <w:pPr>
              <w:spacing w:after="0"/>
              <w:rPr>
                <w:sz w:val="6"/>
                <w:szCs w:val="6"/>
                <w:color w:val="auto"/>
              </w:rPr>
            </w:pPr>
          </w:p>
        </w:tc>
        <w:tc>
          <w:tcPr>
            <w:tcW w:w="340" w:type="dxa"/>
            <w:vAlign w:val="bottom"/>
          </w:tcPr>
          <w:p>
            <w:pPr>
              <w:spacing w:after="0"/>
              <w:rPr>
                <w:sz w:val="6"/>
                <w:szCs w:val="6"/>
                <w:color w:val="auto"/>
              </w:rPr>
            </w:pPr>
          </w:p>
        </w:tc>
        <w:tc>
          <w:tcPr>
            <w:tcW w:w="280" w:type="dxa"/>
            <w:vAlign w:val="bottom"/>
            <w:shd w:val="clear" w:color="auto" w:fill="6D6D6D"/>
          </w:tcPr>
          <w:p>
            <w:pPr>
              <w:spacing w:after="0"/>
              <w:rPr>
                <w:sz w:val="6"/>
                <w:szCs w:val="6"/>
                <w:color w:val="auto"/>
              </w:rPr>
            </w:pPr>
          </w:p>
        </w:tc>
        <w:tc>
          <w:tcPr>
            <w:tcW w:w="2160" w:type="dxa"/>
            <w:vAlign w:val="bottom"/>
            <w:vMerge w:val="restart"/>
            <w:shd w:val="clear" w:color="auto" w:fill="6D6D6D"/>
          </w:tcPr>
          <w:p>
            <w:pPr>
              <w:ind w:left="60"/>
              <w:spacing w:after="0" w:line="147" w:lineRule="exact"/>
              <w:rPr>
                <w:sz w:val="20"/>
                <w:szCs w:val="20"/>
                <w:color w:val="auto"/>
              </w:rPr>
            </w:pPr>
            <w:r>
              <w:rPr>
                <w:rFonts w:ascii="Arial" w:cs="Arial" w:eastAsia="Arial" w:hAnsi="Arial"/>
                <w:sz w:val="16"/>
                <w:szCs w:val="16"/>
                <w:color w:val="FFFFFF"/>
              </w:rPr>
              <w:t>– Diverse backgrounds and</w:t>
            </w:r>
          </w:p>
        </w:tc>
        <w:tc>
          <w:tcPr>
            <w:tcW w:w="340" w:type="dxa"/>
            <w:vAlign w:val="bottom"/>
          </w:tcPr>
          <w:p>
            <w:pPr>
              <w:spacing w:after="0"/>
              <w:rPr>
                <w:sz w:val="6"/>
                <w:szCs w:val="6"/>
                <w:color w:val="auto"/>
              </w:rPr>
            </w:pPr>
          </w:p>
        </w:tc>
        <w:tc>
          <w:tcPr>
            <w:tcW w:w="1500" w:type="dxa"/>
            <w:vAlign w:val="bottom"/>
            <w:vMerge w:val="restart"/>
            <w:shd w:val="clear" w:color="auto" w:fill="00A1DE"/>
          </w:tcPr>
          <w:p>
            <w:pPr>
              <w:jc w:val="center"/>
              <w:spacing w:after="0" w:line="147" w:lineRule="exact"/>
              <w:rPr>
                <w:sz w:val="20"/>
                <w:szCs w:val="20"/>
                <w:color w:val="auto"/>
              </w:rPr>
            </w:pPr>
            <w:r>
              <w:rPr>
                <w:rFonts w:ascii="Arial" w:cs="Arial" w:eastAsia="Arial" w:hAnsi="Arial"/>
                <w:sz w:val="17"/>
                <w:szCs w:val="17"/>
                <w:color w:val="FFFFFF"/>
              </w:rPr>
              <w:t>Board</w:t>
            </w:r>
          </w:p>
        </w:tc>
        <w:tc>
          <w:tcPr>
            <w:tcW w:w="0" w:type="dxa"/>
            <w:vAlign w:val="bottom"/>
          </w:tcPr>
          <w:p>
            <w:pPr>
              <w:spacing w:after="0"/>
              <w:rPr>
                <w:sz w:val="1"/>
                <w:szCs w:val="1"/>
                <w:color w:val="auto"/>
              </w:rPr>
            </w:pPr>
          </w:p>
        </w:tc>
      </w:tr>
      <w:tr>
        <w:trPr>
          <w:trHeight w:val="68"/>
        </w:trPr>
        <w:tc>
          <w:tcPr>
            <w:tcW w:w="2440" w:type="dxa"/>
            <w:vAlign w:val="bottom"/>
            <w:vMerge w:val="restart"/>
            <w:shd w:val="clear" w:color="auto" w:fill="D52B1E"/>
          </w:tcPr>
          <w:p>
            <w:pPr>
              <w:ind w:left="20"/>
              <w:spacing w:after="0"/>
              <w:rPr>
                <w:sz w:val="20"/>
                <w:szCs w:val="20"/>
                <w:color w:val="auto"/>
              </w:rPr>
            </w:pPr>
            <w:r>
              <w:rPr>
                <w:rFonts w:ascii="Arial" w:cs="Arial" w:eastAsia="Arial" w:hAnsi="Arial"/>
                <w:sz w:val="18"/>
                <w:szCs w:val="18"/>
                <w:color w:val="FFFFFF"/>
              </w:rPr>
              <w:t>Executive Search Firms</w:t>
            </w:r>
          </w:p>
        </w:tc>
        <w:tc>
          <w:tcPr>
            <w:tcW w:w="320" w:type="dxa"/>
            <w:vAlign w:val="bottom"/>
          </w:tcPr>
          <w:p>
            <w:pPr>
              <w:spacing w:after="0"/>
              <w:rPr>
                <w:sz w:val="5"/>
                <w:szCs w:val="5"/>
                <w:color w:val="auto"/>
              </w:rPr>
            </w:pPr>
          </w:p>
        </w:tc>
        <w:tc>
          <w:tcPr>
            <w:tcW w:w="1480" w:type="dxa"/>
            <w:vAlign w:val="bottom"/>
            <w:shd w:val="clear" w:color="auto" w:fill="D52B1E"/>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shd w:val="clear" w:color="auto" w:fill="6D6D6D"/>
          </w:tcPr>
          <w:p>
            <w:pPr>
              <w:spacing w:after="0"/>
              <w:rPr>
                <w:sz w:val="5"/>
                <w:szCs w:val="5"/>
                <w:color w:val="auto"/>
              </w:rPr>
            </w:pPr>
          </w:p>
        </w:tc>
        <w:tc>
          <w:tcPr>
            <w:tcW w:w="2160" w:type="dxa"/>
            <w:vAlign w:val="bottom"/>
            <w:vMerge w:val="continue"/>
            <w:shd w:val="clear" w:color="auto" w:fill="6D6D6D"/>
          </w:tcPr>
          <w:p>
            <w:pPr>
              <w:spacing w:after="0"/>
              <w:rPr>
                <w:sz w:val="5"/>
                <w:szCs w:val="5"/>
                <w:color w:val="auto"/>
              </w:rPr>
            </w:pPr>
          </w:p>
        </w:tc>
        <w:tc>
          <w:tcPr>
            <w:tcW w:w="340" w:type="dxa"/>
            <w:vAlign w:val="bottom"/>
          </w:tcPr>
          <w:p>
            <w:pPr>
              <w:spacing w:after="0"/>
              <w:rPr>
                <w:sz w:val="5"/>
                <w:szCs w:val="5"/>
                <w:color w:val="auto"/>
              </w:rPr>
            </w:pPr>
          </w:p>
        </w:tc>
        <w:tc>
          <w:tcPr>
            <w:tcW w:w="1500" w:type="dxa"/>
            <w:vAlign w:val="bottom"/>
            <w:vMerge w:val="continue"/>
            <w:shd w:val="clear" w:color="auto" w:fill="00A1D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2440" w:type="dxa"/>
            <w:vAlign w:val="bottom"/>
            <w:vMerge w:val="continue"/>
            <w:shd w:val="clear" w:color="auto" w:fill="D52B1E"/>
          </w:tcPr>
          <w:p>
            <w:pPr>
              <w:spacing w:after="0"/>
              <w:rPr>
                <w:sz w:val="14"/>
                <w:szCs w:val="14"/>
                <w:color w:val="auto"/>
              </w:rPr>
            </w:pPr>
          </w:p>
        </w:tc>
        <w:tc>
          <w:tcPr>
            <w:tcW w:w="320" w:type="dxa"/>
            <w:vAlign w:val="bottom"/>
          </w:tcPr>
          <w:p>
            <w:pPr>
              <w:spacing w:after="0"/>
              <w:rPr>
                <w:sz w:val="14"/>
                <w:szCs w:val="14"/>
                <w:color w:val="auto"/>
              </w:rPr>
            </w:pPr>
          </w:p>
        </w:tc>
        <w:tc>
          <w:tcPr>
            <w:tcW w:w="1480" w:type="dxa"/>
            <w:vAlign w:val="bottom"/>
            <w:shd w:val="clear" w:color="auto" w:fill="D52B1E"/>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shd w:val="clear" w:color="auto" w:fill="6D6D6D"/>
          </w:tcPr>
          <w:p>
            <w:pPr>
              <w:spacing w:after="0"/>
              <w:rPr>
                <w:sz w:val="14"/>
                <w:szCs w:val="14"/>
                <w:color w:val="auto"/>
              </w:rPr>
            </w:pPr>
          </w:p>
        </w:tc>
        <w:tc>
          <w:tcPr>
            <w:tcW w:w="2160" w:type="dxa"/>
            <w:vAlign w:val="bottom"/>
            <w:shd w:val="clear" w:color="auto" w:fill="6D6D6D"/>
          </w:tcPr>
          <w:p>
            <w:pPr>
              <w:ind w:left="220"/>
              <w:spacing w:after="0" w:line="162" w:lineRule="exact"/>
              <w:rPr>
                <w:sz w:val="20"/>
                <w:szCs w:val="20"/>
                <w:color w:val="auto"/>
              </w:rPr>
            </w:pPr>
            <w:r>
              <w:rPr>
                <w:rFonts w:ascii="Arial" w:cs="Arial" w:eastAsia="Arial" w:hAnsi="Arial"/>
                <w:sz w:val="16"/>
                <w:szCs w:val="16"/>
                <w:color w:val="FFFFFF"/>
              </w:rPr>
              <w:t>experiences</w:t>
            </w:r>
          </w:p>
        </w:tc>
        <w:tc>
          <w:tcPr>
            <w:tcW w:w="340" w:type="dxa"/>
            <w:vAlign w:val="bottom"/>
          </w:tcPr>
          <w:p>
            <w:pPr>
              <w:spacing w:after="0"/>
              <w:rPr>
                <w:sz w:val="14"/>
                <w:szCs w:val="14"/>
                <w:color w:val="auto"/>
              </w:rPr>
            </w:pPr>
          </w:p>
        </w:tc>
        <w:tc>
          <w:tcPr>
            <w:tcW w:w="1500" w:type="dxa"/>
            <w:vAlign w:val="bottom"/>
            <w:shd w:val="clear" w:color="auto" w:fill="00A1DE"/>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440" w:type="dxa"/>
            <w:vAlign w:val="bottom"/>
            <w:shd w:val="clear" w:color="auto" w:fill="D52B1E"/>
          </w:tcPr>
          <w:p>
            <w:pPr>
              <w:spacing w:after="0"/>
              <w:rPr>
                <w:sz w:val="11"/>
                <w:szCs w:val="11"/>
                <w:color w:val="auto"/>
              </w:rPr>
            </w:pPr>
          </w:p>
        </w:tc>
        <w:tc>
          <w:tcPr>
            <w:tcW w:w="320" w:type="dxa"/>
            <w:vAlign w:val="bottom"/>
          </w:tcPr>
          <w:p>
            <w:pPr>
              <w:spacing w:after="0"/>
              <w:rPr>
                <w:sz w:val="11"/>
                <w:szCs w:val="11"/>
                <w:color w:val="auto"/>
              </w:rPr>
            </w:pPr>
          </w:p>
        </w:tc>
        <w:tc>
          <w:tcPr>
            <w:tcW w:w="1480" w:type="dxa"/>
            <w:vAlign w:val="bottom"/>
            <w:shd w:val="clear" w:color="auto" w:fill="D52B1E"/>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shd w:val="clear" w:color="auto" w:fill="6D6D6D"/>
          </w:tcPr>
          <w:p>
            <w:pPr>
              <w:spacing w:after="0"/>
              <w:rPr>
                <w:sz w:val="11"/>
                <w:szCs w:val="11"/>
                <w:color w:val="auto"/>
              </w:rPr>
            </w:pPr>
          </w:p>
        </w:tc>
        <w:tc>
          <w:tcPr>
            <w:tcW w:w="2160" w:type="dxa"/>
            <w:vAlign w:val="bottom"/>
            <w:vMerge w:val="restart"/>
            <w:shd w:val="clear" w:color="auto" w:fill="6D6D6D"/>
          </w:tcPr>
          <w:p>
            <w:pPr>
              <w:ind w:left="60"/>
              <w:spacing w:after="0" w:line="162" w:lineRule="exact"/>
              <w:rPr>
                <w:sz w:val="20"/>
                <w:szCs w:val="20"/>
                <w:color w:val="auto"/>
              </w:rPr>
            </w:pPr>
            <w:r>
              <w:rPr>
                <w:rFonts w:ascii="Arial" w:cs="Arial" w:eastAsia="Arial" w:hAnsi="Arial"/>
                <w:sz w:val="16"/>
                <w:szCs w:val="16"/>
                <w:color w:val="FFFFFF"/>
              </w:rPr>
              <w:t>– Review independence</w:t>
            </w:r>
          </w:p>
        </w:tc>
        <w:tc>
          <w:tcPr>
            <w:tcW w:w="340" w:type="dxa"/>
            <w:vAlign w:val="bottom"/>
          </w:tcPr>
          <w:p>
            <w:pPr>
              <w:spacing w:after="0"/>
              <w:rPr>
                <w:sz w:val="11"/>
                <w:szCs w:val="11"/>
                <w:color w:val="auto"/>
              </w:rPr>
            </w:pPr>
          </w:p>
        </w:tc>
        <w:tc>
          <w:tcPr>
            <w:tcW w:w="1500" w:type="dxa"/>
            <w:vAlign w:val="bottom"/>
            <w:shd w:val="clear" w:color="auto" w:fill="00A1DE"/>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shd w:val="clear" w:color="auto" w:fill="D52B1E"/>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shd w:val="clear" w:color="auto" w:fill="6D6D6D"/>
          </w:tcPr>
          <w:p>
            <w:pPr>
              <w:spacing w:after="0"/>
              <w:rPr>
                <w:sz w:val="2"/>
                <w:szCs w:val="2"/>
                <w:color w:val="auto"/>
              </w:rPr>
            </w:pPr>
          </w:p>
        </w:tc>
        <w:tc>
          <w:tcPr>
            <w:tcW w:w="2160" w:type="dxa"/>
            <w:vAlign w:val="bottom"/>
            <w:vMerge w:val="continue"/>
            <w:shd w:val="clear" w:color="auto" w:fill="6D6D6D"/>
          </w:tcPr>
          <w:p>
            <w:pPr>
              <w:spacing w:after="0"/>
              <w:rPr>
                <w:sz w:val="2"/>
                <w:szCs w:val="2"/>
                <w:color w:val="auto"/>
              </w:rPr>
            </w:pPr>
          </w:p>
        </w:tc>
        <w:tc>
          <w:tcPr>
            <w:tcW w:w="340" w:type="dxa"/>
            <w:vAlign w:val="bottom"/>
          </w:tcPr>
          <w:p>
            <w:pPr>
              <w:spacing w:after="0"/>
              <w:rPr>
                <w:sz w:val="2"/>
                <w:szCs w:val="2"/>
                <w:color w:val="auto"/>
              </w:rPr>
            </w:pPr>
          </w:p>
        </w:tc>
        <w:tc>
          <w:tcPr>
            <w:tcW w:w="1500" w:type="dxa"/>
            <w:vAlign w:val="bottom"/>
            <w:shd w:val="clear" w:color="auto" w:fill="00A1D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68"/>
        </w:trPr>
        <w:tc>
          <w:tcPr>
            <w:tcW w:w="24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80" w:type="dxa"/>
            <w:vAlign w:val="bottom"/>
            <w:shd w:val="clear" w:color="auto" w:fill="D52B1E"/>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shd w:val="clear" w:color="auto" w:fill="6D6D6D"/>
          </w:tcPr>
          <w:p>
            <w:pPr>
              <w:spacing w:after="0"/>
              <w:rPr>
                <w:sz w:val="5"/>
                <w:szCs w:val="5"/>
                <w:color w:val="auto"/>
              </w:rPr>
            </w:pPr>
          </w:p>
        </w:tc>
        <w:tc>
          <w:tcPr>
            <w:tcW w:w="2160" w:type="dxa"/>
            <w:vAlign w:val="bottom"/>
            <w:vMerge w:val="restart"/>
            <w:shd w:val="clear" w:color="auto" w:fill="6D6D6D"/>
          </w:tcPr>
          <w:p>
            <w:pPr>
              <w:ind w:left="60"/>
              <w:spacing w:after="0" w:line="162" w:lineRule="exact"/>
              <w:rPr>
                <w:sz w:val="20"/>
                <w:szCs w:val="20"/>
                <w:color w:val="auto"/>
              </w:rPr>
            </w:pPr>
            <w:r>
              <w:rPr>
                <w:rFonts w:ascii="Arial" w:cs="Arial" w:eastAsia="Arial" w:hAnsi="Arial"/>
                <w:sz w:val="16"/>
                <w:szCs w:val="16"/>
                <w:color w:val="FFFFFF"/>
              </w:rPr>
              <w:t>– Assess skills</w:t>
            </w:r>
          </w:p>
        </w:tc>
        <w:tc>
          <w:tcPr>
            <w:tcW w:w="340" w:type="dxa"/>
            <w:vAlign w:val="bottom"/>
          </w:tcPr>
          <w:p>
            <w:pPr>
              <w:spacing w:after="0"/>
              <w:rPr>
                <w:sz w:val="5"/>
                <w:szCs w:val="5"/>
                <w:color w:val="auto"/>
              </w:rPr>
            </w:pPr>
          </w:p>
        </w:tc>
        <w:tc>
          <w:tcPr>
            <w:tcW w:w="1500" w:type="dxa"/>
            <w:vAlign w:val="bottom"/>
            <w:shd w:val="clear" w:color="auto" w:fill="00A1D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2440" w:type="dxa"/>
            <w:vAlign w:val="bottom"/>
            <w:vMerge w:val="restart"/>
            <w:shd w:val="clear" w:color="auto" w:fill="D52B1E"/>
          </w:tcPr>
          <w:p>
            <w:pPr>
              <w:ind w:left="20"/>
              <w:spacing w:after="0"/>
              <w:rPr>
                <w:sz w:val="20"/>
                <w:szCs w:val="20"/>
                <w:color w:val="auto"/>
              </w:rPr>
            </w:pPr>
            <w:r>
              <w:rPr>
                <w:rFonts w:ascii="Arial" w:cs="Arial" w:eastAsia="Arial" w:hAnsi="Arial"/>
                <w:sz w:val="18"/>
                <w:szCs w:val="18"/>
                <w:color w:val="FFFFFF"/>
              </w:rPr>
              <w:t>Management</w:t>
            </w:r>
          </w:p>
        </w:tc>
        <w:tc>
          <w:tcPr>
            <w:tcW w:w="320" w:type="dxa"/>
            <w:vAlign w:val="bottom"/>
          </w:tcPr>
          <w:p>
            <w:pPr>
              <w:spacing w:after="0"/>
              <w:rPr>
                <w:sz w:val="8"/>
                <w:szCs w:val="8"/>
                <w:color w:val="auto"/>
              </w:rPr>
            </w:pPr>
          </w:p>
        </w:tc>
        <w:tc>
          <w:tcPr>
            <w:tcW w:w="1480" w:type="dxa"/>
            <w:vAlign w:val="bottom"/>
            <w:shd w:val="clear" w:color="auto" w:fill="D52B1E"/>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vMerge w:val="restart"/>
            <w:shd w:val="clear" w:color="auto" w:fill="6D6D6D"/>
          </w:tcPr>
          <w:p>
            <w:pPr>
              <w:ind w:left="180"/>
              <w:spacing w:after="0"/>
              <w:rPr>
                <w:sz w:val="20"/>
                <w:szCs w:val="20"/>
                <w:color w:val="auto"/>
              </w:rPr>
            </w:pPr>
            <w:r>
              <w:rPr>
                <w:rFonts w:ascii="Arial" w:cs="Arial" w:eastAsia="Arial" w:hAnsi="Arial"/>
                <w:sz w:val="16"/>
                <w:szCs w:val="16"/>
                <w:color w:val="FFFFFF"/>
              </w:rPr>
              <w:t>•</w:t>
            </w:r>
          </w:p>
        </w:tc>
        <w:tc>
          <w:tcPr>
            <w:tcW w:w="2160" w:type="dxa"/>
            <w:vAlign w:val="bottom"/>
            <w:vMerge w:val="continue"/>
            <w:shd w:val="clear" w:color="auto" w:fill="6D6D6D"/>
          </w:tcPr>
          <w:p>
            <w:pPr>
              <w:spacing w:after="0"/>
              <w:rPr>
                <w:sz w:val="8"/>
                <w:szCs w:val="8"/>
                <w:color w:val="auto"/>
              </w:rPr>
            </w:pPr>
          </w:p>
        </w:tc>
        <w:tc>
          <w:tcPr>
            <w:tcW w:w="340" w:type="dxa"/>
            <w:vAlign w:val="bottom"/>
          </w:tcPr>
          <w:p>
            <w:pPr>
              <w:spacing w:after="0"/>
              <w:rPr>
                <w:sz w:val="8"/>
                <w:szCs w:val="8"/>
                <w:color w:val="auto"/>
              </w:rPr>
            </w:pPr>
          </w:p>
        </w:tc>
        <w:tc>
          <w:tcPr>
            <w:tcW w:w="1500" w:type="dxa"/>
            <w:vAlign w:val="bottom"/>
            <w:shd w:val="clear" w:color="auto" w:fill="00A1DE"/>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2440" w:type="dxa"/>
            <w:vAlign w:val="bottom"/>
            <w:vMerge w:val="continue"/>
            <w:shd w:val="clear" w:color="auto" w:fill="D52B1E"/>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shd w:val="clear" w:color="auto" w:fill="D52B1E"/>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vMerge w:val="continue"/>
            <w:shd w:val="clear" w:color="auto" w:fill="6D6D6D"/>
          </w:tcPr>
          <w:p>
            <w:pPr>
              <w:spacing w:after="0"/>
              <w:rPr>
                <w:sz w:val="18"/>
                <w:szCs w:val="18"/>
                <w:color w:val="auto"/>
              </w:rPr>
            </w:pPr>
          </w:p>
        </w:tc>
        <w:tc>
          <w:tcPr>
            <w:tcW w:w="2160" w:type="dxa"/>
            <w:vAlign w:val="bottom"/>
            <w:shd w:val="clear" w:color="auto" w:fill="6D6D6D"/>
          </w:tcPr>
          <w:p>
            <w:pPr>
              <w:ind w:left="40"/>
              <w:spacing w:after="0"/>
              <w:rPr>
                <w:sz w:val="20"/>
                <w:szCs w:val="20"/>
                <w:color w:val="auto"/>
              </w:rPr>
            </w:pPr>
            <w:r>
              <w:rPr>
                <w:rFonts w:ascii="Arial" w:cs="Arial" w:eastAsia="Arial" w:hAnsi="Arial"/>
                <w:sz w:val="16"/>
                <w:szCs w:val="16"/>
                <w:color w:val="FFFFFF"/>
              </w:rPr>
              <w:t>Meet with directors</w:t>
            </w:r>
          </w:p>
        </w:tc>
        <w:tc>
          <w:tcPr>
            <w:tcW w:w="340" w:type="dxa"/>
            <w:vAlign w:val="bottom"/>
          </w:tcPr>
          <w:p>
            <w:pPr>
              <w:spacing w:after="0"/>
              <w:rPr>
                <w:sz w:val="18"/>
                <w:szCs w:val="18"/>
                <w:color w:val="auto"/>
              </w:rPr>
            </w:pPr>
          </w:p>
        </w:tc>
        <w:tc>
          <w:tcPr>
            <w:tcW w:w="1500" w:type="dxa"/>
            <w:vAlign w:val="bottom"/>
            <w:shd w:val="clear" w:color="auto" w:fill="00A1DE"/>
          </w:tcPr>
          <w:p>
            <w:pPr>
              <w:spacing w:after="0"/>
              <w:rPr>
                <w:sz w:val="18"/>
                <w:szCs w:val="18"/>
                <w:color w:val="auto"/>
              </w:rPr>
            </w:pPr>
          </w:p>
        </w:tc>
        <w:tc>
          <w:tcPr>
            <w:tcW w:w="0" w:type="dxa"/>
            <w:vAlign w:val="bottom"/>
          </w:tcPr>
          <w:p>
            <w:pPr>
              <w:spacing w:after="0"/>
              <w:rPr>
                <w:sz w:val="1"/>
                <w:szCs w:val="1"/>
                <w:color w:val="auto"/>
              </w:rPr>
            </w:pPr>
          </w:p>
        </w:tc>
      </w:tr>
      <w:tr>
        <w:trPr>
          <w:trHeight w:val="55"/>
        </w:trPr>
        <w:tc>
          <w:tcPr>
            <w:tcW w:w="2440" w:type="dxa"/>
            <w:vAlign w:val="bottom"/>
            <w:shd w:val="clear" w:color="auto" w:fill="D52B1E"/>
          </w:tcPr>
          <w:p>
            <w:pPr>
              <w:spacing w:after="0"/>
              <w:rPr>
                <w:sz w:val="4"/>
                <w:szCs w:val="4"/>
                <w:color w:val="auto"/>
              </w:rPr>
            </w:pPr>
          </w:p>
        </w:tc>
        <w:tc>
          <w:tcPr>
            <w:tcW w:w="320" w:type="dxa"/>
            <w:vAlign w:val="bottom"/>
          </w:tcPr>
          <w:p>
            <w:pPr>
              <w:spacing w:after="0"/>
              <w:rPr>
                <w:sz w:val="4"/>
                <w:szCs w:val="4"/>
                <w:color w:val="auto"/>
              </w:rPr>
            </w:pPr>
          </w:p>
        </w:tc>
        <w:tc>
          <w:tcPr>
            <w:tcW w:w="1480" w:type="dxa"/>
            <w:vAlign w:val="bottom"/>
            <w:shd w:val="clear" w:color="auto" w:fill="D52B1E"/>
          </w:tcPr>
          <w:p>
            <w:pPr>
              <w:spacing w:after="0"/>
              <w:rPr>
                <w:sz w:val="4"/>
                <w:szCs w:val="4"/>
                <w:color w:val="auto"/>
              </w:rPr>
            </w:pPr>
          </w:p>
        </w:tc>
        <w:tc>
          <w:tcPr>
            <w:tcW w:w="340" w:type="dxa"/>
            <w:vAlign w:val="bottom"/>
          </w:tcPr>
          <w:p>
            <w:pPr>
              <w:spacing w:after="0"/>
              <w:rPr>
                <w:sz w:val="4"/>
                <w:szCs w:val="4"/>
                <w:color w:val="auto"/>
              </w:rPr>
            </w:pPr>
          </w:p>
        </w:tc>
        <w:tc>
          <w:tcPr>
            <w:tcW w:w="280" w:type="dxa"/>
            <w:vAlign w:val="bottom"/>
            <w:shd w:val="clear" w:color="auto" w:fill="6D6D6D"/>
          </w:tcPr>
          <w:p>
            <w:pPr>
              <w:spacing w:after="0"/>
              <w:rPr>
                <w:sz w:val="4"/>
                <w:szCs w:val="4"/>
                <w:color w:val="auto"/>
              </w:rPr>
            </w:pPr>
          </w:p>
        </w:tc>
        <w:tc>
          <w:tcPr>
            <w:tcW w:w="2160" w:type="dxa"/>
            <w:vAlign w:val="bottom"/>
            <w:shd w:val="clear" w:color="auto" w:fill="6D6D6D"/>
          </w:tcPr>
          <w:p>
            <w:pPr>
              <w:spacing w:after="0"/>
              <w:rPr>
                <w:sz w:val="4"/>
                <w:szCs w:val="4"/>
                <w:color w:val="auto"/>
              </w:rPr>
            </w:pPr>
          </w:p>
        </w:tc>
        <w:tc>
          <w:tcPr>
            <w:tcW w:w="340" w:type="dxa"/>
            <w:vAlign w:val="bottom"/>
          </w:tcPr>
          <w:p>
            <w:pPr>
              <w:spacing w:after="0"/>
              <w:rPr>
                <w:sz w:val="4"/>
                <w:szCs w:val="4"/>
                <w:color w:val="auto"/>
              </w:rPr>
            </w:pPr>
          </w:p>
        </w:tc>
        <w:tc>
          <w:tcPr>
            <w:tcW w:w="1500" w:type="dxa"/>
            <w:vAlign w:val="bottom"/>
            <w:shd w:val="clear" w:color="auto" w:fill="00A1D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-633730</wp:posOffset>
            </wp:positionV>
            <wp:extent cx="565785" cy="56578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65785" cy="565785"/>
                    </a:xfrm>
                    <a:prstGeom prst="rect">
                      <a:avLst/>
                    </a:prstGeom>
                    <a:noFill/>
                  </pic:spPr>
                </pic:pic>
              </a:graphicData>
            </a:graphic>
          </wp:anchor>
        </w:drawing>
        <w:drawing>
          <wp:anchor simplePos="0" relativeHeight="251657728" behindDoc="1" locked="0" layoutInCell="0" allowOverlap="1">
            <wp:simplePos x="0" y="0"/>
            <wp:positionH relativeFrom="column">
              <wp:posOffset>2756535</wp:posOffset>
            </wp:positionH>
            <wp:positionV relativeFrom="paragraph">
              <wp:posOffset>-668020</wp:posOffset>
            </wp:positionV>
            <wp:extent cx="85725" cy="16319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-650875</wp:posOffset>
            </wp:positionV>
            <wp:extent cx="85725" cy="13716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85725" cy="13716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-427990</wp:posOffset>
            </wp:positionV>
            <wp:extent cx="659765" cy="27432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59765" cy="27432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-856615</wp:posOffset>
            </wp:positionV>
            <wp:extent cx="137160" cy="8572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37160" cy="85725"/>
                    </a:xfrm>
                    <a:prstGeom prst="rect">
                      <a:avLst/>
                    </a:prstGeom>
                    <a:noFill/>
                  </pic:spPr>
                </pic:pic>
              </a:graphicData>
            </a:graphic>
          </wp:anchor>
        </w:drawing>
        <w:drawing>
          <wp:anchor simplePos="0" relativeHeight="251657728" behindDoc="1" locked="0" layoutInCell="0" allowOverlap="1">
            <wp:simplePos x="0" y="0"/>
            <wp:positionH relativeFrom="column">
              <wp:posOffset>1419225</wp:posOffset>
            </wp:positionH>
            <wp:positionV relativeFrom="paragraph">
              <wp:posOffset>-814070</wp:posOffset>
            </wp:positionV>
            <wp:extent cx="59690" cy="17145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9690" cy="171450"/>
                    </a:xfrm>
                    <a:prstGeom prst="rect">
                      <a:avLst/>
                    </a:prstGeom>
                    <a:noFill/>
                  </pic:spPr>
                </pic:pic>
              </a:graphicData>
            </a:graphic>
          </wp:anchor>
        </w:drawing>
        <w:drawing>
          <wp:anchor simplePos="0" relativeHeight="251657728" behindDoc="1" locked="0" layoutInCell="0" allowOverlap="1">
            <wp:simplePos x="0" y="0"/>
            <wp:positionH relativeFrom="column">
              <wp:posOffset>1607820</wp:posOffset>
            </wp:positionH>
            <wp:positionV relativeFrom="paragraph">
              <wp:posOffset>-814070</wp:posOffset>
            </wp:positionV>
            <wp:extent cx="85725" cy="16256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1419225</wp:posOffset>
            </wp:positionH>
            <wp:positionV relativeFrom="paragraph">
              <wp:posOffset>-522605</wp:posOffset>
            </wp:positionV>
            <wp:extent cx="59690" cy="17145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9690" cy="171450"/>
                    </a:xfrm>
                    <a:prstGeom prst="rect">
                      <a:avLst/>
                    </a:prstGeom>
                    <a:noFill/>
                  </pic:spPr>
                </pic:pic>
              </a:graphicData>
            </a:graphic>
          </wp:anchor>
        </w:drawing>
        <w:drawing>
          <wp:anchor simplePos="0" relativeHeight="251657728" behindDoc="1" locked="0" layoutInCell="0" allowOverlap="1">
            <wp:simplePos x="0" y="0"/>
            <wp:positionH relativeFrom="column">
              <wp:posOffset>1607820</wp:posOffset>
            </wp:positionH>
            <wp:positionV relativeFrom="paragraph">
              <wp:posOffset>-522605</wp:posOffset>
            </wp:positionV>
            <wp:extent cx="85725" cy="16256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1419225</wp:posOffset>
            </wp:positionH>
            <wp:positionV relativeFrom="paragraph">
              <wp:posOffset>-231140</wp:posOffset>
            </wp:positionV>
            <wp:extent cx="59690" cy="17145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9690" cy="171450"/>
                    </a:xfrm>
                    <a:prstGeom prst="rect">
                      <a:avLst/>
                    </a:prstGeom>
                    <a:noFill/>
                  </pic:spPr>
                </pic:pic>
              </a:graphicData>
            </a:graphic>
          </wp:anchor>
        </w:drawing>
        <w:drawing>
          <wp:anchor simplePos="0" relativeHeight="251657728" behindDoc="1" locked="0" layoutInCell="0" allowOverlap="1">
            <wp:simplePos x="0" y="0"/>
            <wp:positionH relativeFrom="column">
              <wp:posOffset>1607820</wp:posOffset>
            </wp:positionH>
            <wp:positionV relativeFrom="paragraph">
              <wp:posOffset>-231140</wp:posOffset>
            </wp:positionV>
            <wp:extent cx="85725" cy="16319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85725" cy="163195"/>
                    </a:xfrm>
                    <a:prstGeom prst="rect">
                      <a:avLst/>
                    </a:prstGeom>
                    <a:noFill/>
                  </pic:spPr>
                </pic:pic>
              </a:graphicData>
            </a:graphic>
          </wp:anchor>
        </w:drawing>
      </w:r>
    </w:p>
    <w:p>
      <w:pPr>
        <w:spacing w:after="0" w:line="218"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color w:val="auto"/>
        </w:rPr>
        <w:t xml:space="preserve">Candidate Identification: </w:t>
      </w:r>
      <w:r>
        <w:rPr>
          <w:rFonts w:ascii="Arial" w:cs="Arial" w:eastAsia="Arial" w:hAnsi="Arial"/>
          <w:sz w:val="18"/>
          <w:szCs w:val="18"/>
          <w:color w:val="auto"/>
        </w:rPr>
        <w:t>Director candidates can be identified from several sources, including incumbent directors, shareholders,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search firms retained by the committee, and management.</w:t>
      </w:r>
    </w:p>
    <w:p>
      <w:pPr>
        <w:spacing w:after="0" w:line="45"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The Directors and Corporate Governance Committee employs the same process to evaluate all candidates, including those submitted by shareholders, in accordance with our bylaws and corporate governance guidelines.</w:t>
      </w:r>
    </w:p>
    <w:p>
      <w:pPr>
        <w:spacing w:after="0" w:line="45" w:lineRule="exact"/>
        <w:rPr>
          <w:sz w:val="20"/>
          <w:szCs w:val="20"/>
          <w:color w:val="auto"/>
        </w:rPr>
      </w:pPr>
    </w:p>
    <w:p>
      <w:pPr>
        <w:ind w:left="660" w:right="80" w:hanging="328"/>
        <w:spacing w:after="0" w:line="262" w:lineRule="auto"/>
        <w:tabs>
          <w:tab w:leader="none" w:pos="648" w:val="left"/>
        </w:tabs>
        <w:numPr>
          <w:ilvl w:val="0"/>
          <w:numId w:val="74"/>
        </w:numPr>
        <w:rPr>
          <w:rFonts w:ascii="Arial" w:cs="Arial" w:eastAsia="Arial" w:hAnsi="Arial"/>
          <w:sz w:val="18"/>
          <w:szCs w:val="18"/>
          <w:color w:val="auto"/>
        </w:rPr>
      </w:pPr>
      <w:r>
        <w:rPr>
          <w:rFonts w:ascii="Arial" w:cs="Arial" w:eastAsia="Arial" w:hAnsi="Arial"/>
          <w:sz w:val="18"/>
          <w:szCs w:val="18"/>
          <w:b w:val="1"/>
          <w:bCs w:val="1"/>
          <w:color w:val="auto"/>
        </w:rPr>
        <w:t>Evaluate director qualifications</w:t>
      </w:r>
      <w:r>
        <w:rPr>
          <w:rFonts w:ascii="Arial" w:cs="Arial" w:eastAsia="Arial" w:hAnsi="Arial"/>
          <w:sz w:val="18"/>
          <w:szCs w:val="18"/>
          <w:color w:val="auto"/>
        </w:rPr>
        <w:t>. The committee initially evaluates a candidate based on publicly available information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additional information supplied by the party recommending the candidate.The committee, assisted by management or a search firm, may gather additional data as needed, including on the candidate’s qualifications, relationships or transactions with related parties, availability, probable level of interest, and any potential conflicts of interest.</w:t>
      </w:r>
    </w:p>
    <w:p>
      <w:pPr>
        <w:spacing w:after="0" w:line="122" w:lineRule="exact"/>
        <w:rPr>
          <w:rFonts w:ascii="Arial" w:cs="Arial" w:eastAsia="Arial" w:hAnsi="Arial"/>
          <w:sz w:val="18"/>
          <w:szCs w:val="18"/>
          <w:color w:val="auto"/>
        </w:rPr>
      </w:pPr>
    </w:p>
    <w:p>
      <w:pPr>
        <w:ind w:left="660" w:right="60"/>
        <w:spacing w:after="0" w:line="259" w:lineRule="auto"/>
        <w:rPr>
          <w:rFonts w:ascii="Arial" w:cs="Arial" w:eastAsia="Arial" w:hAnsi="Arial"/>
          <w:sz w:val="18"/>
          <w:szCs w:val="18"/>
          <w:color w:val="auto"/>
        </w:rPr>
      </w:pPr>
      <w:r>
        <w:rPr>
          <w:rFonts w:ascii="Arial" w:cs="Arial" w:eastAsia="Arial" w:hAnsi="Arial"/>
          <w:sz w:val="18"/>
          <w:szCs w:val="18"/>
          <w:i w:val="1"/>
          <w:iCs w:val="1"/>
          <w:color w:val="auto"/>
        </w:rPr>
        <w:t xml:space="preserve">Incumbent Directors </w:t>
      </w:r>
      <w:r>
        <w:rPr>
          <w:rFonts w:ascii="Arial" w:cs="Arial" w:eastAsia="Arial" w:hAnsi="Arial"/>
          <w:sz w:val="18"/>
          <w:szCs w:val="18"/>
          <w:color w:val="auto"/>
        </w:rPr>
        <w:t>- For incumbent directors being considered for re-nomination, the Directors and Corporate Governance</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has the additional benefit of (i) feedback from the annual board and committee evaluations and related individual discussions between each director and the chair and/or the lead independent director; (ii) knowledge of attendance and participation at, and preparation for, prior board and committee meetings; and (iii) shareholder feedback, if such nominee has been elected at a prior annual meeting.</w:t>
      </w:r>
    </w:p>
    <w:p>
      <w:pPr>
        <w:spacing w:after="0" w:line="125" w:lineRule="exact"/>
        <w:rPr>
          <w:rFonts w:ascii="Arial" w:cs="Arial" w:eastAsia="Arial" w:hAnsi="Arial"/>
          <w:sz w:val="18"/>
          <w:szCs w:val="18"/>
          <w:color w:val="auto"/>
        </w:rPr>
      </w:pPr>
    </w:p>
    <w:p>
      <w:pPr>
        <w:jc w:val="both"/>
        <w:ind w:left="660" w:right="60" w:hanging="328"/>
        <w:spacing w:after="0" w:line="268" w:lineRule="auto"/>
        <w:tabs>
          <w:tab w:leader="none" w:pos="648" w:val="left"/>
        </w:tabs>
        <w:numPr>
          <w:ilvl w:val="0"/>
          <w:numId w:val="74"/>
        </w:numPr>
        <w:rPr>
          <w:rFonts w:ascii="Arial" w:cs="Arial" w:eastAsia="Arial" w:hAnsi="Arial"/>
          <w:sz w:val="18"/>
          <w:szCs w:val="18"/>
          <w:color w:val="auto"/>
        </w:rPr>
      </w:pPr>
      <w:r>
        <w:rPr>
          <w:rFonts w:ascii="Arial" w:cs="Arial" w:eastAsia="Arial" w:hAnsi="Arial"/>
          <w:sz w:val="18"/>
          <w:szCs w:val="18"/>
          <w:b w:val="1"/>
          <w:bCs w:val="1"/>
          <w:color w:val="auto"/>
        </w:rPr>
        <w:t xml:space="preserve">Meetings with Select Directors. </w:t>
      </w:r>
      <w:r>
        <w:rPr>
          <w:rFonts w:ascii="Arial" w:cs="Arial" w:eastAsia="Arial" w:hAnsi="Arial"/>
          <w:sz w:val="18"/>
          <w:szCs w:val="18"/>
          <w:color w:val="auto"/>
        </w:rPr>
        <w:t>If the committee’s subsequent evaluation continues to be favorable, the candidate is contacted by</w:t>
      </w:r>
      <w:r>
        <w:rPr>
          <w:rFonts w:ascii="Arial" w:cs="Arial" w:eastAsia="Arial" w:hAnsi="Arial"/>
          <w:sz w:val="18"/>
          <w:szCs w:val="18"/>
          <w:b w:val="1"/>
          <w:bCs w:val="1"/>
          <w:color w:val="auto"/>
        </w:rPr>
        <w:t xml:space="preserve"> </w:t>
      </w:r>
      <w:r>
        <w:rPr>
          <w:rFonts w:ascii="Arial" w:cs="Arial" w:eastAsia="Arial" w:hAnsi="Arial"/>
          <w:sz w:val="18"/>
          <w:szCs w:val="18"/>
          <w:color w:val="auto"/>
        </w:rPr>
        <w:t>the chair of the board and one or more of the independent directors, including the lead independent director, for direct discussions to determine the mutual level of interest in pursuing the candidacy.</w:t>
      </w:r>
    </w:p>
    <w:p>
      <w:pPr>
        <w:spacing w:after="0" w:line="116" w:lineRule="exact"/>
        <w:rPr>
          <w:rFonts w:ascii="Arial" w:cs="Arial" w:eastAsia="Arial" w:hAnsi="Arial"/>
          <w:sz w:val="18"/>
          <w:szCs w:val="18"/>
          <w:color w:val="auto"/>
        </w:rPr>
      </w:pPr>
    </w:p>
    <w:p>
      <w:pPr>
        <w:ind w:left="660" w:right="680" w:hanging="328"/>
        <w:spacing w:after="0" w:line="287" w:lineRule="auto"/>
        <w:tabs>
          <w:tab w:leader="none" w:pos="648" w:val="left"/>
        </w:tabs>
        <w:numPr>
          <w:ilvl w:val="0"/>
          <w:numId w:val="74"/>
        </w:numPr>
        <w:rPr>
          <w:rFonts w:ascii="Arial" w:cs="Arial" w:eastAsia="Arial" w:hAnsi="Arial"/>
          <w:sz w:val="18"/>
          <w:szCs w:val="18"/>
          <w:color w:val="auto"/>
        </w:rPr>
      </w:pPr>
      <w:r>
        <w:rPr>
          <w:rFonts w:ascii="Arial" w:cs="Arial" w:eastAsia="Arial" w:hAnsi="Arial"/>
          <w:sz w:val="18"/>
          <w:szCs w:val="18"/>
          <w:b w:val="1"/>
          <w:bCs w:val="1"/>
          <w:color w:val="auto"/>
        </w:rPr>
        <w:t xml:space="preserve">Recommendation for Election. </w:t>
      </w:r>
      <w:r>
        <w:rPr>
          <w:rFonts w:ascii="Arial" w:cs="Arial" w:eastAsia="Arial" w:hAnsi="Arial"/>
          <w:sz w:val="18"/>
          <w:szCs w:val="18"/>
          <w:color w:val="auto"/>
        </w:rPr>
        <w:t>If these discussions are favorable, the committee recommends that the board nominate the</w:t>
      </w:r>
      <w:r>
        <w:rPr>
          <w:rFonts w:ascii="Arial" w:cs="Arial" w:eastAsia="Arial" w:hAnsi="Arial"/>
          <w:sz w:val="18"/>
          <w:szCs w:val="18"/>
          <w:b w:val="1"/>
          <w:bCs w:val="1"/>
          <w:color w:val="auto"/>
        </w:rPr>
        <w:t xml:space="preserve"> </w:t>
      </w:r>
      <w:r>
        <w:rPr>
          <w:rFonts w:ascii="Arial" w:cs="Arial" w:eastAsia="Arial" w:hAnsi="Arial"/>
          <w:sz w:val="18"/>
          <w:szCs w:val="18"/>
          <w:color w:val="auto"/>
        </w:rPr>
        <w:t>candidate for election by the shareholders (or for the board to elect the candidate to fill a vacancy,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140335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25" w:right="359" w:bottom="1440" w:gutter="0" w:footer="0" w:header="0"/>
        </w:sectPr>
      </w:pPr>
    </w:p>
    <w:bookmarkStart w:id="29" w:name="page30"/>
    <w:bookmarkEnd w:id="29"/>
    <w:p>
      <w:pPr>
        <w:ind w:left="380"/>
        <w:spacing w:after="0"/>
        <w:rPr>
          <w:sz w:val="20"/>
          <w:szCs w:val="20"/>
          <w:color w:val="auto"/>
        </w:rPr>
      </w:pPr>
      <w:r>
        <w:rPr>
          <w:rFonts w:ascii="Arial" w:cs="Arial" w:eastAsia="Arial" w:hAnsi="Arial"/>
          <w:sz w:val="19"/>
          <w:szCs w:val="19"/>
          <w:b w:val="1"/>
          <w:bCs w:val="1"/>
          <w:color w:val="D52B1E"/>
        </w:rPr>
        <w:t>Shareholder Director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-45720</wp:posOffset>
            </wp:positionV>
            <wp:extent cx="5768975" cy="75438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768975" cy="7543800"/>
                    </a:xfrm>
                    <a:prstGeom prst="rect">
                      <a:avLst/>
                    </a:prstGeom>
                    <a:noFill/>
                  </pic:spPr>
                </pic:pic>
              </a:graphicData>
            </a:graphic>
          </wp:anchor>
        </w:drawing>
      </w:r>
    </w:p>
    <w:p>
      <w:pPr>
        <w:sectPr>
          <w:pgSz w:w="11900" w:h="16838" w:orient="portrait"/>
          <w:cols w:equalWidth="0" w:num="1">
            <w:col w:w="9699"/>
          </w:cols>
          <w:pgMar w:left="760" w:top="939" w:right="1440" w:bottom="1440" w:gutter="0" w:footer="0" w:header="0"/>
        </w:sectPr>
      </w:pPr>
    </w:p>
    <w:p>
      <w:pPr>
        <w:spacing w:after="0" w:line="116" w:lineRule="exact"/>
        <w:rPr>
          <w:sz w:val="20"/>
          <w:szCs w:val="20"/>
          <w:color w:val="auto"/>
        </w:rPr>
      </w:pPr>
    </w:p>
    <w:p>
      <w:pPr>
        <w:ind w:right="1699" w:hanging="246"/>
        <w:spacing w:after="0"/>
        <w:rPr>
          <w:sz w:val="20"/>
          <w:szCs w:val="20"/>
          <w:color w:val="auto"/>
        </w:rPr>
      </w:pPr>
      <w:r>
        <w:rPr>
          <w:sz w:val="1"/>
          <w:szCs w:val="1"/>
          <w:color w:val="auto"/>
        </w:rPr>
        <w:drawing>
          <wp:inline distT="0" distB="0" distL="0" distR="0">
            <wp:extent cx="154305" cy="137160"/>
            <wp:effectExtent l="0" t="0" r="0" b="0"/>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54305" cy="137160"/>
                    </a:xfrm>
                    <a:prstGeom prst="rect">
                      <a:avLst/>
                    </a:prstGeom>
                    <a:noFill/>
                    <a:ln>
                      <a:noFill/>
                    </a:ln>
                  </pic:spPr>
                </pic:pic>
              </a:graphicData>
            </a:graphic>
          </wp:inline>
        </w:drawing>
      </w:r>
      <w:r>
        <w:rPr>
          <w:rFonts w:ascii="Arial" w:cs="Arial" w:eastAsia="Arial" w:hAnsi="Arial"/>
          <w:sz w:val="19"/>
          <w:szCs w:val="19"/>
          <w:b w:val="1"/>
          <w:bCs w:val="1"/>
          <w:color w:val="auto"/>
        </w:rPr>
        <w:t xml:space="preserve">Shareholder Recommendations of Director Candidates - </w:t>
      </w:r>
      <w:r>
        <w:rPr>
          <w:rFonts w:ascii="Arial" w:cs="Arial" w:eastAsia="Arial" w:hAnsi="Arial"/>
          <w:sz w:val="17"/>
          <w:szCs w:val="17"/>
          <w:color w:val="auto"/>
        </w:rPr>
        <w:t>A shareholder who wishes to</w:t>
      </w:r>
      <w:r>
        <w:rPr>
          <w:rFonts w:ascii="Arial" w:cs="Arial" w:eastAsia="Arial" w:hAnsi="Arial"/>
          <w:sz w:val="19"/>
          <w:szCs w:val="19"/>
          <w:b w:val="1"/>
          <w:bCs w:val="1"/>
          <w:color w:val="auto"/>
        </w:rPr>
        <w:t xml:space="preserve"> </w:t>
      </w:r>
      <w:r>
        <w:rPr>
          <w:rFonts w:ascii="Arial" w:cs="Arial" w:eastAsia="Arial" w:hAnsi="Arial"/>
          <w:sz w:val="17"/>
          <w:szCs w:val="17"/>
          <w:color w:val="auto"/>
        </w:rPr>
        <w:t>recommend a director candidate for evaluation should forward the candidate’s name and information about the candidate’s qualifications by delivery and email to:</w:t>
      </w:r>
    </w:p>
    <w:p>
      <w:pPr>
        <w:spacing w:after="0" w:line="13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Chair of the Directors and Corporate Governance Committee</w:t>
      </w:r>
    </w:p>
    <w:p>
      <w:pPr>
        <w:spacing w:after="0" w:line="2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c/o General Counsel and Secretary</w:t>
      </w:r>
    </w:p>
    <w:p>
      <w:pPr>
        <w:spacing w:after="0" w:line="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Lilly Corporate Center</w:t>
      </w:r>
    </w:p>
    <w:p>
      <w:pPr>
        <w:spacing w:after="0" w:line="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Indianapolis, IN 46285</w:t>
      </w:r>
    </w:p>
    <w:p>
      <w:pPr>
        <w:spacing w:after="0" w:line="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Email: shareholderproposals@lilly.com</w:t>
      </w:r>
    </w:p>
    <w:p>
      <w:pPr>
        <w:spacing w:after="0" w:line="99" w:lineRule="exact"/>
        <w:rPr>
          <w:sz w:val="20"/>
          <w:szCs w:val="20"/>
          <w:color w:val="auto"/>
        </w:rPr>
      </w:pPr>
    </w:p>
    <w:p>
      <w:pPr>
        <w:ind w:right="1819"/>
        <w:spacing w:after="0" w:line="268" w:lineRule="auto"/>
        <w:rPr>
          <w:sz w:val="20"/>
          <w:szCs w:val="20"/>
          <w:color w:val="auto"/>
        </w:rPr>
      </w:pPr>
      <w:r>
        <w:rPr>
          <w:rFonts w:ascii="Arial" w:cs="Arial" w:eastAsia="Arial" w:hAnsi="Arial"/>
          <w:sz w:val="18"/>
          <w:szCs w:val="18"/>
          <w:color w:val="auto"/>
        </w:rPr>
        <w:t xml:space="preserve">The candidate must meet the selection criteria described in our corporate governance guidelines (available online at </w:t>
      </w:r>
      <w:r>
        <w:rPr>
          <w:rFonts w:ascii="Arial" w:cs="Arial" w:eastAsia="Arial" w:hAnsi="Arial"/>
          <w:sz w:val="18"/>
          <w:szCs w:val="18"/>
          <w:color w:val="D52B1E"/>
        </w:rPr>
        <w:t>lilly.com/leadership/governance)</w:t>
      </w:r>
      <w:r>
        <w:rPr>
          <w:rFonts w:ascii="Arial" w:cs="Arial" w:eastAsia="Arial" w:hAnsi="Arial"/>
          <w:sz w:val="18"/>
          <w:szCs w:val="18"/>
          <w:color w:val="auto"/>
        </w:rPr>
        <w:t xml:space="preserve"> and must be willing and expressly interested in serving on the board.</w:t>
      </w:r>
    </w:p>
    <w:p>
      <w:pPr>
        <w:spacing w:after="0" w:line="135" w:lineRule="exact"/>
        <w:rPr>
          <w:sz w:val="20"/>
          <w:szCs w:val="20"/>
          <w:color w:val="auto"/>
        </w:rPr>
      </w:pPr>
    </w:p>
    <w:p>
      <w:pPr>
        <w:ind w:right="1419" w:hanging="246"/>
        <w:spacing w:after="0"/>
        <w:rPr>
          <w:sz w:val="20"/>
          <w:szCs w:val="20"/>
          <w:color w:val="auto"/>
        </w:rPr>
      </w:pPr>
      <w:r>
        <w:rPr>
          <w:sz w:val="1"/>
          <w:szCs w:val="1"/>
          <w:color w:val="auto"/>
        </w:rPr>
        <w:drawing>
          <wp:inline distT="0" distB="0" distL="0" distR="0">
            <wp:extent cx="154305" cy="137160"/>
            <wp:effectExtent l="0" t="0" r="0" b="0"/>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54305" cy="137160"/>
                    </a:xfrm>
                    <a:prstGeom prst="rect">
                      <a:avLst/>
                    </a:prstGeom>
                    <a:noFill/>
                    <a:ln>
                      <a:noFill/>
                    </a:ln>
                  </pic:spPr>
                </pic:pic>
              </a:graphicData>
            </a:graphic>
          </wp:inline>
        </w:drawing>
      </w:r>
      <w:r>
        <w:rPr>
          <w:rFonts w:ascii="Arial" w:cs="Arial" w:eastAsia="Arial" w:hAnsi="Arial"/>
          <w:sz w:val="19"/>
          <w:szCs w:val="19"/>
          <w:b w:val="1"/>
          <w:bCs w:val="1"/>
          <w:color w:val="auto"/>
        </w:rPr>
        <w:t xml:space="preserve">Shareholder Nominations for Director Candidates for Inclusion in the Proxy Statement (“Proxy Access”) - </w:t>
      </w:r>
      <w:r>
        <w:rPr>
          <w:rFonts w:ascii="Arial" w:cs="Arial" w:eastAsia="Arial" w:hAnsi="Arial"/>
          <w:sz w:val="17"/>
          <w:szCs w:val="17"/>
          <w:color w:val="auto"/>
        </w:rPr>
        <w:t>If a shareholder or group of shareholders wishes to nominate one or more director</w:t>
      </w:r>
      <w:r>
        <w:rPr>
          <w:rFonts w:ascii="Arial" w:cs="Arial" w:eastAsia="Arial" w:hAnsi="Arial"/>
          <w:sz w:val="19"/>
          <w:szCs w:val="19"/>
          <w:b w:val="1"/>
          <w:bCs w:val="1"/>
          <w:color w:val="auto"/>
        </w:rPr>
        <w:t xml:space="preserve"> </w:t>
      </w:r>
      <w:r>
        <w:rPr>
          <w:rFonts w:ascii="Arial" w:cs="Arial" w:eastAsia="Arial" w:hAnsi="Arial"/>
          <w:sz w:val="17"/>
          <w:szCs w:val="17"/>
          <w:color w:val="auto"/>
        </w:rPr>
        <w:t>candidates to be included in the proxy statement for the 2026 annual meeting pursuant to the “proxy access” provisions of the company’s bylaws, such shareholder or group of shareholders must deliver to the company’s Secretary, and the company’s Secretary must receive, written notice no later than November 21, 2025, and no earlier than October 22, 2025. However, if the date of the 2026 annual meeting is changed by more than 30 days from May 4, 2026 (the date contemplated for the 2026 annual meeting as set forth in this proxy statement), a shareholder must give the company written notice no earlier than 150 days in advance of the date of the 2026 meeting and no later than the close of business on the later of 120 days in advance of the 2026 annual meeting or 10 days following the date we first publicly announce the date of 2026 annual meeting. Any such notice must also comply with the timing, disclosure, procedural, and other requirements as set forth in the bylaws.</w:t>
      </w:r>
    </w:p>
    <w:p>
      <w:pPr>
        <w:spacing w:after="0" w:line="158" w:lineRule="exact"/>
        <w:rPr>
          <w:sz w:val="20"/>
          <w:szCs w:val="20"/>
          <w:color w:val="auto"/>
        </w:rPr>
      </w:pPr>
    </w:p>
    <w:p>
      <w:pPr>
        <w:ind w:right="1339" w:hanging="246"/>
        <w:spacing w:after="0"/>
        <w:rPr>
          <w:sz w:val="20"/>
          <w:szCs w:val="20"/>
          <w:color w:val="auto"/>
        </w:rPr>
      </w:pPr>
      <w:r>
        <w:rPr>
          <w:sz w:val="1"/>
          <w:szCs w:val="1"/>
          <w:color w:val="auto"/>
        </w:rPr>
        <w:drawing>
          <wp:inline distT="0" distB="0" distL="0" distR="0">
            <wp:extent cx="154305" cy="137160"/>
            <wp:effectExtent l="0" t="0" r="0" b="0"/>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54305" cy="137160"/>
                    </a:xfrm>
                    <a:prstGeom prst="rect">
                      <a:avLst/>
                    </a:prstGeom>
                    <a:noFill/>
                    <a:ln>
                      <a:noFill/>
                    </a:ln>
                  </pic:spPr>
                </pic:pic>
              </a:graphicData>
            </a:graphic>
          </wp:inline>
        </w:drawing>
      </w:r>
      <w:r>
        <w:rPr>
          <w:rFonts w:ascii="Arial" w:cs="Arial" w:eastAsia="Arial" w:hAnsi="Arial"/>
          <w:sz w:val="19"/>
          <w:szCs w:val="19"/>
          <w:b w:val="1"/>
          <w:bCs w:val="1"/>
          <w:color w:val="auto"/>
        </w:rPr>
        <w:t xml:space="preserve">Other Shareholder Nominations for Director Candidates - </w:t>
      </w:r>
      <w:r>
        <w:rPr>
          <w:rFonts w:ascii="Arial" w:cs="Arial" w:eastAsia="Arial" w:hAnsi="Arial"/>
          <w:sz w:val="17"/>
          <w:szCs w:val="17"/>
          <w:color w:val="auto"/>
        </w:rPr>
        <w:t>In addition, under Section 1.9 of the</w:t>
      </w:r>
      <w:r>
        <w:rPr>
          <w:rFonts w:ascii="Arial" w:cs="Arial" w:eastAsia="Arial" w:hAnsi="Arial"/>
          <w:sz w:val="19"/>
          <w:szCs w:val="19"/>
          <w:b w:val="1"/>
          <w:bCs w:val="1"/>
          <w:color w:val="auto"/>
        </w:rPr>
        <w:t xml:space="preserve"> </w:t>
      </w:r>
      <w:r>
        <w:rPr>
          <w:rFonts w:ascii="Arial" w:cs="Arial" w:eastAsia="Arial" w:hAnsi="Arial"/>
          <w:sz w:val="17"/>
          <w:szCs w:val="17"/>
          <w:color w:val="auto"/>
        </w:rPr>
        <w:t xml:space="preserve">company’s bylaws, any shareholder of record wishing to directly nominate a director candidate at the 2026 annual meeting of shareholders (i.e., to propose a candidate for election who is not otherwise nominated by the board through the recommendation process described above and not pursuant to the “proxy access” provisions described above) must deliver to the company’s Secretary, and the company’s Secretary must receive, written notice no later than the close of business on November 21, 2025, and no earlier than the close of business on September 22, 2025. However, if the date of the 2026 annual meeting is changed by more than 30 days from May 4, 2026 (the date contemplated for the 2026 annual meeting as set forth in this proxy statement), a shareholder must give the company written notice no later than the close of business on the later of 120 days in advance of the 2026 annual meeting or 10 days following the date we first publicly announce the date of 2026 annual meeting. Any such notice must also comply with the timing, disclosure, procedural and other requirements as set forth in the bylaws. A copy of the bylaws is available online at </w:t>
      </w:r>
      <w:r>
        <w:rPr>
          <w:rFonts w:ascii="Arial" w:cs="Arial" w:eastAsia="Arial" w:hAnsi="Arial"/>
          <w:sz w:val="17"/>
          <w:szCs w:val="17"/>
          <w:color w:val="D52B1E"/>
        </w:rPr>
        <w:t>lilly.com/leadership/governance</w:t>
      </w:r>
      <w:r>
        <w:rPr>
          <w:rFonts w:ascii="Arial" w:cs="Arial" w:eastAsia="Arial" w:hAnsi="Arial"/>
          <w:sz w:val="17"/>
          <w:szCs w:val="17"/>
          <w:color w:val="auto"/>
        </w:rPr>
        <w:t>.</w:t>
      </w:r>
    </w:p>
    <w:p>
      <w:pPr>
        <w:spacing w:after="0" w:line="158" w:lineRule="exact"/>
        <w:rPr>
          <w:sz w:val="20"/>
          <w:szCs w:val="20"/>
          <w:color w:val="auto"/>
        </w:rPr>
      </w:pPr>
    </w:p>
    <w:p>
      <w:pPr>
        <w:ind w:right="1319" w:hanging="246"/>
        <w:spacing w:after="0"/>
        <w:rPr>
          <w:sz w:val="20"/>
          <w:szCs w:val="20"/>
          <w:color w:val="auto"/>
        </w:rPr>
      </w:pPr>
      <w:r>
        <w:rPr>
          <w:sz w:val="1"/>
          <w:szCs w:val="1"/>
          <w:color w:val="auto"/>
        </w:rPr>
        <w:drawing>
          <wp:inline distT="0" distB="0" distL="0" distR="0">
            <wp:extent cx="154305" cy="137160"/>
            <wp:effectExtent l="0" t="0" r="0" b="0"/>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54305" cy="137160"/>
                    </a:xfrm>
                    <a:prstGeom prst="rect">
                      <a:avLst/>
                    </a:prstGeom>
                    <a:noFill/>
                    <a:ln>
                      <a:noFill/>
                    </a:ln>
                  </pic:spPr>
                </pic:pic>
              </a:graphicData>
            </a:graphic>
          </wp:inline>
        </w:drawing>
      </w:r>
      <w:r>
        <w:rPr>
          <w:rFonts w:ascii="Arial" w:cs="Arial" w:eastAsia="Arial" w:hAnsi="Arial"/>
          <w:sz w:val="19"/>
          <w:szCs w:val="19"/>
          <w:b w:val="1"/>
          <w:bCs w:val="1"/>
          <w:color w:val="auto"/>
        </w:rPr>
        <w:t xml:space="preserve">Universal Proxy for Shareholder Nominations - </w:t>
      </w:r>
      <w:r>
        <w:rPr>
          <w:rFonts w:ascii="Arial" w:cs="Arial" w:eastAsia="Arial" w:hAnsi="Arial"/>
          <w:sz w:val="17"/>
          <w:szCs w:val="17"/>
          <w:color w:val="auto"/>
        </w:rPr>
        <w:t>In addition to satisfying the requirements under our</w:t>
      </w:r>
      <w:r>
        <w:rPr>
          <w:rFonts w:ascii="Arial" w:cs="Arial" w:eastAsia="Arial" w:hAnsi="Arial"/>
          <w:sz w:val="19"/>
          <w:szCs w:val="19"/>
          <w:b w:val="1"/>
          <w:bCs w:val="1"/>
          <w:color w:val="auto"/>
        </w:rPr>
        <w:t xml:space="preserve"> </w:t>
      </w:r>
      <w:r>
        <w:rPr>
          <w:rFonts w:ascii="Arial" w:cs="Arial" w:eastAsia="Arial" w:hAnsi="Arial"/>
          <w:sz w:val="17"/>
          <w:szCs w:val="17"/>
          <w:color w:val="auto"/>
        </w:rPr>
        <w:t>bylaws, if a shareholder intends to comply with the SEC’s universal proxy rules and to solicit proxies in support of director nominees other than the company’s nominees, the shareholder must provide notice that sets forth the information required by Rule 14a-19 under the Securities Exchange Act of 1934 which notice must be postmarked or transmitted electronically to us at the address stated above for shareholder recommendations no later than 60 calendar days prior to the one-year anniversary date of the Annual Meeting (for the 2026 annual meeting of shareholders, no later than March 6, 2026). If the date of the 2026 annual meeting of shareholders is changed by more than 30 calendar days from such anniversary date, however, then the shareholder must provide notice by the later of 60 calendar days prior to the date of the 2026 annual meeting of shareholders and the 10th calendar day following the date on which public announcement of the date of the 2026 annual meeting of shareholders is first made by the company.</w:t>
      </w:r>
    </w:p>
    <w:p>
      <w:pPr>
        <w:sectPr>
          <w:pgSz w:w="11900" w:h="16838" w:orient="portrait"/>
          <w:cols w:equalWidth="0" w:num="1">
            <w:col w:w="9699"/>
          </w:cols>
          <w:pgMar w:left="760" w:top="939"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154940</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699"/>
          </w:cols>
          <w:pgMar w:left="760" w:top="939" w:right="1440"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25"/>
          <w:szCs w:val="25"/>
          <w:b w:val="1"/>
          <w:bCs w:val="1"/>
          <w:color w:val="00A1DE"/>
        </w:rPr>
        <w:t>Director Compensation</w:t>
      </w:r>
    </w:p>
    <w:p>
      <w:pPr>
        <w:spacing w:after="0" w:line="69" w:lineRule="exact"/>
        <w:rPr>
          <w:sz w:val="20"/>
          <w:szCs w:val="20"/>
          <w:color w:val="auto"/>
        </w:rPr>
      </w:pPr>
    </w:p>
    <w:p>
      <w:pPr>
        <w:ind w:right="620"/>
        <w:spacing w:after="0" w:line="287" w:lineRule="auto"/>
        <w:rPr>
          <w:sz w:val="20"/>
          <w:szCs w:val="20"/>
          <w:color w:val="auto"/>
        </w:rPr>
      </w:pPr>
      <w:r>
        <w:rPr>
          <w:rFonts w:ascii="Arial" w:cs="Arial" w:eastAsia="Arial" w:hAnsi="Arial"/>
          <w:sz w:val="18"/>
          <w:szCs w:val="18"/>
          <w:color w:val="auto"/>
        </w:rPr>
        <w:t>Non-employee director compensation is reviewed and approved by the board, on the recommendation of the Directors and Corporate Governance Committee. Directors who are employees receive no additional compensation for serving on the board.</w:t>
      </w:r>
    </w:p>
    <w:p>
      <w:pPr>
        <w:spacing w:after="0" w:line="86" w:lineRule="exact"/>
        <w:rPr>
          <w:sz w:val="20"/>
          <w:szCs w:val="20"/>
          <w:color w:val="auto"/>
        </w:rPr>
      </w:pPr>
    </w:p>
    <w:tbl>
      <w:tblPr>
        <w:tblLayout w:type="fixed"/>
        <w:tblInd w:w="220" w:type="dxa"/>
        <w:tblCellMar>
          <w:top w:w="0" w:type="dxa"/>
          <w:left w:w="0" w:type="dxa"/>
          <w:bottom w:w="0" w:type="dxa"/>
          <w:right w:w="0" w:type="dxa"/>
        </w:tblCellMar>
      </w:tblPr>
      <w:tr>
        <w:trPr>
          <w:trHeight w:val="364"/>
        </w:trPr>
        <w:tc>
          <w:tcPr>
            <w:tcW w:w="2720" w:type="dxa"/>
            <w:vAlign w:val="bottom"/>
          </w:tcPr>
          <w:p>
            <w:pPr>
              <w:jc w:val="center"/>
              <w:ind w:right="37"/>
              <w:spacing w:after="0"/>
              <w:rPr>
                <w:sz w:val="20"/>
                <w:szCs w:val="20"/>
                <w:color w:val="auto"/>
              </w:rPr>
            </w:pPr>
            <w:r>
              <w:rPr>
                <w:rFonts w:ascii="Arial" w:cs="Arial" w:eastAsia="Arial" w:hAnsi="Arial"/>
                <w:sz w:val="29"/>
                <w:szCs w:val="29"/>
                <w:color w:val="D52B1E"/>
                <w:w w:val="99"/>
              </w:rPr>
              <w:t>67%</w:t>
            </w:r>
          </w:p>
        </w:tc>
        <w:tc>
          <w:tcPr>
            <w:tcW w:w="3100" w:type="dxa"/>
            <w:vAlign w:val="bottom"/>
          </w:tcPr>
          <w:p>
            <w:pPr>
              <w:jc w:val="center"/>
              <w:spacing w:after="0"/>
              <w:rPr>
                <w:sz w:val="20"/>
                <w:szCs w:val="20"/>
                <w:color w:val="auto"/>
              </w:rPr>
            </w:pPr>
            <w:r>
              <w:rPr>
                <w:rFonts w:ascii="Arial" w:cs="Arial" w:eastAsia="Arial" w:hAnsi="Arial"/>
                <w:sz w:val="29"/>
                <w:szCs w:val="29"/>
                <w:color w:val="D52B1E"/>
                <w:w w:val="97"/>
              </w:rPr>
              <w:t>5x</w:t>
            </w:r>
          </w:p>
        </w:tc>
        <w:tc>
          <w:tcPr>
            <w:tcW w:w="3020" w:type="dxa"/>
            <w:vAlign w:val="bottom"/>
          </w:tcPr>
          <w:p>
            <w:pPr>
              <w:jc w:val="center"/>
              <w:spacing w:after="0"/>
              <w:rPr>
                <w:sz w:val="20"/>
                <w:szCs w:val="20"/>
                <w:color w:val="auto"/>
              </w:rPr>
            </w:pPr>
            <w:r>
              <w:rPr>
                <w:rFonts w:ascii="Arial" w:cs="Arial" w:eastAsia="Arial" w:hAnsi="Arial"/>
                <w:sz w:val="29"/>
                <w:szCs w:val="29"/>
                <w:color w:val="D52B1E"/>
              </w:rPr>
              <w:t>CAPPED</w:t>
            </w:r>
          </w:p>
        </w:tc>
      </w:tr>
      <w:tr>
        <w:trPr>
          <w:trHeight w:val="216"/>
        </w:trPr>
        <w:tc>
          <w:tcPr>
            <w:tcW w:w="2720" w:type="dxa"/>
            <w:vAlign w:val="bottom"/>
          </w:tcPr>
          <w:p>
            <w:pPr>
              <w:jc w:val="center"/>
              <w:ind w:right="17"/>
              <w:spacing w:after="0"/>
              <w:rPr>
                <w:sz w:val="20"/>
                <w:szCs w:val="20"/>
                <w:color w:val="auto"/>
              </w:rPr>
            </w:pPr>
            <w:r>
              <w:rPr>
                <w:rFonts w:ascii="Arial" w:cs="Arial" w:eastAsia="Arial" w:hAnsi="Arial"/>
                <w:sz w:val="18"/>
                <w:szCs w:val="18"/>
                <w:color w:val="auto"/>
                <w:w w:val="99"/>
              </w:rPr>
              <w:t>amount of board service annual</w:t>
            </w:r>
          </w:p>
        </w:tc>
        <w:tc>
          <w:tcPr>
            <w:tcW w:w="3100" w:type="dxa"/>
            <w:vAlign w:val="bottom"/>
          </w:tcPr>
          <w:p>
            <w:pPr>
              <w:jc w:val="center"/>
              <w:ind w:left="17"/>
              <w:spacing w:after="0"/>
              <w:rPr>
                <w:sz w:val="20"/>
                <w:szCs w:val="20"/>
                <w:color w:val="auto"/>
              </w:rPr>
            </w:pPr>
            <w:r>
              <w:rPr>
                <w:rFonts w:ascii="Arial" w:cs="Arial" w:eastAsia="Arial" w:hAnsi="Arial"/>
                <w:sz w:val="18"/>
                <w:szCs w:val="18"/>
                <w:color w:val="auto"/>
                <w:w w:val="99"/>
              </w:rPr>
              <w:t xml:space="preserve">required multiple of the </w:t>
            </w:r>
            <w:r>
              <w:rPr>
                <w:rFonts w:ascii="Arial" w:cs="Arial" w:eastAsia="Arial" w:hAnsi="Arial"/>
                <w:sz w:val="18"/>
                <w:szCs w:val="18"/>
                <w:b w:val="1"/>
                <w:bCs w:val="1"/>
                <w:color w:val="auto"/>
                <w:w w:val="99"/>
              </w:rPr>
              <w:t>annual</w:t>
            </w:r>
          </w:p>
        </w:tc>
        <w:tc>
          <w:tcPr>
            <w:tcW w:w="3020" w:type="dxa"/>
            <w:vAlign w:val="bottom"/>
          </w:tcPr>
          <w:p>
            <w:pPr>
              <w:jc w:val="center"/>
              <w:spacing w:after="0"/>
              <w:rPr>
                <w:sz w:val="20"/>
                <w:szCs w:val="20"/>
                <w:color w:val="auto"/>
              </w:rPr>
            </w:pPr>
            <w:r>
              <w:rPr>
                <w:rFonts w:ascii="Arial" w:cs="Arial" w:eastAsia="Arial" w:hAnsi="Arial"/>
                <w:sz w:val="18"/>
                <w:szCs w:val="18"/>
                <w:b w:val="1"/>
                <w:bCs w:val="1"/>
                <w:color w:val="auto"/>
                <w:w w:val="99"/>
              </w:rPr>
              <w:t xml:space="preserve">total annual compensation </w:t>
            </w:r>
            <w:r>
              <w:rPr>
                <w:rFonts w:ascii="Arial" w:cs="Arial" w:eastAsia="Arial" w:hAnsi="Arial"/>
                <w:sz w:val="18"/>
                <w:szCs w:val="18"/>
                <w:color w:val="auto"/>
                <w:w w:val="99"/>
              </w:rPr>
              <w:t>for non-</w:t>
            </w:r>
          </w:p>
        </w:tc>
      </w:tr>
      <w:tr>
        <w:trPr>
          <w:trHeight w:val="216"/>
        </w:trPr>
        <w:tc>
          <w:tcPr>
            <w:tcW w:w="2720" w:type="dxa"/>
            <w:vAlign w:val="bottom"/>
          </w:tcPr>
          <w:p>
            <w:pPr>
              <w:jc w:val="center"/>
              <w:ind w:right="17"/>
              <w:spacing w:after="0"/>
              <w:rPr>
                <w:sz w:val="20"/>
                <w:szCs w:val="20"/>
                <w:color w:val="auto"/>
              </w:rPr>
            </w:pPr>
            <w:r>
              <w:rPr>
                <w:rFonts w:ascii="Arial" w:cs="Arial" w:eastAsia="Arial" w:hAnsi="Arial"/>
                <w:sz w:val="18"/>
                <w:szCs w:val="18"/>
                <w:color w:val="auto"/>
                <w:w w:val="99"/>
              </w:rPr>
              <w:t xml:space="preserve">retainer </w:t>
            </w:r>
            <w:r>
              <w:rPr>
                <w:rFonts w:ascii="Arial" w:cs="Arial" w:eastAsia="Arial" w:hAnsi="Arial"/>
                <w:sz w:val="18"/>
                <w:szCs w:val="18"/>
                <w:b w:val="1"/>
                <w:bCs w:val="1"/>
                <w:color w:val="auto"/>
                <w:w w:val="99"/>
              </w:rPr>
              <w:t>linked to the long-term</w:t>
            </w:r>
          </w:p>
        </w:tc>
        <w:tc>
          <w:tcPr>
            <w:tcW w:w="3100" w:type="dxa"/>
            <w:vAlign w:val="bottom"/>
          </w:tcPr>
          <w:p>
            <w:pPr>
              <w:jc w:val="center"/>
              <w:spacing w:after="0"/>
              <w:rPr>
                <w:sz w:val="20"/>
                <w:szCs w:val="20"/>
                <w:color w:val="auto"/>
              </w:rPr>
            </w:pPr>
            <w:r>
              <w:rPr>
                <w:rFonts w:ascii="Arial" w:cs="Arial" w:eastAsia="Arial" w:hAnsi="Arial"/>
                <w:sz w:val="18"/>
                <w:szCs w:val="18"/>
                <w:b w:val="1"/>
                <w:bCs w:val="1"/>
                <w:color w:val="auto"/>
                <w:w w:val="99"/>
              </w:rPr>
              <w:t>board retainer in share ownership</w:t>
            </w:r>
          </w:p>
        </w:tc>
        <w:tc>
          <w:tcPr>
            <w:tcW w:w="3020" w:type="dxa"/>
            <w:vAlign w:val="bottom"/>
          </w:tcPr>
          <w:p>
            <w:pPr>
              <w:jc w:val="center"/>
              <w:spacing w:after="0"/>
              <w:rPr>
                <w:sz w:val="20"/>
                <w:szCs w:val="20"/>
                <w:color w:val="auto"/>
              </w:rPr>
            </w:pPr>
            <w:r>
              <w:rPr>
                <w:rFonts w:ascii="Arial" w:cs="Arial" w:eastAsia="Arial" w:hAnsi="Arial"/>
                <w:sz w:val="18"/>
                <w:szCs w:val="18"/>
                <w:color w:val="auto"/>
                <w:w w:val="99"/>
              </w:rPr>
              <w:t>employee directors</w:t>
            </w:r>
          </w:p>
        </w:tc>
      </w:tr>
      <w:tr>
        <w:trPr>
          <w:trHeight w:val="247"/>
        </w:trPr>
        <w:tc>
          <w:tcPr>
            <w:tcW w:w="2720" w:type="dxa"/>
            <w:vAlign w:val="bottom"/>
          </w:tcPr>
          <w:p>
            <w:pPr>
              <w:jc w:val="center"/>
              <w:ind w:right="17"/>
              <w:spacing w:after="0"/>
              <w:rPr>
                <w:sz w:val="20"/>
                <w:szCs w:val="20"/>
                <w:color w:val="auto"/>
              </w:rPr>
            </w:pPr>
            <w:r>
              <w:rPr>
                <w:rFonts w:ascii="Arial" w:cs="Arial" w:eastAsia="Arial" w:hAnsi="Arial"/>
                <w:sz w:val="18"/>
                <w:szCs w:val="18"/>
                <w:b w:val="1"/>
                <w:bCs w:val="1"/>
                <w:color w:val="auto"/>
                <w:w w:val="99"/>
              </w:rPr>
              <w:t>performance of Lilly stock</w:t>
            </w:r>
          </w:p>
        </w:tc>
        <w:tc>
          <w:tcPr>
            <w:tcW w:w="3100" w:type="dxa"/>
            <w:vAlign w:val="bottom"/>
          </w:tcPr>
          <w:p>
            <w:pPr>
              <w:jc w:val="center"/>
              <w:spacing w:after="0"/>
              <w:rPr>
                <w:sz w:val="20"/>
                <w:szCs w:val="20"/>
                <w:color w:val="auto"/>
              </w:rPr>
            </w:pPr>
            <w:r>
              <w:rPr>
                <w:rFonts w:ascii="Arial" w:cs="Arial" w:eastAsia="Arial" w:hAnsi="Arial"/>
                <w:sz w:val="18"/>
                <w:szCs w:val="18"/>
                <w:color w:val="auto"/>
                <w:w w:val="99"/>
              </w:rPr>
              <w:t>for non-employee directors</w:t>
            </w:r>
          </w:p>
        </w:tc>
        <w:tc>
          <w:tcPr>
            <w:tcW w:w="3020" w:type="dxa"/>
            <w:vAlign w:val="bottom"/>
          </w:tcPr>
          <w:p>
            <w:pPr>
              <w:spacing w:after="0"/>
              <w:rPr>
                <w:sz w:val="21"/>
                <w:szCs w:val="21"/>
                <w:color w:val="auto"/>
              </w:rPr>
            </w:pPr>
          </w:p>
        </w:tc>
      </w:tr>
    </w:tbl>
    <w:p>
      <w:pPr>
        <w:spacing w:after="0" w:line="3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Director Compensation Governance</w:t>
      </w:r>
    </w:p>
    <w:p>
      <w:pPr>
        <w:spacing w:after="0" w:line="4" w:lineRule="exact"/>
        <w:rPr>
          <w:sz w:val="20"/>
          <w:szCs w:val="20"/>
          <w:color w:val="auto"/>
        </w:rPr>
      </w:pPr>
    </w:p>
    <w:p>
      <w:pPr>
        <w:ind w:right="800"/>
        <w:spacing w:after="0" w:line="250" w:lineRule="auto"/>
        <w:rPr>
          <w:sz w:val="20"/>
          <w:szCs w:val="20"/>
          <w:color w:val="auto"/>
        </w:rPr>
      </w:pPr>
      <w:r>
        <w:rPr>
          <w:rFonts w:ascii="Arial" w:cs="Arial" w:eastAsia="Arial" w:hAnsi="Arial"/>
          <w:sz w:val="18"/>
          <w:szCs w:val="18"/>
          <w:color w:val="auto"/>
        </w:rPr>
        <w:t>The Directors and Corporate Governance Committee performs an annual review of non-employee director compensation, including considerations such as:</w:t>
      </w:r>
    </w:p>
    <w:p>
      <w:pPr>
        <w:spacing w:after="0" w:line="131" w:lineRule="exact"/>
        <w:rPr>
          <w:sz w:val="20"/>
          <w:szCs w:val="20"/>
          <w:color w:val="auto"/>
        </w:rPr>
      </w:pPr>
    </w:p>
    <w:p>
      <w:pPr>
        <w:ind w:left="660" w:right="460" w:hanging="247"/>
        <w:spacing w:after="0" w:line="281" w:lineRule="auto"/>
        <w:tabs>
          <w:tab w:leader="none" w:pos="758" w:val="left"/>
        </w:tabs>
        <w:numPr>
          <w:ilvl w:val="0"/>
          <w:numId w:val="75"/>
        </w:numPr>
        <w:rPr>
          <w:rFonts w:ascii="Wingdings" w:cs="Wingdings" w:eastAsia="Wingdings" w:hAnsi="Wingdings"/>
          <w:sz w:val="18"/>
          <w:szCs w:val="18"/>
          <w:b w:val="1"/>
          <w:bCs w:val="1"/>
          <w:color w:val="auto"/>
        </w:rPr>
      </w:pPr>
      <w:r>
        <w:rPr>
          <w:rFonts w:ascii="Arial" w:cs="Arial" w:eastAsia="Arial" w:hAnsi="Arial"/>
          <w:sz w:val="18"/>
          <w:szCs w:val="18"/>
          <w:color w:val="auto"/>
        </w:rPr>
        <w:t>general industry and pharmaceutical company peer group analysis conducted with the assistance of an outside compensation consultant,</w:t>
      </w:r>
    </w:p>
    <w:p>
      <w:pPr>
        <w:spacing w:after="0" w:line="1" w:lineRule="exact"/>
        <w:rPr>
          <w:rFonts w:ascii="Wingdings" w:cs="Wingdings" w:eastAsia="Wingdings" w:hAnsi="Wingdings"/>
          <w:sz w:val="18"/>
          <w:szCs w:val="18"/>
          <w:b w:val="1"/>
          <w:bCs w:val="1"/>
          <w:color w:val="auto"/>
        </w:rPr>
      </w:pPr>
    </w:p>
    <w:p>
      <w:pPr>
        <w:ind w:left="660" w:right="300" w:hanging="247"/>
        <w:spacing w:after="0" w:line="281" w:lineRule="auto"/>
        <w:tabs>
          <w:tab w:leader="none" w:pos="758" w:val="left"/>
        </w:tabs>
        <w:numPr>
          <w:ilvl w:val="0"/>
          <w:numId w:val="75"/>
        </w:numPr>
        <w:rPr>
          <w:rFonts w:ascii="Wingdings" w:cs="Wingdings" w:eastAsia="Wingdings" w:hAnsi="Wingdings"/>
          <w:sz w:val="18"/>
          <w:szCs w:val="18"/>
          <w:b w:val="1"/>
          <w:bCs w:val="1"/>
          <w:color w:val="auto"/>
        </w:rPr>
      </w:pPr>
      <w:r>
        <w:rPr>
          <w:rFonts w:ascii="Arial" w:cs="Arial" w:eastAsia="Arial" w:hAnsi="Arial"/>
          <w:sz w:val="18"/>
          <w:szCs w:val="18"/>
          <w:color w:val="auto"/>
        </w:rPr>
        <w:t>the desire to have non-employee director compensation positioned near the market median when compared against the general industry peer group,</w:t>
      </w:r>
    </w:p>
    <w:p>
      <w:pPr>
        <w:spacing w:after="0" w:line="1" w:lineRule="exact"/>
        <w:rPr>
          <w:rFonts w:ascii="Wingdings" w:cs="Wingdings" w:eastAsia="Wingdings" w:hAnsi="Wingdings"/>
          <w:sz w:val="18"/>
          <w:szCs w:val="18"/>
          <w:b w:val="1"/>
          <w:bCs w:val="1"/>
          <w:color w:val="auto"/>
        </w:rPr>
      </w:pPr>
    </w:p>
    <w:p>
      <w:pPr>
        <w:ind w:left="760" w:hanging="347"/>
        <w:spacing w:after="0"/>
        <w:tabs>
          <w:tab w:leader="none" w:pos="760" w:val="left"/>
        </w:tabs>
        <w:numPr>
          <w:ilvl w:val="0"/>
          <w:numId w:val="75"/>
        </w:numPr>
        <w:rPr>
          <w:rFonts w:ascii="Wingdings" w:cs="Wingdings" w:eastAsia="Wingdings" w:hAnsi="Wingdings"/>
          <w:sz w:val="18"/>
          <w:szCs w:val="18"/>
          <w:b w:val="1"/>
          <w:bCs w:val="1"/>
          <w:color w:val="auto"/>
        </w:rPr>
      </w:pPr>
      <w:r>
        <w:rPr>
          <w:rFonts w:ascii="Arial" w:cs="Arial" w:eastAsia="Arial" w:hAnsi="Arial"/>
          <w:sz w:val="18"/>
          <w:szCs w:val="18"/>
          <w:color w:val="auto"/>
        </w:rPr>
        <w:t>the desire to avoid excess compensation, and</w:t>
      </w:r>
    </w:p>
    <w:p>
      <w:pPr>
        <w:spacing w:after="0" w:line="63" w:lineRule="exact"/>
        <w:rPr>
          <w:rFonts w:ascii="Wingdings" w:cs="Wingdings" w:eastAsia="Wingdings" w:hAnsi="Wingdings"/>
          <w:sz w:val="18"/>
          <w:szCs w:val="18"/>
          <w:b w:val="1"/>
          <w:bCs w:val="1"/>
          <w:color w:val="auto"/>
        </w:rPr>
      </w:pPr>
    </w:p>
    <w:p>
      <w:pPr>
        <w:ind w:left="760" w:hanging="347"/>
        <w:spacing w:after="0"/>
        <w:tabs>
          <w:tab w:leader="none" w:pos="760" w:val="left"/>
        </w:tabs>
        <w:numPr>
          <w:ilvl w:val="0"/>
          <w:numId w:val="75"/>
        </w:numPr>
        <w:rPr>
          <w:rFonts w:ascii="Wingdings" w:cs="Wingdings" w:eastAsia="Wingdings" w:hAnsi="Wingdings"/>
          <w:sz w:val="18"/>
          <w:szCs w:val="18"/>
          <w:b w:val="1"/>
          <w:bCs w:val="1"/>
          <w:color w:val="auto"/>
        </w:rPr>
      </w:pPr>
      <w:r>
        <w:rPr>
          <w:rFonts w:ascii="Arial" w:cs="Arial" w:eastAsia="Arial" w:hAnsi="Arial"/>
          <w:sz w:val="18"/>
          <w:szCs w:val="18"/>
          <w:color w:val="auto"/>
        </w:rPr>
        <w:t>linking a significant portion of compensation to the long-term performance of Lilly stock.</w:t>
      </w:r>
    </w:p>
    <w:p>
      <w:pPr>
        <w:spacing w:after="0" w:line="171"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If the Directors and Corporate Governance Committee determine adjustments to non-employee director compensation are warranted, it will make recommendations to the full board for consideration.</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Compensation Elements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compensation elements in effect for all non-employee directors in 2024:</w:t>
      </w:r>
    </w:p>
    <w:p>
      <w:pPr>
        <w:spacing w:after="0" w:line="179" w:lineRule="exact"/>
        <w:rPr>
          <w:sz w:val="20"/>
          <w:szCs w:val="20"/>
          <w:color w:val="auto"/>
        </w:rPr>
      </w:pPr>
    </w:p>
    <w:tbl>
      <w:tblPr>
        <w:tblLayout w:type="fixed"/>
        <w:tblInd w:w="2520" w:type="dxa"/>
        <w:tblCellMar>
          <w:top w:w="0" w:type="dxa"/>
          <w:left w:w="0" w:type="dxa"/>
          <w:bottom w:w="0" w:type="dxa"/>
          <w:right w:w="0" w:type="dxa"/>
        </w:tblCellMar>
      </w:tblPr>
      <w:tr>
        <w:trPr>
          <w:trHeight w:val="270"/>
        </w:trPr>
        <w:tc>
          <w:tcPr>
            <w:tcW w:w="33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9"/>
                <w:szCs w:val="19"/>
                <w:b w:val="1"/>
                <w:bCs w:val="1"/>
                <w:color w:val="auto"/>
              </w:rPr>
              <w:t>Compensation Element</w:t>
            </w:r>
          </w:p>
        </w:tc>
        <w:tc>
          <w:tcPr>
            <w:tcW w:w="2760" w:type="dxa"/>
            <w:vAlign w:val="bottom"/>
            <w:tcBorders>
              <w:top w:val="single" w:sz="8" w:color="auto"/>
              <w:bottom w:val="single" w:sz="8" w:color="auto"/>
            </w:tcBorders>
            <w:gridSpan w:val="2"/>
          </w:tcPr>
          <w:p>
            <w:pPr>
              <w:ind w:left="60"/>
              <w:spacing w:after="0"/>
              <w:rPr>
                <w:sz w:val="20"/>
                <w:szCs w:val="20"/>
                <w:color w:val="auto"/>
              </w:rPr>
            </w:pPr>
            <w:r>
              <w:rPr>
                <w:rFonts w:ascii="Arial" w:cs="Arial" w:eastAsia="Arial" w:hAnsi="Arial"/>
                <w:sz w:val="19"/>
                <w:szCs w:val="19"/>
                <w:b w:val="1"/>
                <w:bCs w:val="1"/>
                <w:color w:val="auto"/>
              </w:rPr>
              <w:t>Payment or Value</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93"/>
        </w:trPr>
        <w:tc>
          <w:tcPr>
            <w:tcW w:w="3360" w:type="dxa"/>
            <w:vAlign w:val="bottom"/>
          </w:tcPr>
          <w:p>
            <w:pPr>
              <w:ind w:left="60"/>
              <w:spacing w:after="0"/>
              <w:rPr>
                <w:sz w:val="20"/>
                <w:szCs w:val="20"/>
                <w:color w:val="auto"/>
              </w:rPr>
            </w:pPr>
            <w:r>
              <w:rPr>
                <w:rFonts w:ascii="Arial" w:cs="Arial" w:eastAsia="Arial" w:hAnsi="Arial"/>
                <w:sz w:val="19"/>
                <w:szCs w:val="19"/>
                <w:b w:val="1"/>
                <w:bCs w:val="1"/>
                <w:color w:val="00A1DE"/>
              </w:rPr>
              <w:t>Board Service</w:t>
            </w:r>
            <w:r>
              <w:rPr>
                <w:rFonts w:ascii="Arial" w:cs="Arial" w:eastAsia="Arial" w:hAnsi="Arial"/>
                <w:sz w:val="24"/>
                <w:szCs w:val="24"/>
                <w:b w:val="1"/>
                <w:bCs w:val="1"/>
                <w:color w:val="00A1DE"/>
                <w:vertAlign w:val="superscript"/>
              </w:rPr>
              <w:t>1</w:t>
            </w:r>
          </w:p>
        </w:tc>
        <w:tc>
          <w:tcPr>
            <w:tcW w:w="9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3360" w:type="dxa"/>
            <w:vAlign w:val="bottom"/>
          </w:tcPr>
          <w:p>
            <w:pPr>
              <w:ind w:left="300"/>
              <w:spacing w:after="0"/>
              <w:rPr>
                <w:sz w:val="20"/>
                <w:szCs w:val="20"/>
                <w:color w:val="auto"/>
              </w:rPr>
            </w:pPr>
            <w:r>
              <w:rPr>
                <w:rFonts w:ascii="Arial" w:cs="Arial" w:eastAsia="Arial" w:hAnsi="Arial"/>
                <w:sz w:val="18"/>
                <w:szCs w:val="18"/>
                <w:color w:val="auto"/>
              </w:rPr>
              <w:t>Annual board retainer</w:t>
            </w:r>
          </w:p>
        </w:tc>
        <w:tc>
          <w:tcPr>
            <w:tcW w:w="980" w:type="dxa"/>
            <w:vAlign w:val="bottom"/>
          </w:tcPr>
          <w:p>
            <w:pPr>
              <w:ind w:left="60"/>
              <w:spacing w:after="0"/>
              <w:rPr>
                <w:sz w:val="20"/>
                <w:szCs w:val="20"/>
                <w:color w:val="auto"/>
              </w:rPr>
            </w:pPr>
            <w:r>
              <w:rPr>
                <w:rFonts w:ascii="Arial" w:cs="Arial" w:eastAsia="Arial" w:hAnsi="Arial"/>
                <w:sz w:val="18"/>
                <w:szCs w:val="18"/>
                <w:color w:val="auto"/>
              </w:rPr>
              <w:t>$110,000</w:t>
            </w:r>
          </w:p>
        </w:tc>
        <w:tc>
          <w:tcPr>
            <w:tcW w:w="1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2"/>
        </w:trPr>
        <w:tc>
          <w:tcPr>
            <w:tcW w:w="3360" w:type="dxa"/>
            <w:vAlign w:val="bottom"/>
          </w:tcPr>
          <w:p>
            <w:pPr>
              <w:ind w:left="300"/>
              <w:spacing w:after="0"/>
              <w:rPr>
                <w:sz w:val="20"/>
                <w:szCs w:val="20"/>
                <w:color w:val="auto"/>
              </w:rPr>
            </w:pPr>
            <w:r>
              <w:rPr>
                <w:rFonts w:ascii="Arial" w:cs="Arial" w:eastAsia="Arial" w:hAnsi="Arial"/>
                <w:sz w:val="18"/>
                <w:szCs w:val="18"/>
                <w:color w:val="auto"/>
              </w:rPr>
              <w:t>Annual equity grant</w:t>
            </w:r>
            <w:r>
              <w:rPr>
                <w:rFonts w:ascii="Arial" w:cs="Arial" w:eastAsia="Arial" w:hAnsi="Arial"/>
                <w:sz w:val="23"/>
                <w:szCs w:val="23"/>
                <w:color w:val="auto"/>
                <w:vertAlign w:val="superscript"/>
              </w:rPr>
              <w:t>2</w:t>
            </w:r>
          </w:p>
        </w:tc>
        <w:tc>
          <w:tcPr>
            <w:tcW w:w="2840" w:type="dxa"/>
            <w:vAlign w:val="bottom"/>
            <w:gridSpan w:val="3"/>
          </w:tcPr>
          <w:p>
            <w:pPr>
              <w:ind w:left="60"/>
              <w:spacing w:after="0"/>
              <w:rPr>
                <w:sz w:val="20"/>
                <w:szCs w:val="20"/>
                <w:color w:val="auto"/>
              </w:rPr>
            </w:pPr>
            <w:r>
              <w:rPr>
                <w:rFonts w:ascii="Arial" w:cs="Arial" w:eastAsia="Arial" w:hAnsi="Arial"/>
                <w:sz w:val="18"/>
                <w:szCs w:val="18"/>
                <w:color w:val="auto"/>
              </w:rPr>
              <w:t>$220,000 in deferred stock units</w:t>
            </w:r>
          </w:p>
        </w:tc>
        <w:tc>
          <w:tcPr>
            <w:tcW w:w="0" w:type="dxa"/>
            <w:vAlign w:val="bottom"/>
          </w:tcPr>
          <w:p>
            <w:pPr>
              <w:spacing w:after="0"/>
              <w:rPr>
                <w:sz w:val="1"/>
                <w:szCs w:val="1"/>
                <w:color w:val="auto"/>
              </w:rPr>
            </w:pPr>
          </w:p>
        </w:tc>
      </w:tr>
      <w:tr>
        <w:trPr>
          <w:trHeight w:val="252"/>
        </w:trPr>
        <w:tc>
          <w:tcPr>
            <w:tcW w:w="3360" w:type="dxa"/>
            <w:vAlign w:val="bottom"/>
          </w:tcPr>
          <w:p>
            <w:pPr>
              <w:ind w:left="300"/>
              <w:spacing w:after="0"/>
              <w:rPr>
                <w:sz w:val="20"/>
                <w:szCs w:val="20"/>
                <w:color w:val="auto"/>
              </w:rPr>
            </w:pPr>
            <w:r>
              <w:rPr>
                <w:rFonts w:ascii="Arial" w:cs="Arial" w:eastAsia="Arial" w:hAnsi="Arial"/>
                <w:sz w:val="18"/>
                <w:szCs w:val="18"/>
                <w:color w:val="auto"/>
              </w:rPr>
              <w:t>Lead independent director</w:t>
            </w:r>
          </w:p>
        </w:tc>
        <w:tc>
          <w:tcPr>
            <w:tcW w:w="980" w:type="dxa"/>
            <w:vAlign w:val="bottom"/>
          </w:tcPr>
          <w:p>
            <w:pPr>
              <w:ind w:left="60"/>
              <w:spacing w:after="0"/>
              <w:rPr>
                <w:sz w:val="20"/>
                <w:szCs w:val="20"/>
                <w:color w:val="auto"/>
              </w:rPr>
            </w:pPr>
            <w:r>
              <w:rPr>
                <w:rFonts w:ascii="Arial" w:cs="Arial" w:eastAsia="Arial" w:hAnsi="Arial"/>
                <w:sz w:val="18"/>
                <w:szCs w:val="18"/>
                <w:color w:val="auto"/>
              </w:rPr>
              <w:t>$40,000</w:t>
            </w:r>
          </w:p>
        </w:tc>
        <w:tc>
          <w:tcPr>
            <w:tcW w:w="1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3360" w:type="dxa"/>
            <w:vAlign w:val="bottom"/>
            <w:tcBorders>
              <w:bottom w:val="single" w:sz="8" w:color="D52B1E"/>
            </w:tcBorders>
          </w:tcPr>
          <w:p>
            <w:pPr>
              <w:spacing w:after="0"/>
              <w:rPr>
                <w:sz w:val="3"/>
                <w:szCs w:val="3"/>
                <w:color w:val="auto"/>
              </w:rPr>
            </w:pPr>
          </w:p>
        </w:tc>
        <w:tc>
          <w:tcPr>
            <w:tcW w:w="980" w:type="dxa"/>
            <w:vAlign w:val="bottom"/>
          </w:tcPr>
          <w:p>
            <w:pPr>
              <w:spacing w:after="0"/>
              <w:rPr>
                <w:sz w:val="3"/>
                <w:szCs w:val="3"/>
                <w:color w:val="auto"/>
              </w:rPr>
            </w:pPr>
          </w:p>
        </w:tc>
        <w:tc>
          <w:tcPr>
            <w:tcW w:w="178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95"/>
        </w:trPr>
        <w:tc>
          <w:tcPr>
            <w:tcW w:w="3360" w:type="dxa"/>
            <w:vAlign w:val="bottom"/>
          </w:tcPr>
          <w:p>
            <w:pPr>
              <w:ind w:left="20"/>
              <w:spacing w:after="0"/>
              <w:rPr>
                <w:sz w:val="20"/>
                <w:szCs w:val="20"/>
                <w:color w:val="auto"/>
              </w:rPr>
            </w:pPr>
            <w:r>
              <w:rPr>
                <w:rFonts w:ascii="Arial" w:cs="Arial" w:eastAsia="Arial" w:hAnsi="Arial"/>
                <w:sz w:val="19"/>
                <w:szCs w:val="19"/>
                <w:b w:val="1"/>
                <w:bCs w:val="1"/>
                <w:color w:val="00A1DE"/>
              </w:rPr>
              <w:t>Committee Service</w:t>
            </w:r>
            <w:r>
              <w:rPr>
                <w:rFonts w:ascii="Arial" w:cs="Arial" w:eastAsia="Arial" w:hAnsi="Arial"/>
                <w:sz w:val="24"/>
                <w:szCs w:val="24"/>
                <w:b w:val="1"/>
                <w:bCs w:val="1"/>
                <w:color w:val="00A1DE"/>
                <w:vertAlign w:val="superscript"/>
              </w:rPr>
              <w:t>3</w:t>
            </w:r>
          </w:p>
        </w:tc>
        <w:tc>
          <w:tcPr>
            <w:tcW w:w="9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3360" w:type="dxa"/>
            <w:vAlign w:val="bottom"/>
            <w:vMerge w:val="restart"/>
          </w:tcPr>
          <w:p>
            <w:pPr>
              <w:ind w:left="220"/>
              <w:spacing w:after="0"/>
              <w:rPr>
                <w:sz w:val="20"/>
                <w:szCs w:val="20"/>
                <w:color w:val="auto"/>
              </w:rPr>
            </w:pPr>
            <w:r>
              <w:rPr>
                <w:rFonts w:ascii="Arial" w:cs="Arial" w:eastAsia="Arial" w:hAnsi="Arial"/>
                <w:sz w:val="18"/>
                <w:szCs w:val="18"/>
                <w:b w:val="1"/>
                <w:bCs w:val="1"/>
                <w:color w:val="auto"/>
              </w:rPr>
              <w:t>Annual Committee Retainer</w:t>
            </w:r>
          </w:p>
        </w:tc>
        <w:tc>
          <w:tcPr>
            <w:tcW w:w="980" w:type="dxa"/>
            <w:vAlign w:val="bottom"/>
          </w:tcPr>
          <w:p>
            <w:pPr>
              <w:ind w:left="60"/>
              <w:spacing w:after="0"/>
              <w:rPr>
                <w:sz w:val="20"/>
                <w:szCs w:val="20"/>
                <w:color w:val="auto"/>
              </w:rPr>
            </w:pPr>
            <w:r>
              <w:rPr>
                <w:rFonts w:ascii="Arial" w:cs="Arial" w:eastAsia="Arial" w:hAnsi="Arial"/>
                <w:sz w:val="18"/>
                <w:szCs w:val="18"/>
                <w:b w:val="1"/>
                <w:bCs w:val="1"/>
                <w:color w:val="auto"/>
              </w:rPr>
              <w:t>Chair</w:t>
            </w:r>
          </w:p>
        </w:tc>
        <w:tc>
          <w:tcPr>
            <w:tcW w:w="1860" w:type="dxa"/>
            <w:vAlign w:val="bottom"/>
            <w:gridSpan w:val="2"/>
          </w:tcPr>
          <w:p>
            <w:pPr>
              <w:ind w:left="160"/>
              <w:spacing w:after="0"/>
              <w:rPr>
                <w:sz w:val="20"/>
                <w:szCs w:val="20"/>
                <w:color w:val="auto"/>
              </w:rPr>
            </w:pPr>
            <w:r>
              <w:rPr>
                <w:rFonts w:ascii="Arial" w:cs="Arial" w:eastAsia="Arial" w:hAnsi="Arial"/>
                <w:sz w:val="18"/>
                <w:szCs w:val="18"/>
                <w:b w:val="1"/>
                <w:bCs w:val="1"/>
                <w:color w:val="auto"/>
              </w:rPr>
              <w:t>Member</w:t>
            </w:r>
          </w:p>
        </w:tc>
        <w:tc>
          <w:tcPr>
            <w:tcW w:w="0" w:type="dxa"/>
            <w:vAlign w:val="bottom"/>
          </w:tcPr>
          <w:p>
            <w:pPr>
              <w:spacing w:after="0"/>
              <w:rPr>
                <w:sz w:val="1"/>
                <w:szCs w:val="1"/>
                <w:color w:val="auto"/>
              </w:rPr>
            </w:pPr>
          </w:p>
        </w:tc>
      </w:tr>
      <w:tr>
        <w:trPr>
          <w:trHeight w:val="81"/>
        </w:trPr>
        <w:tc>
          <w:tcPr>
            <w:tcW w:w="3360" w:type="dxa"/>
            <w:vAlign w:val="bottom"/>
            <w:vMerge w:val="continue"/>
          </w:tcPr>
          <w:p>
            <w:pPr>
              <w:spacing w:after="0"/>
              <w:rPr>
                <w:sz w:val="7"/>
                <w:szCs w:val="7"/>
                <w:color w:val="auto"/>
              </w:rPr>
            </w:pPr>
          </w:p>
        </w:tc>
        <w:tc>
          <w:tcPr>
            <w:tcW w:w="980" w:type="dxa"/>
            <w:vAlign w:val="bottom"/>
          </w:tcPr>
          <w:p>
            <w:pPr>
              <w:spacing w:after="0"/>
              <w:rPr>
                <w:sz w:val="7"/>
                <w:szCs w:val="7"/>
                <w:color w:val="auto"/>
              </w:rPr>
            </w:pPr>
          </w:p>
        </w:tc>
        <w:tc>
          <w:tcPr>
            <w:tcW w:w="178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96"/>
        </w:trPr>
        <w:tc>
          <w:tcPr>
            <w:tcW w:w="3360" w:type="dxa"/>
            <w:vAlign w:val="bottom"/>
          </w:tcPr>
          <w:p>
            <w:pPr>
              <w:ind w:left="340"/>
              <w:spacing w:after="0"/>
              <w:rPr>
                <w:sz w:val="20"/>
                <w:szCs w:val="20"/>
                <w:color w:val="auto"/>
              </w:rPr>
            </w:pPr>
            <w:r>
              <w:rPr>
                <w:rFonts w:ascii="Arial" w:cs="Arial" w:eastAsia="Arial" w:hAnsi="Arial"/>
                <w:sz w:val="18"/>
                <w:szCs w:val="18"/>
                <w:i w:val="1"/>
                <w:iCs w:val="1"/>
                <w:color w:val="auto"/>
              </w:rPr>
              <w:t>Audit Committee</w:t>
            </w:r>
            <w:r>
              <w:rPr>
                <w:rFonts w:ascii="Arial" w:cs="Arial" w:eastAsia="Arial" w:hAnsi="Arial"/>
                <w:sz w:val="23"/>
                <w:szCs w:val="23"/>
                <w:i w:val="1"/>
                <w:iCs w:val="1"/>
                <w:color w:val="auto"/>
                <w:vertAlign w:val="superscript"/>
              </w:rPr>
              <w:t>4</w:t>
            </w:r>
          </w:p>
        </w:tc>
        <w:tc>
          <w:tcPr>
            <w:tcW w:w="980" w:type="dxa"/>
            <w:vAlign w:val="bottom"/>
          </w:tcPr>
          <w:p>
            <w:pPr>
              <w:ind w:left="60"/>
              <w:spacing w:after="0"/>
              <w:rPr>
                <w:sz w:val="20"/>
                <w:szCs w:val="20"/>
                <w:color w:val="auto"/>
              </w:rPr>
            </w:pPr>
            <w:r>
              <w:rPr>
                <w:rFonts w:ascii="Arial" w:cs="Arial" w:eastAsia="Arial" w:hAnsi="Arial"/>
                <w:sz w:val="18"/>
                <w:szCs w:val="18"/>
                <w:color w:val="auto"/>
              </w:rPr>
              <w:t>$26,000</w:t>
            </w:r>
          </w:p>
        </w:tc>
        <w:tc>
          <w:tcPr>
            <w:tcW w:w="1780" w:type="dxa"/>
            <w:vAlign w:val="bottom"/>
          </w:tcPr>
          <w:p>
            <w:pPr>
              <w:ind w:left="160"/>
              <w:spacing w:after="0"/>
              <w:rPr>
                <w:sz w:val="20"/>
                <w:szCs w:val="20"/>
                <w:color w:val="auto"/>
              </w:rPr>
            </w:pPr>
            <w:r>
              <w:rPr>
                <w:rFonts w:ascii="Arial" w:cs="Arial" w:eastAsia="Arial" w:hAnsi="Arial"/>
                <w:sz w:val="18"/>
                <w:szCs w:val="18"/>
                <w:color w:val="auto"/>
              </w:rPr>
              <w:t>$6,000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3360" w:type="dxa"/>
            <w:vAlign w:val="bottom"/>
          </w:tcPr>
          <w:p>
            <w:pPr>
              <w:ind w:left="340"/>
              <w:spacing w:after="0"/>
              <w:rPr>
                <w:sz w:val="20"/>
                <w:szCs w:val="20"/>
                <w:color w:val="auto"/>
              </w:rPr>
            </w:pPr>
            <w:r>
              <w:rPr>
                <w:rFonts w:ascii="Arial" w:cs="Arial" w:eastAsia="Arial" w:hAnsi="Arial"/>
                <w:sz w:val="18"/>
                <w:szCs w:val="18"/>
                <w:i w:val="1"/>
                <w:iCs w:val="1"/>
                <w:color w:val="auto"/>
              </w:rPr>
              <w:t>Science and Technology Committee</w:t>
            </w:r>
          </w:p>
        </w:tc>
        <w:tc>
          <w:tcPr>
            <w:tcW w:w="980" w:type="dxa"/>
            <w:vAlign w:val="bottom"/>
          </w:tcPr>
          <w:p>
            <w:pPr>
              <w:ind w:left="60"/>
              <w:spacing w:after="0"/>
              <w:rPr>
                <w:sz w:val="20"/>
                <w:szCs w:val="20"/>
                <w:color w:val="auto"/>
              </w:rPr>
            </w:pPr>
            <w:r>
              <w:rPr>
                <w:rFonts w:ascii="Arial" w:cs="Arial" w:eastAsia="Arial" w:hAnsi="Arial"/>
                <w:sz w:val="18"/>
                <w:szCs w:val="18"/>
                <w:color w:val="auto"/>
              </w:rPr>
              <w:t>$23,000</w:t>
            </w:r>
          </w:p>
        </w:tc>
        <w:tc>
          <w:tcPr>
            <w:tcW w:w="1780" w:type="dxa"/>
            <w:vAlign w:val="bottom"/>
          </w:tcPr>
          <w:p>
            <w:pPr>
              <w:ind w:left="160"/>
              <w:spacing w:after="0"/>
              <w:rPr>
                <w:sz w:val="20"/>
                <w:szCs w:val="20"/>
                <w:color w:val="auto"/>
              </w:rPr>
            </w:pPr>
            <w:r>
              <w:rPr>
                <w:rFonts w:ascii="Arial" w:cs="Arial" w:eastAsia="Arial" w:hAnsi="Arial"/>
                <w:sz w:val="18"/>
                <w:szCs w:val="18"/>
                <w:color w:val="auto"/>
              </w:rPr>
              <w:t>$6,000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3360" w:type="dxa"/>
            <w:vAlign w:val="bottom"/>
          </w:tcPr>
          <w:p>
            <w:pPr>
              <w:ind w:left="340"/>
              <w:spacing w:after="0"/>
              <w:rPr>
                <w:sz w:val="20"/>
                <w:szCs w:val="20"/>
                <w:color w:val="auto"/>
              </w:rPr>
            </w:pPr>
            <w:r>
              <w:rPr>
                <w:rFonts w:ascii="Arial" w:cs="Arial" w:eastAsia="Arial" w:hAnsi="Arial"/>
                <w:sz w:val="18"/>
                <w:szCs w:val="18"/>
                <w:i w:val="1"/>
                <w:iCs w:val="1"/>
                <w:color w:val="auto"/>
              </w:rPr>
              <w:t>Talent and Compensation Committee</w:t>
            </w:r>
          </w:p>
        </w:tc>
        <w:tc>
          <w:tcPr>
            <w:tcW w:w="980" w:type="dxa"/>
            <w:vAlign w:val="bottom"/>
          </w:tcPr>
          <w:p>
            <w:pPr>
              <w:ind w:left="60"/>
              <w:spacing w:after="0"/>
              <w:rPr>
                <w:sz w:val="20"/>
                <w:szCs w:val="20"/>
                <w:color w:val="auto"/>
              </w:rPr>
            </w:pPr>
            <w:r>
              <w:rPr>
                <w:rFonts w:ascii="Arial" w:cs="Arial" w:eastAsia="Arial" w:hAnsi="Arial"/>
                <w:sz w:val="18"/>
                <w:szCs w:val="18"/>
                <w:color w:val="auto"/>
              </w:rPr>
              <w:t>$22,000</w:t>
            </w:r>
          </w:p>
        </w:tc>
        <w:tc>
          <w:tcPr>
            <w:tcW w:w="1780" w:type="dxa"/>
            <w:vAlign w:val="bottom"/>
          </w:tcPr>
          <w:p>
            <w:pPr>
              <w:ind w:left="160"/>
              <w:spacing w:after="0"/>
              <w:rPr>
                <w:sz w:val="20"/>
                <w:szCs w:val="20"/>
                <w:color w:val="auto"/>
              </w:rPr>
            </w:pPr>
            <w:r>
              <w:rPr>
                <w:rFonts w:ascii="Arial" w:cs="Arial" w:eastAsia="Arial" w:hAnsi="Arial"/>
                <w:sz w:val="18"/>
                <w:szCs w:val="18"/>
                <w:color w:val="auto"/>
              </w:rPr>
              <w:t>$3,000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3360" w:type="dxa"/>
            <w:vAlign w:val="bottom"/>
          </w:tcPr>
          <w:p>
            <w:pPr>
              <w:ind w:left="340"/>
              <w:spacing w:after="0"/>
              <w:rPr>
                <w:sz w:val="20"/>
                <w:szCs w:val="20"/>
                <w:color w:val="auto"/>
              </w:rPr>
            </w:pPr>
            <w:r>
              <w:rPr>
                <w:rFonts w:ascii="Arial" w:cs="Arial" w:eastAsia="Arial" w:hAnsi="Arial"/>
                <w:sz w:val="18"/>
                <w:szCs w:val="18"/>
                <w:i w:val="1"/>
                <w:iCs w:val="1"/>
                <w:color w:val="auto"/>
              </w:rPr>
              <w:t>Ethics and Compliance Committee</w:t>
            </w:r>
          </w:p>
        </w:tc>
        <w:tc>
          <w:tcPr>
            <w:tcW w:w="980" w:type="dxa"/>
            <w:vAlign w:val="bottom"/>
          </w:tcPr>
          <w:p>
            <w:pPr>
              <w:ind w:left="60"/>
              <w:spacing w:after="0"/>
              <w:rPr>
                <w:sz w:val="20"/>
                <w:szCs w:val="20"/>
                <w:color w:val="auto"/>
              </w:rPr>
            </w:pPr>
            <w:r>
              <w:rPr>
                <w:rFonts w:ascii="Arial" w:cs="Arial" w:eastAsia="Arial" w:hAnsi="Arial"/>
                <w:sz w:val="18"/>
                <w:szCs w:val="18"/>
                <w:color w:val="auto"/>
              </w:rPr>
              <w:t>$22,000</w:t>
            </w:r>
          </w:p>
        </w:tc>
        <w:tc>
          <w:tcPr>
            <w:tcW w:w="1780" w:type="dxa"/>
            <w:vAlign w:val="bottom"/>
          </w:tcPr>
          <w:p>
            <w:pPr>
              <w:ind w:left="160"/>
              <w:spacing w:after="0"/>
              <w:rPr>
                <w:sz w:val="20"/>
                <w:szCs w:val="20"/>
                <w:color w:val="auto"/>
              </w:rPr>
            </w:pPr>
            <w:r>
              <w:rPr>
                <w:rFonts w:ascii="Arial" w:cs="Arial" w:eastAsia="Arial" w:hAnsi="Arial"/>
                <w:sz w:val="18"/>
                <w:szCs w:val="18"/>
                <w:color w:val="auto"/>
              </w:rPr>
              <w:t>$3,000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3360" w:type="dxa"/>
            <w:vAlign w:val="bottom"/>
          </w:tcPr>
          <w:p>
            <w:pPr>
              <w:ind w:left="340"/>
              <w:spacing w:after="0"/>
              <w:rPr>
                <w:sz w:val="20"/>
                <w:szCs w:val="20"/>
                <w:color w:val="auto"/>
              </w:rPr>
            </w:pPr>
            <w:r>
              <w:rPr>
                <w:rFonts w:ascii="Arial" w:cs="Arial" w:eastAsia="Arial" w:hAnsi="Arial"/>
                <w:sz w:val="18"/>
                <w:szCs w:val="18"/>
                <w:i w:val="1"/>
                <w:iCs w:val="1"/>
                <w:color w:val="auto"/>
              </w:rPr>
              <w:t>Directors and Corporate Governance</w:t>
            </w:r>
          </w:p>
        </w:tc>
        <w:tc>
          <w:tcPr>
            <w:tcW w:w="980" w:type="dxa"/>
            <w:vAlign w:val="bottom"/>
          </w:tcPr>
          <w:p>
            <w:pPr>
              <w:ind w:left="60"/>
              <w:spacing w:after="0"/>
              <w:rPr>
                <w:sz w:val="20"/>
                <w:szCs w:val="20"/>
                <w:color w:val="auto"/>
              </w:rPr>
            </w:pPr>
            <w:r>
              <w:rPr>
                <w:rFonts w:ascii="Arial" w:cs="Arial" w:eastAsia="Arial" w:hAnsi="Arial"/>
                <w:sz w:val="18"/>
                <w:szCs w:val="18"/>
                <w:color w:val="auto"/>
              </w:rPr>
              <w:t>$22,000</w:t>
            </w:r>
          </w:p>
        </w:tc>
        <w:tc>
          <w:tcPr>
            <w:tcW w:w="1780" w:type="dxa"/>
            <w:vAlign w:val="bottom"/>
          </w:tcPr>
          <w:p>
            <w:pPr>
              <w:ind w:left="160"/>
              <w:spacing w:after="0"/>
              <w:rPr>
                <w:sz w:val="20"/>
                <w:szCs w:val="20"/>
                <w:color w:val="auto"/>
              </w:rPr>
            </w:pPr>
            <w:r>
              <w:rPr>
                <w:rFonts w:ascii="Arial" w:cs="Arial" w:eastAsia="Arial" w:hAnsi="Arial"/>
                <w:sz w:val="18"/>
                <w:szCs w:val="18"/>
                <w:color w:val="auto"/>
              </w:rPr>
              <w:t>$3,000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360" w:type="dxa"/>
            <w:vAlign w:val="bottom"/>
            <w:tcBorders>
              <w:bottom w:val="single" w:sz="8" w:color="auto"/>
            </w:tcBorders>
          </w:tcPr>
          <w:p>
            <w:pPr>
              <w:ind w:left="420"/>
              <w:spacing w:after="0" w:line="162" w:lineRule="exact"/>
              <w:rPr>
                <w:sz w:val="20"/>
                <w:szCs w:val="20"/>
                <w:color w:val="auto"/>
              </w:rPr>
            </w:pPr>
            <w:r>
              <w:rPr>
                <w:rFonts w:ascii="Arial" w:cs="Arial" w:eastAsia="Arial" w:hAnsi="Arial"/>
                <w:sz w:val="18"/>
                <w:szCs w:val="18"/>
                <w:i w:val="1"/>
                <w:iCs w:val="1"/>
                <w:color w:val="auto"/>
              </w:rPr>
              <w:t>Committee</w:t>
            </w:r>
          </w:p>
        </w:tc>
        <w:tc>
          <w:tcPr>
            <w:tcW w:w="98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1599565</wp:posOffset>
            </wp:positionH>
            <wp:positionV relativeFrom="paragraph">
              <wp:posOffset>-7620</wp:posOffset>
            </wp:positionV>
            <wp:extent cx="3943350" cy="3175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3943350" cy="317500"/>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-1636395</wp:posOffset>
            </wp:positionV>
            <wp:extent cx="889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-1636395</wp:posOffset>
            </wp:positionV>
            <wp:extent cx="889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-1636395</wp:posOffset>
            </wp:positionV>
            <wp:extent cx="8255"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-1636395</wp:posOffset>
            </wp:positionV>
            <wp:extent cx="8255"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-1636395</wp:posOffset>
            </wp:positionV>
            <wp:extent cx="8255"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-1636395</wp:posOffset>
            </wp:positionV>
            <wp:extent cx="889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-1636395</wp:posOffset>
            </wp:positionV>
            <wp:extent cx="889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-1636395</wp:posOffset>
            </wp:positionV>
            <wp:extent cx="8255"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-1636395</wp:posOffset>
            </wp:positionV>
            <wp:extent cx="8255"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-1636395</wp:posOffset>
            </wp:positionV>
            <wp:extent cx="8255"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-1636395</wp:posOffset>
            </wp:positionV>
            <wp:extent cx="889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-1636395</wp:posOffset>
            </wp:positionV>
            <wp:extent cx="889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-1636395</wp:posOffset>
            </wp:positionV>
            <wp:extent cx="8255"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-1636395</wp:posOffset>
            </wp:positionV>
            <wp:extent cx="825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-1636395</wp:posOffset>
            </wp:positionV>
            <wp:extent cx="8255"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-1636395</wp:posOffset>
            </wp:positionV>
            <wp:extent cx="889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-1636395</wp:posOffset>
            </wp:positionV>
            <wp:extent cx="889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-1636395</wp:posOffset>
            </wp:positionV>
            <wp:extent cx="8255"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-1636395</wp:posOffset>
            </wp:positionV>
            <wp:extent cx="8255"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-1636395</wp:posOffset>
            </wp:positionV>
            <wp:extent cx="8255"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-1636395</wp:posOffset>
            </wp:positionV>
            <wp:extent cx="889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-1636395</wp:posOffset>
            </wp:positionV>
            <wp:extent cx="889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-1636395</wp:posOffset>
            </wp:positionV>
            <wp:extent cx="8255"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-1636395</wp:posOffset>
            </wp:positionV>
            <wp:extent cx="8255"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-1636395</wp:posOffset>
            </wp:positionV>
            <wp:extent cx="8255"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-1636395</wp:posOffset>
            </wp:positionV>
            <wp:extent cx="889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-1636395</wp:posOffset>
            </wp:positionV>
            <wp:extent cx="889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-1636395</wp:posOffset>
            </wp:positionV>
            <wp:extent cx="8255"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-1636395</wp:posOffset>
            </wp:positionV>
            <wp:extent cx="8255"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-1636395</wp:posOffset>
            </wp:positionV>
            <wp:extent cx="8255"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-1636395</wp:posOffset>
            </wp:positionV>
            <wp:extent cx="889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-1636395</wp:posOffset>
            </wp:positionV>
            <wp:extent cx="889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-1636395</wp:posOffset>
            </wp:positionV>
            <wp:extent cx="8255"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-1636395</wp:posOffset>
            </wp:positionV>
            <wp:extent cx="8255"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-1636395</wp:posOffset>
            </wp:positionV>
            <wp:extent cx="889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-1636395</wp:posOffset>
            </wp:positionV>
            <wp:extent cx="889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-1636395</wp:posOffset>
            </wp:positionV>
            <wp:extent cx="8255"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-1636395</wp:posOffset>
            </wp:positionV>
            <wp:extent cx="8255"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-1636395</wp:posOffset>
            </wp:positionV>
            <wp:extent cx="8255"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-1636395</wp:posOffset>
            </wp:positionV>
            <wp:extent cx="889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-1636395</wp:posOffset>
            </wp:positionV>
            <wp:extent cx="889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-1636395</wp:posOffset>
            </wp:positionV>
            <wp:extent cx="8255"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-1636395</wp:posOffset>
            </wp:positionV>
            <wp:extent cx="8255"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-1636395</wp:posOffset>
            </wp:positionV>
            <wp:extent cx="8255"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-1636395</wp:posOffset>
            </wp:positionV>
            <wp:extent cx="889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-1636395</wp:posOffset>
            </wp:positionV>
            <wp:extent cx="889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-1636395</wp:posOffset>
            </wp:positionV>
            <wp:extent cx="8255"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-1636395</wp:posOffset>
            </wp:positionV>
            <wp:extent cx="8255"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-1636395</wp:posOffset>
            </wp:positionV>
            <wp:extent cx="8255"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-1636395</wp:posOffset>
            </wp:positionV>
            <wp:extent cx="889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-1636395</wp:posOffset>
            </wp:positionV>
            <wp:extent cx="889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-1636395</wp:posOffset>
            </wp:positionV>
            <wp:extent cx="8255"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-1636395</wp:posOffset>
            </wp:positionV>
            <wp:extent cx="8255"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-1636395</wp:posOffset>
            </wp:positionV>
            <wp:extent cx="8255"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-1636395</wp:posOffset>
            </wp:positionV>
            <wp:extent cx="889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-1636395</wp:posOffset>
            </wp:positionV>
            <wp:extent cx="889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-1636395</wp:posOffset>
            </wp:positionV>
            <wp:extent cx="8255"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-1636395</wp:posOffset>
            </wp:positionV>
            <wp:extent cx="8255"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-1636395</wp:posOffset>
            </wp:positionV>
            <wp:extent cx="8255"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-1636395</wp:posOffset>
            </wp:positionV>
            <wp:extent cx="889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-1636395</wp:posOffset>
            </wp:positionV>
            <wp:extent cx="889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-1636395</wp:posOffset>
            </wp:positionV>
            <wp:extent cx="8255"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-1636395</wp:posOffset>
            </wp:positionV>
            <wp:extent cx="8255"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-1636395</wp:posOffset>
            </wp:positionV>
            <wp:extent cx="8255"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-1636395</wp:posOffset>
            </wp:positionV>
            <wp:extent cx="889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-1636395</wp:posOffset>
            </wp:positionV>
            <wp:extent cx="889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-1636395</wp:posOffset>
            </wp:positionV>
            <wp:extent cx="8255"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-1636395</wp:posOffset>
            </wp:positionV>
            <wp:extent cx="8255"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-1636395</wp:posOffset>
            </wp:positionV>
            <wp:extent cx="8255"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-1636395</wp:posOffset>
            </wp:positionV>
            <wp:extent cx="889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-1636395</wp:posOffset>
            </wp:positionV>
            <wp:extent cx="889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-1636395</wp:posOffset>
            </wp:positionV>
            <wp:extent cx="8255"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-1636395</wp:posOffset>
            </wp:positionV>
            <wp:extent cx="8255"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-1636395</wp:posOffset>
            </wp:positionV>
            <wp:extent cx="8255"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-1636395</wp:posOffset>
            </wp:positionV>
            <wp:extent cx="889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-1636395</wp:posOffset>
            </wp:positionV>
            <wp:extent cx="8255"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-1636395</wp:posOffset>
            </wp:positionV>
            <wp:extent cx="8255"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-1636395</wp:posOffset>
            </wp:positionV>
            <wp:extent cx="8255"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-1636395</wp:posOffset>
            </wp:positionV>
            <wp:extent cx="889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-1636395</wp:posOffset>
            </wp:positionV>
            <wp:extent cx="889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-1636395</wp:posOffset>
            </wp:positionV>
            <wp:extent cx="8255"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-1636395</wp:posOffset>
            </wp:positionV>
            <wp:extent cx="8255"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-1636395</wp:posOffset>
            </wp:positionV>
            <wp:extent cx="8255"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-1636395</wp:posOffset>
            </wp:positionV>
            <wp:extent cx="889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-1636395</wp:posOffset>
            </wp:positionV>
            <wp:extent cx="889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-1636395</wp:posOffset>
            </wp:positionV>
            <wp:extent cx="8255"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-1636395</wp:posOffset>
            </wp:positionV>
            <wp:extent cx="8255"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-1636395</wp:posOffset>
            </wp:positionV>
            <wp:extent cx="8255"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-1636395</wp:posOffset>
            </wp:positionV>
            <wp:extent cx="889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-1636395</wp:posOffset>
            </wp:positionV>
            <wp:extent cx="889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-1636395</wp:posOffset>
            </wp:positionV>
            <wp:extent cx="8255"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-1636395</wp:posOffset>
            </wp:positionV>
            <wp:extent cx="8255"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-1636395</wp:posOffset>
            </wp:positionV>
            <wp:extent cx="8255"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-1636395</wp:posOffset>
            </wp:positionV>
            <wp:extent cx="889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-1636395</wp:posOffset>
            </wp:positionV>
            <wp:extent cx="889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-1636395</wp:posOffset>
            </wp:positionV>
            <wp:extent cx="8255"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-1636395</wp:posOffset>
            </wp:positionV>
            <wp:extent cx="8255"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-1636395</wp:posOffset>
            </wp:positionV>
            <wp:extent cx="8255"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-1636395</wp:posOffset>
            </wp:positionV>
            <wp:extent cx="889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-1636395</wp:posOffset>
            </wp:positionV>
            <wp:extent cx="889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-1636395</wp:posOffset>
            </wp:positionV>
            <wp:extent cx="8255"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-1636395</wp:posOffset>
            </wp:positionV>
            <wp:extent cx="8255"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-1842135</wp:posOffset>
            </wp:positionV>
            <wp:extent cx="8255"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-1842135</wp:posOffset>
            </wp:positionV>
            <wp:extent cx="889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-1842135</wp:posOffset>
            </wp:positionV>
            <wp:extent cx="889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-1842135</wp:posOffset>
            </wp:positionV>
            <wp:extent cx="825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-1842135</wp:posOffset>
            </wp:positionV>
            <wp:extent cx="825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-1842135</wp:posOffset>
            </wp:positionV>
            <wp:extent cx="825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-1842135</wp:posOffset>
            </wp:positionV>
            <wp:extent cx="889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-1842135</wp:posOffset>
            </wp:positionV>
            <wp:extent cx="889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-1842135</wp:posOffset>
            </wp:positionV>
            <wp:extent cx="825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-1842135</wp:posOffset>
            </wp:positionV>
            <wp:extent cx="825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-1842135</wp:posOffset>
            </wp:positionV>
            <wp:extent cx="8255"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-1842135</wp:posOffset>
            </wp:positionV>
            <wp:extent cx="889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-1842135</wp:posOffset>
            </wp:positionV>
            <wp:extent cx="889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-1842135</wp:posOffset>
            </wp:positionV>
            <wp:extent cx="825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-1842135</wp:posOffset>
            </wp:positionV>
            <wp:extent cx="825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-1842135</wp:posOffset>
            </wp:positionV>
            <wp:extent cx="825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-1842135</wp:posOffset>
            </wp:positionV>
            <wp:extent cx="889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-1842135</wp:posOffset>
            </wp:positionV>
            <wp:extent cx="889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-1842135</wp:posOffset>
            </wp:positionV>
            <wp:extent cx="8255"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-1842135</wp:posOffset>
            </wp:positionV>
            <wp:extent cx="825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-1842135</wp:posOffset>
            </wp:positionV>
            <wp:extent cx="8255"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-1842135</wp:posOffset>
            </wp:positionV>
            <wp:extent cx="889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-1842135</wp:posOffset>
            </wp:positionV>
            <wp:extent cx="889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-1842135</wp:posOffset>
            </wp:positionV>
            <wp:extent cx="825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-1842135</wp:posOffset>
            </wp:positionV>
            <wp:extent cx="8255"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-1842135</wp:posOffset>
            </wp:positionV>
            <wp:extent cx="8255"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-1842135</wp:posOffset>
            </wp:positionV>
            <wp:extent cx="889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-1842135</wp:posOffset>
            </wp:positionV>
            <wp:extent cx="889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-1842135</wp:posOffset>
            </wp:positionV>
            <wp:extent cx="8255"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-1842135</wp:posOffset>
            </wp:positionV>
            <wp:extent cx="825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-1842135</wp:posOffset>
            </wp:positionV>
            <wp:extent cx="8255"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-1842135</wp:posOffset>
            </wp:positionV>
            <wp:extent cx="889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-1842135</wp:posOffset>
            </wp:positionV>
            <wp:extent cx="889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-1842135</wp:posOffset>
            </wp:positionV>
            <wp:extent cx="8255"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-1842135</wp:posOffset>
            </wp:positionV>
            <wp:extent cx="8255"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-1842135</wp:posOffset>
            </wp:positionV>
            <wp:extent cx="889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-1842135</wp:posOffset>
            </wp:positionV>
            <wp:extent cx="889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-1842135</wp:posOffset>
            </wp:positionV>
            <wp:extent cx="8255"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-1842135</wp:posOffset>
            </wp:positionV>
            <wp:extent cx="8255"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-1842135</wp:posOffset>
            </wp:positionV>
            <wp:extent cx="8255"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-1842135</wp:posOffset>
            </wp:positionV>
            <wp:extent cx="889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-1842135</wp:posOffset>
            </wp:positionV>
            <wp:extent cx="889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-1842135</wp:posOffset>
            </wp:positionV>
            <wp:extent cx="8255"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-1842135</wp:posOffset>
            </wp:positionV>
            <wp:extent cx="8255"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-1842135</wp:posOffset>
            </wp:positionV>
            <wp:extent cx="8255"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-1842135</wp:posOffset>
            </wp:positionV>
            <wp:extent cx="889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-1842135</wp:posOffset>
            </wp:positionV>
            <wp:extent cx="889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-1842135</wp:posOffset>
            </wp:positionV>
            <wp:extent cx="8255"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-1842135</wp:posOffset>
            </wp:positionV>
            <wp:extent cx="8255"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-1842135</wp:posOffset>
            </wp:positionV>
            <wp:extent cx="8255"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-1842135</wp:posOffset>
            </wp:positionV>
            <wp:extent cx="889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-1842135</wp:posOffset>
            </wp:positionV>
            <wp:extent cx="889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-1842135</wp:posOffset>
            </wp:positionV>
            <wp:extent cx="8255"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-1842135</wp:posOffset>
            </wp:positionV>
            <wp:extent cx="8255"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-1842135</wp:posOffset>
            </wp:positionV>
            <wp:extent cx="8255"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-1842135</wp:posOffset>
            </wp:positionV>
            <wp:extent cx="889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-1842135</wp:posOffset>
            </wp:positionV>
            <wp:extent cx="889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-1842135</wp:posOffset>
            </wp:positionV>
            <wp:extent cx="8255"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-1842135</wp:posOffset>
            </wp:positionV>
            <wp:extent cx="8255"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-1842135</wp:posOffset>
            </wp:positionV>
            <wp:extent cx="8255"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-1842135</wp:posOffset>
            </wp:positionV>
            <wp:extent cx="889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-1842135</wp:posOffset>
            </wp:positionV>
            <wp:extent cx="889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-1842135</wp:posOffset>
            </wp:positionV>
            <wp:extent cx="8255"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-1842135</wp:posOffset>
            </wp:positionV>
            <wp:extent cx="8255"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-1842135</wp:posOffset>
            </wp:positionV>
            <wp:extent cx="8255"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-1842135</wp:posOffset>
            </wp:positionV>
            <wp:extent cx="889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-1842135</wp:posOffset>
            </wp:positionV>
            <wp:extent cx="889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-1842135</wp:posOffset>
            </wp:positionV>
            <wp:extent cx="8255"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-1842135</wp:posOffset>
            </wp:positionV>
            <wp:extent cx="8255"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-1842135</wp:posOffset>
            </wp:positionV>
            <wp:extent cx="8255"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-1842135</wp:posOffset>
            </wp:positionV>
            <wp:extent cx="889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-1842135</wp:posOffset>
            </wp:positionV>
            <wp:extent cx="889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-1842135</wp:posOffset>
            </wp:positionV>
            <wp:extent cx="8255"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-1842135</wp:posOffset>
            </wp:positionV>
            <wp:extent cx="8255"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-1842135</wp:posOffset>
            </wp:positionV>
            <wp:extent cx="8255"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-1842135</wp:posOffset>
            </wp:positionV>
            <wp:extent cx="889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-1842135</wp:posOffset>
            </wp:positionV>
            <wp:extent cx="8255"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-1842135</wp:posOffset>
            </wp:positionV>
            <wp:extent cx="8255"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-1842135</wp:posOffset>
            </wp:positionV>
            <wp:extent cx="8255"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-1842135</wp:posOffset>
            </wp:positionV>
            <wp:extent cx="889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-1842135</wp:posOffset>
            </wp:positionV>
            <wp:extent cx="889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-1842135</wp:posOffset>
            </wp:positionV>
            <wp:extent cx="8255"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-1842135</wp:posOffset>
            </wp:positionV>
            <wp:extent cx="8255"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-1842135</wp:posOffset>
            </wp:positionV>
            <wp:extent cx="8255"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-1842135</wp:posOffset>
            </wp:positionV>
            <wp:extent cx="889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-1842135</wp:posOffset>
            </wp:positionV>
            <wp:extent cx="889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-1842135</wp:posOffset>
            </wp:positionV>
            <wp:extent cx="8255"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-1842135</wp:posOffset>
            </wp:positionV>
            <wp:extent cx="8255"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-1842135</wp:posOffset>
            </wp:positionV>
            <wp:extent cx="8255"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-1842135</wp:posOffset>
            </wp:positionV>
            <wp:extent cx="889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-1842135</wp:posOffset>
            </wp:positionV>
            <wp:extent cx="889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-1842135</wp:posOffset>
            </wp:positionV>
            <wp:extent cx="8255"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-1842135</wp:posOffset>
            </wp:positionV>
            <wp:extent cx="8255"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-1842135</wp:posOffset>
            </wp:positionV>
            <wp:extent cx="8255"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-1842135</wp:posOffset>
            </wp:positionV>
            <wp:extent cx="889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-1842135</wp:posOffset>
            </wp:positionV>
            <wp:extent cx="889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-1842135</wp:posOffset>
            </wp:positionV>
            <wp:extent cx="8255"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-1842135</wp:posOffset>
            </wp:positionV>
            <wp:extent cx="8255"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-1842135</wp:posOffset>
            </wp:positionV>
            <wp:extent cx="8255"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-1842135</wp:posOffset>
            </wp:positionV>
            <wp:extent cx="889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-1842135</wp:posOffset>
            </wp:positionV>
            <wp:extent cx="8890"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-1842135</wp:posOffset>
            </wp:positionV>
            <wp:extent cx="8255"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-1842135</wp:posOffset>
            </wp:positionV>
            <wp:extent cx="8255"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FFFFFF"/>
        </w:rPr>
        <w:t>Total Compensation Value Cap of $800,000</w:t>
      </w:r>
      <w:r>
        <w:rPr>
          <w:rFonts w:ascii="Arial" w:cs="Arial" w:eastAsia="Arial" w:hAnsi="Arial"/>
          <w:sz w:val="23"/>
          <w:szCs w:val="23"/>
          <w:i w:val="1"/>
          <w:iCs w:val="1"/>
          <w:color w:val="FFFFFF"/>
          <w:vertAlign w:val="superscript"/>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1599565</wp:posOffset>
            </wp:positionH>
            <wp:positionV relativeFrom="paragraph">
              <wp:posOffset>65405</wp:posOffset>
            </wp:positionV>
            <wp:extent cx="394335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3943350" cy="8255"/>
                    </a:xfrm>
                    <a:prstGeom prst="rect">
                      <a:avLst/>
                    </a:prstGeom>
                    <a:noFill/>
                  </pic:spPr>
                </pic:pic>
              </a:graphicData>
            </a:graphic>
          </wp:anchor>
        </w:drawing>
      </w:r>
    </w:p>
    <w:p>
      <w:pPr>
        <w:spacing w:after="0" w:line="335" w:lineRule="exact"/>
        <w:rPr>
          <w:sz w:val="20"/>
          <w:szCs w:val="20"/>
          <w:color w:val="auto"/>
        </w:rPr>
      </w:pPr>
    </w:p>
    <w:p>
      <w:pPr>
        <w:ind w:left="180" w:right="280" w:hanging="172"/>
        <w:spacing w:after="0" w:line="231" w:lineRule="auto"/>
        <w:tabs>
          <w:tab w:leader="none" w:pos="133" w:val="left"/>
        </w:tabs>
        <w:numPr>
          <w:ilvl w:val="0"/>
          <w:numId w:val="76"/>
        </w:numPr>
        <w:rPr>
          <w:rFonts w:ascii="Arial" w:cs="Arial" w:eastAsia="Arial" w:hAnsi="Arial"/>
          <w:sz w:val="23"/>
          <w:szCs w:val="23"/>
          <w:color w:val="auto"/>
          <w:vertAlign w:val="superscript"/>
        </w:rPr>
      </w:pPr>
      <w:r>
        <w:rPr>
          <w:rFonts w:ascii="Arial" w:cs="Arial" w:eastAsia="Arial" w:hAnsi="Arial"/>
          <w:sz w:val="18"/>
          <w:szCs w:val="18"/>
          <w:b w:val="1"/>
          <w:bCs w:val="1"/>
          <w:color w:val="auto"/>
        </w:rPr>
        <w:t>Expenses</w:t>
      </w:r>
      <w:r>
        <w:rPr>
          <w:rFonts w:ascii="Arial" w:cs="Arial" w:eastAsia="Arial" w:hAnsi="Arial"/>
          <w:sz w:val="18"/>
          <w:szCs w:val="18"/>
          <w:color w:val="auto"/>
        </w:rPr>
        <w:t>. Directors are reimbursed for customary and usual travel expenses in connection with their travel to and from board meetings</w:t>
      </w:r>
      <w:r>
        <w:rPr>
          <w:rFonts w:ascii="Arial" w:cs="Arial" w:eastAsia="Arial" w:hAnsi="Arial"/>
          <w:sz w:val="18"/>
          <w:szCs w:val="18"/>
          <w:b w:val="1"/>
          <w:bCs w:val="1"/>
          <w:color w:val="auto"/>
        </w:rPr>
        <w:t xml:space="preserve"> </w:t>
      </w:r>
      <w:r>
        <w:rPr>
          <w:rFonts w:ascii="Arial" w:cs="Arial" w:eastAsia="Arial" w:hAnsi="Arial"/>
          <w:sz w:val="18"/>
          <w:szCs w:val="18"/>
          <w:color w:val="auto"/>
        </w:rPr>
        <w:t>and other company events.</w:t>
      </w:r>
    </w:p>
    <w:p>
      <w:pPr>
        <w:spacing w:after="0" w:line="73" w:lineRule="exact"/>
        <w:rPr>
          <w:sz w:val="20"/>
          <w:szCs w:val="20"/>
          <w:color w:val="auto"/>
        </w:rPr>
      </w:pPr>
    </w:p>
    <w:p>
      <w:pPr>
        <w:ind w:left="180" w:right="80" w:hanging="172"/>
        <w:spacing w:after="0" w:line="229" w:lineRule="auto"/>
        <w:tabs>
          <w:tab w:leader="none" w:pos="133" w:val="left"/>
        </w:tabs>
        <w:numPr>
          <w:ilvl w:val="0"/>
          <w:numId w:val="77"/>
        </w:numPr>
        <w:rPr>
          <w:rFonts w:ascii="Arial" w:cs="Arial" w:eastAsia="Arial" w:hAnsi="Arial"/>
          <w:sz w:val="23"/>
          <w:szCs w:val="23"/>
          <w:color w:val="auto"/>
          <w:vertAlign w:val="superscript"/>
        </w:rPr>
      </w:pPr>
      <w:r>
        <w:rPr>
          <w:rFonts w:ascii="Arial" w:cs="Arial" w:eastAsia="Arial" w:hAnsi="Arial"/>
          <w:sz w:val="18"/>
          <w:szCs w:val="18"/>
          <w:b w:val="1"/>
          <w:bCs w:val="1"/>
          <w:color w:val="auto"/>
        </w:rPr>
        <w:t>Stock Compensation</w:t>
      </w:r>
      <w:r>
        <w:rPr>
          <w:rFonts w:ascii="Arial" w:cs="Arial" w:eastAsia="Arial" w:hAnsi="Arial"/>
          <w:sz w:val="18"/>
          <w:szCs w:val="18"/>
          <w:color w:val="auto"/>
        </w:rPr>
        <w:t>. Non-employee directors received an annual equity-based award that was credited to each non-employee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deferred stock account established under the Lilly Directors’ Deferral Plan. The units were calculated by dividing $220,000 by the closing stock price on a pre-set annual date, yielding approximately 303 units. When applicable, the annual equity-based award was prorated for time served. See “</w:t>
      </w:r>
      <w:r>
        <w:rPr>
          <w:rFonts w:ascii="Arial" w:cs="Arial" w:eastAsia="Arial" w:hAnsi="Arial"/>
          <w:sz w:val="18"/>
          <w:szCs w:val="18"/>
          <w:u w:val="single" w:color="auto"/>
          <w:color w:val="0000FF"/>
        </w:rPr>
        <w:t>Lilly Directors’ Deferral Plan—Deferred Stock Account</w:t>
      </w:r>
      <w:r>
        <w:rPr>
          <w:rFonts w:ascii="Arial" w:cs="Arial" w:eastAsia="Arial" w:hAnsi="Arial"/>
          <w:sz w:val="18"/>
          <w:szCs w:val="18"/>
          <w:color w:val="auto"/>
        </w:rPr>
        <w:t>”.</w:t>
      </w:r>
    </w:p>
    <w:p>
      <w:pPr>
        <w:spacing w:after="0" w:line="87" w:lineRule="exact"/>
        <w:rPr>
          <w:sz w:val="20"/>
          <w:szCs w:val="20"/>
          <w:color w:val="auto"/>
        </w:rPr>
      </w:pPr>
    </w:p>
    <w:p>
      <w:pPr>
        <w:ind w:left="180" w:hanging="172"/>
        <w:spacing w:after="0" w:line="231" w:lineRule="auto"/>
        <w:tabs>
          <w:tab w:leader="none" w:pos="115" w:val="left"/>
        </w:tabs>
        <w:numPr>
          <w:ilvl w:val="0"/>
          <w:numId w:val="78"/>
        </w:numPr>
        <w:rPr>
          <w:rFonts w:ascii="Arial" w:cs="Arial" w:eastAsia="Arial" w:hAnsi="Arial"/>
          <w:sz w:val="23"/>
          <w:szCs w:val="23"/>
          <w:color w:val="auto"/>
          <w:vertAlign w:val="superscript"/>
        </w:rPr>
      </w:pPr>
      <w:r>
        <w:rPr>
          <w:rFonts w:ascii="Arial" w:cs="Arial" w:eastAsia="Arial" w:hAnsi="Arial"/>
          <w:sz w:val="18"/>
          <w:szCs w:val="18"/>
          <w:b w:val="1"/>
          <w:bCs w:val="1"/>
          <w:color w:val="auto"/>
        </w:rPr>
        <w:t>Ad Hoc Committees</w:t>
      </w:r>
      <w:r>
        <w:rPr>
          <w:rFonts w:ascii="Arial" w:cs="Arial" w:eastAsia="Arial" w:hAnsi="Arial"/>
          <w:sz w:val="18"/>
          <w:szCs w:val="18"/>
          <w:color w:val="auto"/>
        </w:rPr>
        <w:t>. Non-employee directors may receive additional cash compensation for serving on ad hoc board committees that may</w:t>
      </w:r>
      <w:r>
        <w:rPr>
          <w:rFonts w:ascii="Arial" w:cs="Arial" w:eastAsia="Arial" w:hAnsi="Arial"/>
          <w:sz w:val="18"/>
          <w:szCs w:val="18"/>
          <w:b w:val="1"/>
          <w:bCs w:val="1"/>
          <w:color w:val="auto"/>
        </w:rPr>
        <w:t xml:space="preserve"> </w:t>
      </w:r>
      <w:r>
        <w:rPr>
          <w:rFonts w:ascii="Arial" w:cs="Arial" w:eastAsia="Arial" w:hAnsi="Arial"/>
          <w:sz w:val="18"/>
          <w:szCs w:val="18"/>
          <w:color w:val="auto"/>
        </w:rPr>
        <w:t>be formed by the board from time to time. Committee chair retainers are in addition to member retainers.</w:t>
      </w:r>
    </w:p>
    <w:p>
      <w:pPr>
        <w:sectPr>
          <w:pgSz w:w="11900" w:h="16838" w:orient="portrait"/>
          <w:cols w:equalWidth="0" w:num="1">
            <w:col w:w="11220"/>
          </w:cols>
          <w:pgMar w:left="320" w:top="925" w:right="359" w:bottom="1440" w:gutter="0" w:footer="0" w:header="0"/>
        </w:sect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154940</wp:posOffset>
            </wp:positionV>
            <wp:extent cx="7157720" cy="425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25" w:right="359" w:bottom="1440" w:gutter="0" w:footer="0" w:header="0"/>
          <w:type w:val="continuous"/>
        </w:sectPr>
      </w:pPr>
    </w:p>
    <w:bookmarkStart w:id="31" w:name="page32"/>
    <w:bookmarkEnd w:id="31"/>
    <w:p>
      <w:pPr>
        <w:ind w:left="180" w:right="200" w:hanging="172"/>
        <w:spacing w:after="0" w:line="237" w:lineRule="auto"/>
        <w:tabs>
          <w:tab w:leader="none" w:pos="133" w:val="left"/>
        </w:tabs>
        <w:numPr>
          <w:ilvl w:val="0"/>
          <w:numId w:val="79"/>
        </w:numPr>
        <w:rPr>
          <w:rFonts w:ascii="Arial" w:cs="Arial" w:eastAsia="Arial" w:hAnsi="Arial"/>
          <w:sz w:val="23"/>
          <w:szCs w:val="23"/>
          <w:color w:val="auto"/>
          <w:vertAlign w:val="superscript"/>
        </w:rPr>
      </w:pPr>
      <w:r>
        <w:rPr>
          <w:rFonts w:ascii="Arial" w:cs="Arial" w:eastAsia="Arial" w:hAnsi="Arial"/>
          <w:sz w:val="18"/>
          <w:szCs w:val="18"/>
          <w:b w:val="1"/>
          <w:bCs w:val="1"/>
          <w:color w:val="auto"/>
        </w:rPr>
        <w:t>Changes for 2025</w:t>
      </w:r>
      <w:r>
        <w:rPr>
          <w:rFonts w:ascii="Arial" w:cs="Arial" w:eastAsia="Arial" w:hAnsi="Arial"/>
          <w:sz w:val="18"/>
          <w:szCs w:val="18"/>
          <w:color w:val="auto"/>
        </w:rPr>
        <w:t>. Following the Directors and Corporate Governance Committee’s review of non-employee director compensation, the</w:t>
      </w:r>
      <w:r>
        <w:rPr>
          <w:rFonts w:ascii="Arial" w:cs="Arial" w:eastAsia="Arial" w:hAnsi="Arial"/>
          <w:sz w:val="18"/>
          <w:szCs w:val="18"/>
          <w:b w:val="1"/>
          <w:bCs w:val="1"/>
          <w:color w:val="auto"/>
        </w:rPr>
        <w:t xml:space="preserve"> </w:t>
      </w:r>
      <w:r>
        <w:rPr>
          <w:rFonts w:ascii="Arial" w:cs="Arial" w:eastAsia="Arial" w:hAnsi="Arial"/>
          <w:sz w:val="18"/>
          <w:szCs w:val="18"/>
          <w:color w:val="auto"/>
        </w:rPr>
        <w:t>board approved an increase to the Audit Committee chair retainer from $26,000 to $29,000, effective January 1, 2025. No other changes were implemented.</w:t>
      </w:r>
    </w:p>
    <w:p>
      <w:pPr>
        <w:spacing w:after="0" w:line="73" w:lineRule="exact"/>
        <w:rPr>
          <w:sz w:val="20"/>
          <w:szCs w:val="20"/>
          <w:color w:val="auto"/>
        </w:rPr>
      </w:pPr>
    </w:p>
    <w:p>
      <w:pPr>
        <w:ind w:left="180" w:right="240" w:hanging="172"/>
        <w:spacing w:after="0" w:line="229" w:lineRule="auto"/>
        <w:tabs>
          <w:tab w:leader="none" w:pos="115" w:val="left"/>
        </w:tabs>
        <w:numPr>
          <w:ilvl w:val="0"/>
          <w:numId w:val="80"/>
        </w:numPr>
        <w:rPr>
          <w:rFonts w:ascii="Arial" w:cs="Arial" w:eastAsia="Arial" w:hAnsi="Arial"/>
          <w:sz w:val="23"/>
          <w:szCs w:val="23"/>
          <w:color w:val="auto"/>
          <w:vertAlign w:val="superscript"/>
        </w:rPr>
      </w:pPr>
      <w:r>
        <w:rPr>
          <w:rFonts w:ascii="Arial" w:cs="Arial" w:eastAsia="Arial" w:hAnsi="Arial"/>
          <w:sz w:val="18"/>
          <w:szCs w:val="18"/>
          <w:b w:val="1"/>
          <w:bCs w:val="1"/>
          <w:color w:val="auto"/>
        </w:rPr>
        <w:t>Annual Compensation Cap for Directors</w:t>
      </w:r>
      <w:r>
        <w:rPr>
          <w:rFonts w:ascii="Arial" w:cs="Arial" w:eastAsia="Arial" w:hAnsi="Arial"/>
          <w:sz w:val="18"/>
          <w:szCs w:val="18"/>
          <w:color w:val="auto"/>
        </w:rPr>
        <w:t>. The board approved an annual cap to the total annual compensation (cash and equity</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for non-employee directors of $800,000. The cap is intended to avoid excessive director compensation and is included in both the Lilly Directors’ Deferral Plan and in the Amended and Restated 2002 Lilly Stock Plan approved by shareholders at the 2018 annual meeting of shareholders.</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Share Ownership Guidelines</w:t>
      </w:r>
    </w:p>
    <w:p>
      <w:pPr>
        <w:spacing w:after="0" w:line="18" w:lineRule="exact"/>
        <w:rPr>
          <w:sz w:val="20"/>
          <w:szCs w:val="20"/>
          <w:color w:val="auto"/>
        </w:rPr>
      </w:pPr>
    </w:p>
    <w:p>
      <w:pPr>
        <w:jc w:val="both"/>
        <w:ind w:right="140"/>
        <w:spacing w:after="0" w:line="255" w:lineRule="auto"/>
        <w:rPr>
          <w:sz w:val="20"/>
          <w:szCs w:val="20"/>
          <w:color w:val="auto"/>
        </w:rPr>
      </w:pPr>
      <w:r>
        <w:rPr>
          <w:rFonts w:ascii="Arial" w:cs="Arial" w:eastAsia="Arial" w:hAnsi="Arial"/>
          <w:sz w:val="18"/>
          <w:szCs w:val="18"/>
          <w:color w:val="auto"/>
        </w:rPr>
        <w:t>Non-employee directors are required to hold Lilly stock, directly or through units representing the right to receive shares of Lilly stock under the Lilly Directors’ Deferral Plan, valued at not less than five times their annual board retainer. New non-employee directors are allowed five years to reach the required ownership level. All non-employee directors serving at least five years have satisfied these guidelines. All more recently elected non-employee directors are expected to begin making progress toward these requirements.</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Lilly Directors’ Deferral Plan</w:t>
      </w:r>
    </w:p>
    <w:p>
      <w:pPr>
        <w:spacing w:after="0" w:line="18"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In addition to the annual equity-based grants credited to each non-employee director’s deferred stock account as described above, the Lilly Directors’ Deferral Plan allows non-employee directors to defer receipt of all or part of their cash compensation until after their service on the board has ended. Each director can choose to invest any deferred amounts in one or both of the following accounts:</w:t>
      </w:r>
    </w:p>
    <w:p>
      <w:pPr>
        <w:spacing w:after="0" w:line="201" w:lineRule="exact"/>
        <w:rPr>
          <w:sz w:val="20"/>
          <w:szCs w:val="20"/>
          <w:color w:val="auto"/>
        </w:rPr>
      </w:pPr>
    </w:p>
    <w:p>
      <w:pPr>
        <w:ind w:left="660" w:hanging="328"/>
        <w:spacing w:after="0" w:line="276" w:lineRule="auto"/>
        <w:tabs>
          <w:tab w:leader="none" w:pos="649" w:val="left"/>
        </w:tabs>
        <w:numPr>
          <w:ilvl w:val="0"/>
          <w:numId w:val="81"/>
        </w:numPr>
        <w:rPr>
          <w:rFonts w:ascii="Arial" w:cs="Arial" w:eastAsia="Arial" w:hAnsi="Arial"/>
          <w:sz w:val="16"/>
          <w:szCs w:val="16"/>
          <w:b w:val="1"/>
          <w:bCs w:val="1"/>
          <w:color w:val="D52B1E"/>
        </w:rPr>
      </w:pPr>
      <w:r>
        <w:rPr>
          <w:rFonts w:ascii="Arial" w:cs="Arial" w:eastAsia="Arial" w:hAnsi="Arial"/>
          <w:sz w:val="20"/>
          <w:szCs w:val="20"/>
          <w:b w:val="1"/>
          <w:bCs w:val="1"/>
          <w:color w:val="D52B1E"/>
        </w:rPr>
        <w:t xml:space="preserve">Deferred Stock Account. </w:t>
      </w:r>
      <w:r>
        <w:rPr>
          <w:rFonts w:ascii="Arial" w:cs="Arial" w:eastAsia="Arial" w:hAnsi="Arial"/>
          <w:sz w:val="17"/>
          <w:szCs w:val="17"/>
          <w:color w:val="000000"/>
        </w:rPr>
        <w:t>This account allows the non-employee director to invest his or her deferred cash compensation in Lilly</w:t>
      </w:r>
      <w:r>
        <w:rPr>
          <w:rFonts w:ascii="Arial" w:cs="Arial" w:eastAsia="Arial" w:hAnsi="Arial"/>
          <w:sz w:val="20"/>
          <w:szCs w:val="20"/>
          <w:b w:val="1"/>
          <w:bCs w:val="1"/>
          <w:color w:val="D52B1E"/>
        </w:rPr>
        <w:t xml:space="preserve"> </w:t>
      </w:r>
      <w:r>
        <w:rPr>
          <w:rFonts w:ascii="Arial" w:cs="Arial" w:eastAsia="Arial" w:hAnsi="Arial"/>
          <w:sz w:val="17"/>
          <w:szCs w:val="17"/>
          <w:color w:val="000000"/>
        </w:rPr>
        <w:t>stock. Funds in this account are credited as units representing the right to receive shares of company stock based on the closing stock price on pre-set monthly dates. Hypothetical dividends are deemed “reinvested” in additional units based on the market price of the stock on the date dividends are paid. The deferred stock account is the same account where the annual equity awards for board service are credited using the same conversion timing and procedure.</w:t>
      </w:r>
    </w:p>
    <w:p>
      <w:pPr>
        <w:spacing w:after="0" w:line="159" w:lineRule="exact"/>
        <w:rPr>
          <w:rFonts w:ascii="Arial" w:cs="Arial" w:eastAsia="Arial" w:hAnsi="Arial"/>
          <w:sz w:val="16"/>
          <w:szCs w:val="16"/>
          <w:b w:val="1"/>
          <w:bCs w:val="1"/>
          <w:color w:val="D52B1E"/>
        </w:rPr>
      </w:pPr>
    </w:p>
    <w:p>
      <w:pPr>
        <w:ind w:left="660" w:right="80" w:hanging="328"/>
        <w:spacing w:after="0" w:line="244" w:lineRule="auto"/>
        <w:tabs>
          <w:tab w:leader="none" w:pos="649" w:val="left"/>
        </w:tabs>
        <w:numPr>
          <w:ilvl w:val="0"/>
          <w:numId w:val="81"/>
        </w:numPr>
        <w:rPr>
          <w:rFonts w:ascii="Arial" w:cs="Arial" w:eastAsia="Arial" w:hAnsi="Arial"/>
          <w:sz w:val="16"/>
          <w:szCs w:val="16"/>
          <w:b w:val="1"/>
          <w:bCs w:val="1"/>
          <w:color w:val="D52B1E"/>
        </w:rPr>
      </w:pPr>
      <w:r>
        <w:rPr>
          <w:rFonts w:ascii="Arial" w:cs="Arial" w:eastAsia="Arial" w:hAnsi="Arial"/>
          <w:sz w:val="20"/>
          <w:szCs w:val="20"/>
          <w:b w:val="1"/>
          <w:bCs w:val="1"/>
          <w:color w:val="D52B1E"/>
        </w:rPr>
        <w:t xml:space="preserve">Deferred Cash Account. </w:t>
      </w:r>
      <w:r>
        <w:rPr>
          <w:rFonts w:ascii="Arial" w:cs="Arial" w:eastAsia="Arial" w:hAnsi="Arial"/>
          <w:sz w:val="17"/>
          <w:szCs w:val="17"/>
          <w:color w:val="000000"/>
        </w:rPr>
        <w:t>Deferred cash in this account earns interest each year at a rate of 120 percent of the applicable federal</w:t>
      </w:r>
      <w:r>
        <w:rPr>
          <w:rFonts w:ascii="Arial" w:cs="Arial" w:eastAsia="Arial" w:hAnsi="Arial"/>
          <w:sz w:val="20"/>
          <w:szCs w:val="20"/>
          <w:b w:val="1"/>
          <w:bCs w:val="1"/>
          <w:color w:val="D52B1E"/>
        </w:rPr>
        <w:t xml:space="preserve"> </w:t>
      </w:r>
      <w:r>
        <w:rPr>
          <w:rFonts w:ascii="Arial" w:cs="Arial" w:eastAsia="Arial" w:hAnsi="Arial"/>
          <w:sz w:val="17"/>
          <w:szCs w:val="17"/>
          <w:color w:val="000000"/>
        </w:rPr>
        <w:t>long-term rate, compounded monthly, as established the preceding December by the U.S. Treasury Department under</w:t>
      </w:r>
    </w:p>
    <w:p>
      <w:pPr>
        <w:ind w:left="660" w:right="120"/>
        <w:spacing w:after="0" w:line="266" w:lineRule="auto"/>
        <w:rPr>
          <w:rFonts w:ascii="Arial" w:cs="Arial" w:eastAsia="Arial" w:hAnsi="Arial"/>
          <w:sz w:val="16"/>
          <w:szCs w:val="16"/>
          <w:b w:val="1"/>
          <w:bCs w:val="1"/>
          <w:color w:val="D52B1E"/>
        </w:rPr>
      </w:pPr>
      <w:r>
        <w:rPr>
          <w:rFonts w:ascii="Arial" w:cs="Arial" w:eastAsia="Arial" w:hAnsi="Arial"/>
          <w:sz w:val="18"/>
          <w:szCs w:val="18"/>
          <w:color w:val="auto"/>
        </w:rPr>
        <w:t>Section 1274(d) of the Internal Revenue Code of 1986 (the Internal Revenue Code). The aggregate amount of interest that accrued in 2024 for the participating directors was $241,168, at a rate of 5.89%.</w:t>
      </w:r>
    </w:p>
    <w:p>
      <w:pPr>
        <w:spacing w:after="0" w:line="63"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Both accounts may be paid out as a lump sum or in annual installments for up to 10 years based on individual director annual elections. All payments begin the second January following the director’s departure from board service. Amounts in the deferred stock account are paid in shares of company stock.</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140335</wp:posOffset>
            </wp:positionV>
            <wp:extent cx="7157720" cy="425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32" w:name="page33"/>
    <w:bookmarkEnd w:id="32"/>
    <w:p>
      <w:pPr>
        <w:spacing w:after="0"/>
        <w:rPr>
          <w:sz w:val="20"/>
          <w:szCs w:val="20"/>
          <w:color w:val="auto"/>
        </w:rPr>
      </w:pPr>
      <w:r>
        <w:rPr>
          <w:rFonts w:ascii="Arial" w:cs="Arial" w:eastAsia="Arial" w:hAnsi="Arial"/>
          <w:sz w:val="22"/>
          <w:szCs w:val="22"/>
          <w:b w:val="1"/>
          <w:bCs w:val="1"/>
          <w:color w:val="auto"/>
        </w:rPr>
        <w:t>2024 Compensation for Non-Employee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5674995"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5674995" cy="8890"/>
                    </a:xfrm>
                    <a:prstGeom prst="rect">
                      <a:avLst/>
                    </a:prstGeom>
                    <a:noFill/>
                  </pic:spPr>
                </pic:pic>
              </a:graphicData>
            </a:graphic>
          </wp:anchor>
        </w:drawing>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0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840" w:type="dxa"/>
            <w:vAlign w:val="bottom"/>
          </w:tcPr>
          <w:p>
            <w:pPr>
              <w:jc w:val="center"/>
              <w:ind w:right="79"/>
              <w:spacing w:after="0"/>
              <w:rPr>
                <w:sz w:val="20"/>
                <w:szCs w:val="20"/>
                <w:color w:val="auto"/>
              </w:rPr>
            </w:pPr>
            <w:r>
              <w:rPr>
                <w:rFonts w:ascii="Arial" w:cs="Arial" w:eastAsia="Arial" w:hAnsi="Arial"/>
                <w:sz w:val="16"/>
                <w:szCs w:val="16"/>
                <w:b w:val="1"/>
                <w:bCs w:val="1"/>
                <w:color w:val="auto"/>
              </w:rPr>
              <w:t>All Other</w:t>
            </w:r>
          </w:p>
        </w:tc>
        <w:tc>
          <w:tcPr>
            <w:tcW w:w="1320" w:type="dxa"/>
            <w:vAlign w:val="bottom"/>
          </w:tcPr>
          <w:p>
            <w:pPr>
              <w:spacing w:after="0"/>
              <w:rPr>
                <w:sz w:val="16"/>
                <w:szCs w:val="16"/>
                <w:color w:val="auto"/>
              </w:rPr>
            </w:pPr>
          </w:p>
        </w:tc>
      </w:tr>
      <w:tr>
        <w:trPr>
          <w:trHeight w:val="189"/>
        </w:trPr>
        <w:tc>
          <w:tcPr>
            <w:tcW w:w="2000" w:type="dxa"/>
            <w:vAlign w:val="bottom"/>
          </w:tcPr>
          <w:p>
            <w:pPr>
              <w:spacing w:after="0"/>
              <w:rPr>
                <w:sz w:val="16"/>
                <w:szCs w:val="16"/>
                <w:color w:val="auto"/>
              </w:rPr>
            </w:pPr>
          </w:p>
        </w:tc>
        <w:tc>
          <w:tcPr>
            <w:tcW w:w="2180" w:type="dxa"/>
            <w:vAlign w:val="bottom"/>
          </w:tcPr>
          <w:p>
            <w:pPr>
              <w:jc w:val="right"/>
              <w:ind w:right="219"/>
              <w:spacing w:after="0"/>
              <w:rPr>
                <w:sz w:val="20"/>
                <w:szCs w:val="20"/>
                <w:color w:val="auto"/>
              </w:rPr>
            </w:pPr>
            <w:r>
              <w:rPr>
                <w:rFonts w:ascii="Arial" w:cs="Arial" w:eastAsia="Arial" w:hAnsi="Arial"/>
                <w:sz w:val="16"/>
                <w:szCs w:val="16"/>
                <w:b w:val="1"/>
                <w:bCs w:val="1"/>
                <w:color w:val="auto"/>
              </w:rPr>
              <w:t>Fees Earned</w:t>
            </w:r>
          </w:p>
        </w:tc>
        <w:tc>
          <w:tcPr>
            <w:tcW w:w="1600" w:type="dxa"/>
            <w:vAlign w:val="bottom"/>
          </w:tcPr>
          <w:p>
            <w:pPr>
              <w:spacing w:after="0"/>
              <w:rPr>
                <w:sz w:val="16"/>
                <w:szCs w:val="16"/>
                <w:color w:val="auto"/>
              </w:rPr>
            </w:pPr>
          </w:p>
        </w:tc>
        <w:tc>
          <w:tcPr>
            <w:tcW w:w="1840" w:type="dxa"/>
            <w:vAlign w:val="bottom"/>
          </w:tcPr>
          <w:p>
            <w:pPr>
              <w:jc w:val="center"/>
              <w:ind w:right="79"/>
              <w:spacing w:after="0"/>
              <w:rPr>
                <w:sz w:val="20"/>
                <w:szCs w:val="20"/>
                <w:color w:val="auto"/>
              </w:rPr>
            </w:pPr>
            <w:r>
              <w:rPr>
                <w:rFonts w:ascii="Arial" w:cs="Arial" w:eastAsia="Arial" w:hAnsi="Arial"/>
                <w:sz w:val="16"/>
                <w:szCs w:val="16"/>
                <w:b w:val="1"/>
                <w:bCs w:val="1"/>
                <w:color w:val="auto"/>
              </w:rPr>
              <w:t>Compensation</w:t>
            </w:r>
          </w:p>
        </w:tc>
        <w:tc>
          <w:tcPr>
            <w:tcW w:w="1320" w:type="dxa"/>
            <w:vAlign w:val="bottom"/>
          </w:tcPr>
          <w:p>
            <w:pPr>
              <w:spacing w:after="0"/>
              <w:rPr>
                <w:sz w:val="16"/>
                <w:szCs w:val="16"/>
                <w:color w:val="auto"/>
              </w:rPr>
            </w:pPr>
          </w:p>
        </w:tc>
      </w:tr>
      <w:tr>
        <w:trPr>
          <w:trHeight w:val="244"/>
        </w:trPr>
        <w:tc>
          <w:tcPr>
            <w:tcW w:w="2000" w:type="dxa"/>
            <w:vAlign w:val="bottom"/>
            <w:tcBorders>
              <w:bottom w:val="single" w:sz="8" w:color="6D6D6D"/>
            </w:tcBorders>
          </w:tcPr>
          <w:p>
            <w:pPr>
              <w:ind w:left="20"/>
              <w:spacing w:after="0"/>
              <w:rPr>
                <w:sz w:val="20"/>
                <w:szCs w:val="20"/>
                <w:color w:val="auto"/>
              </w:rPr>
            </w:pPr>
            <w:r>
              <w:rPr>
                <w:rFonts w:ascii="Arial" w:cs="Arial" w:eastAsia="Arial" w:hAnsi="Arial"/>
                <w:sz w:val="16"/>
                <w:szCs w:val="16"/>
                <w:b w:val="1"/>
                <w:bCs w:val="1"/>
                <w:color w:val="auto"/>
              </w:rPr>
              <w:t>Name</w:t>
            </w:r>
          </w:p>
        </w:tc>
        <w:tc>
          <w:tcPr>
            <w:tcW w:w="2180" w:type="dxa"/>
            <w:vAlign w:val="bottom"/>
            <w:tcBorders>
              <w:bottom w:val="single" w:sz="8" w:color="6D6D6D"/>
            </w:tcBorders>
          </w:tcPr>
          <w:p>
            <w:pPr>
              <w:jc w:val="right"/>
              <w:spacing w:after="0"/>
              <w:rPr>
                <w:sz w:val="20"/>
                <w:szCs w:val="20"/>
                <w:color w:val="auto"/>
              </w:rPr>
            </w:pPr>
            <w:r>
              <w:rPr>
                <w:rFonts w:ascii="Arial" w:cs="Arial" w:eastAsia="Arial" w:hAnsi="Arial"/>
                <w:sz w:val="16"/>
                <w:szCs w:val="16"/>
                <w:b w:val="1"/>
                <w:bCs w:val="1"/>
                <w:color w:val="auto"/>
              </w:rPr>
              <w:t>or Paid in Cash ($)</w:t>
            </w:r>
          </w:p>
        </w:tc>
        <w:tc>
          <w:tcPr>
            <w:tcW w:w="1600" w:type="dxa"/>
            <w:vAlign w:val="bottom"/>
            <w:tcBorders>
              <w:bottom w:val="single" w:sz="8" w:color="6D6D6D"/>
            </w:tcBorders>
          </w:tcPr>
          <w:p>
            <w:pPr>
              <w:jc w:val="right"/>
              <w:ind w:right="59"/>
              <w:spacing w:after="0"/>
              <w:rPr>
                <w:sz w:val="20"/>
                <w:szCs w:val="20"/>
                <w:color w:val="auto"/>
              </w:rPr>
            </w:pPr>
            <w:r>
              <w:rPr>
                <w:rFonts w:ascii="Arial" w:cs="Arial" w:eastAsia="Arial" w:hAnsi="Arial"/>
                <w:sz w:val="16"/>
                <w:szCs w:val="16"/>
                <w:b w:val="1"/>
                <w:bCs w:val="1"/>
                <w:color w:val="auto"/>
              </w:rPr>
              <w:t>Stock Awards ($)</w:t>
            </w:r>
            <w:r>
              <w:rPr>
                <w:rFonts w:ascii="Arial" w:cs="Arial" w:eastAsia="Arial" w:hAnsi="Arial"/>
                <w:sz w:val="21"/>
                <w:szCs w:val="21"/>
                <w:b w:val="1"/>
                <w:bCs w:val="1"/>
                <w:color w:val="auto"/>
                <w:vertAlign w:val="superscript"/>
              </w:rPr>
              <w:t>1</w:t>
            </w:r>
          </w:p>
        </w:tc>
        <w:tc>
          <w:tcPr>
            <w:tcW w:w="1840" w:type="dxa"/>
            <w:vAlign w:val="bottom"/>
            <w:tcBorders>
              <w:bottom w:val="single" w:sz="8" w:color="6D6D6D"/>
            </w:tcBorders>
          </w:tcPr>
          <w:p>
            <w:pPr>
              <w:jc w:val="center"/>
              <w:ind w:right="39"/>
              <w:spacing w:after="0"/>
              <w:rPr>
                <w:sz w:val="20"/>
                <w:szCs w:val="20"/>
                <w:color w:val="auto"/>
              </w:rPr>
            </w:pPr>
            <w:r>
              <w:rPr>
                <w:rFonts w:ascii="Arial" w:cs="Arial" w:eastAsia="Arial" w:hAnsi="Arial"/>
                <w:sz w:val="16"/>
                <w:szCs w:val="16"/>
                <w:b w:val="1"/>
                <w:bCs w:val="1"/>
                <w:color w:val="auto"/>
                <w:w w:val="99"/>
              </w:rPr>
              <w:t>and Payments ($)</w:t>
            </w:r>
            <w:r>
              <w:rPr>
                <w:rFonts w:ascii="Arial" w:cs="Arial" w:eastAsia="Arial" w:hAnsi="Arial"/>
                <w:sz w:val="21"/>
                <w:szCs w:val="21"/>
                <w:b w:val="1"/>
                <w:bCs w:val="1"/>
                <w:color w:val="auto"/>
                <w:w w:val="99"/>
                <w:vertAlign w:val="superscript"/>
              </w:rPr>
              <w:t>2</w:t>
            </w:r>
          </w:p>
        </w:tc>
        <w:tc>
          <w:tcPr>
            <w:tcW w:w="1320" w:type="dxa"/>
            <w:vAlign w:val="bottom"/>
            <w:tcBorders>
              <w:bottom w:val="single" w:sz="8" w:color="6D6D6D"/>
            </w:tcBorders>
          </w:tcPr>
          <w:p>
            <w:pPr>
              <w:jc w:val="right"/>
              <w:ind w:right="279"/>
              <w:spacing w:after="0"/>
              <w:rPr>
                <w:sz w:val="20"/>
                <w:szCs w:val="20"/>
                <w:color w:val="auto"/>
              </w:rPr>
            </w:pPr>
            <w:r>
              <w:rPr>
                <w:rFonts w:ascii="Arial" w:cs="Arial" w:eastAsia="Arial" w:hAnsi="Arial"/>
                <w:sz w:val="16"/>
                <w:szCs w:val="16"/>
                <w:b w:val="1"/>
                <w:bCs w:val="1"/>
                <w:color w:val="auto"/>
              </w:rPr>
              <w:t>Total ($)</w:t>
            </w:r>
            <w:r>
              <w:rPr>
                <w:rFonts w:ascii="Arial" w:cs="Arial" w:eastAsia="Arial" w:hAnsi="Arial"/>
                <w:sz w:val="21"/>
                <w:szCs w:val="21"/>
                <w:b w:val="1"/>
                <w:bCs w:val="1"/>
                <w:color w:val="auto"/>
                <w:vertAlign w:val="superscript"/>
              </w:rPr>
              <w:t>3</w:t>
            </w:r>
          </w:p>
        </w:tc>
      </w:tr>
      <w:tr>
        <w:trPr>
          <w:trHeight w:val="237"/>
        </w:trPr>
        <w:tc>
          <w:tcPr>
            <w:tcW w:w="2000" w:type="dxa"/>
            <w:vAlign w:val="bottom"/>
            <w:shd w:val="clear" w:color="auto" w:fill="F2F2F2"/>
          </w:tcPr>
          <w:p>
            <w:pPr>
              <w:ind w:left="20"/>
              <w:spacing w:after="0"/>
              <w:rPr>
                <w:sz w:val="20"/>
                <w:szCs w:val="20"/>
                <w:color w:val="auto"/>
              </w:rPr>
            </w:pPr>
            <w:r>
              <w:rPr>
                <w:rFonts w:ascii="Arial" w:cs="Arial" w:eastAsia="Arial" w:hAnsi="Arial"/>
                <w:sz w:val="16"/>
                <w:szCs w:val="16"/>
                <w:color w:val="auto"/>
              </w:rPr>
              <w:t>Mr. Alvarez</w:t>
            </w:r>
          </w:p>
        </w:tc>
        <w:tc>
          <w:tcPr>
            <w:tcW w:w="2180" w:type="dxa"/>
            <w:vAlign w:val="bottom"/>
            <w:shd w:val="clear" w:color="auto" w:fill="F2F2F2"/>
          </w:tcPr>
          <w:p>
            <w:pPr>
              <w:jc w:val="right"/>
              <w:ind w:right="319"/>
              <w:spacing w:after="0"/>
              <w:rPr>
                <w:sz w:val="20"/>
                <w:szCs w:val="20"/>
                <w:color w:val="auto"/>
              </w:rPr>
            </w:pPr>
            <w:r>
              <w:rPr>
                <w:rFonts w:ascii="Arial" w:cs="Arial" w:eastAsia="Arial" w:hAnsi="Arial"/>
                <w:sz w:val="16"/>
                <w:szCs w:val="16"/>
                <w:color w:val="auto"/>
              </w:rPr>
              <w:t>$141,000</w:t>
            </w:r>
          </w:p>
        </w:tc>
        <w:tc>
          <w:tcPr>
            <w:tcW w:w="1600" w:type="dxa"/>
            <w:vAlign w:val="bottom"/>
            <w:shd w:val="clear" w:color="auto" w:fill="F2F2F2"/>
          </w:tcPr>
          <w:p>
            <w:pPr>
              <w:jc w:val="right"/>
              <w:ind w:right="399"/>
              <w:spacing w:after="0"/>
              <w:rPr>
                <w:sz w:val="20"/>
                <w:szCs w:val="20"/>
                <w:color w:val="auto"/>
              </w:rPr>
            </w:pPr>
            <w:r>
              <w:rPr>
                <w:rFonts w:ascii="Arial" w:cs="Arial" w:eastAsia="Arial" w:hAnsi="Arial"/>
                <w:sz w:val="16"/>
                <w:szCs w:val="16"/>
                <w:color w:val="auto"/>
              </w:rPr>
              <w:t>$220,000</w:t>
            </w:r>
          </w:p>
        </w:tc>
        <w:tc>
          <w:tcPr>
            <w:tcW w:w="1840" w:type="dxa"/>
            <w:vAlign w:val="bottom"/>
            <w:shd w:val="clear" w:color="auto" w:fill="F2F2F2"/>
          </w:tcPr>
          <w:p>
            <w:pPr>
              <w:jc w:val="right"/>
              <w:ind w:right="379"/>
              <w:spacing w:after="0"/>
              <w:rPr>
                <w:sz w:val="20"/>
                <w:szCs w:val="20"/>
                <w:color w:val="auto"/>
              </w:rPr>
            </w:pPr>
            <w:r>
              <w:rPr>
                <w:rFonts w:ascii="Arial" w:cs="Arial" w:eastAsia="Arial" w:hAnsi="Arial"/>
                <w:sz w:val="16"/>
                <w:szCs w:val="16"/>
                <w:color w:val="auto"/>
              </w:rPr>
              <w:t>$0</w:t>
            </w:r>
          </w:p>
        </w:tc>
        <w:tc>
          <w:tcPr>
            <w:tcW w:w="1320" w:type="dxa"/>
            <w:vAlign w:val="bottom"/>
            <w:shd w:val="clear" w:color="auto" w:fill="F2F2F2"/>
          </w:tcPr>
          <w:p>
            <w:pPr>
              <w:jc w:val="right"/>
              <w:ind w:right="259"/>
              <w:spacing w:after="0"/>
              <w:rPr>
                <w:sz w:val="20"/>
                <w:szCs w:val="20"/>
                <w:color w:val="auto"/>
              </w:rPr>
            </w:pPr>
            <w:r>
              <w:rPr>
                <w:rFonts w:ascii="Arial" w:cs="Arial" w:eastAsia="Arial" w:hAnsi="Arial"/>
                <w:sz w:val="16"/>
                <w:szCs w:val="16"/>
                <w:color w:val="auto"/>
              </w:rPr>
              <w:t>$361,000</w:t>
            </w:r>
          </w:p>
        </w:tc>
      </w:tr>
      <w:tr>
        <w:trPr>
          <w:trHeight w:val="249"/>
        </w:trPr>
        <w:tc>
          <w:tcPr>
            <w:tcW w:w="2000" w:type="dxa"/>
            <w:vAlign w:val="bottom"/>
          </w:tcPr>
          <w:p>
            <w:pPr>
              <w:ind w:left="20"/>
              <w:spacing w:after="0"/>
              <w:rPr>
                <w:sz w:val="20"/>
                <w:szCs w:val="20"/>
                <w:color w:val="auto"/>
              </w:rPr>
            </w:pPr>
            <w:r>
              <w:rPr>
                <w:rFonts w:ascii="Arial" w:cs="Arial" w:eastAsia="Arial" w:hAnsi="Arial"/>
                <w:sz w:val="16"/>
                <w:szCs w:val="16"/>
                <w:color w:val="auto"/>
              </w:rPr>
              <w:t>Dr. Baicker</w:t>
            </w:r>
          </w:p>
        </w:tc>
        <w:tc>
          <w:tcPr>
            <w:tcW w:w="2180" w:type="dxa"/>
            <w:vAlign w:val="bottom"/>
          </w:tcPr>
          <w:p>
            <w:pPr>
              <w:jc w:val="right"/>
              <w:ind w:right="319"/>
              <w:spacing w:after="0"/>
              <w:rPr>
                <w:sz w:val="20"/>
                <w:szCs w:val="20"/>
                <w:color w:val="auto"/>
              </w:rPr>
            </w:pPr>
            <w:r>
              <w:rPr>
                <w:rFonts w:ascii="Arial" w:cs="Arial" w:eastAsia="Arial" w:hAnsi="Arial"/>
                <w:sz w:val="16"/>
                <w:szCs w:val="16"/>
                <w:color w:val="auto"/>
              </w:rPr>
              <w:t>$141,000</w:t>
            </w:r>
          </w:p>
        </w:tc>
        <w:tc>
          <w:tcPr>
            <w:tcW w:w="1600" w:type="dxa"/>
            <w:vAlign w:val="bottom"/>
          </w:tcPr>
          <w:p>
            <w:pPr>
              <w:jc w:val="right"/>
              <w:ind w:right="399"/>
              <w:spacing w:after="0"/>
              <w:rPr>
                <w:sz w:val="20"/>
                <w:szCs w:val="20"/>
                <w:color w:val="auto"/>
              </w:rPr>
            </w:pPr>
            <w:r>
              <w:rPr>
                <w:rFonts w:ascii="Arial" w:cs="Arial" w:eastAsia="Arial" w:hAnsi="Arial"/>
                <w:sz w:val="16"/>
                <w:szCs w:val="16"/>
                <w:color w:val="auto"/>
              </w:rPr>
              <w:t>$220,000</w:t>
            </w:r>
          </w:p>
        </w:tc>
        <w:tc>
          <w:tcPr>
            <w:tcW w:w="1840" w:type="dxa"/>
            <w:vAlign w:val="bottom"/>
          </w:tcPr>
          <w:p>
            <w:pPr>
              <w:jc w:val="right"/>
              <w:ind w:right="379"/>
              <w:spacing w:after="0"/>
              <w:rPr>
                <w:sz w:val="20"/>
                <w:szCs w:val="20"/>
                <w:color w:val="auto"/>
              </w:rPr>
            </w:pPr>
            <w:r>
              <w:rPr>
                <w:rFonts w:ascii="Arial" w:cs="Arial" w:eastAsia="Arial" w:hAnsi="Arial"/>
                <w:sz w:val="16"/>
                <w:szCs w:val="16"/>
                <w:color w:val="auto"/>
              </w:rPr>
              <w:t>$0</w:t>
            </w:r>
          </w:p>
        </w:tc>
        <w:tc>
          <w:tcPr>
            <w:tcW w:w="1320" w:type="dxa"/>
            <w:vAlign w:val="bottom"/>
          </w:tcPr>
          <w:p>
            <w:pPr>
              <w:jc w:val="right"/>
              <w:ind w:right="259"/>
              <w:spacing w:after="0"/>
              <w:rPr>
                <w:sz w:val="20"/>
                <w:szCs w:val="20"/>
                <w:color w:val="auto"/>
              </w:rPr>
            </w:pPr>
            <w:r>
              <w:rPr>
                <w:rFonts w:ascii="Arial" w:cs="Arial" w:eastAsia="Arial" w:hAnsi="Arial"/>
                <w:sz w:val="16"/>
                <w:szCs w:val="16"/>
                <w:color w:val="auto"/>
              </w:rPr>
              <w:t>$361,000</w:t>
            </w:r>
          </w:p>
        </w:tc>
      </w:tr>
      <w:tr>
        <w:trPr>
          <w:trHeight w:val="264"/>
        </w:trPr>
        <w:tc>
          <w:tcPr>
            <w:tcW w:w="2000" w:type="dxa"/>
            <w:vAlign w:val="bottom"/>
            <w:shd w:val="clear" w:color="auto" w:fill="F2F2F2"/>
          </w:tcPr>
          <w:p>
            <w:pPr>
              <w:ind w:left="20"/>
              <w:spacing w:after="0"/>
              <w:rPr>
                <w:sz w:val="20"/>
                <w:szCs w:val="20"/>
                <w:color w:val="auto"/>
              </w:rPr>
            </w:pPr>
            <w:r>
              <w:rPr>
                <w:rFonts w:ascii="Arial" w:cs="Arial" w:eastAsia="Arial" w:hAnsi="Arial"/>
                <w:sz w:val="16"/>
                <w:szCs w:val="16"/>
                <w:color w:val="auto"/>
              </w:rPr>
              <w:t>Mr. Fyrwald</w:t>
            </w:r>
          </w:p>
        </w:tc>
        <w:tc>
          <w:tcPr>
            <w:tcW w:w="2180" w:type="dxa"/>
            <w:vAlign w:val="bottom"/>
            <w:shd w:val="clear" w:color="auto" w:fill="F2F2F2"/>
          </w:tcPr>
          <w:p>
            <w:pPr>
              <w:jc w:val="right"/>
              <w:ind w:right="319"/>
              <w:spacing w:after="0"/>
              <w:rPr>
                <w:sz w:val="20"/>
                <w:szCs w:val="20"/>
                <w:color w:val="auto"/>
              </w:rPr>
            </w:pPr>
            <w:r>
              <w:rPr>
                <w:rFonts w:ascii="Arial" w:cs="Arial" w:eastAsia="Arial" w:hAnsi="Arial"/>
                <w:sz w:val="16"/>
                <w:szCs w:val="16"/>
                <w:color w:val="auto"/>
              </w:rPr>
              <w:t>$119,000</w:t>
            </w:r>
          </w:p>
        </w:tc>
        <w:tc>
          <w:tcPr>
            <w:tcW w:w="1600" w:type="dxa"/>
            <w:vAlign w:val="bottom"/>
            <w:shd w:val="clear" w:color="auto" w:fill="F2F2F2"/>
          </w:tcPr>
          <w:p>
            <w:pPr>
              <w:jc w:val="right"/>
              <w:ind w:right="399"/>
              <w:spacing w:after="0"/>
              <w:rPr>
                <w:sz w:val="20"/>
                <w:szCs w:val="20"/>
                <w:color w:val="auto"/>
              </w:rPr>
            </w:pPr>
            <w:r>
              <w:rPr>
                <w:rFonts w:ascii="Arial" w:cs="Arial" w:eastAsia="Arial" w:hAnsi="Arial"/>
                <w:sz w:val="16"/>
                <w:szCs w:val="16"/>
                <w:color w:val="auto"/>
              </w:rPr>
              <w:t>$220,000</w:t>
            </w:r>
          </w:p>
        </w:tc>
        <w:tc>
          <w:tcPr>
            <w:tcW w:w="1840" w:type="dxa"/>
            <w:vAlign w:val="bottom"/>
            <w:shd w:val="clear" w:color="auto" w:fill="F2F2F2"/>
          </w:tcPr>
          <w:p>
            <w:pPr>
              <w:jc w:val="right"/>
              <w:ind w:right="379"/>
              <w:spacing w:after="0"/>
              <w:rPr>
                <w:sz w:val="20"/>
                <w:szCs w:val="20"/>
                <w:color w:val="auto"/>
              </w:rPr>
            </w:pPr>
            <w:r>
              <w:rPr>
                <w:rFonts w:ascii="Arial" w:cs="Arial" w:eastAsia="Arial" w:hAnsi="Arial"/>
                <w:sz w:val="16"/>
                <w:szCs w:val="16"/>
                <w:color w:val="auto"/>
              </w:rPr>
              <w:t>$47,552</w:t>
            </w:r>
          </w:p>
        </w:tc>
        <w:tc>
          <w:tcPr>
            <w:tcW w:w="1320" w:type="dxa"/>
            <w:vAlign w:val="bottom"/>
            <w:shd w:val="clear" w:color="auto" w:fill="F2F2F2"/>
          </w:tcPr>
          <w:p>
            <w:pPr>
              <w:jc w:val="right"/>
              <w:ind w:right="259"/>
              <w:spacing w:after="0"/>
              <w:rPr>
                <w:sz w:val="20"/>
                <w:szCs w:val="20"/>
                <w:color w:val="auto"/>
              </w:rPr>
            </w:pPr>
            <w:r>
              <w:rPr>
                <w:rFonts w:ascii="Arial" w:cs="Arial" w:eastAsia="Arial" w:hAnsi="Arial"/>
                <w:sz w:val="16"/>
                <w:szCs w:val="16"/>
                <w:color w:val="auto"/>
              </w:rPr>
              <w:t>$386,552</w:t>
            </w:r>
          </w:p>
        </w:tc>
      </w:tr>
      <w:tr>
        <w:trPr>
          <w:trHeight w:val="249"/>
        </w:trPr>
        <w:tc>
          <w:tcPr>
            <w:tcW w:w="2000" w:type="dxa"/>
            <w:vAlign w:val="bottom"/>
          </w:tcPr>
          <w:p>
            <w:pPr>
              <w:ind w:left="20"/>
              <w:spacing w:after="0"/>
              <w:rPr>
                <w:sz w:val="20"/>
                <w:szCs w:val="20"/>
                <w:color w:val="auto"/>
              </w:rPr>
            </w:pPr>
            <w:r>
              <w:rPr>
                <w:rFonts w:ascii="Arial" w:cs="Arial" w:eastAsia="Arial" w:hAnsi="Arial"/>
                <w:sz w:val="16"/>
                <w:szCs w:val="16"/>
                <w:color w:val="auto"/>
              </w:rPr>
              <w:t>Dr. Hedley</w:t>
            </w:r>
          </w:p>
        </w:tc>
        <w:tc>
          <w:tcPr>
            <w:tcW w:w="2180" w:type="dxa"/>
            <w:vAlign w:val="bottom"/>
          </w:tcPr>
          <w:p>
            <w:pPr>
              <w:jc w:val="right"/>
              <w:ind w:right="319"/>
              <w:spacing w:after="0"/>
              <w:rPr>
                <w:sz w:val="20"/>
                <w:szCs w:val="20"/>
                <w:color w:val="auto"/>
              </w:rPr>
            </w:pPr>
            <w:r>
              <w:rPr>
                <w:rFonts w:ascii="Arial" w:cs="Arial" w:eastAsia="Arial" w:hAnsi="Arial"/>
                <w:sz w:val="16"/>
                <w:szCs w:val="16"/>
                <w:color w:val="auto"/>
              </w:rPr>
              <w:t>$119,000</w:t>
            </w:r>
          </w:p>
        </w:tc>
        <w:tc>
          <w:tcPr>
            <w:tcW w:w="1600" w:type="dxa"/>
            <w:vAlign w:val="bottom"/>
          </w:tcPr>
          <w:p>
            <w:pPr>
              <w:jc w:val="right"/>
              <w:ind w:right="399"/>
              <w:spacing w:after="0"/>
              <w:rPr>
                <w:sz w:val="20"/>
                <w:szCs w:val="20"/>
                <w:color w:val="auto"/>
              </w:rPr>
            </w:pPr>
            <w:r>
              <w:rPr>
                <w:rFonts w:ascii="Arial" w:cs="Arial" w:eastAsia="Arial" w:hAnsi="Arial"/>
                <w:sz w:val="16"/>
                <w:szCs w:val="16"/>
                <w:color w:val="auto"/>
              </w:rPr>
              <w:t>$220,000</w:t>
            </w:r>
          </w:p>
        </w:tc>
        <w:tc>
          <w:tcPr>
            <w:tcW w:w="1840" w:type="dxa"/>
            <w:vAlign w:val="bottom"/>
          </w:tcPr>
          <w:p>
            <w:pPr>
              <w:jc w:val="right"/>
              <w:ind w:right="379"/>
              <w:spacing w:after="0"/>
              <w:rPr>
                <w:sz w:val="20"/>
                <w:szCs w:val="20"/>
                <w:color w:val="auto"/>
              </w:rPr>
            </w:pPr>
            <w:r>
              <w:rPr>
                <w:rFonts w:ascii="Arial" w:cs="Arial" w:eastAsia="Arial" w:hAnsi="Arial"/>
                <w:sz w:val="16"/>
                <w:szCs w:val="16"/>
                <w:color w:val="auto"/>
              </w:rPr>
              <w:t>$0</w:t>
            </w:r>
          </w:p>
        </w:tc>
        <w:tc>
          <w:tcPr>
            <w:tcW w:w="1320" w:type="dxa"/>
            <w:vAlign w:val="bottom"/>
          </w:tcPr>
          <w:p>
            <w:pPr>
              <w:jc w:val="right"/>
              <w:ind w:right="259"/>
              <w:spacing w:after="0"/>
              <w:rPr>
                <w:sz w:val="20"/>
                <w:szCs w:val="20"/>
                <w:color w:val="auto"/>
              </w:rPr>
            </w:pPr>
            <w:r>
              <w:rPr>
                <w:rFonts w:ascii="Arial" w:cs="Arial" w:eastAsia="Arial" w:hAnsi="Arial"/>
                <w:sz w:val="16"/>
                <w:szCs w:val="16"/>
                <w:color w:val="auto"/>
              </w:rPr>
              <w:t>$339,000</w:t>
            </w:r>
          </w:p>
        </w:tc>
      </w:tr>
      <w:tr>
        <w:trPr>
          <w:trHeight w:val="264"/>
        </w:trPr>
        <w:tc>
          <w:tcPr>
            <w:tcW w:w="2000" w:type="dxa"/>
            <w:vAlign w:val="bottom"/>
            <w:shd w:val="clear" w:color="auto" w:fill="F2F2F2"/>
          </w:tcPr>
          <w:p>
            <w:pPr>
              <w:ind w:left="20"/>
              <w:spacing w:after="0"/>
              <w:rPr>
                <w:sz w:val="20"/>
                <w:szCs w:val="20"/>
                <w:color w:val="auto"/>
              </w:rPr>
            </w:pPr>
            <w:r>
              <w:rPr>
                <w:rFonts w:ascii="Arial" w:cs="Arial" w:eastAsia="Arial" w:hAnsi="Arial"/>
                <w:sz w:val="16"/>
                <w:szCs w:val="16"/>
                <w:color w:val="auto"/>
              </w:rPr>
              <w:t>Mr. Jackson</w:t>
            </w:r>
          </w:p>
        </w:tc>
        <w:tc>
          <w:tcPr>
            <w:tcW w:w="2180" w:type="dxa"/>
            <w:vAlign w:val="bottom"/>
            <w:shd w:val="clear" w:color="auto" w:fill="F2F2F2"/>
          </w:tcPr>
          <w:p>
            <w:pPr>
              <w:jc w:val="right"/>
              <w:ind w:right="319"/>
              <w:spacing w:after="0"/>
              <w:rPr>
                <w:sz w:val="20"/>
                <w:szCs w:val="20"/>
                <w:color w:val="auto"/>
              </w:rPr>
            </w:pPr>
            <w:r>
              <w:rPr>
                <w:rFonts w:ascii="Arial" w:cs="Arial" w:eastAsia="Arial" w:hAnsi="Arial"/>
                <w:sz w:val="16"/>
                <w:szCs w:val="16"/>
                <w:color w:val="auto"/>
              </w:rPr>
              <w:t>$145,000</w:t>
            </w:r>
          </w:p>
        </w:tc>
        <w:tc>
          <w:tcPr>
            <w:tcW w:w="1600" w:type="dxa"/>
            <w:vAlign w:val="bottom"/>
            <w:shd w:val="clear" w:color="auto" w:fill="F2F2F2"/>
          </w:tcPr>
          <w:p>
            <w:pPr>
              <w:jc w:val="right"/>
              <w:ind w:right="399"/>
              <w:spacing w:after="0"/>
              <w:rPr>
                <w:sz w:val="20"/>
                <w:szCs w:val="20"/>
                <w:color w:val="auto"/>
              </w:rPr>
            </w:pPr>
            <w:r>
              <w:rPr>
                <w:rFonts w:ascii="Arial" w:cs="Arial" w:eastAsia="Arial" w:hAnsi="Arial"/>
                <w:sz w:val="16"/>
                <w:szCs w:val="16"/>
                <w:color w:val="auto"/>
              </w:rPr>
              <w:t>$220,000</w:t>
            </w:r>
          </w:p>
        </w:tc>
        <w:tc>
          <w:tcPr>
            <w:tcW w:w="1840" w:type="dxa"/>
            <w:vAlign w:val="bottom"/>
            <w:shd w:val="clear" w:color="auto" w:fill="F2F2F2"/>
          </w:tcPr>
          <w:p>
            <w:pPr>
              <w:jc w:val="right"/>
              <w:ind w:right="379"/>
              <w:spacing w:after="0"/>
              <w:rPr>
                <w:sz w:val="20"/>
                <w:szCs w:val="20"/>
                <w:color w:val="auto"/>
              </w:rPr>
            </w:pPr>
            <w:r>
              <w:rPr>
                <w:rFonts w:ascii="Arial" w:cs="Arial" w:eastAsia="Arial" w:hAnsi="Arial"/>
                <w:sz w:val="16"/>
                <w:szCs w:val="16"/>
                <w:color w:val="auto"/>
              </w:rPr>
              <w:t>$0</w:t>
            </w:r>
          </w:p>
        </w:tc>
        <w:tc>
          <w:tcPr>
            <w:tcW w:w="1320" w:type="dxa"/>
            <w:vAlign w:val="bottom"/>
            <w:shd w:val="clear" w:color="auto" w:fill="F2F2F2"/>
          </w:tcPr>
          <w:p>
            <w:pPr>
              <w:jc w:val="right"/>
              <w:ind w:right="259"/>
              <w:spacing w:after="0"/>
              <w:rPr>
                <w:sz w:val="20"/>
                <w:szCs w:val="20"/>
                <w:color w:val="auto"/>
              </w:rPr>
            </w:pPr>
            <w:r>
              <w:rPr>
                <w:rFonts w:ascii="Arial" w:cs="Arial" w:eastAsia="Arial" w:hAnsi="Arial"/>
                <w:sz w:val="16"/>
                <w:szCs w:val="16"/>
                <w:color w:val="auto"/>
              </w:rPr>
              <w:t>$365,000</w:t>
            </w:r>
          </w:p>
        </w:tc>
      </w:tr>
      <w:tr>
        <w:trPr>
          <w:trHeight w:val="249"/>
        </w:trPr>
        <w:tc>
          <w:tcPr>
            <w:tcW w:w="2000" w:type="dxa"/>
            <w:vAlign w:val="bottom"/>
          </w:tcPr>
          <w:p>
            <w:pPr>
              <w:ind w:left="20"/>
              <w:spacing w:after="0"/>
              <w:rPr>
                <w:sz w:val="20"/>
                <w:szCs w:val="20"/>
                <w:color w:val="auto"/>
              </w:rPr>
            </w:pPr>
            <w:r>
              <w:rPr>
                <w:rFonts w:ascii="Arial" w:cs="Arial" w:eastAsia="Arial" w:hAnsi="Arial"/>
                <w:sz w:val="16"/>
                <w:szCs w:val="16"/>
                <w:color w:val="auto"/>
              </w:rPr>
              <w:t>Ms. Johnson</w:t>
            </w:r>
          </w:p>
        </w:tc>
        <w:tc>
          <w:tcPr>
            <w:tcW w:w="2180" w:type="dxa"/>
            <w:vAlign w:val="bottom"/>
          </w:tcPr>
          <w:p>
            <w:pPr>
              <w:jc w:val="right"/>
              <w:ind w:right="319"/>
              <w:spacing w:after="0"/>
              <w:rPr>
                <w:sz w:val="20"/>
                <w:szCs w:val="20"/>
                <w:color w:val="auto"/>
              </w:rPr>
            </w:pPr>
            <w:r>
              <w:rPr>
                <w:rFonts w:ascii="Arial" w:cs="Arial" w:eastAsia="Arial" w:hAnsi="Arial"/>
                <w:sz w:val="16"/>
                <w:szCs w:val="16"/>
                <w:color w:val="auto"/>
              </w:rPr>
              <w:t>$116,000</w:t>
            </w:r>
          </w:p>
        </w:tc>
        <w:tc>
          <w:tcPr>
            <w:tcW w:w="1600" w:type="dxa"/>
            <w:vAlign w:val="bottom"/>
          </w:tcPr>
          <w:p>
            <w:pPr>
              <w:jc w:val="right"/>
              <w:ind w:right="399"/>
              <w:spacing w:after="0"/>
              <w:rPr>
                <w:sz w:val="20"/>
                <w:szCs w:val="20"/>
                <w:color w:val="auto"/>
              </w:rPr>
            </w:pPr>
            <w:r>
              <w:rPr>
                <w:rFonts w:ascii="Arial" w:cs="Arial" w:eastAsia="Arial" w:hAnsi="Arial"/>
                <w:sz w:val="16"/>
                <w:szCs w:val="16"/>
                <w:color w:val="auto"/>
              </w:rPr>
              <w:t>$220,000</w:t>
            </w:r>
          </w:p>
        </w:tc>
        <w:tc>
          <w:tcPr>
            <w:tcW w:w="1840" w:type="dxa"/>
            <w:vAlign w:val="bottom"/>
          </w:tcPr>
          <w:p>
            <w:pPr>
              <w:jc w:val="right"/>
              <w:ind w:right="379"/>
              <w:spacing w:after="0"/>
              <w:rPr>
                <w:sz w:val="20"/>
                <w:szCs w:val="20"/>
                <w:color w:val="auto"/>
              </w:rPr>
            </w:pPr>
            <w:r>
              <w:rPr>
                <w:rFonts w:ascii="Arial" w:cs="Arial" w:eastAsia="Arial" w:hAnsi="Arial"/>
                <w:sz w:val="16"/>
                <w:szCs w:val="16"/>
                <w:color w:val="auto"/>
              </w:rPr>
              <w:t>$0</w:t>
            </w:r>
          </w:p>
        </w:tc>
        <w:tc>
          <w:tcPr>
            <w:tcW w:w="1320" w:type="dxa"/>
            <w:vAlign w:val="bottom"/>
          </w:tcPr>
          <w:p>
            <w:pPr>
              <w:jc w:val="right"/>
              <w:ind w:right="259"/>
              <w:spacing w:after="0"/>
              <w:rPr>
                <w:sz w:val="20"/>
                <w:szCs w:val="20"/>
                <w:color w:val="auto"/>
              </w:rPr>
            </w:pPr>
            <w:r>
              <w:rPr>
                <w:rFonts w:ascii="Arial" w:cs="Arial" w:eastAsia="Arial" w:hAnsi="Arial"/>
                <w:sz w:val="16"/>
                <w:szCs w:val="16"/>
                <w:color w:val="auto"/>
              </w:rPr>
              <w:t>$336,000</w:t>
            </w:r>
          </w:p>
        </w:tc>
      </w:tr>
      <w:tr>
        <w:trPr>
          <w:trHeight w:val="264"/>
        </w:trPr>
        <w:tc>
          <w:tcPr>
            <w:tcW w:w="2000" w:type="dxa"/>
            <w:vAlign w:val="bottom"/>
            <w:shd w:val="clear" w:color="auto" w:fill="F2F2F2"/>
          </w:tcPr>
          <w:p>
            <w:pPr>
              <w:ind w:left="20"/>
              <w:spacing w:after="0"/>
              <w:rPr>
                <w:sz w:val="20"/>
                <w:szCs w:val="20"/>
                <w:color w:val="auto"/>
              </w:rPr>
            </w:pPr>
            <w:r>
              <w:rPr>
                <w:rFonts w:ascii="Arial" w:cs="Arial" w:eastAsia="Arial" w:hAnsi="Arial"/>
                <w:sz w:val="16"/>
                <w:szCs w:val="16"/>
                <w:color w:val="auto"/>
              </w:rPr>
              <w:t>Dr. Kaelin</w:t>
            </w:r>
          </w:p>
        </w:tc>
        <w:tc>
          <w:tcPr>
            <w:tcW w:w="2180" w:type="dxa"/>
            <w:vAlign w:val="bottom"/>
            <w:shd w:val="clear" w:color="auto" w:fill="F2F2F2"/>
          </w:tcPr>
          <w:p>
            <w:pPr>
              <w:jc w:val="right"/>
              <w:ind w:right="319"/>
              <w:spacing w:after="0"/>
              <w:rPr>
                <w:sz w:val="20"/>
                <w:szCs w:val="20"/>
                <w:color w:val="auto"/>
              </w:rPr>
            </w:pPr>
            <w:r>
              <w:rPr>
                <w:rFonts w:ascii="Arial" w:cs="Arial" w:eastAsia="Arial" w:hAnsi="Arial"/>
                <w:sz w:val="16"/>
                <w:szCs w:val="16"/>
                <w:color w:val="auto"/>
              </w:rPr>
              <w:t>$142,000</w:t>
            </w:r>
          </w:p>
        </w:tc>
        <w:tc>
          <w:tcPr>
            <w:tcW w:w="1600" w:type="dxa"/>
            <w:vAlign w:val="bottom"/>
            <w:shd w:val="clear" w:color="auto" w:fill="F2F2F2"/>
          </w:tcPr>
          <w:p>
            <w:pPr>
              <w:jc w:val="right"/>
              <w:ind w:right="399"/>
              <w:spacing w:after="0"/>
              <w:rPr>
                <w:sz w:val="20"/>
                <w:szCs w:val="20"/>
                <w:color w:val="auto"/>
              </w:rPr>
            </w:pPr>
            <w:r>
              <w:rPr>
                <w:rFonts w:ascii="Arial" w:cs="Arial" w:eastAsia="Arial" w:hAnsi="Arial"/>
                <w:sz w:val="16"/>
                <w:szCs w:val="16"/>
                <w:color w:val="auto"/>
              </w:rPr>
              <w:t>$220,000</w:t>
            </w:r>
          </w:p>
        </w:tc>
        <w:tc>
          <w:tcPr>
            <w:tcW w:w="1840" w:type="dxa"/>
            <w:vAlign w:val="bottom"/>
            <w:shd w:val="clear" w:color="auto" w:fill="F2F2F2"/>
          </w:tcPr>
          <w:p>
            <w:pPr>
              <w:jc w:val="right"/>
              <w:ind w:right="379"/>
              <w:spacing w:after="0"/>
              <w:rPr>
                <w:sz w:val="20"/>
                <w:szCs w:val="20"/>
                <w:color w:val="auto"/>
              </w:rPr>
            </w:pPr>
            <w:r>
              <w:rPr>
                <w:rFonts w:ascii="Arial" w:cs="Arial" w:eastAsia="Arial" w:hAnsi="Arial"/>
                <w:sz w:val="16"/>
                <w:szCs w:val="16"/>
                <w:color w:val="auto"/>
              </w:rPr>
              <w:t>$38,150</w:t>
            </w:r>
          </w:p>
        </w:tc>
        <w:tc>
          <w:tcPr>
            <w:tcW w:w="1320" w:type="dxa"/>
            <w:vAlign w:val="bottom"/>
            <w:shd w:val="clear" w:color="auto" w:fill="F2F2F2"/>
          </w:tcPr>
          <w:p>
            <w:pPr>
              <w:jc w:val="right"/>
              <w:ind w:right="259"/>
              <w:spacing w:after="0"/>
              <w:rPr>
                <w:sz w:val="20"/>
                <w:szCs w:val="20"/>
                <w:color w:val="auto"/>
              </w:rPr>
            </w:pPr>
            <w:r>
              <w:rPr>
                <w:rFonts w:ascii="Arial" w:cs="Arial" w:eastAsia="Arial" w:hAnsi="Arial"/>
                <w:sz w:val="16"/>
                <w:szCs w:val="16"/>
                <w:color w:val="auto"/>
              </w:rPr>
              <w:t>$400,150</w:t>
            </w:r>
          </w:p>
        </w:tc>
      </w:tr>
      <w:tr>
        <w:trPr>
          <w:trHeight w:val="249"/>
        </w:trPr>
        <w:tc>
          <w:tcPr>
            <w:tcW w:w="2000" w:type="dxa"/>
            <w:vAlign w:val="bottom"/>
          </w:tcPr>
          <w:p>
            <w:pPr>
              <w:ind w:left="20"/>
              <w:spacing w:after="0"/>
              <w:rPr>
                <w:sz w:val="20"/>
                <w:szCs w:val="20"/>
                <w:color w:val="auto"/>
              </w:rPr>
            </w:pPr>
            <w:r>
              <w:rPr>
                <w:rFonts w:ascii="Arial" w:cs="Arial" w:eastAsia="Arial" w:hAnsi="Arial"/>
                <w:sz w:val="16"/>
                <w:szCs w:val="16"/>
                <w:color w:val="auto"/>
              </w:rPr>
              <w:t>Mr. Luciano</w:t>
            </w:r>
          </w:p>
        </w:tc>
        <w:tc>
          <w:tcPr>
            <w:tcW w:w="2180" w:type="dxa"/>
            <w:vAlign w:val="bottom"/>
          </w:tcPr>
          <w:p>
            <w:pPr>
              <w:jc w:val="right"/>
              <w:ind w:right="319"/>
              <w:spacing w:after="0"/>
              <w:rPr>
                <w:sz w:val="20"/>
                <w:szCs w:val="20"/>
                <w:color w:val="auto"/>
              </w:rPr>
            </w:pPr>
            <w:r>
              <w:rPr>
                <w:rFonts w:ascii="Arial" w:cs="Arial" w:eastAsia="Arial" w:hAnsi="Arial"/>
                <w:sz w:val="16"/>
                <w:szCs w:val="16"/>
                <w:color w:val="auto"/>
              </w:rPr>
              <w:t>$178,000</w:t>
            </w:r>
          </w:p>
        </w:tc>
        <w:tc>
          <w:tcPr>
            <w:tcW w:w="1600" w:type="dxa"/>
            <w:vAlign w:val="bottom"/>
          </w:tcPr>
          <w:p>
            <w:pPr>
              <w:jc w:val="right"/>
              <w:ind w:right="399"/>
              <w:spacing w:after="0"/>
              <w:rPr>
                <w:sz w:val="20"/>
                <w:szCs w:val="20"/>
                <w:color w:val="auto"/>
              </w:rPr>
            </w:pPr>
            <w:r>
              <w:rPr>
                <w:rFonts w:ascii="Arial" w:cs="Arial" w:eastAsia="Arial" w:hAnsi="Arial"/>
                <w:sz w:val="16"/>
                <w:szCs w:val="16"/>
                <w:color w:val="auto"/>
              </w:rPr>
              <w:t>$220,000</w:t>
            </w:r>
          </w:p>
        </w:tc>
        <w:tc>
          <w:tcPr>
            <w:tcW w:w="1840" w:type="dxa"/>
            <w:vAlign w:val="bottom"/>
          </w:tcPr>
          <w:p>
            <w:pPr>
              <w:jc w:val="right"/>
              <w:ind w:right="379"/>
              <w:spacing w:after="0"/>
              <w:rPr>
                <w:sz w:val="20"/>
                <w:szCs w:val="20"/>
                <w:color w:val="auto"/>
              </w:rPr>
            </w:pPr>
            <w:r>
              <w:rPr>
                <w:rFonts w:ascii="Arial" w:cs="Arial" w:eastAsia="Arial" w:hAnsi="Arial"/>
                <w:sz w:val="16"/>
                <w:szCs w:val="16"/>
                <w:color w:val="auto"/>
              </w:rPr>
              <w:t>$0</w:t>
            </w:r>
          </w:p>
        </w:tc>
        <w:tc>
          <w:tcPr>
            <w:tcW w:w="1320" w:type="dxa"/>
            <w:vAlign w:val="bottom"/>
          </w:tcPr>
          <w:p>
            <w:pPr>
              <w:jc w:val="right"/>
              <w:ind w:right="259"/>
              <w:spacing w:after="0"/>
              <w:rPr>
                <w:sz w:val="20"/>
                <w:szCs w:val="20"/>
                <w:color w:val="auto"/>
              </w:rPr>
            </w:pPr>
            <w:r>
              <w:rPr>
                <w:rFonts w:ascii="Arial" w:cs="Arial" w:eastAsia="Arial" w:hAnsi="Arial"/>
                <w:sz w:val="16"/>
                <w:szCs w:val="16"/>
                <w:color w:val="auto"/>
              </w:rPr>
              <w:t>$398,000</w:t>
            </w:r>
          </w:p>
        </w:tc>
      </w:tr>
      <w:tr>
        <w:trPr>
          <w:trHeight w:val="264"/>
        </w:trPr>
        <w:tc>
          <w:tcPr>
            <w:tcW w:w="2000" w:type="dxa"/>
            <w:vAlign w:val="bottom"/>
            <w:shd w:val="clear" w:color="auto" w:fill="F2F2F2"/>
          </w:tcPr>
          <w:p>
            <w:pPr>
              <w:ind w:left="20"/>
              <w:spacing w:after="0"/>
              <w:rPr>
                <w:sz w:val="20"/>
                <w:szCs w:val="20"/>
                <w:color w:val="auto"/>
              </w:rPr>
            </w:pPr>
            <w:r>
              <w:rPr>
                <w:rFonts w:ascii="Arial" w:cs="Arial" w:eastAsia="Arial" w:hAnsi="Arial"/>
                <w:sz w:val="16"/>
                <w:szCs w:val="16"/>
                <w:color w:val="auto"/>
              </w:rPr>
              <w:t>Mr. Moeller</w:t>
            </w:r>
          </w:p>
        </w:tc>
        <w:tc>
          <w:tcPr>
            <w:tcW w:w="2180" w:type="dxa"/>
            <w:vAlign w:val="bottom"/>
            <w:shd w:val="clear" w:color="auto" w:fill="F2F2F2"/>
          </w:tcPr>
          <w:p>
            <w:pPr>
              <w:jc w:val="right"/>
              <w:ind w:right="319"/>
              <w:spacing w:after="0"/>
              <w:rPr>
                <w:sz w:val="20"/>
                <w:szCs w:val="20"/>
                <w:color w:val="auto"/>
              </w:rPr>
            </w:pPr>
            <w:r>
              <w:rPr>
                <w:rFonts w:ascii="Arial" w:cs="Arial" w:eastAsia="Arial" w:hAnsi="Arial"/>
                <w:sz w:val="16"/>
                <w:szCs w:val="16"/>
                <w:color w:val="auto"/>
              </w:rPr>
              <w:t>$9,917</w:t>
            </w:r>
          </w:p>
        </w:tc>
        <w:tc>
          <w:tcPr>
            <w:tcW w:w="1600" w:type="dxa"/>
            <w:vAlign w:val="bottom"/>
            <w:shd w:val="clear" w:color="auto" w:fill="F2F2F2"/>
          </w:tcPr>
          <w:p>
            <w:pPr>
              <w:jc w:val="right"/>
              <w:ind w:right="399"/>
              <w:spacing w:after="0"/>
              <w:rPr>
                <w:sz w:val="20"/>
                <w:szCs w:val="20"/>
                <w:color w:val="auto"/>
              </w:rPr>
            </w:pPr>
            <w:r>
              <w:rPr>
                <w:rFonts w:ascii="Arial" w:cs="Arial" w:eastAsia="Arial" w:hAnsi="Arial"/>
                <w:sz w:val="16"/>
                <w:szCs w:val="16"/>
                <w:color w:val="auto"/>
              </w:rPr>
              <w:t>$0</w:t>
            </w:r>
          </w:p>
        </w:tc>
        <w:tc>
          <w:tcPr>
            <w:tcW w:w="1840" w:type="dxa"/>
            <w:vAlign w:val="bottom"/>
            <w:shd w:val="clear" w:color="auto" w:fill="F2F2F2"/>
          </w:tcPr>
          <w:p>
            <w:pPr>
              <w:jc w:val="right"/>
              <w:ind w:right="379"/>
              <w:spacing w:after="0"/>
              <w:rPr>
                <w:sz w:val="20"/>
                <w:szCs w:val="20"/>
                <w:color w:val="auto"/>
              </w:rPr>
            </w:pPr>
            <w:r>
              <w:rPr>
                <w:rFonts w:ascii="Arial" w:cs="Arial" w:eastAsia="Arial" w:hAnsi="Arial"/>
                <w:sz w:val="16"/>
                <w:szCs w:val="16"/>
                <w:color w:val="auto"/>
              </w:rPr>
              <w:t>$0</w:t>
            </w:r>
          </w:p>
        </w:tc>
        <w:tc>
          <w:tcPr>
            <w:tcW w:w="1320" w:type="dxa"/>
            <w:vAlign w:val="bottom"/>
            <w:shd w:val="clear" w:color="auto" w:fill="F2F2F2"/>
          </w:tcPr>
          <w:p>
            <w:pPr>
              <w:jc w:val="right"/>
              <w:ind w:right="259"/>
              <w:spacing w:after="0"/>
              <w:rPr>
                <w:sz w:val="20"/>
                <w:szCs w:val="20"/>
                <w:color w:val="auto"/>
              </w:rPr>
            </w:pPr>
            <w:r>
              <w:rPr>
                <w:rFonts w:ascii="Arial" w:cs="Arial" w:eastAsia="Arial" w:hAnsi="Arial"/>
                <w:sz w:val="16"/>
                <w:szCs w:val="16"/>
                <w:color w:val="auto"/>
              </w:rPr>
              <w:t>$9,917</w:t>
            </w:r>
          </w:p>
        </w:tc>
      </w:tr>
      <w:tr>
        <w:trPr>
          <w:trHeight w:val="241"/>
        </w:trPr>
        <w:tc>
          <w:tcPr>
            <w:tcW w:w="2000" w:type="dxa"/>
            <w:vAlign w:val="bottom"/>
          </w:tcPr>
          <w:p>
            <w:pPr>
              <w:ind w:left="20"/>
              <w:spacing w:after="0"/>
              <w:rPr>
                <w:sz w:val="20"/>
                <w:szCs w:val="20"/>
                <w:color w:val="auto"/>
              </w:rPr>
            </w:pPr>
            <w:r>
              <w:rPr>
                <w:rFonts w:ascii="Arial" w:cs="Arial" w:eastAsia="Arial" w:hAnsi="Arial"/>
                <w:sz w:val="16"/>
                <w:szCs w:val="16"/>
                <w:color w:val="auto"/>
              </w:rPr>
              <w:t>Ms. Sulzberger</w:t>
            </w:r>
          </w:p>
        </w:tc>
        <w:tc>
          <w:tcPr>
            <w:tcW w:w="2180" w:type="dxa"/>
            <w:vAlign w:val="bottom"/>
          </w:tcPr>
          <w:p>
            <w:pPr>
              <w:jc w:val="right"/>
              <w:ind w:right="319"/>
              <w:spacing w:after="0"/>
              <w:rPr>
                <w:sz w:val="20"/>
                <w:szCs w:val="20"/>
                <w:color w:val="auto"/>
              </w:rPr>
            </w:pPr>
            <w:r>
              <w:rPr>
                <w:rFonts w:ascii="Arial" w:cs="Arial" w:eastAsia="Arial" w:hAnsi="Arial"/>
                <w:sz w:val="16"/>
                <w:szCs w:val="16"/>
                <w:color w:val="auto"/>
              </w:rPr>
              <w:t>$119,000</w:t>
            </w:r>
          </w:p>
        </w:tc>
        <w:tc>
          <w:tcPr>
            <w:tcW w:w="1600" w:type="dxa"/>
            <w:vAlign w:val="bottom"/>
          </w:tcPr>
          <w:p>
            <w:pPr>
              <w:jc w:val="right"/>
              <w:ind w:right="399"/>
              <w:spacing w:after="0"/>
              <w:rPr>
                <w:sz w:val="20"/>
                <w:szCs w:val="20"/>
                <w:color w:val="auto"/>
              </w:rPr>
            </w:pPr>
            <w:r>
              <w:rPr>
                <w:rFonts w:ascii="Arial" w:cs="Arial" w:eastAsia="Arial" w:hAnsi="Arial"/>
                <w:sz w:val="16"/>
                <w:szCs w:val="16"/>
                <w:color w:val="auto"/>
              </w:rPr>
              <w:t>$220,000</w:t>
            </w:r>
          </w:p>
        </w:tc>
        <w:tc>
          <w:tcPr>
            <w:tcW w:w="1840" w:type="dxa"/>
            <w:vAlign w:val="bottom"/>
          </w:tcPr>
          <w:p>
            <w:pPr>
              <w:jc w:val="right"/>
              <w:ind w:right="379"/>
              <w:spacing w:after="0"/>
              <w:rPr>
                <w:sz w:val="20"/>
                <w:szCs w:val="20"/>
                <w:color w:val="auto"/>
              </w:rPr>
            </w:pPr>
            <w:r>
              <w:rPr>
                <w:rFonts w:ascii="Arial" w:cs="Arial" w:eastAsia="Arial" w:hAnsi="Arial"/>
                <w:sz w:val="16"/>
                <w:szCs w:val="16"/>
                <w:color w:val="auto"/>
              </w:rPr>
              <w:t>$27,750</w:t>
            </w:r>
          </w:p>
        </w:tc>
        <w:tc>
          <w:tcPr>
            <w:tcW w:w="1320" w:type="dxa"/>
            <w:vAlign w:val="bottom"/>
          </w:tcPr>
          <w:p>
            <w:pPr>
              <w:jc w:val="right"/>
              <w:ind w:right="259"/>
              <w:spacing w:after="0"/>
              <w:rPr>
                <w:sz w:val="20"/>
                <w:szCs w:val="20"/>
                <w:color w:val="auto"/>
              </w:rPr>
            </w:pPr>
            <w:r>
              <w:rPr>
                <w:rFonts w:ascii="Arial" w:cs="Arial" w:eastAsia="Arial" w:hAnsi="Arial"/>
                <w:sz w:val="16"/>
                <w:szCs w:val="16"/>
                <w:color w:val="auto"/>
              </w:rPr>
              <w:t>$366,750</w:t>
            </w:r>
          </w:p>
        </w:tc>
      </w:tr>
      <w:tr>
        <w:trPr>
          <w:trHeight w:val="69"/>
        </w:trPr>
        <w:tc>
          <w:tcPr>
            <w:tcW w:w="2000" w:type="dxa"/>
            <w:vAlign w:val="bottom"/>
            <w:tcBorders>
              <w:bottom w:val="single" w:sz="8" w:color="6D6D6D"/>
            </w:tcBorders>
          </w:tcPr>
          <w:p>
            <w:pPr>
              <w:spacing w:after="0"/>
              <w:rPr>
                <w:sz w:val="6"/>
                <w:szCs w:val="6"/>
                <w:color w:val="auto"/>
              </w:rPr>
            </w:pPr>
          </w:p>
        </w:tc>
        <w:tc>
          <w:tcPr>
            <w:tcW w:w="2180" w:type="dxa"/>
            <w:vAlign w:val="bottom"/>
            <w:tcBorders>
              <w:bottom w:val="single" w:sz="8" w:color="6D6D6D"/>
            </w:tcBorders>
          </w:tcPr>
          <w:p>
            <w:pPr>
              <w:spacing w:after="0"/>
              <w:rPr>
                <w:sz w:val="6"/>
                <w:szCs w:val="6"/>
                <w:color w:val="auto"/>
              </w:rPr>
            </w:pPr>
          </w:p>
        </w:tc>
        <w:tc>
          <w:tcPr>
            <w:tcW w:w="1600" w:type="dxa"/>
            <w:vAlign w:val="bottom"/>
            <w:tcBorders>
              <w:bottom w:val="single" w:sz="8" w:color="6D6D6D"/>
            </w:tcBorders>
          </w:tcPr>
          <w:p>
            <w:pPr>
              <w:spacing w:after="0"/>
              <w:rPr>
                <w:sz w:val="6"/>
                <w:szCs w:val="6"/>
                <w:color w:val="auto"/>
              </w:rPr>
            </w:pPr>
          </w:p>
        </w:tc>
        <w:tc>
          <w:tcPr>
            <w:tcW w:w="1840" w:type="dxa"/>
            <w:vAlign w:val="bottom"/>
            <w:tcBorders>
              <w:bottom w:val="single" w:sz="8" w:color="6D6D6D"/>
            </w:tcBorders>
          </w:tcPr>
          <w:p>
            <w:pPr>
              <w:spacing w:after="0"/>
              <w:rPr>
                <w:sz w:val="6"/>
                <w:szCs w:val="6"/>
                <w:color w:val="auto"/>
              </w:rPr>
            </w:pPr>
          </w:p>
        </w:tc>
        <w:tc>
          <w:tcPr>
            <w:tcW w:w="1320" w:type="dxa"/>
            <w:vAlign w:val="bottom"/>
            <w:tcBorders>
              <w:bottom w:val="single" w:sz="8" w:color="6D6D6D"/>
            </w:tcBorders>
          </w:tcPr>
          <w:p>
            <w:pPr>
              <w:spacing w:after="0"/>
              <w:rPr>
                <w:sz w:val="6"/>
                <w:szCs w:val="6"/>
                <w:color w:val="auto"/>
              </w:rPr>
            </w:pPr>
          </w:p>
        </w:tc>
      </w:tr>
      <w:tr>
        <w:trPr>
          <w:trHeight w:val="233"/>
        </w:trPr>
        <w:tc>
          <w:tcPr>
            <w:tcW w:w="200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Former Director:</w:t>
            </w:r>
          </w:p>
        </w:tc>
        <w:tc>
          <w:tcPr>
            <w:tcW w:w="21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60"/>
        </w:trPr>
        <w:tc>
          <w:tcPr>
            <w:tcW w:w="2000" w:type="dxa"/>
            <w:vAlign w:val="bottom"/>
            <w:shd w:val="clear" w:color="auto" w:fill="F2F2F2"/>
          </w:tcPr>
          <w:p>
            <w:pPr>
              <w:ind w:left="20"/>
              <w:spacing w:after="0"/>
              <w:rPr>
                <w:sz w:val="20"/>
                <w:szCs w:val="20"/>
                <w:color w:val="auto"/>
              </w:rPr>
            </w:pPr>
            <w:r>
              <w:rPr>
                <w:rFonts w:ascii="Arial" w:cs="Arial" w:eastAsia="Arial" w:hAnsi="Arial"/>
                <w:sz w:val="16"/>
                <w:szCs w:val="16"/>
                <w:color w:val="auto"/>
              </w:rPr>
              <w:t>Dr. Runge</w:t>
            </w:r>
            <w:r>
              <w:rPr>
                <w:rFonts w:ascii="Arial" w:cs="Arial" w:eastAsia="Arial" w:hAnsi="Arial"/>
                <w:sz w:val="21"/>
                <w:szCs w:val="21"/>
                <w:color w:val="auto"/>
                <w:vertAlign w:val="superscript"/>
              </w:rPr>
              <w:t>4</w:t>
            </w:r>
          </w:p>
        </w:tc>
        <w:tc>
          <w:tcPr>
            <w:tcW w:w="2180" w:type="dxa"/>
            <w:vAlign w:val="bottom"/>
            <w:shd w:val="clear" w:color="auto" w:fill="F2F2F2"/>
          </w:tcPr>
          <w:p>
            <w:pPr>
              <w:jc w:val="right"/>
              <w:ind w:right="319"/>
              <w:spacing w:after="0"/>
              <w:rPr>
                <w:sz w:val="20"/>
                <w:szCs w:val="20"/>
                <w:color w:val="auto"/>
              </w:rPr>
            </w:pPr>
            <w:r>
              <w:rPr>
                <w:rFonts w:ascii="Arial" w:cs="Arial" w:eastAsia="Arial" w:hAnsi="Arial"/>
                <w:sz w:val="16"/>
                <w:szCs w:val="16"/>
                <w:color w:val="auto"/>
              </w:rPr>
              <w:t>$79,333</w:t>
            </w:r>
          </w:p>
        </w:tc>
        <w:tc>
          <w:tcPr>
            <w:tcW w:w="1600" w:type="dxa"/>
            <w:vAlign w:val="bottom"/>
            <w:shd w:val="clear" w:color="auto" w:fill="F2F2F2"/>
          </w:tcPr>
          <w:p>
            <w:pPr>
              <w:jc w:val="right"/>
              <w:ind w:right="399"/>
              <w:spacing w:after="0"/>
              <w:rPr>
                <w:sz w:val="20"/>
                <w:szCs w:val="20"/>
                <w:color w:val="auto"/>
              </w:rPr>
            </w:pPr>
            <w:r>
              <w:rPr>
                <w:rFonts w:ascii="Arial" w:cs="Arial" w:eastAsia="Arial" w:hAnsi="Arial"/>
                <w:sz w:val="16"/>
                <w:szCs w:val="16"/>
                <w:color w:val="auto"/>
              </w:rPr>
              <w:t>$146,667</w:t>
            </w:r>
          </w:p>
        </w:tc>
        <w:tc>
          <w:tcPr>
            <w:tcW w:w="1840" w:type="dxa"/>
            <w:vAlign w:val="bottom"/>
            <w:shd w:val="clear" w:color="auto" w:fill="F2F2F2"/>
          </w:tcPr>
          <w:p>
            <w:pPr>
              <w:jc w:val="right"/>
              <w:ind w:right="379"/>
              <w:spacing w:after="0"/>
              <w:rPr>
                <w:sz w:val="20"/>
                <w:szCs w:val="20"/>
                <w:color w:val="auto"/>
              </w:rPr>
            </w:pPr>
            <w:r>
              <w:rPr>
                <w:rFonts w:ascii="Arial" w:cs="Arial" w:eastAsia="Arial" w:hAnsi="Arial"/>
                <w:sz w:val="16"/>
                <w:szCs w:val="16"/>
                <w:color w:val="auto"/>
              </w:rPr>
              <w:t>$10,000</w:t>
            </w:r>
          </w:p>
        </w:tc>
        <w:tc>
          <w:tcPr>
            <w:tcW w:w="1320" w:type="dxa"/>
            <w:vAlign w:val="bottom"/>
            <w:shd w:val="clear" w:color="auto" w:fill="F2F2F2"/>
          </w:tcPr>
          <w:p>
            <w:pPr>
              <w:jc w:val="right"/>
              <w:ind w:right="259"/>
              <w:spacing w:after="0"/>
              <w:rPr>
                <w:sz w:val="20"/>
                <w:szCs w:val="20"/>
                <w:color w:val="auto"/>
              </w:rPr>
            </w:pPr>
            <w:r>
              <w:rPr>
                <w:rFonts w:ascii="Arial" w:cs="Arial" w:eastAsia="Arial" w:hAnsi="Arial"/>
                <w:sz w:val="16"/>
                <w:szCs w:val="16"/>
                <w:color w:val="auto"/>
              </w:rPr>
              <w:t>$236,000</w:t>
            </w:r>
          </w:p>
        </w:tc>
      </w:tr>
      <w:tr>
        <w:trPr>
          <w:trHeight w:val="257"/>
        </w:trPr>
        <w:tc>
          <w:tcPr>
            <w:tcW w:w="2000" w:type="dxa"/>
            <w:vAlign w:val="bottom"/>
            <w:tcBorders>
              <w:bottom w:val="single" w:sz="8" w:color="6D6D6D"/>
            </w:tcBorders>
          </w:tcPr>
          <w:p>
            <w:pPr>
              <w:ind w:left="20"/>
              <w:spacing w:after="0"/>
              <w:rPr>
                <w:sz w:val="20"/>
                <w:szCs w:val="20"/>
                <w:color w:val="auto"/>
              </w:rPr>
            </w:pPr>
            <w:r>
              <w:rPr>
                <w:rFonts w:ascii="Arial" w:cs="Arial" w:eastAsia="Arial" w:hAnsi="Arial"/>
                <w:sz w:val="16"/>
                <w:szCs w:val="16"/>
                <w:color w:val="auto"/>
              </w:rPr>
              <w:t>Ms. Walker</w:t>
            </w:r>
            <w:r>
              <w:rPr>
                <w:rFonts w:ascii="Arial" w:cs="Arial" w:eastAsia="Arial" w:hAnsi="Arial"/>
                <w:sz w:val="21"/>
                <w:szCs w:val="21"/>
                <w:color w:val="auto"/>
                <w:vertAlign w:val="superscript"/>
              </w:rPr>
              <w:t>4</w:t>
            </w:r>
          </w:p>
        </w:tc>
        <w:tc>
          <w:tcPr>
            <w:tcW w:w="2180" w:type="dxa"/>
            <w:vAlign w:val="bottom"/>
            <w:tcBorders>
              <w:bottom w:val="single" w:sz="8" w:color="6D6D6D"/>
            </w:tcBorders>
          </w:tcPr>
          <w:p>
            <w:pPr>
              <w:jc w:val="right"/>
              <w:ind w:right="319"/>
              <w:spacing w:after="0"/>
              <w:rPr>
                <w:sz w:val="20"/>
                <w:szCs w:val="20"/>
                <w:color w:val="auto"/>
              </w:rPr>
            </w:pPr>
            <w:r>
              <w:rPr>
                <w:rFonts w:ascii="Arial" w:cs="Arial" w:eastAsia="Arial" w:hAnsi="Arial"/>
                <w:sz w:val="16"/>
                <w:szCs w:val="16"/>
                <w:color w:val="auto"/>
              </w:rPr>
              <w:t>$119,000</w:t>
            </w:r>
          </w:p>
        </w:tc>
        <w:tc>
          <w:tcPr>
            <w:tcW w:w="1600" w:type="dxa"/>
            <w:vAlign w:val="bottom"/>
            <w:tcBorders>
              <w:bottom w:val="single" w:sz="8" w:color="6D6D6D"/>
            </w:tcBorders>
          </w:tcPr>
          <w:p>
            <w:pPr>
              <w:jc w:val="right"/>
              <w:ind w:right="399"/>
              <w:spacing w:after="0"/>
              <w:rPr>
                <w:sz w:val="20"/>
                <w:szCs w:val="20"/>
                <w:color w:val="auto"/>
              </w:rPr>
            </w:pPr>
            <w:r>
              <w:rPr>
                <w:rFonts w:ascii="Arial" w:cs="Arial" w:eastAsia="Arial" w:hAnsi="Arial"/>
                <w:sz w:val="16"/>
                <w:szCs w:val="16"/>
                <w:color w:val="auto"/>
              </w:rPr>
              <w:t>$220,000</w:t>
            </w:r>
          </w:p>
        </w:tc>
        <w:tc>
          <w:tcPr>
            <w:tcW w:w="1840" w:type="dxa"/>
            <w:vAlign w:val="bottom"/>
            <w:tcBorders>
              <w:bottom w:val="single" w:sz="8" w:color="6D6D6D"/>
            </w:tcBorders>
          </w:tcPr>
          <w:p>
            <w:pPr>
              <w:jc w:val="right"/>
              <w:ind w:right="379"/>
              <w:spacing w:after="0"/>
              <w:rPr>
                <w:sz w:val="20"/>
                <w:szCs w:val="20"/>
                <w:color w:val="auto"/>
              </w:rPr>
            </w:pPr>
            <w:r>
              <w:rPr>
                <w:rFonts w:ascii="Arial" w:cs="Arial" w:eastAsia="Arial" w:hAnsi="Arial"/>
                <w:sz w:val="16"/>
                <w:szCs w:val="16"/>
                <w:color w:val="auto"/>
              </w:rPr>
              <w:t>$0</w:t>
            </w:r>
          </w:p>
        </w:tc>
        <w:tc>
          <w:tcPr>
            <w:tcW w:w="1320" w:type="dxa"/>
            <w:vAlign w:val="bottom"/>
            <w:tcBorders>
              <w:bottom w:val="single" w:sz="8" w:color="6D6D6D"/>
            </w:tcBorders>
          </w:tcPr>
          <w:p>
            <w:pPr>
              <w:jc w:val="right"/>
              <w:ind w:right="259"/>
              <w:spacing w:after="0"/>
              <w:rPr>
                <w:sz w:val="20"/>
                <w:szCs w:val="20"/>
                <w:color w:val="auto"/>
              </w:rPr>
            </w:pPr>
            <w:r>
              <w:rPr>
                <w:rFonts w:ascii="Arial" w:cs="Arial" w:eastAsia="Arial" w:hAnsi="Arial"/>
                <w:sz w:val="16"/>
                <w:szCs w:val="16"/>
                <w:color w:val="auto"/>
              </w:rPr>
              <w:t>$339,000</w:t>
            </w:r>
          </w:p>
        </w:tc>
      </w:tr>
    </w:tbl>
    <w:p>
      <w:pPr>
        <w:spacing w:after="0" w:line="139" w:lineRule="exact"/>
        <w:rPr>
          <w:sz w:val="20"/>
          <w:szCs w:val="20"/>
          <w:color w:val="auto"/>
        </w:rPr>
      </w:pPr>
    </w:p>
    <w:p>
      <w:pPr>
        <w:ind w:left="180" w:right="120" w:hanging="172"/>
        <w:spacing w:after="0" w:line="249" w:lineRule="auto"/>
        <w:tabs>
          <w:tab w:leader="none" w:pos="174" w:val="left"/>
        </w:tabs>
        <w:numPr>
          <w:ilvl w:val="0"/>
          <w:numId w:val="82"/>
        </w:numPr>
        <w:rPr>
          <w:rFonts w:ascii="Arial" w:cs="Arial" w:eastAsia="Arial" w:hAnsi="Arial"/>
          <w:sz w:val="19"/>
          <w:szCs w:val="19"/>
          <w:color w:val="auto"/>
          <w:vertAlign w:val="superscript"/>
        </w:rPr>
      </w:pPr>
      <w:r>
        <w:rPr>
          <w:rFonts w:ascii="Arial" w:cs="Arial" w:eastAsia="Arial" w:hAnsi="Arial"/>
          <w:sz w:val="14"/>
          <w:szCs w:val="14"/>
          <w:color w:val="auto"/>
        </w:rPr>
        <w:t>Each non-employee director received an equity-based award of units valued at $220,000 (approximately 303 units) except Dr. Runge, who received a pro-rated award for a partial year of service valued at $146,667 (approximately 202 shares), and Mr. Moeller, who joined the board after the annual stock award allocation date and will receive a prorated award in 2025 for his service in 2024. These units, and all prior awards of such units, are fully vested; however, the shares subject to such awards of units are not issued until the second January following the director’s departure from board service when, as described above under “Lilly Directors’ Deferral Plan,” the units are converted into shares of company stock and distributed to the former director. The column shows the grant date fair value for each director’s equity-based award computed in accordance with FASB ASC Topic 718, based on the closing stock price on the grant date. See Note 12 of the consolidated financial statements in the company’s Annual Report on Form 10-K for the fiscal year ended December 31, 2024, for additional detail regarding assumptions underlying the valuation of equity awards. Aggregate outstanding stock awards are shown in the “Common Stock Ownership by Directors and Executive Officers” table in the “Stock Units Not Distributable Within 60 Days” column.</w:t>
      </w:r>
    </w:p>
    <w:p>
      <w:pPr>
        <w:spacing w:after="0" w:line="211" w:lineRule="exact"/>
        <w:rPr>
          <w:sz w:val="20"/>
          <w:szCs w:val="20"/>
          <w:color w:val="auto"/>
        </w:rPr>
      </w:pPr>
    </w:p>
    <w:p>
      <w:pPr>
        <w:ind w:left="180" w:hanging="172"/>
        <w:spacing w:after="0" w:line="250" w:lineRule="auto"/>
        <w:tabs>
          <w:tab w:leader="none" w:pos="174" w:val="left"/>
        </w:tabs>
        <w:numPr>
          <w:ilvl w:val="0"/>
          <w:numId w:val="83"/>
        </w:numPr>
        <w:rPr>
          <w:rFonts w:ascii="Arial" w:cs="Arial" w:eastAsia="Arial" w:hAnsi="Arial"/>
          <w:sz w:val="19"/>
          <w:szCs w:val="19"/>
          <w:color w:val="auto"/>
          <w:vertAlign w:val="superscript"/>
        </w:rPr>
      </w:pPr>
      <w:r>
        <w:rPr>
          <w:rFonts w:ascii="Arial" w:cs="Arial" w:eastAsia="Arial" w:hAnsi="Arial"/>
          <w:sz w:val="14"/>
          <w:szCs w:val="14"/>
          <w:color w:val="auto"/>
        </w:rPr>
        <w:t>This column includes amounts donated by the Eli Lilly and Company Foundation, Inc. (the Foundation) under its matching gift program, which is generally available to U.S. employees as well as non-employee directors. Under this program, the Foundation matched 100 percent of charitable donations over $25 made to eligible charities in a calendar year, up to a maximum of $30,000 per year for each individual. However, donations made by an eligible individual at the end of a calendar year may not be matched by the Foundation until the beginning of the next calendar year, in which case the match will be included in the table in the calendar year in which the match is actually paid by the Foundation. The Foundation matched these donations via payments made directly to the recipient charity. The expected payments in 2025 related to matching contributions for donations made by non-employee directors at the end of 2024 include for Mr. Fyrwald - $4,803; Mr. Kaelin - $5,000, Ms. Sulzberger - $26,500 and Ms. Walker - $20,000. The amount for Dr. Runge includes a $10,000 donation by the Foundation to a charity of Dr. Runge's choosing in honor of his retirement from the board, consistent with the company’s traditional practice for retiring directors. In 2025, the Foundation will make a $10,000 donation to a charity of Ms. Walker's choosing in honor of her retirement from the board, consistent with the company’s traditional practice for retiring directors.</w:t>
      </w:r>
    </w:p>
    <w:p>
      <w:pPr>
        <w:spacing w:after="0" w:line="9" w:lineRule="exact"/>
        <w:rPr>
          <w:sz w:val="20"/>
          <w:szCs w:val="20"/>
          <w:color w:val="auto"/>
        </w:rPr>
      </w:pPr>
    </w:p>
    <w:p>
      <w:pPr>
        <w:ind w:left="160" w:hanging="152"/>
        <w:spacing w:after="0"/>
        <w:tabs>
          <w:tab w:leader="none" w:pos="160" w:val="left"/>
        </w:tabs>
        <w:numPr>
          <w:ilvl w:val="0"/>
          <w:numId w:val="84"/>
        </w:numPr>
        <w:rPr>
          <w:rFonts w:ascii="Arial" w:cs="Arial" w:eastAsia="Arial" w:hAnsi="Arial"/>
          <w:sz w:val="19"/>
          <w:szCs w:val="19"/>
          <w:color w:val="auto"/>
          <w:vertAlign w:val="superscript"/>
        </w:rPr>
      </w:pPr>
      <w:r>
        <w:rPr>
          <w:rFonts w:ascii="Arial" w:cs="Arial" w:eastAsia="Arial" w:hAnsi="Arial"/>
          <w:sz w:val="14"/>
          <w:szCs w:val="14"/>
          <w:color w:val="auto"/>
        </w:rPr>
        <w:t>Non-employee directors do not participate in a company pension plan or non-equity incentive plan.</w:t>
      </w:r>
    </w:p>
    <w:p>
      <w:pPr>
        <w:spacing w:after="0" w:line="53" w:lineRule="exact"/>
        <w:rPr>
          <w:rFonts w:ascii="Arial" w:cs="Arial" w:eastAsia="Arial" w:hAnsi="Arial"/>
          <w:sz w:val="19"/>
          <w:szCs w:val="19"/>
          <w:color w:val="auto"/>
          <w:vertAlign w:val="superscript"/>
        </w:rPr>
      </w:pPr>
    </w:p>
    <w:p>
      <w:pPr>
        <w:spacing w:after="0"/>
        <w:rPr>
          <w:rFonts w:ascii="Arial" w:cs="Arial" w:eastAsia="Arial" w:hAnsi="Arial"/>
          <w:sz w:val="19"/>
          <w:szCs w:val="19"/>
          <w:color w:val="auto"/>
          <w:vertAlign w:val="superscript"/>
        </w:rPr>
      </w:pPr>
      <w:r>
        <w:rPr>
          <w:rFonts w:ascii="Arial" w:cs="Arial" w:eastAsia="Arial" w:hAnsi="Arial"/>
          <w:sz w:val="18"/>
          <w:szCs w:val="18"/>
          <w:color w:val="auto"/>
          <w:vertAlign w:val="superscript"/>
        </w:rPr>
        <w:t>4</w:t>
      </w:r>
      <w:r>
        <w:rPr>
          <w:rFonts w:ascii="Arial" w:cs="Arial" w:eastAsia="Arial" w:hAnsi="Arial"/>
          <w:sz w:val="14"/>
          <w:szCs w:val="14"/>
          <w:color w:val="auto"/>
        </w:rPr>
        <w:t xml:space="preserve">  Dr. Runge retired effective August 31, 2024. Ms. Walker resigned effective December 31, 2024.</w:t>
      </w: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131445</wp:posOffset>
            </wp:positionV>
            <wp:extent cx="7157720" cy="425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33" w:name="page34"/>
    <w:bookmarkEnd w:id="33"/>
    <w:p>
      <w:pPr>
        <w:spacing w:after="0"/>
        <w:rPr>
          <w:sz w:val="20"/>
          <w:szCs w:val="20"/>
          <w:color w:val="auto"/>
        </w:rPr>
      </w:pPr>
      <w:r>
        <w:rPr>
          <w:rFonts w:ascii="Arial" w:cs="Arial" w:eastAsia="Arial" w:hAnsi="Arial"/>
          <w:sz w:val="32"/>
          <w:szCs w:val="32"/>
          <w:b w:val="1"/>
          <w:bCs w:val="1"/>
          <w:color w:val="D52B1E"/>
        </w:rPr>
        <w:t>Item 1. Election of Directors</w:t>
      </w:r>
    </w:p>
    <w:p>
      <w:pPr>
        <w:spacing w:after="0" w:line="89" w:lineRule="exact"/>
        <w:rPr>
          <w:sz w:val="20"/>
          <w:szCs w:val="20"/>
          <w:color w:val="auto"/>
        </w:rPr>
      </w:pPr>
    </w:p>
    <w:p>
      <w:pPr>
        <w:jc w:val="both"/>
        <w:ind w:right="140"/>
        <w:spacing w:after="0" w:line="268" w:lineRule="auto"/>
        <w:rPr>
          <w:sz w:val="20"/>
          <w:szCs w:val="20"/>
          <w:color w:val="auto"/>
        </w:rPr>
      </w:pPr>
      <w:r>
        <w:rPr>
          <w:rFonts w:ascii="Arial" w:cs="Arial" w:eastAsia="Arial" w:hAnsi="Arial"/>
          <w:sz w:val="18"/>
          <w:szCs w:val="18"/>
          <w:color w:val="auto"/>
        </w:rPr>
        <w:t>Under our articles of incorporation, the board is divided into three classes with approximately one-third of the directors standing for election each year. The Directors and Corporate Governance Committee has recommended that each of the following four nominees be elected at the Annual Meeting. Each of the director nominees is currently serving as 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102870</wp:posOffset>
            </wp:positionV>
            <wp:extent cx="4937760" cy="20574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4937760" cy="205740"/>
                    </a:xfrm>
                    <a:prstGeom prst="rect">
                      <a:avLst/>
                    </a:prstGeom>
                    <a:noFill/>
                  </pic:spPr>
                </pic:pic>
              </a:graphicData>
            </a:graphic>
          </wp:anchor>
        </w:drawing>
      </w:r>
    </w:p>
    <w:p>
      <w:pPr>
        <w:spacing w:after="0" w:line="168" w:lineRule="exact"/>
        <w:rPr>
          <w:sz w:val="20"/>
          <w:szCs w:val="20"/>
          <w:color w:val="auto"/>
        </w:rPr>
      </w:pPr>
    </w:p>
    <w:p>
      <w:pPr>
        <w:ind w:left="4100"/>
        <w:spacing w:after="0"/>
        <w:rPr>
          <w:sz w:val="20"/>
          <w:szCs w:val="20"/>
          <w:color w:val="auto"/>
        </w:rPr>
      </w:pPr>
      <w:r>
        <w:rPr>
          <w:rFonts w:ascii="Arial" w:cs="Arial" w:eastAsia="Arial" w:hAnsi="Arial"/>
          <w:sz w:val="22"/>
          <w:szCs w:val="22"/>
          <w:b w:val="1"/>
          <w:bCs w:val="1"/>
          <w:color w:val="auto"/>
        </w:rPr>
        <w:t>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937895</wp:posOffset>
            </wp:positionV>
            <wp:extent cx="4937760" cy="47180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4937760" cy="471805"/>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29210</wp:posOffset>
            </wp:positionV>
            <wp:extent cx="4937760" cy="74612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4937760" cy="746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2740"/>
        <w:spacing w:after="0"/>
        <w:rPr>
          <w:sz w:val="20"/>
          <w:szCs w:val="20"/>
          <w:color w:val="auto"/>
        </w:rPr>
      </w:pPr>
      <w:r>
        <w:rPr>
          <w:rFonts w:ascii="Arial" w:cs="Arial" w:eastAsia="Arial" w:hAnsi="Arial"/>
          <w:sz w:val="20"/>
          <w:szCs w:val="20"/>
          <w:b w:val="1"/>
          <w:bCs w:val="1"/>
          <w:color w:val="auto"/>
        </w:rPr>
        <w:t>Mary Lynne Hedley</w:t>
      </w:r>
    </w:p>
    <w:tbl>
      <w:tblPr>
        <w:tblLayout w:type="fixed"/>
        <w:tblInd w:w="740" w:type="dxa"/>
        <w:tblCellMar>
          <w:top w:w="0" w:type="dxa"/>
          <w:left w:w="0" w:type="dxa"/>
          <w:bottom w:w="0" w:type="dxa"/>
          <w:right w:w="0" w:type="dxa"/>
        </w:tblCellMar>
      </w:tblPr>
      <w:tr>
        <w:trPr>
          <w:trHeight w:val="240"/>
        </w:trPr>
        <w:tc>
          <w:tcPr>
            <w:tcW w:w="1960" w:type="dxa"/>
            <w:vAlign w:val="bottom"/>
          </w:tcPr>
          <w:p>
            <w:pPr>
              <w:jc w:val="center"/>
              <w:spacing w:after="0" w:line="240" w:lineRule="exact"/>
              <w:rPr>
                <w:sz w:val="20"/>
                <w:szCs w:val="20"/>
                <w:color w:val="auto"/>
              </w:rPr>
            </w:pPr>
            <w:r>
              <w:rPr>
                <w:rFonts w:ascii="Arial" w:cs="Arial" w:eastAsia="Arial" w:hAnsi="Arial"/>
                <w:sz w:val="22"/>
                <w:szCs w:val="22"/>
                <w:b w:val="1"/>
                <w:bCs w:val="1"/>
                <w:color w:val="auto"/>
                <w:w w:val="98"/>
              </w:rPr>
              <w:t>Ralph Alvarez</w:t>
            </w:r>
          </w:p>
        </w:tc>
        <w:tc>
          <w:tcPr>
            <w:tcW w:w="1820" w:type="dxa"/>
            <w:vAlign w:val="bottom"/>
          </w:tcPr>
          <w:p>
            <w:pPr>
              <w:ind w:left="260"/>
              <w:spacing w:after="0"/>
              <w:rPr>
                <w:sz w:val="20"/>
                <w:szCs w:val="20"/>
                <w:color w:val="auto"/>
              </w:rPr>
            </w:pPr>
            <w:r>
              <w:rPr>
                <w:rFonts w:ascii="Arial" w:cs="Arial" w:eastAsia="Arial" w:hAnsi="Arial"/>
                <w:sz w:val="14"/>
                <w:szCs w:val="14"/>
                <w:color w:val="auto"/>
              </w:rPr>
              <w:t>Independent Director</w:t>
            </w:r>
          </w:p>
        </w:tc>
        <w:tc>
          <w:tcPr>
            <w:tcW w:w="2040" w:type="dxa"/>
            <w:vAlign w:val="bottom"/>
          </w:tcPr>
          <w:p>
            <w:pPr>
              <w:jc w:val="center"/>
              <w:spacing w:after="0"/>
              <w:rPr>
                <w:sz w:val="20"/>
                <w:szCs w:val="20"/>
                <w:color w:val="auto"/>
              </w:rPr>
            </w:pPr>
            <w:r>
              <w:rPr>
                <w:rFonts w:ascii="Arial" w:cs="Arial" w:eastAsia="Arial" w:hAnsi="Arial"/>
                <w:sz w:val="20"/>
                <w:szCs w:val="20"/>
                <w:b w:val="1"/>
                <w:bCs w:val="1"/>
                <w:color w:val="auto"/>
                <w:w w:val="98"/>
              </w:rPr>
              <w:t>Kimberly Johnson</w:t>
            </w:r>
          </w:p>
        </w:tc>
        <w:tc>
          <w:tcPr>
            <w:tcW w:w="1960" w:type="dxa"/>
            <w:vAlign w:val="bottom"/>
          </w:tcPr>
          <w:p>
            <w:pPr>
              <w:jc w:val="center"/>
              <w:spacing w:after="0"/>
              <w:rPr>
                <w:sz w:val="20"/>
                <w:szCs w:val="20"/>
                <w:color w:val="auto"/>
              </w:rPr>
            </w:pPr>
            <w:r>
              <w:rPr>
                <w:rFonts w:ascii="Arial" w:cs="Arial" w:eastAsia="Arial" w:hAnsi="Arial"/>
                <w:sz w:val="19"/>
                <w:szCs w:val="19"/>
                <w:b w:val="1"/>
                <w:bCs w:val="1"/>
                <w:color w:val="auto"/>
                <w:w w:val="99"/>
              </w:rPr>
              <w:t>Juan Luciano</w:t>
            </w:r>
          </w:p>
        </w:tc>
      </w:tr>
      <w:tr>
        <w:trPr>
          <w:trHeight w:val="204"/>
        </w:trPr>
        <w:tc>
          <w:tcPr>
            <w:tcW w:w="1960" w:type="dxa"/>
            <w:vAlign w:val="bottom"/>
          </w:tcPr>
          <w:p>
            <w:pPr>
              <w:jc w:val="center"/>
              <w:spacing w:after="0"/>
              <w:rPr>
                <w:sz w:val="20"/>
                <w:szCs w:val="20"/>
                <w:color w:val="auto"/>
              </w:rPr>
            </w:pPr>
            <w:r>
              <w:rPr>
                <w:rFonts w:ascii="Arial" w:cs="Arial" w:eastAsia="Arial" w:hAnsi="Arial"/>
                <w:sz w:val="14"/>
                <w:szCs w:val="14"/>
                <w:color w:val="auto"/>
              </w:rPr>
              <w:t>Independent Director</w:t>
            </w:r>
          </w:p>
        </w:tc>
        <w:tc>
          <w:tcPr>
            <w:tcW w:w="1820" w:type="dxa"/>
            <w:vAlign w:val="bottom"/>
          </w:tcPr>
          <w:p>
            <w:pPr>
              <w:spacing w:after="0"/>
              <w:rPr>
                <w:sz w:val="17"/>
                <w:szCs w:val="17"/>
                <w:color w:val="auto"/>
              </w:rPr>
            </w:pPr>
          </w:p>
        </w:tc>
        <w:tc>
          <w:tcPr>
            <w:tcW w:w="2040" w:type="dxa"/>
            <w:vAlign w:val="bottom"/>
          </w:tcPr>
          <w:p>
            <w:pPr>
              <w:jc w:val="center"/>
              <w:ind w:left="15"/>
              <w:spacing w:after="0"/>
              <w:rPr>
                <w:sz w:val="20"/>
                <w:szCs w:val="20"/>
                <w:color w:val="auto"/>
              </w:rPr>
            </w:pPr>
            <w:r>
              <w:rPr>
                <w:rFonts w:ascii="Arial" w:cs="Arial" w:eastAsia="Arial" w:hAnsi="Arial"/>
                <w:sz w:val="14"/>
                <w:szCs w:val="14"/>
                <w:color w:val="auto"/>
              </w:rPr>
              <w:t>Independent Director</w:t>
            </w:r>
          </w:p>
        </w:tc>
        <w:tc>
          <w:tcPr>
            <w:tcW w:w="1960" w:type="dxa"/>
            <w:vAlign w:val="bottom"/>
          </w:tcPr>
          <w:p>
            <w:pPr>
              <w:jc w:val="center"/>
              <w:spacing w:after="0"/>
              <w:rPr>
                <w:sz w:val="20"/>
                <w:szCs w:val="20"/>
                <w:color w:val="auto"/>
              </w:rPr>
            </w:pPr>
            <w:r>
              <w:rPr>
                <w:rFonts w:ascii="Arial" w:cs="Arial" w:eastAsia="Arial" w:hAnsi="Arial"/>
                <w:sz w:val="14"/>
                <w:szCs w:val="14"/>
                <w:color w:val="auto"/>
              </w:rPr>
              <w:t>Lead Independent Director</w:t>
            </w:r>
          </w:p>
        </w:tc>
      </w:tr>
      <w:tr>
        <w:trPr>
          <w:trHeight w:val="35"/>
        </w:trPr>
        <w:tc>
          <w:tcPr>
            <w:tcW w:w="1960" w:type="dxa"/>
            <w:vAlign w:val="bottom"/>
            <w:tcBorders>
              <w:bottom w:val="single" w:sz="8" w:color="6D6D6D"/>
            </w:tcBorders>
          </w:tcPr>
          <w:p>
            <w:pPr>
              <w:spacing w:after="0"/>
              <w:rPr>
                <w:sz w:val="3"/>
                <w:szCs w:val="3"/>
                <w:color w:val="auto"/>
              </w:rPr>
            </w:pPr>
          </w:p>
        </w:tc>
        <w:tc>
          <w:tcPr>
            <w:tcW w:w="1820" w:type="dxa"/>
            <w:vAlign w:val="bottom"/>
            <w:tcBorders>
              <w:bottom w:val="single" w:sz="8" w:color="6D6D6D"/>
            </w:tcBorders>
          </w:tcPr>
          <w:p>
            <w:pPr>
              <w:spacing w:after="0"/>
              <w:rPr>
                <w:sz w:val="3"/>
                <w:szCs w:val="3"/>
                <w:color w:val="auto"/>
              </w:rPr>
            </w:pPr>
          </w:p>
        </w:tc>
        <w:tc>
          <w:tcPr>
            <w:tcW w:w="2040" w:type="dxa"/>
            <w:vAlign w:val="bottom"/>
            <w:tcBorders>
              <w:bottom w:val="single" w:sz="8" w:color="6D6D6D"/>
            </w:tcBorders>
          </w:tcPr>
          <w:p>
            <w:pPr>
              <w:spacing w:after="0"/>
              <w:rPr>
                <w:sz w:val="3"/>
                <w:szCs w:val="3"/>
                <w:color w:val="auto"/>
              </w:rPr>
            </w:pPr>
          </w:p>
        </w:tc>
        <w:tc>
          <w:tcPr>
            <w:tcW w:w="1960" w:type="dxa"/>
            <w:vAlign w:val="bottom"/>
            <w:tcBorders>
              <w:bottom w:val="single" w:sz="8" w:color="6D6D6D"/>
            </w:tcBorders>
          </w:tcPr>
          <w:p>
            <w:pPr>
              <w:spacing w:after="0"/>
              <w:rPr>
                <w:sz w:val="3"/>
                <w:szCs w:val="3"/>
                <w:color w:val="auto"/>
              </w:rPr>
            </w:pPr>
          </w:p>
        </w:tc>
      </w:tr>
    </w:tbl>
    <w:p>
      <w:pPr>
        <w:spacing w:after="0" w:line="224"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term for directors to be elected this year will expire at the annual meeting of shareholders held in 2028. Each of the director nominees above has agreed to serve for that term. Nominees are elected to serve until his or her successor is duly elected and qualified. If a nominee set forth in this proxy statement is unable to serve or for good cause will not serve, proxy holders may vote for another nominee proposed by the board or, as an alternative, the board may reduce the number of directors to be elected at the Annual Meeting.</w:t>
      </w:r>
    </w:p>
    <w:p>
      <w:pPr>
        <w:spacing w:after="0" w:line="122"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For more information about each of the nominees and the other directors serving on our board, please see “</w:t>
      </w:r>
      <w:r>
        <w:rPr>
          <w:rFonts w:ascii="Arial" w:cs="Arial" w:eastAsia="Arial" w:hAnsi="Arial"/>
          <w:sz w:val="18"/>
          <w:szCs w:val="18"/>
          <w:u w:val="single" w:color="auto"/>
          <w:color w:val="0000FF"/>
        </w:rPr>
        <w:t>Director Qualifications - Director</w:t>
      </w:r>
      <w:r>
        <w:rPr>
          <w:rFonts w:ascii="Arial" w:cs="Arial" w:eastAsia="Arial" w:hAnsi="Arial"/>
          <w:sz w:val="18"/>
          <w:szCs w:val="18"/>
          <w:color w:val="auto"/>
        </w:rPr>
        <w:t xml:space="preserve"> </w:t>
      </w:r>
      <w:r>
        <w:rPr>
          <w:rFonts w:ascii="Arial" w:cs="Arial" w:eastAsia="Arial" w:hAnsi="Arial"/>
          <w:sz w:val="18"/>
          <w:szCs w:val="18"/>
          <w:u w:val="single" w:color="auto"/>
          <w:color w:val="0000FF"/>
        </w:rPr>
        <w:t>Experience</w:t>
      </w:r>
      <w:r>
        <w:rPr>
          <w:rFonts w:ascii="Arial" w:cs="Arial" w:eastAsia="Arial" w:hAnsi="Arial"/>
          <w:sz w:val="18"/>
          <w:szCs w:val="18"/>
          <w:color w:val="000000"/>
        </w:rPr>
        <w:t>” in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5768975" cy="99441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5768975" cy="994410"/>
                    </a:xfrm>
                    <a:prstGeom prst="rect">
                      <a:avLst/>
                    </a:prstGeom>
                    <a:noFill/>
                  </pic:spPr>
                </pic:pic>
              </a:graphicData>
            </a:graphic>
          </wp:anchor>
        </w:drawing>
      </w:r>
    </w:p>
    <w:p>
      <w:pPr>
        <w:spacing w:after="0" w:line="209" w:lineRule="exact"/>
        <w:rPr>
          <w:sz w:val="20"/>
          <w:szCs w:val="20"/>
          <w:color w:val="auto"/>
        </w:rPr>
      </w:pPr>
    </w:p>
    <w:p>
      <w:pPr>
        <w:ind w:left="1020"/>
        <w:spacing w:after="0"/>
        <w:rPr>
          <w:sz w:val="20"/>
          <w:szCs w:val="20"/>
          <w:color w:val="auto"/>
        </w:rPr>
      </w:pPr>
      <w:r>
        <w:rPr>
          <w:rFonts w:ascii="Arial" w:cs="Arial" w:eastAsia="Arial" w:hAnsi="Arial"/>
          <w:sz w:val="20"/>
          <w:szCs w:val="20"/>
          <w:b w:val="1"/>
          <w:bCs w:val="1"/>
          <w:color w:val="D52B1E"/>
        </w:rPr>
        <w:t>RECOMMENDATION FOR</w:t>
      </w:r>
    </w:p>
    <w:p>
      <w:pPr>
        <w:spacing w:after="0" w:line="166" w:lineRule="exact"/>
        <w:rPr>
          <w:sz w:val="20"/>
          <w:szCs w:val="20"/>
          <w:color w:val="auto"/>
        </w:rPr>
      </w:pPr>
    </w:p>
    <w:p>
      <w:pPr>
        <w:ind w:left="200" w:right="2380"/>
        <w:spacing w:after="0" w:line="262" w:lineRule="auto"/>
        <w:rPr>
          <w:sz w:val="20"/>
          <w:szCs w:val="20"/>
          <w:color w:val="auto"/>
        </w:rPr>
      </w:pPr>
      <w:r>
        <w:rPr>
          <w:rFonts w:ascii="Arial" w:cs="Arial" w:eastAsia="Arial" w:hAnsi="Arial"/>
          <w:sz w:val="18"/>
          <w:szCs w:val="18"/>
          <w:color w:val="auto"/>
        </w:rPr>
        <w:t xml:space="preserve">The board recommends that you vote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election of each of the board’s nominees, </w:t>
      </w:r>
      <w:r>
        <w:rPr>
          <w:rFonts w:ascii="Arial" w:cs="Arial" w:eastAsia="Arial" w:hAnsi="Arial"/>
          <w:sz w:val="18"/>
          <w:szCs w:val="18"/>
          <w:b w:val="1"/>
          <w:bCs w:val="1"/>
          <w:color w:val="auto"/>
        </w:rPr>
        <w:t>Ralph Alvarez,</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Mary Lynne Hedley, Kimberly Johnson, and Juan Luciano </w:t>
      </w:r>
      <w:r>
        <w:rPr>
          <w:rFonts w:ascii="Arial" w:cs="Arial" w:eastAsia="Arial" w:hAnsi="Arial"/>
          <w:sz w:val="18"/>
          <w:szCs w:val="18"/>
          <w:color w:val="auto"/>
        </w:rPr>
        <w:t>to serve as directors until our 2028 Annual</w:t>
      </w:r>
      <w:r>
        <w:rPr>
          <w:rFonts w:ascii="Arial" w:cs="Arial" w:eastAsia="Arial" w:hAnsi="Arial"/>
          <w:sz w:val="18"/>
          <w:szCs w:val="18"/>
          <w:b w:val="1"/>
          <w:bCs w:val="1"/>
          <w:color w:val="auto"/>
        </w:rPr>
        <w:t xml:space="preserve"> </w:t>
      </w:r>
      <w:r>
        <w:rPr>
          <w:rFonts w:ascii="Arial" w:cs="Arial" w:eastAsia="Arial" w:hAnsi="Arial"/>
          <w:sz w:val="18"/>
          <w:szCs w:val="18"/>
          <w:color w:val="auto"/>
        </w:rPr>
        <w:t>Meeting of Shareholders and until their successors are duly elected and qualified, or until their earlier death, resignation, or removal.</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32"/>
          <w:szCs w:val="32"/>
          <w:b w:val="1"/>
          <w:bCs w:val="1"/>
          <w:color w:val="D52B1E"/>
        </w:rPr>
        <w:t>How We Operate an Effective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2268220</wp:posOffset>
            </wp:positionH>
            <wp:positionV relativeFrom="paragraph">
              <wp:posOffset>120015</wp:posOffset>
            </wp:positionV>
            <wp:extent cx="3488690" cy="168021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3488690" cy="1680210"/>
                    </a:xfrm>
                    <a:prstGeom prst="rect">
                      <a:avLst/>
                    </a:prstGeom>
                    <a:noFill/>
                  </pic:spPr>
                </pic:pic>
              </a:graphicData>
            </a:graphic>
          </wp:anchor>
        </w:drawing>
      </w:r>
    </w:p>
    <w:p>
      <w:pPr>
        <w:spacing w:after="0" w:line="177" w:lineRule="exact"/>
        <w:rPr>
          <w:sz w:val="20"/>
          <w:szCs w:val="20"/>
          <w:color w:val="auto"/>
        </w:rPr>
      </w:pPr>
    </w:p>
    <w:p>
      <w:pPr>
        <w:ind w:left="20" w:right="8020"/>
        <w:spacing w:after="0" w:line="254" w:lineRule="auto"/>
        <w:rPr>
          <w:sz w:val="20"/>
          <w:szCs w:val="20"/>
          <w:color w:val="auto"/>
        </w:rPr>
      </w:pPr>
      <w:r>
        <w:rPr>
          <w:rFonts w:ascii="Arial" w:cs="Arial" w:eastAsia="Arial" w:hAnsi="Arial"/>
          <w:sz w:val="18"/>
          <w:szCs w:val="18"/>
          <w:color w:val="auto"/>
        </w:rPr>
        <w:t>We believe that high board effectiveness promotes the long-term interests of our shareholders, strengthens the accountability of the board of directors and management, and improves our standing as a trusted member of the communities we serve. In addition to having the right mix of directors, there are many factors involved in operating an effective board.</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25"/>
          <w:szCs w:val="25"/>
          <w:b w:val="1"/>
          <w:bCs w:val="1"/>
          <w:color w:val="00A1DE"/>
        </w:rPr>
        <w:t>Working Dynamics</w:t>
      </w:r>
    </w:p>
    <w:p>
      <w:pPr>
        <w:spacing w:after="0" w:line="1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Leadership Structure</w:t>
      </w:r>
    </w:p>
    <w:p>
      <w:pPr>
        <w:spacing w:after="0" w:line="211" w:lineRule="exact"/>
        <w:rPr>
          <w:sz w:val="20"/>
          <w:szCs w:val="20"/>
          <w:color w:val="auto"/>
        </w:rPr>
      </w:pPr>
    </w:p>
    <w:p>
      <w:pPr>
        <w:ind w:right="20"/>
        <w:spacing w:after="0" w:line="279" w:lineRule="auto"/>
        <w:rPr>
          <w:sz w:val="20"/>
          <w:szCs w:val="20"/>
          <w:color w:val="auto"/>
        </w:rPr>
      </w:pPr>
      <w:r>
        <w:rPr>
          <w:rFonts w:ascii="Arial" w:cs="Arial" w:eastAsia="Arial" w:hAnsi="Arial"/>
          <w:sz w:val="20"/>
          <w:szCs w:val="20"/>
          <w:b w:val="1"/>
          <w:bCs w:val="1"/>
          <w:color w:val="D52B1E"/>
        </w:rPr>
        <w:t xml:space="preserve">Approach. </w:t>
      </w:r>
      <w:r>
        <w:rPr>
          <w:rFonts w:ascii="Arial" w:cs="Arial" w:eastAsia="Arial" w:hAnsi="Arial"/>
          <w:sz w:val="17"/>
          <w:szCs w:val="17"/>
          <w:color w:val="000000"/>
        </w:rPr>
        <w:t>Under our bylaws, the positions of chair of the board and chief executive officer are separate positions that may be occupied by</w:t>
      </w:r>
      <w:r>
        <w:rPr>
          <w:rFonts w:ascii="Arial" w:cs="Arial" w:eastAsia="Arial" w:hAnsi="Arial"/>
          <w:sz w:val="20"/>
          <w:szCs w:val="20"/>
          <w:b w:val="1"/>
          <w:bCs w:val="1"/>
          <w:color w:val="D52B1E"/>
        </w:rPr>
        <w:t xml:space="preserve"> </w:t>
      </w:r>
      <w:r>
        <w:rPr>
          <w:rFonts w:ascii="Arial" w:cs="Arial" w:eastAsia="Arial" w:hAnsi="Arial"/>
          <w:sz w:val="17"/>
          <w:szCs w:val="17"/>
          <w:color w:val="000000"/>
        </w:rPr>
        <w:t>the same person at the discretion of the board. This gives the board flexibility to choose its optimal leadership structure that will best serve the interests of the company and its shareholders as they evolve over time. The board currently combines the role of chair of the board with the role of chief executive officer, and designates a strong independent and clearly defined lead independent director to further strengthen</w:t>
      </w:r>
    </w:p>
    <w:p>
      <w:pPr>
        <w:sectPr>
          <w:pgSz w:w="11900" w:h="16838" w:orient="portrait"/>
          <w:cols w:equalWidth="0" w:num="1">
            <w:col w:w="11160"/>
          </w:cols>
          <w:pgMar w:left="320" w:top="1135" w:right="419" w:bottom="1440" w:gutter="0" w:footer="0" w:header="0"/>
        </w:sectPr>
      </w:pPr>
    </w:p>
    <w:p>
      <w:pPr>
        <w:spacing w:after="0" w:line="316"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154940</wp:posOffset>
            </wp:positionV>
            <wp:extent cx="7157720" cy="425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35" w:right="419" w:bottom="1440" w:gutter="0" w:footer="0" w:header="0"/>
          <w:type w:val="continuous"/>
        </w:sectPr>
      </w:pPr>
    </w:p>
    <w:bookmarkStart w:id="34" w:name="page35"/>
    <w:bookmarkEnd w:id="34"/>
    <w:p>
      <w:pPr>
        <w:jc w:val="both"/>
        <w:ind w:right="180"/>
        <w:spacing w:after="0" w:line="268" w:lineRule="auto"/>
        <w:rPr>
          <w:sz w:val="20"/>
          <w:szCs w:val="20"/>
          <w:color w:val="auto"/>
        </w:rPr>
      </w:pPr>
      <w:r>
        <w:rPr>
          <w:rFonts w:ascii="Arial" w:cs="Arial" w:eastAsia="Arial" w:hAnsi="Arial"/>
          <w:sz w:val="18"/>
          <w:szCs w:val="18"/>
          <w:color w:val="auto"/>
        </w:rPr>
        <w:t>the company’s governance structure. The board periodically reviews its leadership structure to ensure that the chosen leadership structure continues to strike the appropriate balance for the company and our stakeholders and enables us to promote the long-term interests of our shareholders.</w:t>
      </w:r>
    </w:p>
    <w:p>
      <w:pPr>
        <w:spacing w:after="0" w:line="166" w:lineRule="exact"/>
        <w:rPr>
          <w:sz w:val="20"/>
          <w:szCs w:val="20"/>
          <w:color w:val="auto"/>
        </w:rPr>
      </w:pPr>
    </w:p>
    <w:p>
      <w:pPr>
        <w:ind w:right="40"/>
        <w:spacing w:after="0" w:line="264" w:lineRule="auto"/>
        <w:rPr>
          <w:sz w:val="20"/>
          <w:szCs w:val="20"/>
          <w:color w:val="auto"/>
        </w:rPr>
      </w:pPr>
      <w:r>
        <w:rPr>
          <w:rFonts w:ascii="Arial" w:cs="Arial" w:eastAsia="Arial" w:hAnsi="Arial"/>
          <w:sz w:val="20"/>
          <w:szCs w:val="20"/>
          <w:b w:val="1"/>
          <w:bCs w:val="1"/>
          <w:color w:val="D52B1E"/>
        </w:rPr>
        <w:t xml:space="preserve">Why our board leadership structure is appropriate at this time. </w:t>
      </w:r>
      <w:r>
        <w:rPr>
          <w:rFonts w:ascii="Arial" w:cs="Arial" w:eastAsia="Arial" w:hAnsi="Arial"/>
          <w:sz w:val="17"/>
          <w:szCs w:val="17"/>
          <w:color w:val="000000"/>
        </w:rPr>
        <w:t>After thoughtful consideration of our business, long-term strategy,</w:t>
      </w:r>
      <w:r>
        <w:rPr>
          <w:rFonts w:ascii="Arial" w:cs="Arial" w:eastAsia="Arial" w:hAnsi="Arial"/>
          <w:sz w:val="20"/>
          <w:szCs w:val="20"/>
          <w:b w:val="1"/>
          <w:bCs w:val="1"/>
          <w:color w:val="D52B1E"/>
        </w:rPr>
        <w:t xml:space="preserve"> </w:t>
      </w:r>
      <w:r>
        <w:rPr>
          <w:rFonts w:ascii="Arial" w:cs="Arial" w:eastAsia="Arial" w:hAnsi="Arial"/>
          <w:sz w:val="17"/>
          <w:szCs w:val="17"/>
          <w:color w:val="000000"/>
        </w:rPr>
        <w:t>related risks, and other factors described below, the board believes that the combination of the chair and CEO roles, combined with a strong lead independent director, continues to be in the best interest of the company and our shareholders. Combining the chair and CEO roles fosters clear accountability, effective decision making, and alignment on corporate strategy.</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The board has also implemented governance practices that facilitate effective independent oversight, including:</w:t>
      </w:r>
    </w:p>
    <w:p>
      <w:pPr>
        <w:spacing w:after="0" w:line="171" w:lineRule="exact"/>
        <w:rPr>
          <w:sz w:val="20"/>
          <w:szCs w:val="20"/>
          <w:color w:val="auto"/>
        </w:rPr>
      </w:pPr>
    </w:p>
    <w:p>
      <w:pPr>
        <w:ind w:left="660" w:right="300" w:hanging="328"/>
        <w:spacing w:after="0" w:line="287" w:lineRule="auto"/>
        <w:tabs>
          <w:tab w:leader="none" w:pos="649" w:val="left"/>
        </w:tabs>
        <w:numPr>
          <w:ilvl w:val="0"/>
          <w:numId w:val="85"/>
        </w:numPr>
        <w:rPr>
          <w:rFonts w:ascii="Arial" w:cs="Arial" w:eastAsia="Arial" w:hAnsi="Arial"/>
          <w:sz w:val="16"/>
          <w:szCs w:val="16"/>
          <w:b w:val="1"/>
          <w:bCs w:val="1"/>
          <w:color w:val="00A1DE"/>
        </w:rPr>
      </w:pPr>
      <w:r>
        <w:rPr>
          <w:rFonts w:ascii="Arial" w:cs="Arial" w:eastAsia="Arial" w:hAnsi="Arial"/>
          <w:sz w:val="18"/>
          <w:szCs w:val="18"/>
          <w:b w:val="1"/>
          <w:bCs w:val="1"/>
          <w:color w:val="00A1DE"/>
        </w:rPr>
        <w:t xml:space="preserve">Executive sessions of the independent directors: </w:t>
      </w:r>
      <w:r>
        <w:rPr>
          <w:rFonts w:ascii="Arial" w:cs="Arial" w:eastAsia="Arial" w:hAnsi="Arial"/>
          <w:sz w:val="18"/>
          <w:szCs w:val="18"/>
          <w:color w:val="000000"/>
        </w:rPr>
        <w:t>Slated at each regularly scheduled board meeting and presided over by the</w:t>
      </w:r>
      <w:r>
        <w:rPr>
          <w:rFonts w:ascii="Arial" w:cs="Arial" w:eastAsia="Arial" w:hAnsi="Arial"/>
          <w:sz w:val="18"/>
          <w:szCs w:val="18"/>
          <w:b w:val="1"/>
          <w:bCs w:val="1"/>
          <w:color w:val="00A1DE"/>
        </w:rPr>
        <w:t xml:space="preserve"> </w:t>
      </w:r>
      <w:r>
        <w:rPr>
          <w:rFonts w:ascii="Arial" w:cs="Arial" w:eastAsia="Arial" w:hAnsi="Arial"/>
          <w:sz w:val="18"/>
          <w:szCs w:val="18"/>
          <w:color w:val="000000"/>
        </w:rPr>
        <w:t>lead independent director.</w:t>
      </w:r>
    </w:p>
    <w:p>
      <w:pPr>
        <w:spacing w:after="0" w:line="98" w:lineRule="exact"/>
        <w:rPr>
          <w:rFonts w:ascii="Arial" w:cs="Arial" w:eastAsia="Arial" w:hAnsi="Arial"/>
          <w:sz w:val="16"/>
          <w:szCs w:val="16"/>
          <w:b w:val="1"/>
          <w:bCs w:val="1"/>
          <w:color w:val="00A1DE"/>
        </w:rPr>
      </w:pPr>
    </w:p>
    <w:p>
      <w:pPr>
        <w:ind w:left="660" w:hanging="328"/>
        <w:spacing w:after="0" w:line="268" w:lineRule="auto"/>
        <w:tabs>
          <w:tab w:leader="none" w:pos="649" w:val="left"/>
        </w:tabs>
        <w:numPr>
          <w:ilvl w:val="0"/>
          <w:numId w:val="85"/>
        </w:numPr>
        <w:rPr>
          <w:rFonts w:ascii="Arial" w:cs="Arial" w:eastAsia="Arial" w:hAnsi="Arial"/>
          <w:sz w:val="16"/>
          <w:szCs w:val="16"/>
          <w:b w:val="1"/>
          <w:bCs w:val="1"/>
          <w:color w:val="00A1DE"/>
        </w:rPr>
      </w:pPr>
      <w:r>
        <w:rPr>
          <w:rFonts w:ascii="Arial" w:cs="Arial" w:eastAsia="Arial" w:hAnsi="Arial"/>
          <w:sz w:val="18"/>
          <w:szCs w:val="18"/>
          <w:b w:val="1"/>
          <w:bCs w:val="1"/>
          <w:color w:val="00A1DE"/>
        </w:rPr>
        <w:t xml:space="preserve">Annual performance evaluation of the chair and CEO: </w:t>
      </w:r>
      <w:r>
        <w:rPr>
          <w:rFonts w:ascii="Arial" w:cs="Arial" w:eastAsia="Arial" w:hAnsi="Arial"/>
          <w:sz w:val="18"/>
          <w:szCs w:val="18"/>
          <w:color w:val="000000"/>
        </w:rPr>
        <w:t>Conducted by the independent directors, the results of which are reviewed</w:t>
      </w:r>
      <w:r>
        <w:rPr>
          <w:rFonts w:ascii="Arial" w:cs="Arial" w:eastAsia="Arial" w:hAnsi="Arial"/>
          <w:sz w:val="18"/>
          <w:szCs w:val="18"/>
          <w:b w:val="1"/>
          <w:bCs w:val="1"/>
          <w:color w:val="00A1DE"/>
        </w:rPr>
        <w:t xml:space="preserve"> </w:t>
      </w:r>
      <w:r>
        <w:rPr>
          <w:rFonts w:ascii="Arial" w:cs="Arial" w:eastAsia="Arial" w:hAnsi="Arial"/>
          <w:sz w:val="18"/>
          <w:szCs w:val="18"/>
          <w:color w:val="000000"/>
        </w:rPr>
        <w:t>with the CEO and considered by the Talent and Compensation Committee and independent directors in establishing the CEO’s compensation for the following year.</w:t>
      </w:r>
    </w:p>
    <w:p>
      <w:pPr>
        <w:spacing w:after="0" w:line="116" w:lineRule="exact"/>
        <w:rPr>
          <w:rFonts w:ascii="Arial" w:cs="Arial" w:eastAsia="Arial" w:hAnsi="Arial"/>
          <w:sz w:val="16"/>
          <w:szCs w:val="16"/>
          <w:b w:val="1"/>
          <w:bCs w:val="1"/>
          <w:color w:val="00A1DE"/>
        </w:rPr>
      </w:pPr>
    </w:p>
    <w:p>
      <w:pPr>
        <w:ind w:left="660" w:hanging="328"/>
        <w:spacing w:after="0" w:line="268" w:lineRule="auto"/>
        <w:tabs>
          <w:tab w:leader="none" w:pos="649" w:val="left"/>
        </w:tabs>
        <w:numPr>
          <w:ilvl w:val="0"/>
          <w:numId w:val="85"/>
        </w:numPr>
        <w:rPr>
          <w:rFonts w:ascii="Arial" w:cs="Arial" w:eastAsia="Arial" w:hAnsi="Arial"/>
          <w:sz w:val="16"/>
          <w:szCs w:val="16"/>
          <w:color w:val="00A1DE"/>
        </w:rPr>
      </w:pPr>
      <w:r>
        <w:rPr>
          <w:rFonts w:ascii="Arial" w:cs="Arial" w:eastAsia="Arial" w:hAnsi="Arial"/>
          <w:sz w:val="18"/>
          <w:szCs w:val="18"/>
          <w:b w:val="1"/>
          <w:bCs w:val="1"/>
          <w:color w:val="00A1DE"/>
        </w:rPr>
        <w:t xml:space="preserve">Lead independent director assessment: </w:t>
      </w:r>
      <w:r>
        <w:rPr>
          <w:rFonts w:ascii="Arial" w:cs="Arial" w:eastAsia="Arial" w:hAnsi="Arial"/>
          <w:sz w:val="18"/>
          <w:szCs w:val="18"/>
          <w:color w:val="000000"/>
        </w:rPr>
        <w:t>The lead independent director is elected by and from among the independent directors of</w:t>
      </w:r>
      <w:r>
        <w:rPr>
          <w:rFonts w:ascii="Arial" w:cs="Arial" w:eastAsia="Arial" w:hAnsi="Arial"/>
          <w:sz w:val="18"/>
          <w:szCs w:val="18"/>
          <w:b w:val="1"/>
          <w:bCs w:val="1"/>
          <w:color w:val="00A1DE"/>
        </w:rPr>
        <w:t xml:space="preserve"> </w:t>
      </w:r>
      <w:r>
        <w:rPr>
          <w:rFonts w:ascii="Arial" w:cs="Arial" w:eastAsia="Arial" w:hAnsi="Arial"/>
          <w:sz w:val="18"/>
          <w:szCs w:val="18"/>
          <w:color w:val="000000"/>
        </w:rPr>
        <w:t>the board, and the board annually conducts an assessment of the lead independent director’s performance as part of the annual board assessment process.</w:t>
      </w:r>
    </w:p>
    <w:p>
      <w:pPr>
        <w:spacing w:after="0" w:line="116" w:lineRule="exact"/>
        <w:rPr>
          <w:rFonts w:ascii="Arial" w:cs="Arial" w:eastAsia="Arial" w:hAnsi="Arial"/>
          <w:sz w:val="16"/>
          <w:szCs w:val="16"/>
          <w:color w:val="00A1DE"/>
        </w:rPr>
      </w:pPr>
    </w:p>
    <w:p>
      <w:pPr>
        <w:ind w:left="660" w:right="40" w:hanging="328"/>
        <w:spacing w:after="0" w:line="287" w:lineRule="auto"/>
        <w:tabs>
          <w:tab w:leader="none" w:pos="649" w:val="left"/>
        </w:tabs>
        <w:numPr>
          <w:ilvl w:val="0"/>
          <w:numId w:val="85"/>
        </w:numPr>
        <w:rPr>
          <w:rFonts w:ascii="Arial" w:cs="Arial" w:eastAsia="Arial" w:hAnsi="Arial"/>
          <w:sz w:val="16"/>
          <w:szCs w:val="16"/>
          <w:b w:val="1"/>
          <w:bCs w:val="1"/>
          <w:color w:val="00A1DE"/>
        </w:rPr>
      </w:pPr>
      <w:r>
        <w:rPr>
          <w:rFonts w:ascii="Arial" w:cs="Arial" w:eastAsia="Arial" w:hAnsi="Arial"/>
          <w:sz w:val="18"/>
          <w:szCs w:val="18"/>
          <w:b w:val="1"/>
          <w:bCs w:val="1"/>
          <w:color w:val="00A1DE"/>
        </w:rPr>
        <w:t xml:space="preserve">Director access to independent advisors: </w:t>
      </w:r>
      <w:r>
        <w:rPr>
          <w:rFonts w:ascii="Arial" w:cs="Arial" w:eastAsia="Arial" w:hAnsi="Arial"/>
          <w:sz w:val="18"/>
          <w:szCs w:val="18"/>
          <w:color w:val="000000"/>
        </w:rPr>
        <w:t>Independent directors and all committees can retain their own independent advisors, at</w:t>
      </w:r>
      <w:r>
        <w:rPr>
          <w:rFonts w:ascii="Arial" w:cs="Arial" w:eastAsia="Arial" w:hAnsi="Arial"/>
          <w:sz w:val="18"/>
          <w:szCs w:val="18"/>
          <w:b w:val="1"/>
          <w:bCs w:val="1"/>
          <w:color w:val="00A1DE"/>
        </w:rPr>
        <w:t xml:space="preserve"> </w:t>
      </w:r>
      <w:r>
        <w:rPr>
          <w:rFonts w:ascii="Arial" w:cs="Arial" w:eastAsia="Arial" w:hAnsi="Arial"/>
          <w:sz w:val="18"/>
          <w:szCs w:val="18"/>
          <w:color w:val="000000"/>
        </w:rPr>
        <w:t>the company’s expense, whenever they deem it desirable to do so.</w:t>
      </w:r>
    </w:p>
    <w:p>
      <w:pPr>
        <w:spacing w:after="0" w:line="98" w:lineRule="exact"/>
        <w:rPr>
          <w:rFonts w:ascii="Arial" w:cs="Arial" w:eastAsia="Arial" w:hAnsi="Arial"/>
          <w:sz w:val="16"/>
          <w:szCs w:val="16"/>
          <w:b w:val="1"/>
          <w:bCs w:val="1"/>
          <w:color w:val="00A1DE"/>
        </w:rPr>
      </w:pPr>
    </w:p>
    <w:p>
      <w:pPr>
        <w:ind w:left="660" w:right="260" w:hanging="328"/>
        <w:spacing w:after="0" w:line="287" w:lineRule="auto"/>
        <w:tabs>
          <w:tab w:leader="none" w:pos="649" w:val="left"/>
        </w:tabs>
        <w:numPr>
          <w:ilvl w:val="0"/>
          <w:numId w:val="85"/>
        </w:numPr>
        <w:rPr>
          <w:rFonts w:ascii="Arial" w:cs="Arial" w:eastAsia="Arial" w:hAnsi="Arial"/>
          <w:sz w:val="16"/>
          <w:szCs w:val="16"/>
          <w:b w:val="1"/>
          <w:bCs w:val="1"/>
          <w:i w:val="1"/>
          <w:iCs w:val="1"/>
          <w:color w:val="00A1DE"/>
        </w:rPr>
      </w:pPr>
      <w:r>
        <w:rPr>
          <w:rFonts w:ascii="Arial" w:cs="Arial" w:eastAsia="Arial" w:hAnsi="Arial"/>
          <w:sz w:val="18"/>
          <w:szCs w:val="18"/>
          <w:b w:val="1"/>
          <w:bCs w:val="1"/>
          <w:color w:val="00A1DE"/>
        </w:rPr>
        <w:t xml:space="preserve">Director access to management: </w:t>
      </w:r>
      <w:r>
        <w:rPr>
          <w:rFonts w:ascii="Arial" w:cs="Arial" w:eastAsia="Arial" w:hAnsi="Arial"/>
          <w:sz w:val="18"/>
          <w:szCs w:val="18"/>
          <w:color w:val="000000"/>
        </w:rPr>
        <w:t>Independent directors have direct access to members of management whenever they deem it</w:t>
      </w:r>
      <w:r>
        <w:rPr>
          <w:rFonts w:ascii="Arial" w:cs="Arial" w:eastAsia="Arial" w:hAnsi="Arial"/>
          <w:sz w:val="18"/>
          <w:szCs w:val="18"/>
          <w:b w:val="1"/>
          <w:bCs w:val="1"/>
          <w:color w:val="00A1DE"/>
        </w:rPr>
        <w:t xml:space="preserve"> </w:t>
      </w:r>
      <w:r>
        <w:rPr>
          <w:rFonts w:ascii="Arial" w:cs="Arial" w:eastAsia="Arial" w:hAnsi="Arial"/>
          <w:sz w:val="18"/>
          <w:szCs w:val="18"/>
          <w:color w:val="000000"/>
        </w:rPr>
        <w:t>necessary, and certain of the company’s executive officers attend part of each regularly scheduled board meeting.</w:t>
      </w:r>
    </w:p>
    <w:p>
      <w:pPr>
        <w:spacing w:after="0" w:line="98" w:lineRule="exact"/>
        <w:rPr>
          <w:rFonts w:ascii="Arial" w:cs="Arial" w:eastAsia="Arial" w:hAnsi="Arial"/>
          <w:sz w:val="16"/>
          <w:szCs w:val="16"/>
          <w:b w:val="1"/>
          <w:bCs w:val="1"/>
          <w:i w:val="1"/>
          <w:iCs w:val="1"/>
          <w:color w:val="00A1DE"/>
        </w:rPr>
      </w:pPr>
    </w:p>
    <w:p>
      <w:pPr>
        <w:ind w:left="660" w:right="500" w:hanging="328"/>
        <w:spacing w:after="0" w:line="287" w:lineRule="auto"/>
        <w:tabs>
          <w:tab w:leader="none" w:pos="649" w:val="left"/>
        </w:tabs>
        <w:numPr>
          <w:ilvl w:val="0"/>
          <w:numId w:val="85"/>
        </w:numPr>
        <w:rPr>
          <w:rFonts w:ascii="Arial" w:cs="Arial" w:eastAsia="Arial" w:hAnsi="Arial"/>
          <w:sz w:val="16"/>
          <w:szCs w:val="16"/>
          <w:b w:val="1"/>
          <w:bCs w:val="1"/>
          <w:i w:val="1"/>
          <w:iCs w:val="1"/>
          <w:color w:val="00A1DE"/>
        </w:rPr>
      </w:pPr>
      <w:r>
        <w:rPr>
          <w:rFonts w:ascii="Arial" w:cs="Arial" w:eastAsia="Arial" w:hAnsi="Arial"/>
          <w:sz w:val="18"/>
          <w:szCs w:val="18"/>
          <w:b w:val="1"/>
          <w:bCs w:val="1"/>
          <w:color w:val="00A1DE"/>
        </w:rPr>
        <w:t xml:space="preserve">Independent board (other than Mr. Ricks): </w:t>
      </w:r>
      <w:r>
        <w:rPr>
          <w:rFonts w:ascii="Arial" w:cs="Arial" w:eastAsia="Arial" w:hAnsi="Arial"/>
          <w:sz w:val="18"/>
          <w:szCs w:val="18"/>
          <w:color w:val="000000"/>
        </w:rPr>
        <w:t>The board is independent (other than Mr. Ricks) and has fully independent board</w:t>
      </w:r>
      <w:r>
        <w:rPr>
          <w:rFonts w:ascii="Arial" w:cs="Arial" w:eastAsia="Arial" w:hAnsi="Arial"/>
          <w:sz w:val="18"/>
          <w:szCs w:val="18"/>
          <w:b w:val="1"/>
          <w:bCs w:val="1"/>
          <w:color w:val="00A1DE"/>
        </w:rPr>
        <w:t xml:space="preserve"> </w:t>
      </w:r>
      <w:r>
        <w:rPr>
          <w:rFonts w:ascii="Arial" w:cs="Arial" w:eastAsia="Arial" w:hAnsi="Arial"/>
          <w:sz w:val="18"/>
          <w:szCs w:val="18"/>
          <w:color w:val="000000"/>
        </w:rPr>
        <w:t>committees with independent chairs.</w:t>
      </w:r>
    </w:p>
    <w:p>
      <w:pPr>
        <w:spacing w:after="0" w:line="99"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The board believes that this structure provides the company and the board with strong leadership, appropriate independent oversight of management, and the ability to communicate the company’s strategy to regulators and stakeholders in a single voice.</w:t>
      </w:r>
    </w:p>
    <w:p>
      <w:pPr>
        <w:spacing w:after="0" w:line="99" w:lineRule="exact"/>
        <w:rPr>
          <w:sz w:val="20"/>
          <w:szCs w:val="20"/>
          <w:color w:val="auto"/>
        </w:rPr>
      </w:pPr>
    </w:p>
    <w:p>
      <w:pPr>
        <w:ind w:right="300"/>
        <w:spacing w:after="0" w:line="291" w:lineRule="auto"/>
        <w:rPr>
          <w:sz w:val="20"/>
          <w:szCs w:val="20"/>
          <w:color w:val="auto"/>
        </w:rPr>
      </w:pPr>
      <w:r>
        <w:rPr>
          <w:rFonts w:ascii="Arial" w:cs="Arial" w:eastAsia="Arial" w:hAnsi="Arial"/>
          <w:sz w:val="17"/>
          <w:szCs w:val="17"/>
          <w:color w:val="auto"/>
        </w:rPr>
        <w:t>Mr. Ricks’ extensive knowledge of, and experience in, the pharmaceutical industry enables him to effectively drive the long-term strategic direction of the company and provide diligent, long-term leadership and direction for management and our board. This is vital to our innovative research and development business with prolonged product development cycles and a challenging regulatory environment.</w:t>
      </w:r>
    </w:p>
    <w:p>
      <w:pPr>
        <w:spacing w:after="0" w:line="94" w:lineRule="exact"/>
        <w:rPr>
          <w:sz w:val="20"/>
          <w:szCs w:val="20"/>
          <w:color w:val="auto"/>
        </w:rPr>
      </w:pPr>
    </w:p>
    <w:p>
      <w:pPr>
        <w:ind w:right="300"/>
        <w:spacing w:after="0" w:line="251" w:lineRule="auto"/>
        <w:rPr>
          <w:sz w:val="20"/>
          <w:szCs w:val="20"/>
          <w:color w:val="auto"/>
        </w:rPr>
      </w:pPr>
      <w:r>
        <w:rPr>
          <w:rFonts w:ascii="Arial" w:cs="Arial" w:eastAsia="Arial" w:hAnsi="Arial"/>
          <w:sz w:val="20"/>
          <w:szCs w:val="20"/>
          <w:b w:val="1"/>
          <w:bCs w:val="1"/>
          <w:color w:val="D52B1E"/>
        </w:rPr>
        <w:t xml:space="preserve">How we select a Lead Independent Director. </w:t>
      </w:r>
      <w:r>
        <w:rPr>
          <w:rFonts w:ascii="Arial" w:cs="Arial" w:eastAsia="Arial" w:hAnsi="Arial"/>
          <w:sz w:val="17"/>
          <w:szCs w:val="17"/>
          <w:color w:val="000000"/>
        </w:rPr>
        <w:t>Each year the Directors and Corporate Governance Committee reviews the</w:t>
      </w:r>
      <w:r>
        <w:rPr>
          <w:rFonts w:ascii="Arial" w:cs="Arial" w:eastAsia="Arial" w:hAnsi="Arial"/>
          <w:sz w:val="20"/>
          <w:szCs w:val="20"/>
          <w:b w:val="1"/>
          <w:bCs w:val="1"/>
          <w:color w:val="D52B1E"/>
        </w:rPr>
        <w:t xml:space="preserve"> </w:t>
      </w:r>
      <w:r>
        <w:rPr>
          <w:rFonts w:ascii="Arial" w:cs="Arial" w:eastAsia="Arial" w:hAnsi="Arial"/>
          <w:sz w:val="17"/>
          <w:szCs w:val="17"/>
          <w:color w:val="000000"/>
        </w:rPr>
        <w:t>qualifications and attributes of a strong lead independent director and makes a recommendation to the independent directors of one from among them to be appointed as lead independent director.</w:t>
      </w:r>
    </w:p>
    <w:p>
      <w:pPr>
        <w:spacing w:after="0" w:line="116"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Mr. Luciano serves as the current lead independent director and fulfills the duties below. As the CEO and president of Archer-Daniels-Midland Company, he brings valuable and diverse experience and outside perspective to his lead independent director role, which permits him to serve as a trusted adviser to the independent directors as well as Mr. Ricks and ensures effective board management and risk oversight.</w:t>
      </w:r>
    </w:p>
    <w:p>
      <w:pPr>
        <w:spacing w:after="0" w:line="200" w:lineRule="exact"/>
        <w:rPr>
          <w:sz w:val="20"/>
          <w:szCs w:val="20"/>
          <w:color w:val="auto"/>
        </w:rPr>
      </w:pPr>
    </w:p>
    <w:p>
      <w:pPr>
        <w:spacing w:after="0" w:line="238"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140335</wp:posOffset>
            </wp:positionV>
            <wp:extent cx="7157720" cy="425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5" w:right="399" w:bottom="1440" w:gutter="0" w:footer="0" w:header="0"/>
        </w:sectPr>
      </w:pPr>
    </w:p>
    <w:bookmarkStart w:id="35" w:name="page36"/>
    <w:bookmarkEnd w:id="35"/>
    <w:p>
      <w:pPr>
        <w:ind w:right="300"/>
        <w:spacing w:after="0" w:line="267" w:lineRule="auto"/>
        <w:rPr>
          <w:sz w:val="20"/>
          <w:szCs w:val="20"/>
          <w:color w:val="auto"/>
        </w:rPr>
      </w:pPr>
      <w:r>
        <w:rPr>
          <w:rFonts w:ascii="Arial" w:cs="Arial" w:eastAsia="Arial" w:hAnsi="Arial"/>
          <w:sz w:val="20"/>
          <w:szCs w:val="20"/>
          <w:b w:val="1"/>
          <w:bCs w:val="1"/>
          <w:color w:val="D52B1E"/>
        </w:rPr>
        <w:t xml:space="preserve">Lead Independent Director Responsibilities. </w:t>
      </w:r>
      <w:r>
        <w:rPr>
          <w:rFonts w:ascii="Arial" w:cs="Arial" w:eastAsia="Arial" w:hAnsi="Arial"/>
          <w:sz w:val="17"/>
          <w:szCs w:val="17"/>
          <w:color w:val="000000"/>
        </w:rPr>
        <w:t>The lead independent director is empowered with and exercises, robust, well-defined</w:t>
      </w:r>
      <w:r>
        <w:rPr>
          <w:rFonts w:ascii="Arial" w:cs="Arial" w:eastAsia="Arial" w:hAnsi="Arial"/>
          <w:sz w:val="20"/>
          <w:szCs w:val="20"/>
          <w:b w:val="1"/>
          <w:bCs w:val="1"/>
          <w:color w:val="D52B1E"/>
        </w:rPr>
        <w:t xml:space="preserve"> </w:t>
      </w:r>
      <w:r>
        <w:rPr>
          <w:rFonts w:ascii="Arial" w:cs="Arial" w:eastAsia="Arial" w:hAnsi="Arial"/>
          <w:sz w:val="17"/>
          <w:szCs w:val="17"/>
          <w:color w:val="000000"/>
        </w:rPr>
        <w:t>duties. Including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5408930" cy="276860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5408930" cy="2768600"/>
                    </a:xfrm>
                    <a:prstGeom prst="rect">
                      <a:avLst/>
                    </a:prstGeom>
                    <a:noFill/>
                  </pic:spPr>
                </pic:pic>
              </a:graphicData>
            </a:graphic>
          </wp:anchor>
        </w:drawing>
      </w:r>
    </w:p>
    <w:p>
      <w:pPr>
        <w:sectPr>
          <w:pgSz w:w="11900" w:h="16838" w:orient="portrait"/>
          <w:cols w:equalWidth="0" w:num="1">
            <w:col w:w="11240"/>
          </w:cols>
          <w:pgMar w:left="320" w:top="9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800"/>
        <w:spacing w:after="0"/>
        <w:rPr>
          <w:sz w:val="20"/>
          <w:szCs w:val="20"/>
          <w:color w:val="auto"/>
        </w:rPr>
      </w:pPr>
      <w:r>
        <w:rPr>
          <w:rFonts w:ascii="Arial" w:cs="Arial" w:eastAsia="Arial" w:hAnsi="Arial"/>
          <w:sz w:val="19"/>
          <w:szCs w:val="19"/>
          <w:b w:val="1"/>
          <w:bCs w:val="1"/>
          <w:color w:val="D52B1E"/>
        </w:rPr>
        <w:t>Lead</w:t>
      </w:r>
    </w:p>
    <w:p>
      <w:pPr>
        <w:spacing w:after="0" w:line="60" w:lineRule="exact"/>
        <w:rPr>
          <w:sz w:val="20"/>
          <w:szCs w:val="20"/>
          <w:color w:val="auto"/>
        </w:rPr>
      </w:pPr>
    </w:p>
    <w:p>
      <w:pPr>
        <w:ind w:left="240" w:right="320" w:hanging="136"/>
        <w:spacing w:after="0" w:line="287" w:lineRule="auto"/>
        <w:tabs>
          <w:tab w:leader="none" w:pos="223" w:val="left"/>
        </w:tabs>
        <w:numPr>
          <w:ilvl w:val="0"/>
          <w:numId w:val="86"/>
        </w:numPr>
        <w:rPr>
          <w:rFonts w:ascii="Arial" w:cs="Arial" w:eastAsia="Arial" w:hAnsi="Arial"/>
          <w:sz w:val="17"/>
          <w:szCs w:val="17"/>
          <w:color w:val="auto"/>
        </w:rPr>
      </w:pPr>
      <w:r>
        <w:rPr>
          <w:rFonts w:ascii="Arial" w:cs="Arial" w:eastAsia="Arial" w:hAnsi="Arial"/>
          <w:sz w:val="17"/>
          <w:szCs w:val="17"/>
          <w:color w:val="auto"/>
        </w:rPr>
        <w:t>Lead the board’s processes for selecting the CEO</w:t>
      </w:r>
    </w:p>
    <w:p>
      <w:pPr>
        <w:ind w:left="240" w:hanging="136"/>
        <w:spacing w:after="0" w:line="257" w:lineRule="auto"/>
        <w:tabs>
          <w:tab w:leader="none" w:pos="223" w:val="left"/>
        </w:tabs>
        <w:numPr>
          <w:ilvl w:val="0"/>
          <w:numId w:val="86"/>
        </w:numPr>
        <w:rPr>
          <w:rFonts w:ascii="Arial" w:cs="Arial" w:eastAsia="Arial" w:hAnsi="Arial"/>
          <w:sz w:val="18"/>
          <w:szCs w:val="18"/>
          <w:color w:val="auto"/>
        </w:rPr>
      </w:pPr>
      <w:r>
        <w:rPr>
          <w:rFonts w:ascii="Arial" w:cs="Arial" w:eastAsia="Arial" w:hAnsi="Arial"/>
          <w:sz w:val="18"/>
          <w:szCs w:val="18"/>
          <w:color w:val="auto"/>
        </w:rPr>
        <w:t>Oversee the independent directors’ annual performance evaluation of the chair and CEO</w:t>
      </w:r>
    </w:p>
    <w:p>
      <w:pPr>
        <w:spacing w:after="0" w:line="20" w:lineRule="exact"/>
        <w:rPr>
          <w:rFonts w:ascii="Arial" w:cs="Arial" w:eastAsia="Arial" w:hAnsi="Arial"/>
          <w:sz w:val="18"/>
          <w:szCs w:val="18"/>
          <w:color w:val="auto"/>
        </w:rPr>
      </w:pPr>
    </w:p>
    <w:p>
      <w:pPr>
        <w:ind w:left="240" w:right="200" w:hanging="136"/>
        <w:spacing w:after="0" w:line="262" w:lineRule="auto"/>
        <w:tabs>
          <w:tab w:leader="none" w:pos="223" w:val="left"/>
        </w:tabs>
        <w:numPr>
          <w:ilvl w:val="0"/>
          <w:numId w:val="86"/>
        </w:numPr>
        <w:rPr>
          <w:rFonts w:ascii="Arial" w:cs="Arial" w:eastAsia="Arial" w:hAnsi="Arial"/>
          <w:sz w:val="18"/>
          <w:szCs w:val="18"/>
          <w:color w:val="auto"/>
        </w:rPr>
      </w:pPr>
      <w:r>
        <w:rPr>
          <w:rFonts w:ascii="Arial" w:cs="Arial" w:eastAsia="Arial" w:hAnsi="Arial"/>
          <w:sz w:val="18"/>
          <w:szCs w:val="18"/>
          <w:color w:val="auto"/>
        </w:rPr>
        <w:t>Call meetings of the independent directors, as appropriate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40"/>
        <w:spacing w:after="0"/>
        <w:rPr>
          <w:sz w:val="20"/>
          <w:szCs w:val="20"/>
          <w:color w:val="auto"/>
        </w:rPr>
      </w:pPr>
      <w:r>
        <w:rPr>
          <w:rFonts w:ascii="Arial" w:cs="Arial" w:eastAsia="Arial" w:hAnsi="Arial"/>
          <w:sz w:val="19"/>
          <w:szCs w:val="19"/>
          <w:b w:val="1"/>
          <w:bCs w:val="1"/>
          <w:color w:val="D52B1E"/>
        </w:rPr>
        <w:t>Facilitate</w:t>
      </w:r>
    </w:p>
    <w:p>
      <w:pPr>
        <w:spacing w:after="0" w:line="168" w:lineRule="exact"/>
        <w:rPr>
          <w:sz w:val="20"/>
          <w:szCs w:val="20"/>
          <w:color w:val="auto"/>
        </w:rPr>
      </w:pPr>
    </w:p>
    <w:p>
      <w:pPr>
        <w:ind w:left="140" w:right="180" w:hanging="135"/>
        <w:spacing w:after="0" w:line="291" w:lineRule="auto"/>
        <w:tabs>
          <w:tab w:leader="none" w:pos="123" w:val="left"/>
        </w:tabs>
        <w:numPr>
          <w:ilvl w:val="0"/>
          <w:numId w:val="87"/>
        </w:numPr>
        <w:rPr>
          <w:rFonts w:ascii="Arial" w:cs="Arial" w:eastAsia="Arial" w:hAnsi="Arial"/>
          <w:sz w:val="17"/>
          <w:szCs w:val="17"/>
          <w:color w:val="auto"/>
        </w:rPr>
      </w:pPr>
      <w:r>
        <w:rPr>
          <w:rFonts w:ascii="Arial" w:cs="Arial" w:eastAsia="Arial" w:hAnsi="Arial"/>
          <w:sz w:val="17"/>
          <w:szCs w:val="17"/>
          <w:color w:val="auto"/>
        </w:rPr>
        <w:t>Preside at executive sessions of the independent directors</w:t>
      </w:r>
    </w:p>
    <w:p>
      <w:pPr>
        <w:spacing w:after="0" w:line="44" w:lineRule="exact"/>
        <w:rPr>
          <w:rFonts w:ascii="Arial" w:cs="Arial" w:eastAsia="Arial" w:hAnsi="Arial"/>
          <w:sz w:val="17"/>
          <w:szCs w:val="17"/>
          <w:color w:val="auto"/>
        </w:rPr>
      </w:pPr>
    </w:p>
    <w:p>
      <w:pPr>
        <w:ind w:left="140" w:right="80" w:hanging="135"/>
        <w:spacing w:after="0" w:line="291" w:lineRule="auto"/>
        <w:tabs>
          <w:tab w:leader="none" w:pos="123" w:val="left"/>
        </w:tabs>
        <w:numPr>
          <w:ilvl w:val="0"/>
          <w:numId w:val="87"/>
        </w:numPr>
        <w:rPr>
          <w:rFonts w:ascii="Arial" w:cs="Arial" w:eastAsia="Arial" w:hAnsi="Arial"/>
          <w:sz w:val="17"/>
          <w:szCs w:val="17"/>
          <w:color w:val="auto"/>
        </w:rPr>
      </w:pPr>
      <w:r>
        <w:rPr>
          <w:rFonts w:ascii="Arial" w:cs="Arial" w:eastAsia="Arial" w:hAnsi="Arial"/>
          <w:sz w:val="17"/>
          <w:szCs w:val="17"/>
          <w:color w:val="auto"/>
        </w:rPr>
        <w:t>Preside at all meetings of the board at which the chair is not present</w:t>
      </w:r>
    </w:p>
    <w:p>
      <w:pPr>
        <w:spacing w:after="0" w:line="44" w:lineRule="exact"/>
        <w:rPr>
          <w:rFonts w:ascii="Arial" w:cs="Arial" w:eastAsia="Arial" w:hAnsi="Arial"/>
          <w:sz w:val="17"/>
          <w:szCs w:val="17"/>
          <w:color w:val="auto"/>
        </w:rPr>
      </w:pPr>
    </w:p>
    <w:p>
      <w:pPr>
        <w:ind w:left="140" w:hanging="135"/>
        <w:spacing w:after="0" w:line="259" w:lineRule="auto"/>
        <w:tabs>
          <w:tab w:leader="none" w:pos="123" w:val="left"/>
        </w:tabs>
        <w:numPr>
          <w:ilvl w:val="0"/>
          <w:numId w:val="87"/>
        </w:numPr>
        <w:rPr>
          <w:rFonts w:ascii="Arial" w:cs="Arial" w:eastAsia="Arial" w:hAnsi="Arial"/>
          <w:sz w:val="18"/>
          <w:szCs w:val="18"/>
          <w:color w:val="auto"/>
        </w:rPr>
      </w:pPr>
      <w:r>
        <w:rPr>
          <w:rFonts w:ascii="Arial" w:cs="Arial" w:eastAsia="Arial" w:hAnsi="Arial"/>
          <w:sz w:val="18"/>
          <w:szCs w:val="18"/>
          <w:color w:val="auto"/>
        </w:rPr>
        <w:t>Approve meeting agendas and schedules and review information to be provided to the board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0"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20"/>
        </w:trPr>
        <w:tc>
          <w:tcPr>
            <w:tcW w:w="660" w:type="dxa"/>
            <w:vAlign w:val="bottom"/>
            <w:tcBorders>
              <w:left w:val="single" w:sz="8" w:color="auto"/>
            </w:tcBorders>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r>
      <w:tr>
        <w:trPr>
          <w:trHeight w:val="820"/>
        </w:trPr>
        <w:tc>
          <w:tcPr>
            <w:tcW w:w="2180" w:type="dxa"/>
            <w:vAlign w:val="bottom"/>
            <w:tcBorders>
              <w:left w:val="single" w:sz="8" w:color="auto"/>
              <w:right w:val="single" w:sz="8" w:color="auto"/>
            </w:tcBorders>
            <w:gridSpan w:val="3"/>
          </w:tcPr>
          <w:p>
            <w:pPr>
              <w:ind w:left="660"/>
              <w:spacing w:after="0"/>
              <w:rPr>
                <w:sz w:val="20"/>
                <w:szCs w:val="20"/>
                <w:color w:val="auto"/>
              </w:rPr>
            </w:pPr>
            <w:r>
              <w:rPr>
                <w:rFonts w:ascii="Arial" w:cs="Arial" w:eastAsia="Arial" w:hAnsi="Arial"/>
                <w:sz w:val="19"/>
                <w:szCs w:val="19"/>
                <w:b w:val="1"/>
                <w:bCs w:val="1"/>
                <w:color w:val="D52B1E"/>
              </w:rPr>
              <w:t>Advocate</w:t>
            </w:r>
          </w:p>
        </w:tc>
        <w:tc>
          <w:tcPr>
            <w:tcW w:w="180" w:type="dxa"/>
            <w:vAlign w:val="bottom"/>
            <w:tcBorders>
              <w:right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1580" w:type="dxa"/>
            <w:vAlign w:val="bottom"/>
            <w:tcBorders>
              <w:right w:val="single" w:sz="8" w:color="auto"/>
            </w:tcBorders>
            <w:gridSpan w:val="2"/>
          </w:tcPr>
          <w:p>
            <w:pPr>
              <w:ind w:left="200"/>
              <w:spacing w:after="0"/>
              <w:rPr>
                <w:sz w:val="20"/>
                <w:szCs w:val="20"/>
                <w:color w:val="auto"/>
              </w:rPr>
            </w:pPr>
            <w:r>
              <w:rPr>
                <w:rFonts w:ascii="Arial" w:cs="Arial" w:eastAsia="Arial" w:hAnsi="Arial"/>
                <w:sz w:val="19"/>
                <w:szCs w:val="19"/>
                <w:b w:val="1"/>
                <w:bCs w:val="1"/>
                <w:color w:val="D52B1E"/>
              </w:rPr>
              <w:t>Shape</w:t>
            </w:r>
          </w:p>
        </w:tc>
      </w:tr>
      <w:tr>
        <w:trPr>
          <w:trHeight w:val="235"/>
        </w:trPr>
        <w:tc>
          <w:tcPr>
            <w:tcW w:w="218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 Be available for</w:t>
            </w:r>
          </w:p>
        </w:tc>
        <w:tc>
          <w:tcPr>
            <w:tcW w:w="180" w:type="dxa"/>
            <w:vAlign w:val="bottom"/>
            <w:tcBorders>
              <w:right w:val="single" w:sz="8" w:color="auto"/>
            </w:tcBorders>
          </w:tcPr>
          <w:p>
            <w:pPr>
              <w:spacing w:after="0"/>
              <w:rPr>
                <w:sz w:val="20"/>
                <w:szCs w:val="20"/>
                <w:color w:val="auto"/>
              </w:rPr>
            </w:pPr>
          </w:p>
        </w:tc>
        <w:tc>
          <w:tcPr>
            <w:tcW w:w="216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 Conduct the annual</w:t>
            </w:r>
          </w:p>
        </w:tc>
      </w:tr>
      <w:tr>
        <w:trPr>
          <w:trHeight w:val="216"/>
        </w:trPr>
        <w:tc>
          <w:tcPr>
            <w:tcW w:w="2180" w:type="dxa"/>
            <w:vAlign w:val="bottom"/>
            <w:tcBorders>
              <w:left w:val="single" w:sz="8" w:color="auto"/>
              <w:right w:val="single" w:sz="8" w:color="auto"/>
            </w:tcBorders>
            <w:gridSpan w:val="3"/>
          </w:tcPr>
          <w:p>
            <w:pPr>
              <w:ind w:left="220"/>
              <w:spacing w:after="0"/>
              <w:rPr>
                <w:sz w:val="20"/>
                <w:szCs w:val="20"/>
                <w:color w:val="auto"/>
              </w:rPr>
            </w:pPr>
            <w:r>
              <w:rPr>
                <w:rFonts w:ascii="Arial" w:cs="Arial" w:eastAsia="Arial" w:hAnsi="Arial"/>
                <w:sz w:val="18"/>
                <w:szCs w:val="18"/>
                <w:color w:val="auto"/>
              </w:rPr>
              <w:t>consultation and direct</w:t>
            </w:r>
          </w:p>
        </w:tc>
        <w:tc>
          <w:tcPr>
            <w:tcW w:w="180" w:type="dxa"/>
            <w:vAlign w:val="bottom"/>
            <w:tcBorders>
              <w:right w:val="single" w:sz="8" w:color="auto"/>
            </w:tcBorders>
          </w:tcPr>
          <w:p>
            <w:pPr>
              <w:spacing w:after="0"/>
              <w:rPr>
                <w:sz w:val="18"/>
                <w:szCs w:val="18"/>
                <w:color w:val="auto"/>
              </w:rPr>
            </w:pPr>
          </w:p>
        </w:tc>
        <w:tc>
          <w:tcPr>
            <w:tcW w:w="2160" w:type="dxa"/>
            <w:vAlign w:val="bottom"/>
            <w:tcBorders>
              <w:right w:val="single" w:sz="8" w:color="auto"/>
            </w:tcBorders>
            <w:gridSpan w:val="3"/>
          </w:tcPr>
          <w:p>
            <w:pPr>
              <w:ind w:left="200"/>
              <w:spacing w:after="0"/>
              <w:rPr>
                <w:sz w:val="20"/>
                <w:szCs w:val="20"/>
                <w:color w:val="auto"/>
              </w:rPr>
            </w:pPr>
            <w:r>
              <w:rPr>
                <w:rFonts w:ascii="Arial" w:cs="Arial" w:eastAsia="Arial" w:hAnsi="Arial"/>
                <w:sz w:val="18"/>
                <w:szCs w:val="18"/>
                <w:color w:val="auto"/>
              </w:rPr>
              <w:t>board assessment</w:t>
            </w:r>
          </w:p>
        </w:tc>
      </w:tr>
      <w:tr>
        <w:trPr>
          <w:trHeight w:val="216"/>
        </w:trPr>
        <w:tc>
          <w:tcPr>
            <w:tcW w:w="2180" w:type="dxa"/>
            <w:vAlign w:val="bottom"/>
            <w:tcBorders>
              <w:left w:val="single" w:sz="8" w:color="auto"/>
              <w:right w:val="single" w:sz="8" w:color="auto"/>
            </w:tcBorders>
            <w:gridSpan w:val="3"/>
          </w:tcPr>
          <w:p>
            <w:pPr>
              <w:ind w:left="220"/>
              <w:spacing w:after="0"/>
              <w:rPr>
                <w:sz w:val="20"/>
                <w:szCs w:val="20"/>
                <w:color w:val="auto"/>
              </w:rPr>
            </w:pPr>
            <w:r>
              <w:rPr>
                <w:rFonts w:ascii="Arial" w:cs="Arial" w:eastAsia="Arial" w:hAnsi="Arial"/>
                <w:sz w:val="18"/>
                <w:szCs w:val="18"/>
                <w:color w:val="auto"/>
              </w:rPr>
              <w:t>communication with</w:t>
            </w:r>
          </w:p>
        </w:tc>
        <w:tc>
          <w:tcPr>
            <w:tcW w:w="180" w:type="dxa"/>
            <w:vAlign w:val="bottom"/>
            <w:tcBorders>
              <w:right w:val="single" w:sz="8" w:color="auto"/>
            </w:tcBorders>
          </w:tcPr>
          <w:p>
            <w:pPr>
              <w:spacing w:after="0"/>
              <w:rPr>
                <w:sz w:val="18"/>
                <w:szCs w:val="18"/>
                <w:color w:val="auto"/>
              </w:rPr>
            </w:pPr>
          </w:p>
        </w:tc>
        <w:tc>
          <w:tcPr>
            <w:tcW w:w="2160" w:type="dxa"/>
            <w:vAlign w:val="bottom"/>
            <w:tcBorders>
              <w:right w:val="single" w:sz="8" w:color="auto"/>
            </w:tcBorders>
            <w:gridSpan w:val="3"/>
          </w:tcPr>
          <w:p>
            <w:pPr>
              <w:ind w:left="200"/>
              <w:spacing w:after="0"/>
              <w:rPr>
                <w:sz w:val="20"/>
                <w:szCs w:val="20"/>
                <w:color w:val="auto"/>
              </w:rPr>
            </w:pPr>
            <w:r>
              <w:rPr>
                <w:rFonts w:ascii="Arial" w:cs="Arial" w:eastAsia="Arial" w:hAnsi="Arial"/>
                <w:sz w:val="18"/>
                <w:szCs w:val="18"/>
                <w:color w:val="auto"/>
              </w:rPr>
              <w:t>process with the</w:t>
            </w:r>
          </w:p>
        </w:tc>
      </w:tr>
      <w:tr>
        <w:trPr>
          <w:trHeight w:val="216"/>
        </w:trPr>
        <w:tc>
          <w:tcPr>
            <w:tcW w:w="2180" w:type="dxa"/>
            <w:vAlign w:val="bottom"/>
            <w:tcBorders>
              <w:left w:val="single" w:sz="8" w:color="auto"/>
              <w:right w:val="single" w:sz="8" w:color="auto"/>
            </w:tcBorders>
            <w:gridSpan w:val="3"/>
          </w:tcPr>
          <w:p>
            <w:pPr>
              <w:ind w:left="220"/>
              <w:spacing w:after="0"/>
              <w:rPr>
                <w:sz w:val="20"/>
                <w:szCs w:val="20"/>
                <w:color w:val="auto"/>
              </w:rPr>
            </w:pPr>
            <w:r>
              <w:rPr>
                <w:rFonts w:ascii="Arial" w:cs="Arial" w:eastAsia="Arial" w:hAnsi="Arial"/>
                <w:sz w:val="18"/>
                <w:szCs w:val="18"/>
                <w:color w:val="auto"/>
              </w:rPr>
              <w:t>shareholders, as</w:t>
            </w:r>
          </w:p>
        </w:tc>
        <w:tc>
          <w:tcPr>
            <w:tcW w:w="180" w:type="dxa"/>
            <w:vAlign w:val="bottom"/>
            <w:tcBorders>
              <w:right w:val="single" w:sz="8" w:color="auto"/>
            </w:tcBorders>
          </w:tcPr>
          <w:p>
            <w:pPr>
              <w:spacing w:after="0"/>
              <w:rPr>
                <w:sz w:val="18"/>
                <w:szCs w:val="18"/>
                <w:color w:val="auto"/>
              </w:rPr>
            </w:pPr>
          </w:p>
        </w:tc>
        <w:tc>
          <w:tcPr>
            <w:tcW w:w="2160" w:type="dxa"/>
            <w:vAlign w:val="bottom"/>
            <w:tcBorders>
              <w:right w:val="single" w:sz="8" w:color="auto"/>
            </w:tcBorders>
            <w:gridSpan w:val="3"/>
          </w:tcPr>
          <w:p>
            <w:pPr>
              <w:ind w:left="200"/>
              <w:spacing w:after="0"/>
              <w:rPr>
                <w:sz w:val="20"/>
                <w:szCs w:val="20"/>
                <w:color w:val="auto"/>
              </w:rPr>
            </w:pPr>
            <w:r>
              <w:rPr>
                <w:rFonts w:ascii="Arial" w:cs="Arial" w:eastAsia="Arial" w:hAnsi="Arial"/>
                <w:sz w:val="18"/>
                <w:szCs w:val="18"/>
                <w:color w:val="auto"/>
              </w:rPr>
              <w:t>Directors and</w:t>
            </w:r>
          </w:p>
        </w:tc>
      </w:tr>
      <w:tr>
        <w:trPr>
          <w:trHeight w:val="216"/>
        </w:trPr>
        <w:tc>
          <w:tcPr>
            <w:tcW w:w="2180" w:type="dxa"/>
            <w:vAlign w:val="bottom"/>
            <w:tcBorders>
              <w:left w:val="single" w:sz="8" w:color="auto"/>
              <w:right w:val="single" w:sz="8" w:color="auto"/>
            </w:tcBorders>
            <w:gridSpan w:val="3"/>
          </w:tcPr>
          <w:p>
            <w:pPr>
              <w:ind w:left="220"/>
              <w:spacing w:after="0"/>
              <w:rPr>
                <w:sz w:val="20"/>
                <w:szCs w:val="20"/>
                <w:color w:val="auto"/>
              </w:rPr>
            </w:pPr>
            <w:r>
              <w:rPr>
                <w:rFonts w:ascii="Arial" w:cs="Arial" w:eastAsia="Arial" w:hAnsi="Arial"/>
                <w:sz w:val="18"/>
                <w:szCs w:val="18"/>
                <w:color w:val="auto"/>
              </w:rPr>
              <w:t>appropriate</w:t>
            </w:r>
          </w:p>
        </w:tc>
        <w:tc>
          <w:tcPr>
            <w:tcW w:w="180" w:type="dxa"/>
            <w:vAlign w:val="bottom"/>
            <w:tcBorders>
              <w:right w:val="single" w:sz="8" w:color="auto"/>
            </w:tcBorders>
          </w:tcPr>
          <w:p>
            <w:pPr>
              <w:spacing w:after="0"/>
              <w:rPr>
                <w:sz w:val="18"/>
                <w:szCs w:val="18"/>
                <w:color w:val="auto"/>
              </w:rPr>
            </w:pPr>
          </w:p>
        </w:tc>
        <w:tc>
          <w:tcPr>
            <w:tcW w:w="2160" w:type="dxa"/>
            <w:vAlign w:val="bottom"/>
            <w:tcBorders>
              <w:right w:val="single" w:sz="8" w:color="auto"/>
            </w:tcBorders>
            <w:gridSpan w:val="3"/>
          </w:tcPr>
          <w:p>
            <w:pPr>
              <w:ind w:left="200"/>
              <w:spacing w:after="0"/>
              <w:rPr>
                <w:sz w:val="20"/>
                <w:szCs w:val="20"/>
                <w:color w:val="auto"/>
              </w:rPr>
            </w:pPr>
            <w:r>
              <w:rPr>
                <w:rFonts w:ascii="Arial" w:cs="Arial" w:eastAsia="Arial" w:hAnsi="Arial"/>
                <w:sz w:val="18"/>
                <w:szCs w:val="18"/>
                <w:color w:val="auto"/>
              </w:rPr>
              <w:t>Corporate Governance</w:t>
            </w:r>
          </w:p>
        </w:tc>
      </w:tr>
      <w:tr>
        <w:trPr>
          <w:trHeight w:val="270"/>
        </w:trPr>
        <w:tc>
          <w:tcPr>
            <w:tcW w:w="218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 Serve as a liaison</w:t>
            </w:r>
          </w:p>
        </w:tc>
        <w:tc>
          <w:tcPr>
            <w:tcW w:w="180" w:type="dxa"/>
            <w:vAlign w:val="bottom"/>
            <w:tcBorders>
              <w:right w:val="single" w:sz="8" w:color="auto"/>
            </w:tcBorders>
          </w:tcPr>
          <w:p>
            <w:pPr>
              <w:spacing w:after="0"/>
              <w:rPr>
                <w:sz w:val="23"/>
                <w:szCs w:val="23"/>
                <w:color w:val="auto"/>
              </w:rPr>
            </w:pPr>
          </w:p>
        </w:tc>
        <w:tc>
          <w:tcPr>
            <w:tcW w:w="2160" w:type="dxa"/>
            <w:vAlign w:val="bottom"/>
            <w:tcBorders>
              <w:right w:val="single" w:sz="8" w:color="auto"/>
            </w:tcBorders>
            <w:gridSpan w:val="3"/>
          </w:tcPr>
          <w:p>
            <w:pPr>
              <w:ind w:left="200"/>
              <w:spacing w:after="0"/>
              <w:rPr>
                <w:sz w:val="20"/>
                <w:szCs w:val="20"/>
                <w:color w:val="auto"/>
              </w:rPr>
            </w:pPr>
            <w:r>
              <w:rPr>
                <w:rFonts w:ascii="Arial" w:cs="Arial" w:eastAsia="Arial" w:hAnsi="Arial"/>
                <w:sz w:val="18"/>
                <w:szCs w:val="18"/>
                <w:color w:val="auto"/>
              </w:rPr>
              <w:t>Committee and chair</w:t>
            </w:r>
          </w:p>
        </w:tc>
      </w:tr>
      <w:tr>
        <w:trPr>
          <w:trHeight w:val="216"/>
        </w:trPr>
        <w:tc>
          <w:tcPr>
            <w:tcW w:w="2180" w:type="dxa"/>
            <w:vAlign w:val="bottom"/>
            <w:tcBorders>
              <w:left w:val="single" w:sz="8" w:color="auto"/>
              <w:right w:val="single" w:sz="8" w:color="auto"/>
            </w:tcBorders>
            <w:gridSpan w:val="3"/>
          </w:tcPr>
          <w:p>
            <w:pPr>
              <w:ind w:left="220"/>
              <w:spacing w:after="0"/>
              <w:rPr>
                <w:sz w:val="20"/>
                <w:szCs w:val="20"/>
                <w:color w:val="auto"/>
              </w:rPr>
            </w:pPr>
            <w:r>
              <w:rPr>
                <w:rFonts w:ascii="Arial" w:cs="Arial" w:eastAsia="Arial" w:hAnsi="Arial"/>
                <w:sz w:val="18"/>
                <w:szCs w:val="18"/>
                <w:color w:val="auto"/>
              </w:rPr>
              <w:t>between the chair and</w:t>
            </w:r>
          </w:p>
        </w:tc>
        <w:tc>
          <w:tcPr>
            <w:tcW w:w="180" w:type="dxa"/>
            <w:vAlign w:val="bottom"/>
            <w:tcBorders>
              <w:right w:val="single" w:sz="8" w:color="auto"/>
            </w:tcBorders>
          </w:tcPr>
          <w:p>
            <w:pPr>
              <w:spacing w:after="0"/>
              <w:rPr>
                <w:sz w:val="18"/>
                <w:szCs w:val="18"/>
                <w:color w:val="auto"/>
              </w:rPr>
            </w:pPr>
          </w:p>
        </w:tc>
        <w:tc>
          <w:tcPr>
            <w:tcW w:w="216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 Lead the director</w:t>
            </w:r>
          </w:p>
        </w:tc>
      </w:tr>
      <w:tr>
        <w:trPr>
          <w:trHeight w:val="216"/>
        </w:trPr>
        <w:tc>
          <w:tcPr>
            <w:tcW w:w="2180" w:type="dxa"/>
            <w:vAlign w:val="bottom"/>
            <w:tcBorders>
              <w:left w:val="single" w:sz="8" w:color="auto"/>
              <w:right w:val="single" w:sz="8" w:color="auto"/>
            </w:tcBorders>
            <w:gridSpan w:val="3"/>
          </w:tcPr>
          <w:p>
            <w:pPr>
              <w:ind w:left="220"/>
              <w:spacing w:after="0"/>
              <w:rPr>
                <w:sz w:val="20"/>
                <w:szCs w:val="20"/>
                <w:color w:val="auto"/>
              </w:rPr>
            </w:pPr>
            <w:r>
              <w:rPr>
                <w:rFonts w:ascii="Arial" w:cs="Arial" w:eastAsia="Arial" w:hAnsi="Arial"/>
                <w:sz w:val="18"/>
                <w:szCs w:val="18"/>
                <w:color w:val="auto"/>
              </w:rPr>
              <w:t>the independent</w:t>
            </w:r>
          </w:p>
        </w:tc>
        <w:tc>
          <w:tcPr>
            <w:tcW w:w="180" w:type="dxa"/>
            <w:vAlign w:val="bottom"/>
            <w:tcBorders>
              <w:right w:val="single" w:sz="8" w:color="auto"/>
            </w:tcBorders>
          </w:tcPr>
          <w:p>
            <w:pPr>
              <w:spacing w:after="0"/>
              <w:rPr>
                <w:sz w:val="18"/>
                <w:szCs w:val="18"/>
                <w:color w:val="auto"/>
              </w:rPr>
            </w:pPr>
          </w:p>
        </w:tc>
        <w:tc>
          <w:tcPr>
            <w:tcW w:w="2160" w:type="dxa"/>
            <w:vAlign w:val="bottom"/>
            <w:tcBorders>
              <w:right w:val="single" w:sz="8" w:color="auto"/>
            </w:tcBorders>
            <w:gridSpan w:val="3"/>
          </w:tcPr>
          <w:p>
            <w:pPr>
              <w:ind w:left="200"/>
              <w:spacing w:after="0"/>
              <w:rPr>
                <w:sz w:val="20"/>
                <w:szCs w:val="20"/>
                <w:color w:val="auto"/>
              </w:rPr>
            </w:pPr>
            <w:r>
              <w:rPr>
                <w:rFonts w:ascii="Arial" w:cs="Arial" w:eastAsia="Arial" w:hAnsi="Arial"/>
                <w:sz w:val="18"/>
                <w:szCs w:val="18"/>
                <w:color w:val="auto"/>
              </w:rPr>
              <w:t>succession planning</w:t>
            </w:r>
          </w:p>
        </w:tc>
      </w:tr>
      <w:tr>
        <w:trPr>
          <w:trHeight w:val="239"/>
        </w:trPr>
        <w:tc>
          <w:tcPr>
            <w:tcW w:w="2180" w:type="dxa"/>
            <w:vAlign w:val="bottom"/>
            <w:tcBorders>
              <w:left w:val="single" w:sz="8" w:color="auto"/>
              <w:right w:val="single" w:sz="8" w:color="auto"/>
            </w:tcBorders>
            <w:gridSpan w:val="3"/>
          </w:tcPr>
          <w:p>
            <w:pPr>
              <w:ind w:left="220"/>
              <w:spacing w:after="0"/>
              <w:rPr>
                <w:sz w:val="20"/>
                <w:szCs w:val="20"/>
                <w:color w:val="auto"/>
              </w:rPr>
            </w:pPr>
            <w:r>
              <w:rPr>
                <w:rFonts w:ascii="Arial" w:cs="Arial" w:eastAsia="Arial" w:hAnsi="Arial"/>
                <w:sz w:val="18"/>
                <w:szCs w:val="18"/>
                <w:color w:val="auto"/>
              </w:rPr>
              <w:t>directors</w:t>
            </w:r>
          </w:p>
        </w:tc>
        <w:tc>
          <w:tcPr>
            <w:tcW w:w="180" w:type="dxa"/>
            <w:vAlign w:val="bottom"/>
            <w:tcBorders>
              <w:right w:val="single" w:sz="8" w:color="auto"/>
            </w:tcBorders>
          </w:tcPr>
          <w:p>
            <w:pPr>
              <w:spacing w:after="0"/>
              <w:rPr>
                <w:sz w:val="20"/>
                <w:szCs w:val="20"/>
                <w:color w:val="auto"/>
              </w:rPr>
            </w:pPr>
          </w:p>
        </w:tc>
        <w:tc>
          <w:tcPr>
            <w:tcW w:w="2160" w:type="dxa"/>
            <w:vAlign w:val="bottom"/>
            <w:tcBorders>
              <w:right w:val="single" w:sz="8" w:color="auto"/>
            </w:tcBorders>
            <w:gridSpan w:val="3"/>
          </w:tcPr>
          <w:p>
            <w:pPr>
              <w:ind w:left="200"/>
              <w:spacing w:after="0"/>
              <w:rPr>
                <w:sz w:val="20"/>
                <w:szCs w:val="20"/>
                <w:color w:val="auto"/>
              </w:rPr>
            </w:pPr>
            <w:r>
              <w:rPr>
                <w:rFonts w:ascii="Arial" w:cs="Arial" w:eastAsia="Arial" w:hAnsi="Arial"/>
                <w:sz w:val="18"/>
                <w:szCs w:val="18"/>
                <w:color w:val="auto"/>
              </w:rPr>
              <w:t>process</w:t>
            </w:r>
          </w:p>
        </w:tc>
      </w:tr>
      <w:tr>
        <w:trPr>
          <w:trHeight w:val="247"/>
        </w:trPr>
        <w:tc>
          <w:tcPr>
            <w:tcW w:w="218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 Retain advisors for the</w:t>
            </w:r>
          </w:p>
        </w:tc>
        <w:tc>
          <w:tcPr>
            <w:tcW w:w="180" w:type="dxa"/>
            <w:vAlign w:val="bottom"/>
            <w:tcBorders>
              <w:right w:val="single" w:sz="8" w:color="auto"/>
            </w:tcBorders>
          </w:tcPr>
          <w:p>
            <w:pPr>
              <w:spacing w:after="0"/>
              <w:rPr>
                <w:sz w:val="21"/>
                <w:szCs w:val="21"/>
                <w:color w:val="auto"/>
              </w:rPr>
            </w:pPr>
          </w:p>
        </w:tc>
        <w:tc>
          <w:tcPr>
            <w:tcW w:w="5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60" w:type="dxa"/>
            <w:vAlign w:val="bottom"/>
            <w:tcBorders>
              <w:right w:val="single" w:sz="8" w:color="auto"/>
            </w:tcBorders>
          </w:tcPr>
          <w:p>
            <w:pPr>
              <w:spacing w:after="0"/>
              <w:rPr>
                <w:sz w:val="21"/>
                <w:szCs w:val="21"/>
                <w:color w:val="auto"/>
              </w:rPr>
            </w:pPr>
          </w:p>
        </w:tc>
      </w:tr>
      <w:tr>
        <w:trPr>
          <w:trHeight w:val="216"/>
        </w:trPr>
        <w:tc>
          <w:tcPr>
            <w:tcW w:w="2180" w:type="dxa"/>
            <w:vAlign w:val="bottom"/>
            <w:tcBorders>
              <w:left w:val="single" w:sz="8" w:color="auto"/>
              <w:right w:val="single" w:sz="8" w:color="auto"/>
            </w:tcBorders>
            <w:gridSpan w:val="3"/>
          </w:tcPr>
          <w:p>
            <w:pPr>
              <w:ind w:left="220"/>
              <w:spacing w:after="0"/>
              <w:rPr>
                <w:sz w:val="20"/>
                <w:szCs w:val="20"/>
                <w:color w:val="auto"/>
              </w:rPr>
            </w:pPr>
            <w:r>
              <w:rPr>
                <w:rFonts w:ascii="Arial" w:cs="Arial" w:eastAsia="Arial" w:hAnsi="Arial"/>
                <w:sz w:val="18"/>
                <w:szCs w:val="18"/>
                <w:color w:val="auto"/>
              </w:rPr>
              <w:t>independent directors,</w:t>
            </w:r>
          </w:p>
        </w:tc>
        <w:tc>
          <w:tcPr>
            <w:tcW w:w="180" w:type="dxa"/>
            <w:vAlign w:val="bottom"/>
            <w:tcBorders>
              <w:right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r>
      <w:tr>
        <w:trPr>
          <w:trHeight w:val="239"/>
        </w:trPr>
        <w:tc>
          <w:tcPr>
            <w:tcW w:w="2180" w:type="dxa"/>
            <w:vAlign w:val="bottom"/>
            <w:tcBorders>
              <w:left w:val="single" w:sz="8" w:color="auto"/>
              <w:right w:val="single" w:sz="8" w:color="auto"/>
            </w:tcBorders>
            <w:gridSpan w:val="3"/>
          </w:tcPr>
          <w:p>
            <w:pPr>
              <w:ind w:left="220"/>
              <w:spacing w:after="0"/>
              <w:rPr>
                <w:sz w:val="20"/>
                <w:szCs w:val="20"/>
                <w:color w:val="auto"/>
              </w:rPr>
            </w:pPr>
            <w:r>
              <w:rPr>
                <w:rFonts w:ascii="Arial" w:cs="Arial" w:eastAsia="Arial" w:hAnsi="Arial"/>
                <w:sz w:val="18"/>
                <w:szCs w:val="18"/>
                <w:color w:val="auto"/>
              </w:rPr>
              <w:t>as appropriate</w:t>
            </w:r>
          </w:p>
        </w:tc>
        <w:tc>
          <w:tcPr>
            <w:tcW w:w="180" w:type="dxa"/>
            <w:vAlign w:val="bottom"/>
            <w:tcBorders>
              <w:right w:val="single" w:sz="8" w:color="auto"/>
            </w:tcBorders>
          </w:tcPr>
          <w:p>
            <w:pPr>
              <w:spacing w:after="0"/>
              <w:rPr>
                <w:sz w:val="20"/>
                <w:szCs w:val="20"/>
                <w:color w:val="auto"/>
              </w:rPr>
            </w:pPr>
          </w:p>
        </w:tc>
        <w:tc>
          <w:tcPr>
            <w:tcW w:w="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r>
      <w:tr>
        <w:trPr>
          <w:trHeight w:val="293"/>
        </w:trPr>
        <w:tc>
          <w:tcPr>
            <w:tcW w:w="660" w:type="dxa"/>
            <w:vAlign w:val="bottom"/>
            <w:tcBorders>
              <w:left w:val="single" w:sz="8" w:color="auto"/>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20" w:type="dxa"/>
            <w:vAlign w:val="bottom"/>
            <w:tcBorders>
              <w:bottom w:val="single" w:sz="8" w:color="auto"/>
              <w:right w:val="single" w:sz="8" w:color="auto"/>
            </w:tcBorders>
          </w:tcPr>
          <w:p>
            <w:pPr>
              <w:spacing w:after="0"/>
              <w:rPr>
                <w:sz w:val="24"/>
                <w:szCs w:val="24"/>
                <w:color w:val="auto"/>
              </w:rPr>
            </w:pPr>
          </w:p>
        </w:tc>
        <w:tc>
          <w:tcPr>
            <w:tcW w:w="180" w:type="dxa"/>
            <w:vAlign w:val="bottom"/>
            <w:tcBorders>
              <w:right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3">
            <w:col w:w="2000" w:space="300"/>
            <w:col w:w="2040" w:space="240"/>
            <w:col w:w="6660"/>
          </w:cols>
          <w:pgMar w:left="320" w:top="926" w:right="339" w:bottom="1440" w:gutter="0" w:footer="0" w:header="0"/>
          <w:type w:val="continuous"/>
        </w:sectPr>
      </w:pPr>
    </w:p>
    <w:p>
      <w:pPr>
        <w:spacing w:after="0" w:line="24"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In 2024, the independent directors, led by Mr. Luciano, met at each regularly scheduled board meeting in executive session to discuss various matters related to the oversight of the company, the management of the board’s affairs, and the CEO’s performance. We believe Mr. Luciano fosters an open and constructive dialogue during these sessions as well as during individual discussions with independent directors. As appropriate, Mr. Luciano informs Mr. Ricks of the independent directors’ discussions, including providing performance feedback.</w:t>
      </w:r>
    </w:p>
    <w:p>
      <w:pPr>
        <w:spacing w:after="0" w:line="1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Board and Director Assessment</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200" w:type="dxa"/>
            <w:vAlign w:val="bottom"/>
            <w:shd w:val="clear" w:color="auto" w:fill="6D6D6D"/>
          </w:tcPr>
          <w:p>
            <w:pPr>
              <w:ind w:left="20"/>
              <w:spacing w:after="0"/>
              <w:rPr>
                <w:sz w:val="20"/>
                <w:szCs w:val="20"/>
                <w:color w:val="auto"/>
              </w:rPr>
            </w:pPr>
            <w:r>
              <w:rPr>
                <w:rFonts w:ascii="Arial" w:cs="Arial" w:eastAsia="Arial" w:hAnsi="Arial"/>
                <w:sz w:val="15"/>
                <w:szCs w:val="15"/>
                <w:b w:val="1"/>
                <w:bCs w:val="1"/>
                <w:color w:val="FFFFFF"/>
              </w:rPr>
              <w:t>Reexamine</w:t>
            </w:r>
          </w:p>
        </w:tc>
        <w:tc>
          <w:tcPr>
            <w:tcW w:w="300" w:type="dxa"/>
            <w:vAlign w:val="bottom"/>
          </w:tcPr>
          <w:p>
            <w:pPr>
              <w:spacing w:after="0"/>
              <w:rPr>
                <w:sz w:val="15"/>
                <w:szCs w:val="15"/>
                <w:color w:val="auto"/>
              </w:rPr>
            </w:pPr>
          </w:p>
        </w:tc>
        <w:tc>
          <w:tcPr>
            <w:tcW w:w="1280" w:type="dxa"/>
            <w:vAlign w:val="bottom"/>
            <w:shd w:val="clear" w:color="auto" w:fill="D52B1E"/>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vMerge w:val="restart"/>
            <w:shd w:val="clear" w:color="auto" w:fill="D52B1E"/>
          </w:tcPr>
          <w:p>
            <w:pPr>
              <w:ind w:left="20"/>
              <w:spacing w:after="0"/>
              <w:rPr>
                <w:sz w:val="20"/>
                <w:szCs w:val="20"/>
                <w:color w:val="auto"/>
              </w:rPr>
            </w:pPr>
            <w:r>
              <w:rPr>
                <w:rFonts w:ascii="Arial" w:cs="Arial" w:eastAsia="Arial" w:hAnsi="Arial"/>
                <w:sz w:val="15"/>
                <w:szCs w:val="15"/>
                <w:b w:val="1"/>
                <w:bCs w:val="1"/>
                <w:color w:val="FFFFFF"/>
              </w:rPr>
              <w:t>One-On-One</w:t>
            </w:r>
          </w:p>
        </w:tc>
        <w:tc>
          <w:tcPr>
            <w:tcW w:w="300" w:type="dxa"/>
            <w:vAlign w:val="bottom"/>
          </w:tcPr>
          <w:p>
            <w:pPr>
              <w:spacing w:after="0"/>
              <w:rPr>
                <w:sz w:val="15"/>
                <w:szCs w:val="15"/>
                <w:color w:val="auto"/>
              </w:rPr>
            </w:pPr>
          </w:p>
        </w:tc>
        <w:tc>
          <w:tcPr>
            <w:tcW w:w="1240" w:type="dxa"/>
            <w:vAlign w:val="bottom"/>
            <w:vMerge w:val="restart"/>
            <w:shd w:val="clear" w:color="auto" w:fill="00A1DE"/>
          </w:tcPr>
          <w:p>
            <w:pPr>
              <w:ind w:left="20"/>
              <w:spacing w:after="0"/>
              <w:rPr>
                <w:sz w:val="20"/>
                <w:szCs w:val="20"/>
                <w:color w:val="auto"/>
              </w:rPr>
            </w:pPr>
            <w:r>
              <w:rPr>
                <w:rFonts w:ascii="Arial" w:cs="Arial" w:eastAsia="Arial" w:hAnsi="Arial"/>
                <w:sz w:val="15"/>
                <w:szCs w:val="15"/>
                <w:b w:val="1"/>
                <w:bCs w:val="1"/>
                <w:color w:val="FFFFFF"/>
              </w:rPr>
              <w:t>Evaluation</w:t>
            </w:r>
          </w:p>
        </w:tc>
        <w:tc>
          <w:tcPr>
            <w:tcW w:w="300" w:type="dxa"/>
            <w:vAlign w:val="bottom"/>
          </w:tcPr>
          <w:p>
            <w:pPr>
              <w:spacing w:after="0"/>
              <w:rPr>
                <w:sz w:val="15"/>
                <w:szCs w:val="15"/>
                <w:color w:val="auto"/>
              </w:rPr>
            </w:pPr>
          </w:p>
        </w:tc>
        <w:tc>
          <w:tcPr>
            <w:tcW w:w="1260" w:type="dxa"/>
            <w:vAlign w:val="bottom"/>
            <w:vMerge w:val="restart"/>
            <w:shd w:val="clear" w:color="auto" w:fill="00A1DE"/>
          </w:tcPr>
          <w:p>
            <w:pPr>
              <w:spacing w:after="0"/>
              <w:rPr>
                <w:sz w:val="20"/>
                <w:szCs w:val="20"/>
                <w:color w:val="auto"/>
              </w:rPr>
            </w:pPr>
            <w:r>
              <w:rPr>
                <w:rFonts w:ascii="Arial" w:cs="Arial" w:eastAsia="Arial" w:hAnsi="Arial"/>
                <w:sz w:val="15"/>
                <w:szCs w:val="15"/>
                <w:b w:val="1"/>
                <w:bCs w:val="1"/>
                <w:color w:val="FFFFFF"/>
              </w:rPr>
              <w:t>Closed Session</w:t>
            </w:r>
          </w:p>
        </w:tc>
        <w:tc>
          <w:tcPr>
            <w:tcW w:w="300" w:type="dxa"/>
            <w:vAlign w:val="bottom"/>
          </w:tcPr>
          <w:p>
            <w:pPr>
              <w:spacing w:after="0"/>
              <w:rPr>
                <w:sz w:val="15"/>
                <w:szCs w:val="15"/>
                <w:color w:val="auto"/>
              </w:rPr>
            </w:pPr>
          </w:p>
        </w:tc>
        <w:tc>
          <w:tcPr>
            <w:tcW w:w="1260" w:type="dxa"/>
            <w:vAlign w:val="bottom"/>
            <w:shd w:val="clear" w:color="auto" w:fill="6D6D6D"/>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1200" w:type="dxa"/>
            <w:vAlign w:val="bottom"/>
            <w:vMerge w:val="restart"/>
            <w:shd w:val="clear" w:color="auto" w:fill="6D6D6D"/>
          </w:tcPr>
          <w:p>
            <w:pPr>
              <w:ind w:left="20"/>
              <w:spacing w:after="0" w:line="149" w:lineRule="exact"/>
              <w:rPr>
                <w:sz w:val="20"/>
                <w:szCs w:val="20"/>
                <w:color w:val="auto"/>
              </w:rPr>
            </w:pPr>
            <w:r>
              <w:rPr>
                <w:rFonts w:ascii="Arial" w:cs="Arial" w:eastAsia="Arial" w:hAnsi="Arial"/>
                <w:sz w:val="15"/>
                <w:szCs w:val="15"/>
                <w:b w:val="1"/>
                <w:bCs w:val="1"/>
                <w:color w:val="FFFFFF"/>
              </w:rPr>
              <w:t>Evaluation</w:t>
            </w:r>
          </w:p>
        </w:tc>
        <w:tc>
          <w:tcPr>
            <w:tcW w:w="300" w:type="dxa"/>
            <w:vAlign w:val="bottom"/>
          </w:tcPr>
          <w:p>
            <w:pPr>
              <w:spacing w:after="0"/>
              <w:rPr>
                <w:sz w:val="5"/>
                <w:szCs w:val="5"/>
                <w:color w:val="auto"/>
              </w:rPr>
            </w:pPr>
          </w:p>
        </w:tc>
        <w:tc>
          <w:tcPr>
            <w:tcW w:w="1280" w:type="dxa"/>
            <w:vAlign w:val="bottom"/>
            <w:vMerge w:val="restart"/>
            <w:shd w:val="clear" w:color="auto" w:fill="D52B1E"/>
          </w:tcPr>
          <w:p>
            <w:pPr>
              <w:ind w:left="20"/>
              <w:spacing w:after="0" w:line="149" w:lineRule="exact"/>
              <w:rPr>
                <w:sz w:val="20"/>
                <w:szCs w:val="20"/>
                <w:color w:val="auto"/>
              </w:rPr>
            </w:pPr>
            <w:r>
              <w:rPr>
                <w:rFonts w:ascii="Arial" w:cs="Arial" w:eastAsia="Arial" w:hAnsi="Arial"/>
                <w:sz w:val="15"/>
                <w:szCs w:val="15"/>
                <w:b w:val="1"/>
                <w:bCs w:val="1"/>
                <w:color w:val="FFFFFF"/>
              </w:rPr>
              <w:t>Questionnaire</w:t>
            </w:r>
          </w:p>
        </w:tc>
        <w:tc>
          <w:tcPr>
            <w:tcW w:w="320" w:type="dxa"/>
            <w:vAlign w:val="bottom"/>
          </w:tcPr>
          <w:p>
            <w:pPr>
              <w:spacing w:after="0"/>
              <w:rPr>
                <w:sz w:val="5"/>
                <w:szCs w:val="5"/>
                <w:color w:val="auto"/>
              </w:rPr>
            </w:pPr>
          </w:p>
        </w:tc>
        <w:tc>
          <w:tcPr>
            <w:tcW w:w="1260" w:type="dxa"/>
            <w:vAlign w:val="bottom"/>
            <w:vMerge w:val="continue"/>
            <w:shd w:val="clear" w:color="auto" w:fill="D52B1E"/>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vMerge w:val="continue"/>
            <w:shd w:val="clear" w:color="auto" w:fill="00A1DE"/>
          </w:tcPr>
          <w:p>
            <w:pPr>
              <w:spacing w:after="0"/>
              <w:rPr>
                <w:sz w:val="5"/>
                <w:szCs w:val="5"/>
                <w:color w:val="auto"/>
              </w:rPr>
            </w:pPr>
          </w:p>
        </w:tc>
        <w:tc>
          <w:tcPr>
            <w:tcW w:w="300" w:type="dxa"/>
            <w:vAlign w:val="bottom"/>
          </w:tcPr>
          <w:p>
            <w:pPr>
              <w:spacing w:after="0"/>
              <w:rPr>
                <w:sz w:val="5"/>
                <w:szCs w:val="5"/>
                <w:color w:val="auto"/>
              </w:rPr>
            </w:pPr>
          </w:p>
        </w:tc>
        <w:tc>
          <w:tcPr>
            <w:tcW w:w="1260" w:type="dxa"/>
            <w:vAlign w:val="bottom"/>
            <w:vMerge w:val="continue"/>
            <w:shd w:val="clear" w:color="auto" w:fill="00A1DE"/>
          </w:tcPr>
          <w:p>
            <w:pPr>
              <w:spacing w:after="0"/>
              <w:rPr>
                <w:sz w:val="5"/>
                <w:szCs w:val="5"/>
                <w:color w:val="auto"/>
              </w:rPr>
            </w:pPr>
          </w:p>
        </w:tc>
        <w:tc>
          <w:tcPr>
            <w:tcW w:w="300" w:type="dxa"/>
            <w:vAlign w:val="bottom"/>
          </w:tcPr>
          <w:p>
            <w:pPr>
              <w:spacing w:after="0"/>
              <w:rPr>
                <w:sz w:val="5"/>
                <w:szCs w:val="5"/>
                <w:color w:val="auto"/>
              </w:rPr>
            </w:pPr>
          </w:p>
        </w:tc>
        <w:tc>
          <w:tcPr>
            <w:tcW w:w="1260" w:type="dxa"/>
            <w:vAlign w:val="bottom"/>
            <w:vMerge w:val="restart"/>
            <w:shd w:val="clear" w:color="auto" w:fill="6D6D6D"/>
          </w:tcPr>
          <w:p>
            <w:pPr>
              <w:ind w:left="20"/>
              <w:spacing w:after="0" w:line="149" w:lineRule="exact"/>
              <w:rPr>
                <w:sz w:val="20"/>
                <w:szCs w:val="20"/>
                <w:color w:val="auto"/>
              </w:rPr>
            </w:pPr>
            <w:r>
              <w:rPr>
                <w:rFonts w:ascii="Arial" w:cs="Arial" w:eastAsia="Arial" w:hAnsi="Arial"/>
                <w:sz w:val="15"/>
                <w:szCs w:val="15"/>
                <w:b w:val="1"/>
                <w:bCs w:val="1"/>
                <w:color w:val="FFFFFF"/>
              </w:rPr>
              <w:t>Follow Through</w:t>
            </w:r>
          </w:p>
        </w:tc>
        <w:tc>
          <w:tcPr>
            <w:tcW w:w="0" w:type="dxa"/>
            <w:vAlign w:val="bottom"/>
          </w:tcPr>
          <w:p>
            <w:pPr>
              <w:spacing w:after="0"/>
              <w:rPr>
                <w:sz w:val="1"/>
                <w:szCs w:val="1"/>
                <w:color w:val="auto"/>
              </w:rPr>
            </w:pPr>
          </w:p>
        </w:tc>
      </w:tr>
      <w:tr>
        <w:trPr>
          <w:trHeight w:val="81"/>
        </w:trPr>
        <w:tc>
          <w:tcPr>
            <w:tcW w:w="1200" w:type="dxa"/>
            <w:vAlign w:val="bottom"/>
            <w:vMerge w:val="continue"/>
            <w:shd w:val="clear" w:color="auto" w:fill="6D6D6D"/>
          </w:tcPr>
          <w:p>
            <w:pPr>
              <w:spacing w:after="0"/>
              <w:rPr>
                <w:sz w:val="7"/>
                <w:szCs w:val="7"/>
                <w:color w:val="auto"/>
              </w:rPr>
            </w:pPr>
          </w:p>
        </w:tc>
        <w:tc>
          <w:tcPr>
            <w:tcW w:w="300" w:type="dxa"/>
            <w:vAlign w:val="bottom"/>
          </w:tcPr>
          <w:p>
            <w:pPr>
              <w:spacing w:after="0"/>
              <w:rPr>
                <w:sz w:val="7"/>
                <w:szCs w:val="7"/>
                <w:color w:val="auto"/>
              </w:rPr>
            </w:pPr>
          </w:p>
        </w:tc>
        <w:tc>
          <w:tcPr>
            <w:tcW w:w="1280" w:type="dxa"/>
            <w:vAlign w:val="bottom"/>
            <w:vMerge w:val="continue"/>
            <w:shd w:val="clear" w:color="auto" w:fill="D52B1E"/>
          </w:tcPr>
          <w:p>
            <w:pPr>
              <w:spacing w:after="0"/>
              <w:rPr>
                <w:sz w:val="7"/>
                <w:szCs w:val="7"/>
                <w:color w:val="auto"/>
              </w:rPr>
            </w:pPr>
          </w:p>
        </w:tc>
        <w:tc>
          <w:tcPr>
            <w:tcW w:w="320" w:type="dxa"/>
            <w:vAlign w:val="bottom"/>
          </w:tcPr>
          <w:p>
            <w:pPr>
              <w:spacing w:after="0"/>
              <w:rPr>
                <w:sz w:val="7"/>
                <w:szCs w:val="7"/>
                <w:color w:val="auto"/>
              </w:rPr>
            </w:pPr>
          </w:p>
        </w:tc>
        <w:tc>
          <w:tcPr>
            <w:tcW w:w="1260" w:type="dxa"/>
            <w:vAlign w:val="bottom"/>
            <w:vMerge w:val="restart"/>
            <w:shd w:val="clear" w:color="auto" w:fill="D52B1E"/>
          </w:tcPr>
          <w:p>
            <w:pPr>
              <w:ind w:left="20"/>
              <w:spacing w:after="0"/>
              <w:rPr>
                <w:sz w:val="20"/>
                <w:szCs w:val="20"/>
                <w:color w:val="auto"/>
              </w:rPr>
            </w:pPr>
            <w:r>
              <w:rPr>
                <w:rFonts w:ascii="Arial" w:cs="Arial" w:eastAsia="Arial" w:hAnsi="Arial"/>
                <w:sz w:val="15"/>
                <w:szCs w:val="15"/>
                <w:b w:val="1"/>
                <w:bCs w:val="1"/>
                <w:color w:val="FFFFFF"/>
              </w:rPr>
              <w:t>Discussions</w:t>
            </w:r>
          </w:p>
        </w:tc>
        <w:tc>
          <w:tcPr>
            <w:tcW w:w="300" w:type="dxa"/>
            <w:vAlign w:val="bottom"/>
          </w:tcPr>
          <w:p>
            <w:pPr>
              <w:spacing w:after="0"/>
              <w:rPr>
                <w:sz w:val="7"/>
                <w:szCs w:val="7"/>
                <w:color w:val="auto"/>
              </w:rPr>
            </w:pPr>
          </w:p>
        </w:tc>
        <w:tc>
          <w:tcPr>
            <w:tcW w:w="1240" w:type="dxa"/>
            <w:vAlign w:val="bottom"/>
            <w:vMerge w:val="restart"/>
            <w:shd w:val="clear" w:color="auto" w:fill="00A1DE"/>
          </w:tcPr>
          <w:p>
            <w:pPr>
              <w:ind w:left="20"/>
              <w:spacing w:after="0"/>
              <w:rPr>
                <w:sz w:val="20"/>
                <w:szCs w:val="20"/>
                <w:color w:val="auto"/>
              </w:rPr>
            </w:pPr>
            <w:r>
              <w:rPr>
                <w:rFonts w:ascii="Arial" w:cs="Arial" w:eastAsia="Arial" w:hAnsi="Arial"/>
                <w:sz w:val="15"/>
                <w:szCs w:val="15"/>
                <w:b w:val="1"/>
                <w:bCs w:val="1"/>
                <w:color w:val="FFFFFF"/>
              </w:rPr>
              <w:t>Summary</w:t>
            </w:r>
          </w:p>
        </w:tc>
        <w:tc>
          <w:tcPr>
            <w:tcW w:w="300" w:type="dxa"/>
            <w:vAlign w:val="bottom"/>
          </w:tcPr>
          <w:p>
            <w:pPr>
              <w:spacing w:after="0"/>
              <w:rPr>
                <w:sz w:val="7"/>
                <w:szCs w:val="7"/>
                <w:color w:val="auto"/>
              </w:rPr>
            </w:pPr>
          </w:p>
        </w:tc>
        <w:tc>
          <w:tcPr>
            <w:tcW w:w="1260" w:type="dxa"/>
            <w:vAlign w:val="bottom"/>
            <w:vMerge w:val="restart"/>
            <w:shd w:val="clear" w:color="auto" w:fill="00A1DE"/>
          </w:tcPr>
          <w:p>
            <w:pPr>
              <w:spacing w:after="0"/>
              <w:rPr>
                <w:sz w:val="20"/>
                <w:szCs w:val="20"/>
                <w:color w:val="auto"/>
              </w:rPr>
            </w:pPr>
            <w:r>
              <w:rPr>
                <w:rFonts w:ascii="Arial" w:cs="Arial" w:eastAsia="Arial" w:hAnsi="Arial"/>
                <w:sz w:val="15"/>
                <w:szCs w:val="15"/>
                <w:b w:val="1"/>
                <w:bCs w:val="1"/>
                <w:color w:val="FFFFFF"/>
              </w:rPr>
              <w:t>Discussions</w:t>
            </w:r>
          </w:p>
        </w:tc>
        <w:tc>
          <w:tcPr>
            <w:tcW w:w="300" w:type="dxa"/>
            <w:vAlign w:val="bottom"/>
          </w:tcPr>
          <w:p>
            <w:pPr>
              <w:spacing w:after="0"/>
              <w:rPr>
                <w:sz w:val="7"/>
                <w:szCs w:val="7"/>
                <w:color w:val="auto"/>
              </w:rPr>
            </w:pPr>
          </w:p>
        </w:tc>
        <w:tc>
          <w:tcPr>
            <w:tcW w:w="1260" w:type="dxa"/>
            <w:vAlign w:val="bottom"/>
            <w:vMerge w:val="continue"/>
            <w:shd w:val="clear" w:color="auto" w:fill="6D6D6D"/>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1200" w:type="dxa"/>
            <w:vAlign w:val="bottom"/>
            <w:vMerge w:val="restart"/>
            <w:shd w:val="clear" w:color="auto" w:fill="6D6D6D"/>
          </w:tcPr>
          <w:p>
            <w:pPr>
              <w:ind w:left="20"/>
              <w:spacing w:after="0"/>
              <w:rPr>
                <w:sz w:val="20"/>
                <w:szCs w:val="20"/>
                <w:color w:val="auto"/>
              </w:rPr>
            </w:pPr>
            <w:r>
              <w:rPr>
                <w:rFonts w:ascii="Arial" w:cs="Arial" w:eastAsia="Arial" w:hAnsi="Arial"/>
                <w:sz w:val="15"/>
                <w:szCs w:val="15"/>
                <w:b w:val="1"/>
                <w:bCs w:val="1"/>
                <w:color w:val="FFFFFF"/>
              </w:rPr>
              <w:t>Process</w:t>
            </w:r>
          </w:p>
        </w:tc>
        <w:tc>
          <w:tcPr>
            <w:tcW w:w="300" w:type="dxa"/>
            <w:vAlign w:val="bottom"/>
          </w:tcPr>
          <w:p>
            <w:pPr>
              <w:spacing w:after="0"/>
              <w:rPr>
                <w:sz w:val="11"/>
                <w:szCs w:val="11"/>
                <w:color w:val="auto"/>
              </w:rPr>
            </w:pPr>
          </w:p>
        </w:tc>
        <w:tc>
          <w:tcPr>
            <w:tcW w:w="1280" w:type="dxa"/>
            <w:vAlign w:val="bottom"/>
            <w:shd w:val="clear" w:color="auto" w:fill="D52B1E"/>
          </w:tcPr>
          <w:p>
            <w:pPr>
              <w:spacing w:after="0"/>
              <w:rPr>
                <w:sz w:val="11"/>
                <w:szCs w:val="11"/>
                <w:color w:val="auto"/>
              </w:rPr>
            </w:pPr>
          </w:p>
        </w:tc>
        <w:tc>
          <w:tcPr>
            <w:tcW w:w="320" w:type="dxa"/>
            <w:vAlign w:val="bottom"/>
          </w:tcPr>
          <w:p>
            <w:pPr>
              <w:spacing w:after="0"/>
              <w:rPr>
                <w:sz w:val="11"/>
                <w:szCs w:val="11"/>
                <w:color w:val="auto"/>
              </w:rPr>
            </w:pPr>
          </w:p>
        </w:tc>
        <w:tc>
          <w:tcPr>
            <w:tcW w:w="1260" w:type="dxa"/>
            <w:vAlign w:val="bottom"/>
            <w:vMerge w:val="continue"/>
            <w:shd w:val="clear" w:color="auto" w:fill="D52B1E"/>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vMerge w:val="continue"/>
            <w:shd w:val="clear" w:color="auto" w:fill="00A1DE"/>
          </w:tcPr>
          <w:p>
            <w:pPr>
              <w:spacing w:after="0"/>
              <w:rPr>
                <w:sz w:val="11"/>
                <w:szCs w:val="11"/>
                <w:color w:val="auto"/>
              </w:rPr>
            </w:pPr>
          </w:p>
        </w:tc>
        <w:tc>
          <w:tcPr>
            <w:tcW w:w="300" w:type="dxa"/>
            <w:vAlign w:val="bottom"/>
          </w:tcPr>
          <w:p>
            <w:pPr>
              <w:spacing w:after="0"/>
              <w:rPr>
                <w:sz w:val="11"/>
                <w:szCs w:val="11"/>
                <w:color w:val="auto"/>
              </w:rPr>
            </w:pPr>
          </w:p>
        </w:tc>
        <w:tc>
          <w:tcPr>
            <w:tcW w:w="1260" w:type="dxa"/>
            <w:vAlign w:val="bottom"/>
            <w:vMerge w:val="continue"/>
            <w:shd w:val="clear" w:color="auto" w:fill="00A1DE"/>
          </w:tcPr>
          <w:p>
            <w:pPr>
              <w:spacing w:after="0"/>
              <w:rPr>
                <w:sz w:val="11"/>
                <w:szCs w:val="11"/>
                <w:color w:val="auto"/>
              </w:rPr>
            </w:pPr>
          </w:p>
        </w:tc>
        <w:tc>
          <w:tcPr>
            <w:tcW w:w="300" w:type="dxa"/>
            <w:vAlign w:val="bottom"/>
          </w:tcPr>
          <w:p>
            <w:pPr>
              <w:spacing w:after="0"/>
              <w:rPr>
                <w:sz w:val="11"/>
                <w:szCs w:val="11"/>
                <w:color w:val="auto"/>
              </w:rPr>
            </w:pPr>
          </w:p>
        </w:tc>
        <w:tc>
          <w:tcPr>
            <w:tcW w:w="1260" w:type="dxa"/>
            <w:vAlign w:val="bottom"/>
            <w:shd w:val="clear" w:color="auto" w:fill="6D6D6D"/>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1200" w:type="dxa"/>
            <w:vAlign w:val="bottom"/>
            <w:vMerge w:val="continue"/>
            <w:shd w:val="clear" w:color="auto" w:fill="6D6D6D"/>
          </w:tcPr>
          <w:p>
            <w:pPr>
              <w:spacing w:after="0"/>
              <w:rPr>
                <w:sz w:val="7"/>
                <w:szCs w:val="7"/>
                <w:color w:val="auto"/>
              </w:rPr>
            </w:pPr>
          </w:p>
        </w:tc>
        <w:tc>
          <w:tcPr>
            <w:tcW w:w="300" w:type="dxa"/>
            <w:vAlign w:val="bottom"/>
          </w:tcPr>
          <w:p>
            <w:pPr>
              <w:spacing w:after="0"/>
              <w:rPr>
                <w:sz w:val="7"/>
                <w:szCs w:val="7"/>
                <w:color w:val="auto"/>
              </w:rPr>
            </w:pPr>
          </w:p>
        </w:tc>
        <w:tc>
          <w:tcPr>
            <w:tcW w:w="1280" w:type="dxa"/>
            <w:vAlign w:val="bottom"/>
            <w:shd w:val="clear" w:color="auto" w:fill="D52B1E"/>
          </w:tcPr>
          <w:p>
            <w:pPr>
              <w:spacing w:after="0"/>
              <w:rPr>
                <w:sz w:val="7"/>
                <w:szCs w:val="7"/>
                <w:color w:val="auto"/>
              </w:rPr>
            </w:pPr>
          </w:p>
        </w:tc>
        <w:tc>
          <w:tcPr>
            <w:tcW w:w="320" w:type="dxa"/>
            <w:vAlign w:val="bottom"/>
          </w:tcPr>
          <w:p>
            <w:pPr>
              <w:spacing w:after="0"/>
              <w:rPr>
                <w:sz w:val="7"/>
                <w:szCs w:val="7"/>
                <w:color w:val="auto"/>
              </w:rPr>
            </w:pPr>
          </w:p>
        </w:tc>
        <w:tc>
          <w:tcPr>
            <w:tcW w:w="1260" w:type="dxa"/>
            <w:vAlign w:val="bottom"/>
            <w:shd w:val="clear" w:color="auto" w:fill="D52B1E"/>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shd w:val="clear" w:color="auto" w:fill="00A1DE"/>
          </w:tcPr>
          <w:p>
            <w:pPr>
              <w:spacing w:after="0"/>
              <w:rPr>
                <w:sz w:val="7"/>
                <w:szCs w:val="7"/>
                <w:color w:val="auto"/>
              </w:rPr>
            </w:pPr>
          </w:p>
        </w:tc>
        <w:tc>
          <w:tcPr>
            <w:tcW w:w="300" w:type="dxa"/>
            <w:vAlign w:val="bottom"/>
          </w:tcPr>
          <w:p>
            <w:pPr>
              <w:spacing w:after="0"/>
              <w:rPr>
                <w:sz w:val="7"/>
                <w:szCs w:val="7"/>
                <w:color w:val="auto"/>
              </w:rPr>
            </w:pPr>
          </w:p>
        </w:tc>
        <w:tc>
          <w:tcPr>
            <w:tcW w:w="1260" w:type="dxa"/>
            <w:vAlign w:val="bottom"/>
            <w:shd w:val="clear" w:color="auto" w:fill="00A1DE"/>
          </w:tcPr>
          <w:p>
            <w:pPr>
              <w:spacing w:after="0"/>
              <w:rPr>
                <w:sz w:val="7"/>
                <w:szCs w:val="7"/>
                <w:color w:val="auto"/>
              </w:rPr>
            </w:pPr>
          </w:p>
        </w:tc>
        <w:tc>
          <w:tcPr>
            <w:tcW w:w="300" w:type="dxa"/>
            <w:vAlign w:val="bottom"/>
          </w:tcPr>
          <w:p>
            <w:pPr>
              <w:spacing w:after="0"/>
              <w:rPr>
                <w:sz w:val="7"/>
                <w:szCs w:val="7"/>
                <w:color w:val="auto"/>
              </w:rPr>
            </w:pPr>
          </w:p>
        </w:tc>
        <w:tc>
          <w:tcPr>
            <w:tcW w:w="1260" w:type="dxa"/>
            <w:vAlign w:val="bottom"/>
            <w:shd w:val="clear" w:color="auto" w:fill="6D6D6D"/>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1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1200" w:type="dxa"/>
            <w:vAlign w:val="bottom"/>
            <w:shd w:val="clear" w:color="auto" w:fill="6D6D6D"/>
          </w:tcPr>
          <w:p>
            <w:pPr>
              <w:ind w:left="20"/>
              <w:spacing w:after="0" w:line="149" w:lineRule="exact"/>
              <w:rPr>
                <w:sz w:val="20"/>
                <w:szCs w:val="20"/>
                <w:color w:val="auto"/>
              </w:rPr>
            </w:pPr>
            <w:r>
              <w:rPr>
                <w:rFonts w:ascii="Arial" w:cs="Arial" w:eastAsia="Arial" w:hAnsi="Arial"/>
                <w:sz w:val="14"/>
                <w:szCs w:val="14"/>
                <w:color w:val="FFFFFF"/>
              </w:rPr>
              <w:t>Our lead</w:t>
            </w:r>
          </w:p>
        </w:tc>
        <w:tc>
          <w:tcPr>
            <w:tcW w:w="300" w:type="dxa"/>
            <w:vAlign w:val="bottom"/>
          </w:tcPr>
          <w:p>
            <w:pPr>
              <w:spacing w:after="0"/>
              <w:rPr>
                <w:sz w:val="12"/>
                <w:szCs w:val="12"/>
                <w:color w:val="auto"/>
              </w:rPr>
            </w:pPr>
          </w:p>
        </w:tc>
        <w:tc>
          <w:tcPr>
            <w:tcW w:w="1280" w:type="dxa"/>
            <w:vAlign w:val="bottom"/>
            <w:shd w:val="clear" w:color="auto" w:fill="D52B1E"/>
          </w:tcPr>
          <w:p>
            <w:pPr>
              <w:ind w:left="20"/>
              <w:spacing w:after="0" w:line="149" w:lineRule="exact"/>
              <w:rPr>
                <w:sz w:val="20"/>
                <w:szCs w:val="20"/>
                <w:color w:val="auto"/>
              </w:rPr>
            </w:pPr>
            <w:r>
              <w:rPr>
                <w:rFonts w:ascii="Arial" w:cs="Arial" w:eastAsia="Arial" w:hAnsi="Arial"/>
                <w:sz w:val="14"/>
                <w:szCs w:val="14"/>
                <w:color w:val="FFFFFF"/>
              </w:rPr>
              <w:t>Directors provided</w:t>
            </w:r>
          </w:p>
        </w:tc>
        <w:tc>
          <w:tcPr>
            <w:tcW w:w="320" w:type="dxa"/>
            <w:vAlign w:val="bottom"/>
          </w:tcPr>
          <w:p>
            <w:pPr>
              <w:spacing w:after="0"/>
              <w:rPr>
                <w:sz w:val="12"/>
                <w:szCs w:val="12"/>
                <w:color w:val="auto"/>
              </w:rPr>
            </w:pPr>
          </w:p>
        </w:tc>
        <w:tc>
          <w:tcPr>
            <w:tcW w:w="1260" w:type="dxa"/>
            <w:vAlign w:val="bottom"/>
            <w:shd w:val="clear" w:color="auto" w:fill="D52B1E"/>
          </w:tcPr>
          <w:p>
            <w:pPr>
              <w:ind w:left="20"/>
              <w:spacing w:after="0" w:line="149" w:lineRule="exact"/>
              <w:rPr>
                <w:sz w:val="20"/>
                <w:szCs w:val="20"/>
                <w:color w:val="auto"/>
              </w:rPr>
            </w:pPr>
            <w:r>
              <w:rPr>
                <w:rFonts w:ascii="Arial" w:cs="Arial" w:eastAsia="Arial" w:hAnsi="Arial"/>
                <w:sz w:val="14"/>
                <w:szCs w:val="14"/>
                <w:color w:val="FFFFFF"/>
              </w:rPr>
              <w:t>Each director had</w:t>
            </w:r>
          </w:p>
        </w:tc>
        <w:tc>
          <w:tcPr>
            <w:tcW w:w="300" w:type="dxa"/>
            <w:vAlign w:val="bottom"/>
          </w:tcPr>
          <w:p>
            <w:pPr>
              <w:spacing w:after="0"/>
              <w:rPr>
                <w:sz w:val="12"/>
                <w:szCs w:val="12"/>
                <w:color w:val="auto"/>
              </w:rPr>
            </w:pPr>
          </w:p>
        </w:tc>
        <w:tc>
          <w:tcPr>
            <w:tcW w:w="1240" w:type="dxa"/>
            <w:vAlign w:val="bottom"/>
            <w:shd w:val="clear" w:color="auto" w:fill="00A1DE"/>
          </w:tcPr>
          <w:p>
            <w:pPr>
              <w:ind w:left="20"/>
              <w:spacing w:after="0" w:line="149" w:lineRule="exact"/>
              <w:rPr>
                <w:sz w:val="20"/>
                <w:szCs w:val="20"/>
                <w:color w:val="auto"/>
              </w:rPr>
            </w:pPr>
            <w:r>
              <w:rPr>
                <w:rFonts w:ascii="Arial" w:cs="Arial" w:eastAsia="Arial" w:hAnsi="Arial"/>
                <w:sz w:val="14"/>
                <w:szCs w:val="14"/>
                <w:color w:val="FFFFFF"/>
              </w:rPr>
              <w:t>A summary of</w:t>
            </w:r>
          </w:p>
        </w:tc>
        <w:tc>
          <w:tcPr>
            <w:tcW w:w="300" w:type="dxa"/>
            <w:vAlign w:val="bottom"/>
          </w:tcPr>
          <w:p>
            <w:pPr>
              <w:spacing w:after="0"/>
              <w:rPr>
                <w:sz w:val="12"/>
                <w:szCs w:val="12"/>
                <w:color w:val="auto"/>
              </w:rPr>
            </w:pPr>
          </w:p>
        </w:tc>
        <w:tc>
          <w:tcPr>
            <w:tcW w:w="1260" w:type="dxa"/>
            <w:vAlign w:val="bottom"/>
            <w:shd w:val="clear" w:color="auto" w:fill="00A1DE"/>
          </w:tcPr>
          <w:p>
            <w:pPr>
              <w:spacing w:after="0" w:line="149" w:lineRule="exact"/>
              <w:rPr>
                <w:sz w:val="20"/>
                <w:szCs w:val="20"/>
                <w:color w:val="auto"/>
              </w:rPr>
            </w:pPr>
            <w:r>
              <w:rPr>
                <w:rFonts w:ascii="Arial" w:cs="Arial" w:eastAsia="Arial" w:hAnsi="Arial"/>
                <w:sz w:val="14"/>
                <w:szCs w:val="14"/>
                <w:color w:val="FFFFFF"/>
              </w:rPr>
              <w:t>Closed session</w:t>
            </w:r>
          </w:p>
        </w:tc>
        <w:tc>
          <w:tcPr>
            <w:tcW w:w="300" w:type="dxa"/>
            <w:vAlign w:val="bottom"/>
          </w:tcPr>
          <w:p>
            <w:pPr>
              <w:spacing w:after="0"/>
              <w:rPr>
                <w:sz w:val="12"/>
                <w:szCs w:val="12"/>
                <w:color w:val="auto"/>
              </w:rPr>
            </w:pPr>
          </w:p>
        </w:tc>
        <w:tc>
          <w:tcPr>
            <w:tcW w:w="1260" w:type="dxa"/>
            <w:vAlign w:val="bottom"/>
            <w:shd w:val="clear" w:color="auto" w:fill="6D6D6D"/>
          </w:tcPr>
          <w:p>
            <w:pPr>
              <w:ind w:left="20"/>
              <w:spacing w:after="0" w:line="149" w:lineRule="exact"/>
              <w:rPr>
                <w:sz w:val="20"/>
                <w:szCs w:val="20"/>
                <w:color w:val="auto"/>
              </w:rPr>
            </w:pPr>
            <w:r>
              <w:rPr>
                <w:rFonts w:ascii="Arial" w:cs="Arial" w:eastAsia="Arial" w:hAnsi="Arial"/>
                <w:sz w:val="14"/>
                <w:szCs w:val="14"/>
                <w:color w:val="FFFFFF"/>
              </w:rPr>
              <w:t>Incorporated</w:t>
            </w:r>
          </w:p>
        </w:tc>
        <w:tc>
          <w:tcPr>
            <w:tcW w:w="0" w:type="dxa"/>
            <w:vAlign w:val="bottom"/>
          </w:tcPr>
          <w:p>
            <w:pPr>
              <w:spacing w:after="0"/>
              <w:rPr>
                <w:sz w:val="1"/>
                <w:szCs w:val="1"/>
                <w:color w:val="auto"/>
              </w:rPr>
            </w:pPr>
          </w:p>
        </w:tc>
      </w:tr>
      <w:tr>
        <w:trPr>
          <w:trHeight w:val="139"/>
        </w:trPr>
        <w:tc>
          <w:tcPr>
            <w:tcW w:w="1200" w:type="dxa"/>
            <w:vAlign w:val="bottom"/>
            <w:shd w:val="clear" w:color="auto" w:fill="6D6D6D"/>
          </w:tcPr>
          <w:p>
            <w:pPr>
              <w:ind w:left="20"/>
              <w:spacing w:after="0" w:line="139" w:lineRule="exact"/>
              <w:rPr>
                <w:sz w:val="20"/>
                <w:szCs w:val="20"/>
                <w:color w:val="auto"/>
              </w:rPr>
            </w:pPr>
            <w:r>
              <w:rPr>
                <w:rFonts w:ascii="Arial" w:cs="Arial" w:eastAsia="Arial" w:hAnsi="Arial"/>
                <w:sz w:val="14"/>
                <w:szCs w:val="14"/>
                <w:color w:val="FFFFFF"/>
              </w:rPr>
              <w:t>independent</w:t>
            </w:r>
          </w:p>
        </w:tc>
        <w:tc>
          <w:tcPr>
            <w:tcW w:w="300" w:type="dxa"/>
            <w:vAlign w:val="bottom"/>
          </w:tcPr>
          <w:p>
            <w:pPr>
              <w:spacing w:after="0"/>
              <w:rPr>
                <w:sz w:val="12"/>
                <w:szCs w:val="12"/>
                <w:color w:val="auto"/>
              </w:rPr>
            </w:pPr>
          </w:p>
        </w:tc>
        <w:tc>
          <w:tcPr>
            <w:tcW w:w="1280" w:type="dxa"/>
            <w:vAlign w:val="bottom"/>
            <w:shd w:val="clear" w:color="auto" w:fill="D52B1E"/>
          </w:tcPr>
          <w:p>
            <w:pPr>
              <w:ind w:left="20"/>
              <w:spacing w:after="0" w:line="139" w:lineRule="exact"/>
              <w:rPr>
                <w:sz w:val="20"/>
                <w:szCs w:val="20"/>
                <w:color w:val="auto"/>
              </w:rPr>
            </w:pPr>
            <w:r>
              <w:rPr>
                <w:rFonts w:ascii="Arial" w:cs="Arial" w:eastAsia="Arial" w:hAnsi="Arial"/>
                <w:sz w:val="14"/>
                <w:szCs w:val="14"/>
                <w:color w:val="FFFFFF"/>
              </w:rPr>
              <w:t>written feedback</w:t>
            </w:r>
          </w:p>
        </w:tc>
        <w:tc>
          <w:tcPr>
            <w:tcW w:w="320" w:type="dxa"/>
            <w:vAlign w:val="bottom"/>
          </w:tcPr>
          <w:p>
            <w:pPr>
              <w:spacing w:after="0"/>
              <w:rPr>
                <w:sz w:val="12"/>
                <w:szCs w:val="12"/>
                <w:color w:val="auto"/>
              </w:rPr>
            </w:pPr>
          </w:p>
        </w:tc>
        <w:tc>
          <w:tcPr>
            <w:tcW w:w="1260" w:type="dxa"/>
            <w:vAlign w:val="bottom"/>
            <w:shd w:val="clear" w:color="auto" w:fill="D52B1E"/>
          </w:tcPr>
          <w:p>
            <w:pPr>
              <w:ind w:left="20"/>
              <w:spacing w:after="0" w:line="139" w:lineRule="exact"/>
              <w:rPr>
                <w:sz w:val="20"/>
                <w:szCs w:val="20"/>
                <w:color w:val="auto"/>
              </w:rPr>
            </w:pPr>
            <w:r>
              <w:rPr>
                <w:rFonts w:ascii="Arial" w:cs="Arial" w:eastAsia="Arial" w:hAnsi="Arial"/>
                <w:sz w:val="14"/>
                <w:szCs w:val="14"/>
                <w:color w:val="FFFFFF"/>
              </w:rPr>
              <w:t>one-on-one</w:t>
            </w:r>
          </w:p>
        </w:tc>
        <w:tc>
          <w:tcPr>
            <w:tcW w:w="300" w:type="dxa"/>
            <w:vAlign w:val="bottom"/>
          </w:tcPr>
          <w:p>
            <w:pPr>
              <w:spacing w:after="0"/>
              <w:rPr>
                <w:sz w:val="12"/>
                <w:szCs w:val="12"/>
                <w:color w:val="auto"/>
              </w:rPr>
            </w:pPr>
          </w:p>
        </w:tc>
        <w:tc>
          <w:tcPr>
            <w:tcW w:w="1240" w:type="dxa"/>
            <w:vAlign w:val="bottom"/>
            <w:shd w:val="clear" w:color="auto" w:fill="00A1DE"/>
          </w:tcPr>
          <w:p>
            <w:pPr>
              <w:ind w:left="20"/>
              <w:spacing w:after="0" w:line="139" w:lineRule="exact"/>
              <w:rPr>
                <w:sz w:val="20"/>
                <w:szCs w:val="20"/>
                <w:color w:val="auto"/>
              </w:rPr>
            </w:pPr>
            <w:r>
              <w:rPr>
                <w:rFonts w:ascii="Arial" w:cs="Arial" w:eastAsia="Arial" w:hAnsi="Arial"/>
                <w:sz w:val="14"/>
                <w:szCs w:val="14"/>
                <w:color w:val="FFFFFF"/>
              </w:rPr>
              <w:t>board and</w:t>
            </w:r>
          </w:p>
        </w:tc>
        <w:tc>
          <w:tcPr>
            <w:tcW w:w="300" w:type="dxa"/>
            <w:vAlign w:val="bottom"/>
          </w:tcPr>
          <w:p>
            <w:pPr>
              <w:spacing w:after="0"/>
              <w:rPr>
                <w:sz w:val="12"/>
                <w:szCs w:val="12"/>
                <w:color w:val="auto"/>
              </w:rPr>
            </w:pPr>
          </w:p>
        </w:tc>
        <w:tc>
          <w:tcPr>
            <w:tcW w:w="1260" w:type="dxa"/>
            <w:vAlign w:val="bottom"/>
            <w:shd w:val="clear" w:color="auto" w:fill="00A1DE"/>
          </w:tcPr>
          <w:p>
            <w:pPr>
              <w:spacing w:after="0" w:line="139" w:lineRule="exact"/>
              <w:rPr>
                <w:sz w:val="20"/>
                <w:szCs w:val="20"/>
                <w:color w:val="auto"/>
              </w:rPr>
            </w:pPr>
            <w:r>
              <w:rPr>
                <w:rFonts w:ascii="Arial" w:cs="Arial" w:eastAsia="Arial" w:hAnsi="Arial"/>
                <w:sz w:val="14"/>
                <w:szCs w:val="14"/>
                <w:color w:val="FFFFFF"/>
              </w:rPr>
              <w:t>evaluation</w:t>
            </w:r>
          </w:p>
        </w:tc>
        <w:tc>
          <w:tcPr>
            <w:tcW w:w="300" w:type="dxa"/>
            <w:vAlign w:val="bottom"/>
          </w:tcPr>
          <w:p>
            <w:pPr>
              <w:spacing w:after="0"/>
              <w:rPr>
                <w:sz w:val="12"/>
                <w:szCs w:val="12"/>
                <w:color w:val="auto"/>
              </w:rPr>
            </w:pPr>
          </w:p>
        </w:tc>
        <w:tc>
          <w:tcPr>
            <w:tcW w:w="1260" w:type="dxa"/>
            <w:vAlign w:val="bottom"/>
            <w:shd w:val="clear" w:color="auto" w:fill="6D6D6D"/>
          </w:tcPr>
          <w:p>
            <w:pPr>
              <w:ind w:left="20"/>
              <w:spacing w:after="0" w:line="139" w:lineRule="exact"/>
              <w:rPr>
                <w:sz w:val="20"/>
                <w:szCs w:val="20"/>
                <w:color w:val="auto"/>
              </w:rPr>
            </w:pPr>
            <w:r>
              <w:rPr>
                <w:rFonts w:ascii="Arial" w:cs="Arial" w:eastAsia="Arial" w:hAnsi="Arial"/>
                <w:sz w:val="14"/>
                <w:szCs w:val="14"/>
                <w:color w:val="FFFFFF"/>
              </w:rPr>
              <w:t>feedback into</w:t>
            </w:r>
          </w:p>
        </w:tc>
        <w:tc>
          <w:tcPr>
            <w:tcW w:w="0" w:type="dxa"/>
            <w:vAlign w:val="bottom"/>
          </w:tcPr>
          <w:p>
            <w:pPr>
              <w:spacing w:after="0"/>
              <w:rPr>
                <w:sz w:val="1"/>
                <w:szCs w:val="1"/>
                <w:color w:val="auto"/>
              </w:rPr>
            </w:pPr>
          </w:p>
        </w:tc>
      </w:tr>
      <w:tr>
        <w:trPr>
          <w:trHeight w:val="148"/>
        </w:trPr>
        <w:tc>
          <w:tcPr>
            <w:tcW w:w="1200" w:type="dxa"/>
            <w:vAlign w:val="bottom"/>
            <w:shd w:val="clear" w:color="auto" w:fill="6D6D6D"/>
          </w:tcPr>
          <w:p>
            <w:pPr>
              <w:ind w:left="20"/>
              <w:spacing w:after="0" w:line="149" w:lineRule="exact"/>
              <w:rPr>
                <w:sz w:val="20"/>
                <w:szCs w:val="20"/>
                <w:color w:val="auto"/>
              </w:rPr>
            </w:pPr>
            <w:r>
              <w:rPr>
                <w:rFonts w:ascii="Arial" w:cs="Arial" w:eastAsia="Arial" w:hAnsi="Arial"/>
                <w:sz w:val="14"/>
                <w:szCs w:val="14"/>
                <w:color w:val="FFFFFF"/>
              </w:rPr>
              <w:t>director and</w:t>
            </w:r>
          </w:p>
        </w:tc>
        <w:tc>
          <w:tcPr>
            <w:tcW w:w="300" w:type="dxa"/>
            <w:vAlign w:val="bottom"/>
          </w:tcPr>
          <w:p>
            <w:pPr>
              <w:spacing w:after="0"/>
              <w:rPr>
                <w:sz w:val="12"/>
                <w:szCs w:val="12"/>
                <w:color w:val="auto"/>
              </w:rPr>
            </w:pPr>
          </w:p>
        </w:tc>
        <w:tc>
          <w:tcPr>
            <w:tcW w:w="1280" w:type="dxa"/>
            <w:vAlign w:val="bottom"/>
            <w:shd w:val="clear" w:color="auto" w:fill="D52B1E"/>
          </w:tcPr>
          <w:p>
            <w:pPr>
              <w:ind w:left="20"/>
              <w:spacing w:after="0" w:line="149" w:lineRule="exact"/>
              <w:rPr>
                <w:sz w:val="20"/>
                <w:szCs w:val="20"/>
                <w:color w:val="auto"/>
              </w:rPr>
            </w:pPr>
            <w:r>
              <w:rPr>
                <w:rFonts w:ascii="Arial" w:cs="Arial" w:eastAsia="Arial" w:hAnsi="Arial"/>
                <w:sz w:val="14"/>
                <w:szCs w:val="14"/>
                <w:color w:val="FFFFFF"/>
              </w:rPr>
              <w:t>on an unattributed</w:t>
            </w:r>
          </w:p>
        </w:tc>
        <w:tc>
          <w:tcPr>
            <w:tcW w:w="320" w:type="dxa"/>
            <w:vAlign w:val="bottom"/>
          </w:tcPr>
          <w:p>
            <w:pPr>
              <w:spacing w:after="0"/>
              <w:rPr>
                <w:sz w:val="12"/>
                <w:szCs w:val="12"/>
                <w:color w:val="auto"/>
              </w:rPr>
            </w:pPr>
          </w:p>
        </w:tc>
        <w:tc>
          <w:tcPr>
            <w:tcW w:w="1260" w:type="dxa"/>
            <w:vAlign w:val="bottom"/>
            <w:shd w:val="clear" w:color="auto" w:fill="D52B1E"/>
          </w:tcPr>
          <w:p>
            <w:pPr>
              <w:ind w:left="20"/>
              <w:spacing w:after="0" w:line="149" w:lineRule="exact"/>
              <w:rPr>
                <w:sz w:val="20"/>
                <w:szCs w:val="20"/>
                <w:color w:val="auto"/>
              </w:rPr>
            </w:pPr>
            <w:r>
              <w:rPr>
                <w:rFonts w:ascii="Arial" w:cs="Arial" w:eastAsia="Arial" w:hAnsi="Arial"/>
                <w:sz w:val="14"/>
                <w:szCs w:val="14"/>
                <w:color w:val="FFFFFF"/>
              </w:rPr>
              <w:t>discussions with</w:t>
            </w:r>
          </w:p>
        </w:tc>
        <w:tc>
          <w:tcPr>
            <w:tcW w:w="300" w:type="dxa"/>
            <w:vAlign w:val="bottom"/>
          </w:tcPr>
          <w:p>
            <w:pPr>
              <w:spacing w:after="0"/>
              <w:rPr>
                <w:sz w:val="12"/>
                <w:szCs w:val="12"/>
                <w:color w:val="auto"/>
              </w:rPr>
            </w:pPr>
          </w:p>
        </w:tc>
        <w:tc>
          <w:tcPr>
            <w:tcW w:w="1240" w:type="dxa"/>
            <w:vAlign w:val="bottom"/>
            <w:shd w:val="clear" w:color="auto" w:fill="00A1DE"/>
          </w:tcPr>
          <w:p>
            <w:pPr>
              <w:ind w:left="20"/>
              <w:spacing w:after="0" w:line="149" w:lineRule="exact"/>
              <w:rPr>
                <w:sz w:val="20"/>
                <w:szCs w:val="20"/>
                <w:color w:val="auto"/>
              </w:rPr>
            </w:pPr>
            <w:r>
              <w:rPr>
                <w:rFonts w:ascii="Arial" w:cs="Arial" w:eastAsia="Arial" w:hAnsi="Arial"/>
                <w:sz w:val="14"/>
                <w:szCs w:val="14"/>
                <w:color w:val="FFFFFF"/>
              </w:rPr>
              <w:t>committee</w:t>
            </w:r>
          </w:p>
        </w:tc>
        <w:tc>
          <w:tcPr>
            <w:tcW w:w="300" w:type="dxa"/>
            <w:vAlign w:val="bottom"/>
          </w:tcPr>
          <w:p>
            <w:pPr>
              <w:spacing w:after="0"/>
              <w:rPr>
                <w:sz w:val="12"/>
                <w:szCs w:val="12"/>
                <w:color w:val="auto"/>
              </w:rPr>
            </w:pPr>
          </w:p>
        </w:tc>
        <w:tc>
          <w:tcPr>
            <w:tcW w:w="1260" w:type="dxa"/>
            <w:vAlign w:val="bottom"/>
            <w:shd w:val="clear" w:color="auto" w:fill="00A1DE"/>
          </w:tcPr>
          <w:p>
            <w:pPr>
              <w:spacing w:after="0" w:line="149" w:lineRule="exact"/>
              <w:rPr>
                <w:sz w:val="20"/>
                <w:szCs w:val="20"/>
                <w:color w:val="auto"/>
              </w:rPr>
            </w:pPr>
            <w:r>
              <w:rPr>
                <w:rFonts w:ascii="Arial" w:cs="Arial" w:eastAsia="Arial" w:hAnsi="Arial"/>
                <w:sz w:val="14"/>
                <w:szCs w:val="14"/>
                <w:color w:val="FFFFFF"/>
              </w:rPr>
              <w:t>discussions of the</w:t>
            </w:r>
          </w:p>
        </w:tc>
        <w:tc>
          <w:tcPr>
            <w:tcW w:w="300" w:type="dxa"/>
            <w:vAlign w:val="bottom"/>
          </w:tcPr>
          <w:p>
            <w:pPr>
              <w:spacing w:after="0"/>
              <w:rPr>
                <w:sz w:val="12"/>
                <w:szCs w:val="12"/>
                <w:color w:val="auto"/>
              </w:rPr>
            </w:pPr>
          </w:p>
        </w:tc>
        <w:tc>
          <w:tcPr>
            <w:tcW w:w="1260" w:type="dxa"/>
            <w:vAlign w:val="bottom"/>
            <w:shd w:val="clear" w:color="auto" w:fill="6D6D6D"/>
          </w:tcPr>
          <w:p>
            <w:pPr>
              <w:ind w:left="20"/>
              <w:spacing w:after="0" w:line="149" w:lineRule="exact"/>
              <w:rPr>
                <w:sz w:val="20"/>
                <w:szCs w:val="20"/>
                <w:color w:val="auto"/>
              </w:rPr>
            </w:pPr>
            <w:r>
              <w:rPr>
                <w:rFonts w:ascii="Arial" w:cs="Arial" w:eastAsia="Arial" w:hAnsi="Arial"/>
                <w:sz w:val="14"/>
                <w:szCs w:val="14"/>
                <w:color w:val="FFFFFF"/>
              </w:rPr>
              <w:t>nomination</w:t>
            </w:r>
          </w:p>
        </w:tc>
        <w:tc>
          <w:tcPr>
            <w:tcW w:w="0" w:type="dxa"/>
            <w:vAlign w:val="bottom"/>
          </w:tcPr>
          <w:p>
            <w:pPr>
              <w:spacing w:after="0"/>
              <w:rPr>
                <w:sz w:val="1"/>
                <w:szCs w:val="1"/>
                <w:color w:val="auto"/>
              </w:rPr>
            </w:pPr>
          </w:p>
        </w:tc>
      </w:tr>
      <w:tr>
        <w:trPr>
          <w:trHeight w:val="144"/>
        </w:trPr>
        <w:tc>
          <w:tcPr>
            <w:tcW w:w="1200" w:type="dxa"/>
            <w:vAlign w:val="bottom"/>
            <w:shd w:val="clear" w:color="auto" w:fill="6D6D6D"/>
          </w:tcPr>
          <w:p>
            <w:pPr>
              <w:ind w:left="20"/>
              <w:spacing w:after="0" w:line="145" w:lineRule="exact"/>
              <w:rPr>
                <w:sz w:val="20"/>
                <w:szCs w:val="20"/>
                <w:color w:val="auto"/>
              </w:rPr>
            </w:pPr>
            <w:r>
              <w:rPr>
                <w:rFonts w:ascii="Arial" w:cs="Arial" w:eastAsia="Arial" w:hAnsi="Arial"/>
                <w:sz w:val="14"/>
                <w:szCs w:val="14"/>
                <w:color w:val="FFFFFF"/>
              </w:rPr>
              <w:t>Directors and</w:t>
            </w:r>
          </w:p>
        </w:tc>
        <w:tc>
          <w:tcPr>
            <w:tcW w:w="300" w:type="dxa"/>
            <w:vAlign w:val="bottom"/>
          </w:tcPr>
          <w:p>
            <w:pPr>
              <w:spacing w:after="0"/>
              <w:rPr>
                <w:sz w:val="12"/>
                <w:szCs w:val="12"/>
                <w:color w:val="auto"/>
              </w:rPr>
            </w:pPr>
          </w:p>
        </w:tc>
        <w:tc>
          <w:tcPr>
            <w:tcW w:w="1280" w:type="dxa"/>
            <w:vAlign w:val="bottom"/>
            <w:shd w:val="clear" w:color="auto" w:fill="D52B1E"/>
          </w:tcPr>
          <w:p>
            <w:pPr>
              <w:ind w:left="20"/>
              <w:spacing w:after="0" w:line="145" w:lineRule="exact"/>
              <w:rPr>
                <w:sz w:val="20"/>
                <w:szCs w:val="20"/>
                <w:color w:val="auto"/>
              </w:rPr>
            </w:pPr>
            <w:r>
              <w:rPr>
                <w:rFonts w:ascii="Arial" w:cs="Arial" w:eastAsia="Arial" w:hAnsi="Arial"/>
                <w:sz w:val="14"/>
                <w:szCs w:val="14"/>
                <w:color w:val="FFFFFF"/>
              </w:rPr>
              <w:t>basis.</w:t>
            </w:r>
          </w:p>
        </w:tc>
        <w:tc>
          <w:tcPr>
            <w:tcW w:w="320" w:type="dxa"/>
            <w:vAlign w:val="bottom"/>
          </w:tcPr>
          <w:p>
            <w:pPr>
              <w:spacing w:after="0"/>
              <w:rPr>
                <w:sz w:val="12"/>
                <w:szCs w:val="12"/>
                <w:color w:val="auto"/>
              </w:rPr>
            </w:pPr>
          </w:p>
        </w:tc>
        <w:tc>
          <w:tcPr>
            <w:tcW w:w="1260" w:type="dxa"/>
            <w:vAlign w:val="bottom"/>
            <w:shd w:val="clear" w:color="auto" w:fill="D52B1E"/>
          </w:tcPr>
          <w:p>
            <w:pPr>
              <w:ind w:left="20"/>
              <w:spacing w:after="0" w:line="145" w:lineRule="exact"/>
              <w:rPr>
                <w:sz w:val="20"/>
                <w:szCs w:val="20"/>
                <w:color w:val="auto"/>
              </w:rPr>
            </w:pPr>
            <w:r>
              <w:rPr>
                <w:rFonts w:ascii="Arial" w:cs="Arial" w:eastAsia="Arial" w:hAnsi="Arial"/>
                <w:sz w:val="14"/>
                <w:szCs w:val="14"/>
                <w:color w:val="FFFFFF"/>
              </w:rPr>
              <w:t>the lead</w:t>
            </w:r>
          </w:p>
        </w:tc>
        <w:tc>
          <w:tcPr>
            <w:tcW w:w="300" w:type="dxa"/>
            <w:vAlign w:val="bottom"/>
          </w:tcPr>
          <w:p>
            <w:pPr>
              <w:spacing w:after="0"/>
              <w:rPr>
                <w:sz w:val="12"/>
                <w:szCs w:val="12"/>
                <w:color w:val="auto"/>
              </w:rPr>
            </w:pPr>
          </w:p>
        </w:tc>
        <w:tc>
          <w:tcPr>
            <w:tcW w:w="1240" w:type="dxa"/>
            <w:vAlign w:val="bottom"/>
            <w:shd w:val="clear" w:color="auto" w:fill="00A1DE"/>
          </w:tcPr>
          <w:p>
            <w:pPr>
              <w:ind w:left="20"/>
              <w:spacing w:after="0" w:line="145" w:lineRule="exact"/>
              <w:rPr>
                <w:sz w:val="20"/>
                <w:szCs w:val="20"/>
                <w:color w:val="auto"/>
              </w:rPr>
            </w:pPr>
            <w:r>
              <w:rPr>
                <w:rFonts w:ascii="Arial" w:cs="Arial" w:eastAsia="Arial" w:hAnsi="Arial"/>
                <w:sz w:val="14"/>
                <w:szCs w:val="14"/>
                <w:color w:val="FFFFFF"/>
              </w:rPr>
              <w:t>evaluation results</w:t>
            </w:r>
          </w:p>
        </w:tc>
        <w:tc>
          <w:tcPr>
            <w:tcW w:w="300" w:type="dxa"/>
            <w:vAlign w:val="bottom"/>
          </w:tcPr>
          <w:p>
            <w:pPr>
              <w:spacing w:after="0"/>
              <w:rPr>
                <w:sz w:val="12"/>
                <w:szCs w:val="12"/>
                <w:color w:val="auto"/>
              </w:rPr>
            </w:pPr>
          </w:p>
        </w:tc>
        <w:tc>
          <w:tcPr>
            <w:tcW w:w="1260" w:type="dxa"/>
            <w:vAlign w:val="bottom"/>
            <w:shd w:val="clear" w:color="auto" w:fill="00A1DE"/>
          </w:tcPr>
          <w:p>
            <w:pPr>
              <w:spacing w:after="0" w:line="145" w:lineRule="exact"/>
              <w:rPr>
                <w:sz w:val="20"/>
                <w:szCs w:val="20"/>
                <w:color w:val="auto"/>
              </w:rPr>
            </w:pPr>
            <w:r>
              <w:rPr>
                <w:rFonts w:ascii="Arial" w:cs="Arial" w:eastAsia="Arial" w:hAnsi="Arial"/>
                <w:sz w:val="14"/>
                <w:szCs w:val="14"/>
                <w:color w:val="FFFFFF"/>
              </w:rPr>
              <w:t>board and</w:t>
            </w:r>
          </w:p>
        </w:tc>
        <w:tc>
          <w:tcPr>
            <w:tcW w:w="300" w:type="dxa"/>
            <w:vAlign w:val="bottom"/>
          </w:tcPr>
          <w:p>
            <w:pPr>
              <w:spacing w:after="0"/>
              <w:rPr>
                <w:sz w:val="12"/>
                <w:szCs w:val="12"/>
                <w:color w:val="auto"/>
              </w:rPr>
            </w:pPr>
          </w:p>
        </w:tc>
        <w:tc>
          <w:tcPr>
            <w:tcW w:w="1260" w:type="dxa"/>
            <w:vAlign w:val="bottom"/>
            <w:shd w:val="clear" w:color="auto" w:fill="6D6D6D"/>
          </w:tcPr>
          <w:p>
            <w:pPr>
              <w:ind w:left="20"/>
              <w:spacing w:after="0" w:line="145" w:lineRule="exact"/>
              <w:rPr>
                <w:sz w:val="20"/>
                <w:szCs w:val="20"/>
                <w:color w:val="auto"/>
              </w:rPr>
            </w:pPr>
            <w:r>
              <w:rPr>
                <w:rFonts w:ascii="Arial" w:cs="Arial" w:eastAsia="Arial" w:hAnsi="Arial"/>
                <w:sz w:val="14"/>
                <w:szCs w:val="14"/>
                <w:color w:val="FFFFFF"/>
              </w:rPr>
              <w:t>process and the</w:t>
            </w:r>
          </w:p>
        </w:tc>
        <w:tc>
          <w:tcPr>
            <w:tcW w:w="0" w:type="dxa"/>
            <w:vAlign w:val="bottom"/>
          </w:tcPr>
          <w:p>
            <w:pPr>
              <w:spacing w:after="0"/>
              <w:rPr>
                <w:sz w:val="1"/>
                <w:szCs w:val="1"/>
                <w:color w:val="auto"/>
              </w:rPr>
            </w:pPr>
          </w:p>
        </w:tc>
      </w:tr>
      <w:tr>
        <w:trPr>
          <w:trHeight w:val="139"/>
        </w:trPr>
        <w:tc>
          <w:tcPr>
            <w:tcW w:w="1200" w:type="dxa"/>
            <w:vAlign w:val="bottom"/>
            <w:shd w:val="clear" w:color="auto" w:fill="6D6D6D"/>
          </w:tcPr>
          <w:p>
            <w:pPr>
              <w:ind w:left="20"/>
              <w:spacing w:after="0" w:line="139" w:lineRule="exact"/>
              <w:rPr>
                <w:sz w:val="20"/>
                <w:szCs w:val="20"/>
                <w:color w:val="auto"/>
              </w:rPr>
            </w:pPr>
            <w:r>
              <w:rPr>
                <w:rFonts w:ascii="Arial" w:cs="Arial" w:eastAsia="Arial" w:hAnsi="Arial"/>
                <w:sz w:val="14"/>
                <w:szCs w:val="14"/>
                <w:color w:val="FFFFFF"/>
              </w:rPr>
              <w:t>Corporate</w:t>
            </w:r>
          </w:p>
        </w:tc>
        <w:tc>
          <w:tcPr>
            <w:tcW w:w="300" w:type="dxa"/>
            <w:vAlign w:val="bottom"/>
          </w:tcPr>
          <w:p>
            <w:pPr>
              <w:spacing w:after="0"/>
              <w:rPr>
                <w:sz w:val="12"/>
                <w:szCs w:val="12"/>
                <w:color w:val="auto"/>
              </w:rPr>
            </w:pPr>
          </w:p>
        </w:tc>
        <w:tc>
          <w:tcPr>
            <w:tcW w:w="1280" w:type="dxa"/>
            <w:vAlign w:val="bottom"/>
            <w:shd w:val="clear" w:color="auto" w:fill="D52B1E"/>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shd w:val="clear" w:color="auto" w:fill="D52B1E"/>
          </w:tcPr>
          <w:p>
            <w:pPr>
              <w:ind w:left="20"/>
              <w:spacing w:after="0" w:line="139" w:lineRule="exact"/>
              <w:rPr>
                <w:sz w:val="20"/>
                <w:szCs w:val="20"/>
                <w:color w:val="auto"/>
              </w:rPr>
            </w:pPr>
            <w:r>
              <w:rPr>
                <w:rFonts w:ascii="Arial" w:cs="Arial" w:eastAsia="Arial" w:hAnsi="Arial"/>
                <w:sz w:val="14"/>
                <w:szCs w:val="14"/>
                <w:color w:val="FFFFFF"/>
              </w:rPr>
              <w:t>independent</w:t>
            </w:r>
          </w:p>
        </w:tc>
        <w:tc>
          <w:tcPr>
            <w:tcW w:w="300" w:type="dxa"/>
            <w:vAlign w:val="bottom"/>
          </w:tcPr>
          <w:p>
            <w:pPr>
              <w:spacing w:after="0"/>
              <w:rPr>
                <w:sz w:val="12"/>
                <w:szCs w:val="12"/>
                <w:color w:val="auto"/>
              </w:rPr>
            </w:pPr>
          </w:p>
        </w:tc>
        <w:tc>
          <w:tcPr>
            <w:tcW w:w="1240" w:type="dxa"/>
            <w:vAlign w:val="bottom"/>
            <w:shd w:val="clear" w:color="auto" w:fill="00A1DE"/>
          </w:tcPr>
          <w:p>
            <w:pPr>
              <w:ind w:left="20"/>
              <w:spacing w:after="0" w:line="139" w:lineRule="exact"/>
              <w:rPr>
                <w:sz w:val="20"/>
                <w:szCs w:val="20"/>
                <w:color w:val="auto"/>
              </w:rPr>
            </w:pPr>
            <w:r>
              <w:rPr>
                <w:rFonts w:ascii="Arial" w:cs="Arial" w:eastAsia="Arial" w:hAnsi="Arial"/>
                <w:sz w:val="14"/>
                <w:szCs w:val="14"/>
                <w:color w:val="FFFFFF"/>
              </w:rPr>
              <w:t>was provided to</w:t>
            </w:r>
          </w:p>
        </w:tc>
        <w:tc>
          <w:tcPr>
            <w:tcW w:w="300" w:type="dxa"/>
            <w:vAlign w:val="bottom"/>
          </w:tcPr>
          <w:p>
            <w:pPr>
              <w:spacing w:after="0"/>
              <w:rPr>
                <w:sz w:val="12"/>
                <w:szCs w:val="12"/>
                <w:color w:val="auto"/>
              </w:rPr>
            </w:pPr>
          </w:p>
        </w:tc>
        <w:tc>
          <w:tcPr>
            <w:tcW w:w="1260" w:type="dxa"/>
            <w:vAlign w:val="bottom"/>
            <w:shd w:val="clear" w:color="auto" w:fill="00A1DE"/>
          </w:tcPr>
          <w:p>
            <w:pPr>
              <w:spacing w:after="0" w:line="139" w:lineRule="exact"/>
              <w:rPr>
                <w:sz w:val="20"/>
                <w:szCs w:val="20"/>
                <w:color w:val="auto"/>
              </w:rPr>
            </w:pPr>
            <w:r>
              <w:rPr>
                <w:rFonts w:ascii="Arial" w:cs="Arial" w:eastAsia="Arial" w:hAnsi="Arial"/>
                <w:sz w:val="14"/>
                <w:szCs w:val="14"/>
                <w:color w:val="FFFFFF"/>
              </w:rPr>
              <w:t>committees were</w:t>
            </w:r>
          </w:p>
        </w:tc>
        <w:tc>
          <w:tcPr>
            <w:tcW w:w="300" w:type="dxa"/>
            <w:vAlign w:val="bottom"/>
          </w:tcPr>
          <w:p>
            <w:pPr>
              <w:spacing w:after="0"/>
              <w:rPr>
                <w:sz w:val="12"/>
                <w:szCs w:val="12"/>
                <w:color w:val="auto"/>
              </w:rPr>
            </w:pPr>
          </w:p>
        </w:tc>
        <w:tc>
          <w:tcPr>
            <w:tcW w:w="1260" w:type="dxa"/>
            <w:vAlign w:val="bottom"/>
            <w:shd w:val="clear" w:color="auto" w:fill="6D6D6D"/>
          </w:tcPr>
          <w:p>
            <w:pPr>
              <w:ind w:left="20"/>
              <w:spacing w:after="0" w:line="139" w:lineRule="exact"/>
              <w:rPr>
                <w:sz w:val="20"/>
                <w:szCs w:val="20"/>
                <w:color w:val="auto"/>
              </w:rPr>
            </w:pPr>
            <w:r>
              <w:rPr>
                <w:rFonts w:ascii="Arial" w:cs="Arial" w:eastAsia="Arial" w:hAnsi="Arial"/>
                <w:sz w:val="14"/>
                <w:szCs w:val="14"/>
                <w:color w:val="FFFFFF"/>
              </w:rPr>
              <w:t>2025 board and</w:t>
            </w:r>
          </w:p>
        </w:tc>
        <w:tc>
          <w:tcPr>
            <w:tcW w:w="0" w:type="dxa"/>
            <w:vAlign w:val="bottom"/>
          </w:tcPr>
          <w:p>
            <w:pPr>
              <w:spacing w:after="0"/>
              <w:rPr>
                <w:sz w:val="1"/>
                <w:szCs w:val="1"/>
                <w:color w:val="auto"/>
              </w:rPr>
            </w:pPr>
          </w:p>
        </w:tc>
      </w:tr>
      <w:tr>
        <w:trPr>
          <w:trHeight w:val="149"/>
        </w:trPr>
        <w:tc>
          <w:tcPr>
            <w:tcW w:w="1200" w:type="dxa"/>
            <w:vAlign w:val="bottom"/>
            <w:shd w:val="clear" w:color="auto" w:fill="6D6D6D"/>
          </w:tcPr>
          <w:p>
            <w:pPr>
              <w:ind w:left="20"/>
              <w:spacing w:after="0" w:line="149" w:lineRule="exact"/>
              <w:rPr>
                <w:sz w:val="20"/>
                <w:szCs w:val="20"/>
                <w:color w:val="auto"/>
              </w:rPr>
            </w:pPr>
            <w:r>
              <w:rPr>
                <w:rFonts w:ascii="Arial" w:cs="Arial" w:eastAsia="Arial" w:hAnsi="Arial"/>
                <w:sz w:val="14"/>
                <w:szCs w:val="14"/>
                <w:color w:val="FFFFFF"/>
              </w:rPr>
              <w:t>Governance</w:t>
            </w:r>
          </w:p>
        </w:tc>
        <w:tc>
          <w:tcPr>
            <w:tcW w:w="300" w:type="dxa"/>
            <w:vAlign w:val="bottom"/>
          </w:tcPr>
          <w:p>
            <w:pPr>
              <w:spacing w:after="0"/>
              <w:rPr>
                <w:sz w:val="12"/>
                <w:szCs w:val="12"/>
                <w:color w:val="auto"/>
              </w:rPr>
            </w:pPr>
          </w:p>
        </w:tc>
        <w:tc>
          <w:tcPr>
            <w:tcW w:w="1280" w:type="dxa"/>
            <w:vAlign w:val="bottom"/>
            <w:shd w:val="clear" w:color="auto" w:fill="D52B1E"/>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shd w:val="clear" w:color="auto" w:fill="D52B1E"/>
          </w:tcPr>
          <w:p>
            <w:pPr>
              <w:ind w:left="20"/>
              <w:spacing w:after="0" w:line="149" w:lineRule="exact"/>
              <w:rPr>
                <w:sz w:val="20"/>
                <w:szCs w:val="20"/>
                <w:color w:val="auto"/>
              </w:rPr>
            </w:pPr>
            <w:r>
              <w:rPr>
                <w:rFonts w:ascii="Arial" w:cs="Arial" w:eastAsia="Arial" w:hAnsi="Arial"/>
                <w:sz w:val="14"/>
                <w:szCs w:val="14"/>
                <w:color w:val="FFFFFF"/>
              </w:rPr>
              <w:t>director and/or</w:t>
            </w:r>
          </w:p>
        </w:tc>
        <w:tc>
          <w:tcPr>
            <w:tcW w:w="300" w:type="dxa"/>
            <w:vAlign w:val="bottom"/>
          </w:tcPr>
          <w:p>
            <w:pPr>
              <w:spacing w:after="0"/>
              <w:rPr>
                <w:sz w:val="12"/>
                <w:szCs w:val="12"/>
                <w:color w:val="auto"/>
              </w:rPr>
            </w:pPr>
          </w:p>
        </w:tc>
        <w:tc>
          <w:tcPr>
            <w:tcW w:w="1240" w:type="dxa"/>
            <w:vAlign w:val="bottom"/>
            <w:shd w:val="clear" w:color="auto" w:fill="00A1DE"/>
          </w:tcPr>
          <w:p>
            <w:pPr>
              <w:ind w:left="20"/>
              <w:spacing w:after="0" w:line="149" w:lineRule="exact"/>
              <w:rPr>
                <w:sz w:val="20"/>
                <w:szCs w:val="20"/>
                <w:color w:val="auto"/>
              </w:rPr>
            </w:pPr>
            <w:r>
              <w:rPr>
                <w:rFonts w:ascii="Arial" w:cs="Arial" w:eastAsia="Arial" w:hAnsi="Arial"/>
                <w:sz w:val="14"/>
                <w:szCs w:val="14"/>
                <w:color w:val="FFFFFF"/>
              </w:rPr>
              <w:t>the board and its</w:t>
            </w:r>
          </w:p>
        </w:tc>
        <w:tc>
          <w:tcPr>
            <w:tcW w:w="300" w:type="dxa"/>
            <w:vAlign w:val="bottom"/>
          </w:tcPr>
          <w:p>
            <w:pPr>
              <w:spacing w:after="0"/>
              <w:rPr>
                <w:sz w:val="12"/>
                <w:szCs w:val="12"/>
                <w:color w:val="auto"/>
              </w:rPr>
            </w:pPr>
          </w:p>
        </w:tc>
        <w:tc>
          <w:tcPr>
            <w:tcW w:w="1260" w:type="dxa"/>
            <w:vAlign w:val="bottom"/>
            <w:shd w:val="clear" w:color="auto" w:fill="00A1DE"/>
          </w:tcPr>
          <w:p>
            <w:pPr>
              <w:spacing w:after="0" w:line="149" w:lineRule="exact"/>
              <w:rPr>
                <w:sz w:val="20"/>
                <w:szCs w:val="20"/>
                <w:color w:val="auto"/>
              </w:rPr>
            </w:pPr>
            <w:r>
              <w:rPr>
                <w:rFonts w:ascii="Arial" w:cs="Arial" w:eastAsia="Arial" w:hAnsi="Arial"/>
                <w:sz w:val="14"/>
                <w:szCs w:val="14"/>
                <w:color w:val="FFFFFF"/>
              </w:rPr>
              <w:t>led by our lead</w:t>
            </w:r>
          </w:p>
        </w:tc>
        <w:tc>
          <w:tcPr>
            <w:tcW w:w="300" w:type="dxa"/>
            <w:vAlign w:val="bottom"/>
          </w:tcPr>
          <w:p>
            <w:pPr>
              <w:spacing w:after="0"/>
              <w:rPr>
                <w:sz w:val="12"/>
                <w:szCs w:val="12"/>
                <w:color w:val="auto"/>
              </w:rPr>
            </w:pPr>
          </w:p>
        </w:tc>
        <w:tc>
          <w:tcPr>
            <w:tcW w:w="1260" w:type="dxa"/>
            <w:vAlign w:val="bottom"/>
            <w:shd w:val="clear" w:color="auto" w:fill="6D6D6D"/>
          </w:tcPr>
          <w:p>
            <w:pPr>
              <w:ind w:left="20"/>
              <w:spacing w:after="0" w:line="149" w:lineRule="exact"/>
              <w:rPr>
                <w:sz w:val="20"/>
                <w:szCs w:val="20"/>
                <w:color w:val="auto"/>
              </w:rPr>
            </w:pPr>
            <w:r>
              <w:rPr>
                <w:rFonts w:ascii="Arial" w:cs="Arial" w:eastAsia="Arial" w:hAnsi="Arial"/>
                <w:sz w:val="14"/>
                <w:szCs w:val="14"/>
                <w:color w:val="FFFFFF"/>
              </w:rPr>
              <w:t>committee</w:t>
            </w:r>
          </w:p>
        </w:tc>
        <w:tc>
          <w:tcPr>
            <w:tcW w:w="0" w:type="dxa"/>
            <w:vAlign w:val="bottom"/>
          </w:tcPr>
          <w:p>
            <w:pPr>
              <w:spacing w:after="0"/>
              <w:rPr>
                <w:sz w:val="1"/>
                <w:szCs w:val="1"/>
                <w:color w:val="auto"/>
              </w:rPr>
            </w:pPr>
          </w:p>
        </w:tc>
      </w:tr>
      <w:tr>
        <w:trPr>
          <w:trHeight w:val="144"/>
        </w:trPr>
        <w:tc>
          <w:tcPr>
            <w:tcW w:w="1200" w:type="dxa"/>
            <w:vAlign w:val="bottom"/>
            <w:shd w:val="clear" w:color="auto" w:fill="6D6D6D"/>
          </w:tcPr>
          <w:p>
            <w:pPr>
              <w:ind w:left="20"/>
              <w:spacing w:after="0" w:line="145" w:lineRule="exact"/>
              <w:rPr>
                <w:sz w:val="20"/>
                <w:szCs w:val="20"/>
                <w:color w:val="auto"/>
              </w:rPr>
            </w:pPr>
            <w:r>
              <w:rPr>
                <w:rFonts w:ascii="Arial" w:cs="Arial" w:eastAsia="Arial" w:hAnsi="Arial"/>
                <w:sz w:val="14"/>
                <w:szCs w:val="14"/>
                <w:color w:val="FFFFFF"/>
              </w:rPr>
              <w:t>Committee</w:t>
            </w:r>
          </w:p>
        </w:tc>
        <w:tc>
          <w:tcPr>
            <w:tcW w:w="300" w:type="dxa"/>
            <w:vAlign w:val="bottom"/>
          </w:tcPr>
          <w:p>
            <w:pPr>
              <w:spacing w:after="0"/>
              <w:rPr>
                <w:sz w:val="12"/>
                <w:szCs w:val="12"/>
                <w:color w:val="auto"/>
              </w:rPr>
            </w:pPr>
          </w:p>
        </w:tc>
        <w:tc>
          <w:tcPr>
            <w:tcW w:w="1280" w:type="dxa"/>
            <w:vAlign w:val="bottom"/>
            <w:shd w:val="clear" w:color="auto" w:fill="D52B1E"/>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shd w:val="clear" w:color="auto" w:fill="D52B1E"/>
          </w:tcPr>
          <w:p>
            <w:pPr>
              <w:ind w:left="20"/>
              <w:spacing w:after="0" w:line="145" w:lineRule="exact"/>
              <w:rPr>
                <w:sz w:val="20"/>
                <w:szCs w:val="20"/>
                <w:color w:val="auto"/>
              </w:rPr>
            </w:pPr>
            <w:r>
              <w:rPr>
                <w:rFonts w:ascii="Arial" w:cs="Arial" w:eastAsia="Arial" w:hAnsi="Arial"/>
                <w:sz w:val="14"/>
                <w:szCs w:val="14"/>
                <w:color w:val="FFFFFF"/>
              </w:rPr>
              <w:t>with the board</w:t>
            </w:r>
          </w:p>
        </w:tc>
        <w:tc>
          <w:tcPr>
            <w:tcW w:w="300" w:type="dxa"/>
            <w:vAlign w:val="bottom"/>
          </w:tcPr>
          <w:p>
            <w:pPr>
              <w:spacing w:after="0"/>
              <w:rPr>
                <w:sz w:val="12"/>
                <w:szCs w:val="12"/>
                <w:color w:val="auto"/>
              </w:rPr>
            </w:pPr>
          </w:p>
        </w:tc>
        <w:tc>
          <w:tcPr>
            <w:tcW w:w="1240" w:type="dxa"/>
            <w:vAlign w:val="bottom"/>
            <w:shd w:val="clear" w:color="auto" w:fill="00A1DE"/>
          </w:tcPr>
          <w:p>
            <w:pPr>
              <w:ind w:left="20"/>
              <w:spacing w:after="0" w:line="145" w:lineRule="exact"/>
              <w:rPr>
                <w:sz w:val="20"/>
                <w:szCs w:val="20"/>
                <w:color w:val="auto"/>
              </w:rPr>
            </w:pPr>
            <w:r>
              <w:rPr>
                <w:rFonts w:ascii="Arial" w:cs="Arial" w:eastAsia="Arial" w:hAnsi="Arial"/>
                <w:sz w:val="14"/>
                <w:szCs w:val="14"/>
                <w:color w:val="FFFFFF"/>
              </w:rPr>
              <w:t>committees.</w:t>
            </w:r>
          </w:p>
        </w:tc>
        <w:tc>
          <w:tcPr>
            <w:tcW w:w="300" w:type="dxa"/>
            <w:vAlign w:val="bottom"/>
          </w:tcPr>
          <w:p>
            <w:pPr>
              <w:spacing w:after="0"/>
              <w:rPr>
                <w:sz w:val="12"/>
                <w:szCs w:val="12"/>
                <w:color w:val="auto"/>
              </w:rPr>
            </w:pPr>
          </w:p>
        </w:tc>
        <w:tc>
          <w:tcPr>
            <w:tcW w:w="1260" w:type="dxa"/>
            <w:vAlign w:val="bottom"/>
            <w:shd w:val="clear" w:color="auto" w:fill="00A1DE"/>
          </w:tcPr>
          <w:p>
            <w:pPr>
              <w:spacing w:after="0" w:line="145" w:lineRule="exact"/>
              <w:rPr>
                <w:sz w:val="20"/>
                <w:szCs w:val="20"/>
                <w:color w:val="auto"/>
              </w:rPr>
            </w:pPr>
            <w:r>
              <w:rPr>
                <w:rFonts w:ascii="Arial" w:cs="Arial" w:eastAsia="Arial" w:hAnsi="Arial"/>
                <w:sz w:val="14"/>
                <w:szCs w:val="14"/>
                <w:color w:val="FFFFFF"/>
              </w:rPr>
              <w:t>independent</w:t>
            </w:r>
          </w:p>
        </w:tc>
        <w:tc>
          <w:tcPr>
            <w:tcW w:w="300" w:type="dxa"/>
            <w:vAlign w:val="bottom"/>
          </w:tcPr>
          <w:p>
            <w:pPr>
              <w:spacing w:after="0"/>
              <w:rPr>
                <w:sz w:val="12"/>
                <w:szCs w:val="12"/>
                <w:color w:val="auto"/>
              </w:rPr>
            </w:pPr>
          </w:p>
        </w:tc>
        <w:tc>
          <w:tcPr>
            <w:tcW w:w="1260" w:type="dxa"/>
            <w:vAlign w:val="bottom"/>
            <w:shd w:val="clear" w:color="auto" w:fill="6D6D6D"/>
          </w:tcPr>
          <w:p>
            <w:pPr>
              <w:ind w:left="20"/>
              <w:spacing w:after="0" w:line="145" w:lineRule="exact"/>
              <w:rPr>
                <w:sz w:val="20"/>
                <w:szCs w:val="20"/>
                <w:color w:val="auto"/>
              </w:rPr>
            </w:pPr>
            <w:r>
              <w:rPr>
                <w:rFonts w:ascii="Arial" w:cs="Arial" w:eastAsia="Arial" w:hAnsi="Arial"/>
                <w:sz w:val="14"/>
                <w:szCs w:val="14"/>
                <w:color w:val="FFFFFF"/>
              </w:rPr>
              <w:t>planning process,</w:t>
            </w:r>
          </w:p>
        </w:tc>
        <w:tc>
          <w:tcPr>
            <w:tcW w:w="0" w:type="dxa"/>
            <w:vAlign w:val="bottom"/>
          </w:tcPr>
          <w:p>
            <w:pPr>
              <w:spacing w:after="0"/>
              <w:rPr>
                <w:sz w:val="1"/>
                <w:szCs w:val="1"/>
                <w:color w:val="auto"/>
              </w:rPr>
            </w:pPr>
          </w:p>
        </w:tc>
      </w:tr>
      <w:tr>
        <w:trPr>
          <w:trHeight w:val="139"/>
        </w:trPr>
        <w:tc>
          <w:tcPr>
            <w:tcW w:w="1200" w:type="dxa"/>
            <w:vAlign w:val="bottom"/>
            <w:shd w:val="clear" w:color="auto" w:fill="6D6D6D"/>
          </w:tcPr>
          <w:p>
            <w:pPr>
              <w:ind w:left="20"/>
              <w:spacing w:after="0" w:line="139" w:lineRule="exact"/>
              <w:rPr>
                <w:sz w:val="20"/>
                <w:szCs w:val="20"/>
                <w:color w:val="auto"/>
              </w:rPr>
            </w:pPr>
            <w:r>
              <w:rPr>
                <w:rFonts w:ascii="Arial" w:cs="Arial" w:eastAsia="Arial" w:hAnsi="Arial"/>
                <w:sz w:val="14"/>
                <w:szCs w:val="14"/>
                <w:color w:val="FFFFFF"/>
              </w:rPr>
              <w:t>reviewed the</w:t>
            </w:r>
          </w:p>
        </w:tc>
        <w:tc>
          <w:tcPr>
            <w:tcW w:w="300" w:type="dxa"/>
            <w:vAlign w:val="bottom"/>
          </w:tcPr>
          <w:p>
            <w:pPr>
              <w:spacing w:after="0"/>
              <w:rPr>
                <w:sz w:val="12"/>
                <w:szCs w:val="12"/>
                <w:color w:val="auto"/>
              </w:rPr>
            </w:pPr>
          </w:p>
        </w:tc>
        <w:tc>
          <w:tcPr>
            <w:tcW w:w="1280" w:type="dxa"/>
            <w:vAlign w:val="bottom"/>
            <w:shd w:val="clear" w:color="auto" w:fill="D52B1E"/>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shd w:val="clear" w:color="auto" w:fill="D52B1E"/>
          </w:tcPr>
          <w:p>
            <w:pPr>
              <w:ind w:left="20"/>
              <w:spacing w:after="0" w:line="139" w:lineRule="exact"/>
              <w:rPr>
                <w:sz w:val="20"/>
                <w:szCs w:val="20"/>
                <w:color w:val="auto"/>
              </w:rPr>
            </w:pPr>
            <w:r>
              <w:rPr>
                <w:rFonts w:ascii="Arial" w:cs="Arial" w:eastAsia="Arial" w:hAnsi="Arial"/>
                <w:sz w:val="14"/>
                <w:szCs w:val="14"/>
                <w:color w:val="FFFFFF"/>
              </w:rPr>
              <w:t>chair.</w:t>
            </w:r>
          </w:p>
        </w:tc>
        <w:tc>
          <w:tcPr>
            <w:tcW w:w="300" w:type="dxa"/>
            <w:vAlign w:val="bottom"/>
          </w:tcPr>
          <w:p>
            <w:pPr>
              <w:spacing w:after="0"/>
              <w:rPr>
                <w:sz w:val="12"/>
                <w:szCs w:val="12"/>
                <w:color w:val="auto"/>
              </w:rPr>
            </w:pPr>
          </w:p>
        </w:tc>
        <w:tc>
          <w:tcPr>
            <w:tcW w:w="1240" w:type="dxa"/>
            <w:vAlign w:val="bottom"/>
            <w:shd w:val="clear" w:color="auto" w:fill="00A1DE"/>
          </w:tcPr>
          <w:p>
            <w:pPr>
              <w:spacing w:after="0"/>
              <w:rPr>
                <w:sz w:val="12"/>
                <w:szCs w:val="12"/>
                <w:color w:val="auto"/>
              </w:rPr>
            </w:pPr>
          </w:p>
        </w:tc>
        <w:tc>
          <w:tcPr>
            <w:tcW w:w="300" w:type="dxa"/>
            <w:vAlign w:val="bottom"/>
          </w:tcPr>
          <w:p>
            <w:pPr>
              <w:spacing w:after="0"/>
              <w:rPr>
                <w:sz w:val="12"/>
                <w:szCs w:val="12"/>
                <w:color w:val="auto"/>
              </w:rPr>
            </w:pPr>
          </w:p>
        </w:tc>
        <w:tc>
          <w:tcPr>
            <w:tcW w:w="1260" w:type="dxa"/>
            <w:vAlign w:val="bottom"/>
            <w:shd w:val="clear" w:color="auto" w:fill="00A1DE"/>
          </w:tcPr>
          <w:p>
            <w:pPr>
              <w:spacing w:after="0" w:line="139" w:lineRule="exact"/>
              <w:rPr>
                <w:sz w:val="20"/>
                <w:szCs w:val="20"/>
                <w:color w:val="auto"/>
              </w:rPr>
            </w:pPr>
            <w:r>
              <w:rPr>
                <w:rFonts w:ascii="Arial" w:cs="Arial" w:eastAsia="Arial" w:hAnsi="Arial"/>
                <w:sz w:val="14"/>
                <w:szCs w:val="14"/>
                <w:color w:val="FFFFFF"/>
              </w:rPr>
              <w:t>director and</w:t>
            </w:r>
          </w:p>
        </w:tc>
        <w:tc>
          <w:tcPr>
            <w:tcW w:w="300" w:type="dxa"/>
            <w:vAlign w:val="bottom"/>
          </w:tcPr>
          <w:p>
            <w:pPr>
              <w:spacing w:after="0"/>
              <w:rPr>
                <w:sz w:val="12"/>
                <w:szCs w:val="12"/>
                <w:color w:val="auto"/>
              </w:rPr>
            </w:pPr>
          </w:p>
        </w:tc>
        <w:tc>
          <w:tcPr>
            <w:tcW w:w="1260" w:type="dxa"/>
            <w:vAlign w:val="bottom"/>
            <w:shd w:val="clear" w:color="auto" w:fill="6D6D6D"/>
          </w:tcPr>
          <w:p>
            <w:pPr>
              <w:ind w:left="20"/>
              <w:spacing w:after="0" w:line="139" w:lineRule="exact"/>
              <w:rPr>
                <w:sz w:val="20"/>
                <w:szCs w:val="20"/>
                <w:color w:val="auto"/>
              </w:rPr>
            </w:pPr>
            <w:r>
              <w:rPr>
                <w:rFonts w:ascii="Arial" w:cs="Arial" w:eastAsia="Arial" w:hAnsi="Arial"/>
                <w:sz w:val="14"/>
                <w:szCs w:val="14"/>
                <w:color w:val="FFFFFF"/>
              </w:rPr>
              <w:t>as applicable.</w:t>
            </w:r>
          </w:p>
        </w:tc>
        <w:tc>
          <w:tcPr>
            <w:tcW w:w="0" w:type="dxa"/>
            <w:vAlign w:val="bottom"/>
          </w:tcPr>
          <w:p>
            <w:pPr>
              <w:spacing w:after="0"/>
              <w:rPr>
                <w:sz w:val="1"/>
                <w:szCs w:val="1"/>
                <w:color w:val="auto"/>
              </w:rPr>
            </w:pPr>
          </w:p>
        </w:tc>
      </w:tr>
      <w:tr>
        <w:trPr>
          <w:trHeight w:val="149"/>
        </w:trPr>
        <w:tc>
          <w:tcPr>
            <w:tcW w:w="1200" w:type="dxa"/>
            <w:vAlign w:val="bottom"/>
            <w:shd w:val="clear" w:color="auto" w:fill="6D6D6D"/>
          </w:tcPr>
          <w:p>
            <w:pPr>
              <w:ind w:left="20"/>
              <w:spacing w:after="0" w:line="149" w:lineRule="exact"/>
              <w:rPr>
                <w:sz w:val="20"/>
                <w:szCs w:val="20"/>
                <w:color w:val="auto"/>
              </w:rPr>
            </w:pPr>
            <w:r>
              <w:rPr>
                <w:rFonts w:ascii="Arial" w:cs="Arial" w:eastAsia="Arial" w:hAnsi="Arial"/>
                <w:sz w:val="14"/>
                <w:szCs w:val="14"/>
                <w:color w:val="FFFFFF"/>
              </w:rPr>
              <w:t>evaluation</w:t>
            </w:r>
          </w:p>
        </w:tc>
        <w:tc>
          <w:tcPr>
            <w:tcW w:w="300" w:type="dxa"/>
            <w:vAlign w:val="bottom"/>
          </w:tcPr>
          <w:p>
            <w:pPr>
              <w:spacing w:after="0"/>
              <w:rPr>
                <w:sz w:val="12"/>
                <w:szCs w:val="12"/>
                <w:color w:val="auto"/>
              </w:rPr>
            </w:pPr>
          </w:p>
        </w:tc>
        <w:tc>
          <w:tcPr>
            <w:tcW w:w="1280" w:type="dxa"/>
            <w:vAlign w:val="bottom"/>
            <w:shd w:val="clear" w:color="auto" w:fill="D52B1E"/>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shd w:val="clear" w:color="auto" w:fill="D52B1E"/>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shd w:val="clear" w:color="auto" w:fill="00A1DE"/>
          </w:tcPr>
          <w:p>
            <w:pPr>
              <w:spacing w:after="0"/>
              <w:rPr>
                <w:sz w:val="12"/>
                <w:szCs w:val="12"/>
                <w:color w:val="auto"/>
              </w:rPr>
            </w:pPr>
          </w:p>
        </w:tc>
        <w:tc>
          <w:tcPr>
            <w:tcW w:w="300" w:type="dxa"/>
            <w:vAlign w:val="bottom"/>
          </w:tcPr>
          <w:p>
            <w:pPr>
              <w:spacing w:after="0"/>
              <w:rPr>
                <w:sz w:val="12"/>
                <w:szCs w:val="12"/>
                <w:color w:val="auto"/>
              </w:rPr>
            </w:pPr>
          </w:p>
        </w:tc>
        <w:tc>
          <w:tcPr>
            <w:tcW w:w="1260" w:type="dxa"/>
            <w:vAlign w:val="bottom"/>
            <w:shd w:val="clear" w:color="auto" w:fill="00A1DE"/>
          </w:tcPr>
          <w:p>
            <w:pPr>
              <w:spacing w:after="0" w:line="149" w:lineRule="exact"/>
              <w:rPr>
                <w:sz w:val="20"/>
                <w:szCs w:val="20"/>
                <w:color w:val="auto"/>
              </w:rPr>
            </w:pPr>
            <w:r>
              <w:rPr>
                <w:rFonts w:ascii="Arial" w:cs="Arial" w:eastAsia="Arial" w:hAnsi="Arial"/>
                <w:sz w:val="14"/>
                <w:szCs w:val="14"/>
                <w:color w:val="FFFFFF"/>
              </w:rPr>
              <w:t>independent</w:t>
            </w:r>
          </w:p>
        </w:tc>
        <w:tc>
          <w:tcPr>
            <w:tcW w:w="300" w:type="dxa"/>
            <w:vAlign w:val="bottom"/>
          </w:tcPr>
          <w:p>
            <w:pPr>
              <w:spacing w:after="0"/>
              <w:rPr>
                <w:sz w:val="12"/>
                <w:szCs w:val="12"/>
                <w:color w:val="auto"/>
              </w:rPr>
            </w:pPr>
          </w:p>
        </w:tc>
        <w:tc>
          <w:tcPr>
            <w:tcW w:w="1260" w:type="dxa"/>
            <w:vAlign w:val="bottom"/>
            <w:shd w:val="clear" w:color="auto" w:fill="6D6D6D"/>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200" w:type="dxa"/>
            <w:vAlign w:val="bottom"/>
            <w:shd w:val="clear" w:color="auto" w:fill="6D6D6D"/>
          </w:tcPr>
          <w:p>
            <w:pPr>
              <w:ind w:left="20"/>
              <w:spacing w:after="0"/>
              <w:rPr>
                <w:sz w:val="20"/>
                <w:szCs w:val="20"/>
                <w:color w:val="auto"/>
              </w:rPr>
            </w:pPr>
            <w:r>
              <w:rPr>
                <w:rFonts w:ascii="Arial" w:cs="Arial" w:eastAsia="Arial" w:hAnsi="Arial"/>
                <w:sz w:val="14"/>
                <w:szCs w:val="14"/>
                <w:color w:val="FFFFFF"/>
              </w:rPr>
              <w:t>process.</w:t>
            </w:r>
          </w:p>
        </w:tc>
        <w:tc>
          <w:tcPr>
            <w:tcW w:w="300" w:type="dxa"/>
            <w:vAlign w:val="bottom"/>
          </w:tcPr>
          <w:p>
            <w:pPr>
              <w:spacing w:after="0"/>
              <w:rPr>
                <w:sz w:val="16"/>
                <w:szCs w:val="16"/>
                <w:color w:val="auto"/>
              </w:rPr>
            </w:pPr>
          </w:p>
        </w:tc>
        <w:tc>
          <w:tcPr>
            <w:tcW w:w="1280" w:type="dxa"/>
            <w:vAlign w:val="bottom"/>
            <w:shd w:val="clear" w:color="auto" w:fill="D52B1E"/>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shd w:val="clear" w:color="auto" w:fill="D52B1E"/>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shd w:val="clear" w:color="auto" w:fill="00A1DE"/>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shd w:val="clear" w:color="auto" w:fill="00A1DE"/>
          </w:tcPr>
          <w:p>
            <w:pPr>
              <w:spacing w:after="0"/>
              <w:rPr>
                <w:sz w:val="20"/>
                <w:szCs w:val="20"/>
                <w:color w:val="auto"/>
              </w:rPr>
            </w:pPr>
            <w:r>
              <w:rPr>
                <w:rFonts w:ascii="Arial" w:cs="Arial" w:eastAsia="Arial" w:hAnsi="Arial"/>
                <w:sz w:val="14"/>
                <w:szCs w:val="14"/>
                <w:color w:val="FFFFFF"/>
              </w:rPr>
              <w:t>committee chairs.</w:t>
            </w:r>
          </w:p>
        </w:tc>
        <w:tc>
          <w:tcPr>
            <w:tcW w:w="300" w:type="dxa"/>
            <w:vAlign w:val="bottom"/>
          </w:tcPr>
          <w:p>
            <w:pPr>
              <w:spacing w:after="0"/>
              <w:rPr>
                <w:sz w:val="16"/>
                <w:szCs w:val="16"/>
                <w:color w:val="auto"/>
              </w:rPr>
            </w:pPr>
          </w:p>
        </w:tc>
        <w:tc>
          <w:tcPr>
            <w:tcW w:w="1260" w:type="dxa"/>
            <w:vAlign w:val="bottom"/>
            <w:shd w:val="clear" w:color="auto" w:fill="6D6D6D"/>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200" w:type="dxa"/>
            <w:vAlign w:val="bottom"/>
            <w:shd w:val="clear" w:color="auto" w:fill="6D6D6D"/>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shd w:val="clear" w:color="auto" w:fill="D52B1E"/>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shd w:val="clear" w:color="auto" w:fill="D52B1E"/>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shd w:val="clear" w:color="auto" w:fill="00A1DE"/>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shd w:val="clear" w:color="auto" w:fill="00A1DE"/>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shd w:val="clear" w:color="auto" w:fill="6D6D6D"/>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819150</wp:posOffset>
            </wp:positionH>
            <wp:positionV relativeFrom="paragraph">
              <wp:posOffset>-1344930</wp:posOffset>
            </wp:positionV>
            <wp:extent cx="85725" cy="13716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85725" cy="137160"/>
                    </a:xfrm>
                    <a:prstGeom prst="rect">
                      <a:avLst/>
                    </a:prstGeom>
                    <a:noFill/>
                  </pic:spPr>
                </pic:pic>
              </a:graphicData>
            </a:graphic>
          </wp:anchor>
        </w:drawing>
        <w:drawing>
          <wp:anchor simplePos="0" relativeHeight="251657728" behindDoc="1" locked="0" layoutInCell="0" allowOverlap="1">
            <wp:simplePos x="0" y="0"/>
            <wp:positionH relativeFrom="column">
              <wp:posOffset>1830705</wp:posOffset>
            </wp:positionH>
            <wp:positionV relativeFrom="paragraph">
              <wp:posOffset>-1379220</wp:posOffset>
            </wp:positionV>
            <wp:extent cx="85725" cy="16319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-1379220</wp:posOffset>
            </wp:positionV>
            <wp:extent cx="85725" cy="16319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-1379220</wp:posOffset>
            </wp:positionV>
            <wp:extent cx="85725" cy="16319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-1379220</wp:posOffset>
            </wp:positionV>
            <wp:extent cx="85725" cy="16319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85725" cy="163195"/>
                    </a:xfrm>
                    <a:prstGeom prst="rect">
                      <a:avLst/>
                    </a:prstGeom>
                    <a:noFill/>
                  </pic:spPr>
                </pic:pic>
              </a:graphicData>
            </a:graphic>
          </wp:anchor>
        </w:drawing>
      </w:r>
    </w:p>
    <w:p>
      <w:pPr>
        <w:spacing w:after="0" w:line="150"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Every year, the Directors and Corporate Governance Committee, together with the chair and the lead independent director, conducts a robust assessment of the performance of the board and board committees, and of all board processes, based on input from all directors. The Directors and Corporate Governance Committee also conducts an annual assessment of each director’s performance, and every three years they conduct a detailed review of individual director performance when considering whether to nominate the director to a new three-year term.</w:t>
      </w:r>
    </w:p>
    <w:p>
      <w:pPr>
        <w:spacing w:after="0" w:line="119" w:lineRule="exact"/>
        <w:rPr>
          <w:sz w:val="20"/>
          <w:szCs w:val="20"/>
          <w:color w:val="auto"/>
        </w:rPr>
      </w:pPr>
    </w:p>
    <w:p>
      <w:pPr>
        <w:ind w:right="200"/>
        <w:spacing w:after="0" w:line="278" w:lineRule="auto"/>
        <w:rPr>
          <w:sz w:val="20"/>
          <w:szCs w:val="20"/>
          <w:color w:val="auto"/>
        </w:rPr>
      </w:pPr>
      <w:r>
        <w:rPr>
          <w:rFonts w:ascii="Arial" w:cs="Arial" w:eastAsia="Arial" w:hAnsi="Arial"/>
          <w:sz w:val="17"/>
          <w:szCs w:val="17"/>
          <w:color w:val="auto"/>
        </w:rPr>
        <w:t>The results of these assessments inform the board’s recommendations on nominations for directors at the annual meeting of shareholders each year and help provide us with insight on the types of experiences, skills, perspectives, and other characteristics we should be seeking for future director candidates. Together with our lead independent director, the Directors and Corporate Governance Committee performs periodic assessments of the overall composition and skills of the board to ensure that the board is actively engaged in succession planning for directors, and that our board reflects the diversity of viewpoints and expertise necessary to support our complex and evolving business.</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Board Education</w:t>
      </w:r>
    </w:p>
    <w:p>
      <w:pPr>
        <w:spacing w:after="0" w:line="18" w:lineRule="exact"/>
        <w:rPr>
          <w:sz w:val="20"/>
          <w:szCs w:val="20"/>
          <w:color w:val="auto"/>
        </w:rPr>
      </w:pPr>
    </w:p>
    <w:p>
      <w:pPr>
        <w:ind w:right="240"/>
        <w:spacing w:after="0" w:line="258" w:lineRule="auto"/>
        <w:rPr>
          <w:sz w:val="20"/>
          <w:szCs w:val="20"/>
          <w:color w:val="auto"/>
        </w:rPr>
      </w:pPr>
      <w:r>
        <w:rPr>
          <w:rFonts w:ascii="Arial" w:cs="Arial" w:eastAsia="Arial" w:hAnsi="Arial"/>
          <w:sz w:val="18"/>
          <w:szCs w:val="18"/>
          <w:color w:val="auto"/>
        </w:rPr>
        <w:t>Periodic briefing sessions are provided to members of the board and committees on subjects that would assist them in discharging their duties and enhancing their understanding of emerging trends and recent developments. Directors also attend regular continuing education sessions on areas of relevance or importance to our company, and we hold regular mandatory training sessions for the Audit Committee.</w:t>
      </w:r>
    </w:p>
    <w:p>
      <w:pPr>
        <w:sectPr>
          <w:pgSz w:w="11900" w:h="16838" w:orient="portrait"/>
          <w:cols w:equalWidth="0" w:num="1">
            <w:col w:w="11240"/>
          </w:cols>
          <w:pgMar w:left="320" w:top="926" w:right="339" w:bottom="1440" w:gutter="0" w:footer="0" w:header="0"/>
          <w:type w:val="continuous"/>
        </w:sect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154940</wp:posOffset>
            </wp:positionV>
            <wp:extent cx="7157720" cy="425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6" w:right="33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22"/>
          <w:szCs w:val="22"/>
          <w:b w:val="1"/>
          <w:bCs w:val="1"/>
          <w:color w:val="auto"/>
        </w:rPr>
        <w:t>Beyond the Boardroom</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color w:val="D52B1E"/>
        </w:rPr>
        <w:t>Director Orientation</w:t>
      </w:r>
    </w:p>
    <w:p>
      <w:pPr>
        <w:spacing w:after="0" w:line="72" w:lineRule="exact"/>
        <w:rPr>
          <w:sz w:val="20"/>
          <w:szCs w:val="20"/>
          <w:color w:val="auto"/>
        </w:rPr>
      </w:pPr>
    </w:p>
    <w:p>
      <w:pPr>
        <w:jc w:val="both"/>
        <w:ind w:right="80"/>
        <w:spacing w:after="0" w:line="268" w:lineRule="auto"/>
        <w:rPr>
          <w:sz w:val="20"/>
          <w:szCs w:val="20"/>
          <w:color w:val="auto"/>
        </w:rPr>
      </w:pPr>
      <w:r>
        <w:rPr>
          <w:rFonts w:ascii="Arial" w:cs="Arial" w:eastAsia="Arial" w:hAnsi="Arial"/>
          <w:sz w:val="18"/>
          <w:szCs w:val="18"/>
          <w:color w:val="auto"/>
        </w:rPr>
        <w:t>Each new director participates in an orientation program upon joining the board. The program includes presentations by senior management to familiarize new directors with, among other things, Lilly’s ethics, compliance and governance programs, business units, financial position, strategic plans, and human capital management programs.</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D52B1E"/>
        </w:rPr>
        <w:t>“Day in the Business,” Deep Dives and Site Visits</w:t>
      </w:r>
    </w:p>
    <w:p>
      <w:pPr>
        <w:spacing w:after="0" w:line="58"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At least once every two years directors are expected to dedicate a full day to independently explore and learn more about Lilly’s day-to-day business. These “Day in the Business” visits can take a variety of forms, such as a medical conference where a Lilly representative is presenting, a manufacturing site visit, or a ride-along with a sales representative.</w:t>
      </w:r>
    </w:p>
    <w:p>
      <w:pPr>
        <w:spacing w:after="0" w:line="117"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Periodically, directors are invited to or may request to visit the company’s manufacturing or other operating sites, and management prepares educational sessions for directors relevant to the location’s business and culture.</w:t>
      </w:r>
    </w:p>
    <w:p>
      <w:pPr>
        <w:spacing w:after="0" w:line="99"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Additionally, directors are invited to or may request “deep dive” educational sessions with respect to a particular business unit or other aspect of our business. Examples include sessions on product launches, field sales, medical conferences, and affordability initiatives.</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b w:val="1"/>
          <w:bCs w:val="1"/>
          <w:color w:val="D52B1E"/>
        </w:rPr>
        <w:t>Employee Events</w:t>
      </w:r>
    </w:p>
    <w:p>
      <w:pPr>
        <w:spacing w:after="0" w:line="72" w:lineRule="exact"/>
        <w:rPr>
          <w:sz w:val="20"/>
          <w:szCs w:val="20"/>
          <w:color w:val="auto"/>
        </w:rPr>
      </w:pPr>
    </w:p>
    <w:p>
      <w:pPr>
        <w:ind w:right="560"/>
        <w:spacing w:after="0" w:line="287" w:lineRule="auto"/>
        <w:rPr>
          <w:sz w:val="20"/>
          <w:szCs w:val="20"/>
          <w:color w:val="auto"/>
        </w:rPr>
      </w:pPr>
      <w:r>
        <w:rPr>
          <w:rFonts w:ascii="Arial" w:cs="Arial" w:eastAsia="Arial" w:hAnsi="Arial"/>
          <w:sz w:val="18"/>
          <w:szCs w:val="18"/>
          <w:color w:val="auto"/>
        </w:rPr>
        <w:t>Directors have the opportunity to participate in a variety of Lilly events, both as presenters and as participants. This offers a chance for directors to connect with Lilly employees, show their support for these activities and see our inclusion strategies in action.</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b w:val="1"/>
          <w:bCs w:val="1"/>
          <w:color w:val="D52B1E"/>
        </w:rPr>
        <w:t>Shareholder Engagement</w:t>
      </w:r>
    </w:p>
    <w:p>
      <w:pPr>
        <w:spacing w:after="0" w:line="72"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The board receives periodic updates on shareholder engagement led by management, and is directly involved in responding to and participating in communications where appropriate. From time to time, including in 2024, directors participate in direct engagement with shareholders to discuss specific matters of mutual importance.</w:t>
      </w:r>
    </w:p>
    <w:p>
      <w:pPr>
        <w:spacing w:after="0" w:line="111" w:lineRule="exact"/>
        <w:rPr>
          <w:sz w:val="20"/>
          <w:szCs w:val="20"/>
          <w:color w:val="auto"/>
        </w:rPr>
      </w:pPr>
    </w:p>
    <w:p>
      <w:pPr>
        <w:spacing w:after="0"/>
        <w:rPr>
          <w:sz w:val="20"/>
          <w:szCs w:val="20"/>
          <w:color w:val="auto"/>
        </w:rPr>
      </w:pPr>
      <w:r>
        <w:rPr>
          <w:rFonts w:ascii="Arial" w:cs="Arial" w:eastAsia="Arial" w:hAnsi="Arial"/>
          <w:sz w:val="25"/>
          <w:szCs w:val="25"/>
          <w:b w:val="1"/>
          <w:bCs w:val="1"/>
          <w:color w:val="00A1DE"/>
        </w:rPr>
        <w:t>Board Structure</w:t>
      </w:r>
    </w:p>
    <w:p>
      <w:pPr>
        <w:spacing w:after="0" w:line="69"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The board has established five standing committees: Audit, Talent and Compensation, Directors and Corporate Governance, Science and Technology, and Ethics and Compliance. Our independent directors are appointed to committees to take advantage of their diverse skill sets and enable deep focus on a specific scope of matters. The board annually reviews committee memberships and chair positions, seeking the best blend of continuity and innovative perspectives on the committees.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Each of our committees:</w:t>
      </w:r>
    </w:p>
    <w:p>
      <w:pPr>
        <w:spacing w:after="0" w:line="117" w:lineRule="exact"/>
        <w:rPr>
          <w:sz w:val="20"/>
          <w:szCs w:val="20"/>
          <w:color w:val="auto"/>
        </w:rPr>
      </w:pPr>
    </w:p>
    <w:p>
      <w:pPr>
        <w:ind w:left="640" w:hanging="308"/>
        <w:spacing w:after="0"/>
        <w:tabs>
          <w:tab w:leader="none" w:pos="640" w:val="left"/>
        </w:tabs>
        <w:numPr>
          <w:ilvl w:val="0"/>
          <w:numId w:val="88"/>
        </w:numPr>
        <w:rPr>
          <w:rFonts w:ascii="Arial" w:cs="Arial" w:eastAsia="Arial" w:hAnsi="Arial"/>
          <w:sz w:val="16"/>
          <w:szCs w:val="16"/>
          <w:color w:val="auto"/>
        </w:rPr>
      </w:pPr>
      <w:r>
        <w:rPr>
          <w:rFonts w:ascii="Arial" w:cs="Arial" w:eastAsia="Arial" w:hAnsi="Arial"/>
          <w:sz w:val="18"/>
          <w:szCs w:val="18"/>
          <w:color w:val="auto"/>
        </w:rPr>
        <w:t xml:space="preserve">operates pursuant to a written charter (available on our website at </w:t>
      </w:r>
      <w:r>
        <w:rPr>
          <w:rFonts w:ascii="Arial" w:cs="Arial" w:eastAsia="Arial" w:hAnsi="Arial"/>
          <w:sz w:val="18"/>
          <w:szCs w:val="18"/>
          <w:color w:val="D52B1E"/>
        </w:rPr>
        <w:t>lilly.com/leadership/governance</w:t>
      </w:r>
      <w:r>
        <w:rPr>
          <w:rFonts w:ascii="Arial" w:cs="Arial" w:eastAsia="Arial" w:hAnsi="Arial"/>
          <w:sz w:val="18"/>
          <w:szCs w:val="18"/>
          <w:color w:val="auto"/>
        </w:rPr>
        <w:t>),</w:t>
      </w:r>
    </w:p>
    <w:p>
      <w:pPr>
        <w:spacing w:after="0" w:line="117" w:lineRule="exact"/>
        <w:rPr>
          <w:rFonts w:ascii="Arial" w:cs="Arial" w:eastAsia="Arial" w:hAnsi="Arial"/>
          <w:sz w:val="16"/>
          <w:szCs w:val="16"/>
          <w:color w:val="auto"/>
        </w:rPr>
      </w:pPr>
    </w:p>
    <w:p>
      <w:pPr>
        <w:ind w:left="640" w:hanging="308"/>
        <w:spacing w:after="0"/>
        <w:tabs>
          <w:tab w:leader="none" w:pos="640" w:val="left"/>
        </w:tabs>
        <w:numPr>
          <w:ilvl w:val="0"/>
          <w:numId w:val="88"/>
        </w:numPr>
        <w:rPr>
          <w:rFonts w:ascii="Arial" w:cs="Arial" w:eastAsia="Arial" w:hAnsi="Arial"/>
          <w:sz w:val="16"/>
          <w:szCs w:val="16"/>
          <w:color w:val="auto"/>
        </w:rPr>
      </w:pPr>
      <w:r>
        <w:rPr>
          <w:rFonts w:ascii="Arial" w:cs="Arial" w:eastAsia="Arial" w:hAnsi="Arial"/>
          <w:sz w:val="18"/>
          <w:szCs w:val="18"/>
          <w:color w:val="auto"/>
        </w:rPr>
        <w:t>evaluates its performance annually, and</w:t>
      </w:r>
    </w:p>
    <w:p>
      <w:pPr>
        <w:spacing w:after="0" w:line="117" w:lineRule="exact"/>
        <w:rPr>
          <w:rFonts w:ascii="Arial" w:cs="Arial" w:eastAsia="Arial" w:hAnsi="Arial"/>
          <w:sz w:val="16"/>
          <w:szCs w:val="16"/>
          <w:color w:val="auto"/>
        </w:rPr>
      </w:pPr>
    </w:p>
    <w:p>
      <w:pPr>
        <w:ind w:left="640" w:hanging="308"/>
        <w:spacing w:after="0"/>
        <w:tabs>
          <w:tab w:leader="none" w:pos="640" w:val="left"/>
        </w:tabs>
        <w:numPr>
          <w:ilvl w:val="0"/>
          <w:numId w:val="88"/>
        </w:numPr>
        <w:rPr>
          <w:rFonts w:ascii="Arial" w:cs="Arial" w:eastAsia="Arial" w:hAnsi="Arial"/>
          <w:sz w:val="16"/>
          <w:szCs w:val="16"/>
          <w:color w:val="auto"/>
        </w:rPr>
      </w:pPr>
      <w:r>
        <w:rPr>
          <w:rFonts w:ascii="Arial" w:cs="Arial" w:eastAsia="Arial" w:hAnsi="Arial"/>
          <w:sz w:val="18"/>
          <w:szCs w:val="18"/>
          <w:color w:val="auto"/>
        </w:rPr>
        <w:t>reviews its charter annually.</w:t>
      </w:r>
    </w:p>
    <w:p>
      <w:pPr>
        <w:spacing w:after="0" w:line="171"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chair of each committee determines the frequency and agenda of committee meetings, subject to any minimums specified in the relevant committee charter, and the committees meet in executive session on a regular basis.</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Meetings of the Board and Its Committees</w:t>
      </w:r>
    </w:p>
    <w:p>
      <w:pPr>
        <w:spacing w:after="0" w:line="54" w:lineRule="exact"/>
        <w:rPr>
          <w:sz w:val="20"/>
          <w:szCs w:val="20"/>
          <w:color w:val="auto"/>
        </w:rPr>
      </w:pPr>
    </w:p>
    <w:p>
      <w:pPr>
        <w:ind w:right="540"/>
        <w:spacing w:after="0" w:line="262" w:lineRule="auto"/>
        <w:rPr>
          <w:sz w:val="20"/>
          <w:szCs w:val="20"/>
          <w:color w:val="auto"/>
        </w:rPr>
      </w:pPr>
      <w:r>
        <w:rPr>
          <w:rFonts w:ascii="Arial" w:cs="Arial" w:eastAsia="Arial" w:hAnsi="Arial"/>
          <w:sz w:val="18"/>
          <w:szCs w:val="18"/>
          <w:color w:val="auto"/>
        </w:rPr>
        <w:t>In 2024, our board met nine times, and each director attended at least 75 percent of the total number of meetings of the board and the committees on which he or she served during his or her tenure as a board or committee member. In addition, all board members are expected to attend the Annual Meeting. All directors then serving on the board attended the 2024 annual meeting of shareholders. Key responsibilities, current committee membership and the number of meetings of each committee held in 2024 are shown below.</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140335</wp:posOffset>
            </wp:positionV>
            <wp:extent cx="7157720" cy="425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37" w:name="page38"/>
    <w:bookmarkEnd w:id="37"/>
    <w:p>
      <w:pPr>
        <w:jc w:val="right"/>
        <w:ind w:right="435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620395</wp:posOffset>
            </wp:positionV>
            <wp:extent cx="5709285"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5709285" cy="8255"/>
                    </a:xfrm>
                    <a:prstGeom prst="rect">
                      <a:avLst/>
                    </a:prstGeom>
                    <a:noFill/>
                  </pic:spPr>
                </pic:pic>
              </a:graphicData>
            </a:graphic>
          </wp:anchor>
        </w:drawing>
        <w:t>Committees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88900</wp:posOffset>
            </wp:positionV>
            <wp:extent cx="5709285"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5709285"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174625</wp:posOffset>
            </wp:positionV>
            <wp:extent cx="539750" cy="47180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539750" cy="47180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1140"/>
        <w:spacing w:after="0"/>
        <w:rPr>
          <w:sz w:val="20"/>
          <w:szCs w:val="20"/>
          <w:color w:val="auto"/>
        </w:rPr>
      </w:pPr>
      <w:r>
        <w:rPr>
          <w:rFonts w:ascii="Arial" w:cs="Arial" w:eastAsia="Arial" w:hAnsi="Arial"/>
          <w:sz w:val="20"/>
          <w:szCs w:val="20"/>
          <w:b w:val="1"/>
          <w:bCs w:val="1"/>
          <w:color w:val="D52B1E"/>
        </w:rPr>
        <w:t>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1775460</wp:posOffset>
            </wp:positionH>
            <wp:positionV relativeFrom="paragraph">
              <wp:posOffset>-53340</wp:posOffset>
            </wp:positionV>
            <wp:extent cx="3977640"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3977640" cy="8255"/>
                    </a:xfrm>
                    <a:prstGeom prst="rect">
                      <a:avLst/>
                    </a:prstGeom>
                    <a:noFill/>
                  </pic:spPr>
                </pic:pic>
              </a:graphicData>
            </a:graphic>
          </wp:anchor>
        </w:drawing>
      </w:r>
    </w:p>
    <w:p>
      <w:pPr>
        <w:sectPr>
          <w:pgSz w:w="11900" w:h="16838" w:orient="portrait"/>
          <w:cols w:equalWidth="0" w:num="1">
            <w:col w:w="10119"/>
          </w:cols>
          <w:pgMar w:left="340" w:top="1070"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Members</w:t>
      </w:r>
      <w:r>
        <w:rPr>
          <w:rFonts w:ascii="Arial" w:cs="Arial" w:eastAsia="Arial" w:hAnsi="Arial"/>
          <w:sz w:val="18"/>
          <w:szCs w:val="18"/>
          <w:color w:val="auto"/>
        </w:rPr>
        <w:t>:</w:t>
      </w:r>
    </w:p>
    <w:p>
      <w:pPr>
        <w:spacing w:after="0" w:line="225" w:lineRule="exact"/>
        <w:rPr>
          <w:sz w:val="20"/>
          <w:szCs w:val="20"/>
          <w:color w:val="auto"/>
        </w:rPr>
      </w:pPr>
    </w:p>
    <w:p>
      <w:pPr>
        <w:ind w:left="240" w:hanging="153"/>
        <w:spacing w:after="0"/>
        <w:tabs>
          <w:tab w:leader="none" w:pos="240" w:val="left"/>
        </w:tabs>
        <w:numPr>
          <w:ilvl w:val="1"/>
          <w:numId w:val="89"/>
        </w:numPr>
        <w:rPr>
          <w:rFonts w:ascii="Arial" w:cs="Arial" w:eastAsia="Arial" w:hAnsi="Arial"/>
          <w:sz w:val="16"/>
          <w:szCs w:val="16"/>
          <w:color w:val="auto"/>
        </w:rPr>
      </w:pPr>
      <w:r>
        <w:rPr>
          <w:rFonts w:ascii="Arial" w:cs="Arial" w:eastAsia="Arial" w:hAnsi="Arial"/>
          <w:sz w:val="18"/>
          <w:szCs w:val="18"/>
          <w:color w:val="auto"/>
        </w:rPr>
        <w:t>Mr. Alvarez*</w:t>
      </w:r>
    </w:p>
    <w:p>
      <w:pPr>
        <w:spacing w:after="0" w:line="63" w:lineRule="exact"/>
        <w:rPr>
          <w:rFonts w:ascii="Arial" w:cs="Arial" w:eastAsia="Arial" w:hAnsi="Arial"/>
          <w:sz w:val="16"/>
          <w:szCs w:val="16"/>
          <w:color w:val="auto"/>
        </w:rPr>
      </w:pPr>
    </w:p>
    <w:p>
      <w:pPr>
        <w:ind w:left="240" w:hanging="153"/>
        <w:spacing w:after="0"/>
        <w:tabs>
          <w:tab w:leader="none" w:pos="240" w:val="left"/>
        </w:tabs>
        <w:numPr>
          <w:ilvl w:val="1"/>
          <w:numId w:val="89"/>
        </w:numPr>
        <w:rPr>
          <w:rFonts w:ascii="Arial" w:cs="Arial" w:eastAsia="Arial" w:hAnsi="Arial"/>
          <w:sz w:val="15"/>
          <w:szCs w:val="15"/>
          <w:color w:val="auto"/>
        </w:rPr>
      </w:pPr>
      <w:r>
        <w:rPr>
          <w:rFonts w:ascii="Arial" w:cs="Arial" w:eastAsia="Arial" w:hAnsi="Arial"/>
          <w:sz w:val="17"/>
          <w:szCs w:val="17"/>
          <w:color w:val="auto"/>
        </w:rPr>
        <w:t>Mr. Jackson* (Chair)</w:t>
      </w:r>
    </w:p>
    <w:p>
      <w:pPr>
        <w:spacing w:after="0" w:line="74" w:lineRule="exact"/>
        <w:rPr>
          <w:rFonts w:ascii="Arial" w:cs="Arial" w:eastAsia="Arial" w:hAnsi="Arial"/>
          <w:sz w:val="15"/>
          <w:szCs w:val="15"/>
          <w:color w:val="auto"/>
        </w:rPr>
      </w:pPr>
    </w:p>
    <w:p>
      <w:pPr>
        <w:ind w:left="240" w:hanging="153"/>
        <w:spacing w:after="0"/>
        <w:tabs>
          <w:tab w:leader="none" w:pos="240" w:val="left"/>
        </w:tabs>
        <w:numPr>
          <w:ilvl w:val="1"/>
          <w:numId w:val="89"/>
        </w:numPr>
        <w:rPr>
          <w:rFonts w:ascii="Arial" w:cs="Arial" w:eastAsia="Arial" w:hAnsi="Arial"/>
          <w:sz w:val="16"/>
          <w:szCs w:val="16"/>
          <w:color w:val="auto"/>
        </w:rPr>
      </w:pPr>
      <w:r>
        <w:rPr>
          <w:rFonts w:ascii="Arial" w:cs="Arial" w:eastAsia="Arial" w:hAnsi="Arial"/>
          <w:sz w:val="18"/>
          <w:szCs w:val="18"/>
          <w:color w:val="auto"/>
        </w:rPr>
        <w:t>Mr. Moeller*</w:t>
      </w:r>
    </w:p>
    <w:p>
      <w:pPr>
        <w:spacing w:after="0" w:line="63" w:lineRule="exact"/>
        <w:rPr>
          <w:rFonts w:ascii="Arial" w:cs="Arial" w:eastAsia="Arial" w:hAnsi="Arial"/>
          <w:sz w:val="16"/>
          <w:szCs w:val="16"/>
          <w:color w:val="auto"/>
        </w:rPr>
      </w:pPr>
    </w:p>
    <w:p>
      <w:pPr>
        <w:ind w:left="240" w:hanging="153"/>
        <w:spacing w:after="0"/>
        <w:tabs>
          <w:tab w:leader="none" w:pos="240" w:val="left"/>
        </w:tabs>
        <w:numPr>
          <w:ilvl w:val="1"/>
          <w:numId w:val="89"/>
        </w:numPr>
        <w:rPr>
          <w:rFonts w:ascii="Arial" w:cs="Arial" w:eastAsia="Arial" w:hAnsi="Arial"/>
          <w:sz w:val="16"/>
          <w:szCs w:val="16"/>
          <w:color w:val="auto"/>
        </w:rPr>
      </w:pPr>
      <w:r>
        <w:rPr>
          <w:rFonts w:ascii="Arial" w:cs="Arial" w:eastAsia="Arial" w:hAnsi="Arial"/>
          <w:sz w:val="18"/>
          <w:szCs w:val="18"/>
          <w:color w:val="auto"/>
        </w:rPr>
        <w:t>Ms. Sulzberger*</w:t>
      </w:r>
    </w:p>
    <w:p>
      <w:pPr>
        <w:spacing w:after="0" w:line="69"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i w:val="1"/>
          <w:iCs w:val="1"/>
          <w:color w:val="auto"/>
        </w:rPr>
        <w:t>* Financial Experts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Meetings in 2024: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1629410</wp:posOffset>
            </wp:positionV>
            <wp:extent cx="531495" cy="47180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531495" cy="4718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responsibilities and areas of risk oversight:</w:t>
      </w:r>
    </w:p>
    <w:p>
      <w:pPr>
        <w:spacing w:after="0" w:line="63" w:lineRule="exact"/>
        <w:rPr>
          <w:sz w:val="20"/>
          <w:szCs w:val="20"/>
          <w:color w:val="auto"/>
        </w:rPr>
      </w:pPr>
    </w:p>
    <w:p>
      <w:pPr>
        <w:ind w:left="660" w:right="1259" w:hanging="331"/>
        <w:spacing w:after="0" w:line="281" w:lineRule="auto"/>
        <w:tabs>
          <w:tab w:leader="none" w:pos="649" w:val="left"/>
        </w:tabs>
        <w:numPr>
          <w:ilvl w:val="0"/>
          <w:numId w:val="90"/>
        </w:numPr>
        <w:rPr>
          <w:rFonts w:ascii="Arial" w:cs="Arial" w:eastAsia="Arial" w:hAnsi="Arial"/>
          <w:sz w:val="16"/>
          <w:szCs w:val="16"/>
          <w:color w:val="auto"/>
        </w:rPr>
      </w:pPr>
      <w:r>
        <w:rPr>
          <w:rFonts w:ascii="Arial" w:cs="Arial" w:eastAsia="Arial" w:hAnsi="Arial"/>
          <w:sz w:val="18"/>
          <w:szCs w:val="18"/>
          <w:color w:val="auto"/>
        </w:rPr>
        <w:t>oversees integrity of financial information provided to our shareholders and others</w:t>
      </w:r>
    </w:p>
    <w:p>
      <w:pPr>
        <w:spacing w:after="0" w:line="1" w:lineRule="exact"/>
        <w:rPr>
          <w:rFonts w:ascii="Arial" w:cs="Arial" w:eastAsia="Arial" w:hAnsi="Arial"/>
          <w:sz w:val="16"/>
          <w:szCs w:val="16"/>
          <w:color w:val="auto"/>
        </w:rPr>
      </w:pPr>
    </w:p>
    <w:p>
      <w:pPr>
        <w:ind w:left="660" w:right="1459" w:hanging="331"/>
        <w:spacing w:after="0" w:line="281" w:lineRule="auto"/>
        <w:tabs>
          <w:tab w:leader="none" w:pos="649" w:val="left"/>
        </w:tabs>
        <w:numPr>
          <w:ilvl w:val="0"/>
          <w:numId w:val="90"/>
        </w:numPr>
        <w:rPr>
          <w:rFonts w:ascii="Arial" w:cs="Arial" w:eastAsia="Arial" w:hAnsi="Arial"/>
          <w:sz w:val="16"/>
          <w:szCs w:val="16"/>
          <w:color w:val="auto"/>
        </w:rPr>
      </w:pPr>
      <w:r>
        <w:rPr>
          <w:rFonts w:ascii="Arial" w:cs="Arial" w:eastAsia="Arial" w:hAnsi="Arial"/>
          <w:sz w:val="18"/>
          <w:szCs w:val="18"/>
          <w:color w:val="auto"/>
        </w:rPr>
        <w:t>oversees management’s systems of internal controls and disclosure controls</w:t>
      </w:r>
    </w:p>
    <w:p>
      <w:pPr>
        <w:spacing w:after="0" w:line="1" w:lineRule="exact"/>
        <w:rPr>
          <w:rFonts w:ascii="Arial" w:cs="Arial" w:eastAsia="Arial" w:hAnsi="Arial"/>
          <w:sz w:val="16"/>
          <w:szCs w:val="16"/>
          <w:color w:val="auto"/>
        </w:rPr>
      </w:pPr>
    </w:p>
    <w:p>
      <w:pPr>
        <w:ind w:left="640" w:hanging="311"/>
        <w:spacing w:after="0"/>
        <w:tabs>
          <w:tab w:leader="none" w:pos="640" w:val="left"/>
        </w:tabs>
        <w:numPr>
          <w:ilvl w:val="0"/>
          <w:numId w:val="90"/>
        </w:numPr>
        <w:rPr>
          <w:rFonts w:ascii="Arial" w:cs="Arial" w:eastAsia="Arial" w:hAnsi="Arial"/>
          <w:sz w:val="16"/>
          <w:szCs w:val="16"/>
          <w:color w:val="auto"/>
        </w:rPr>
      </w:pPr>
      <w:r>
        <w:rPr>
          <w:rFonts w:ascii="Arial" w:cs="Arial" w:eastAsia="Arial" w:hAnsi="Arial"/>
          <w:sz w:val="18"/>
          <w:szCs w:val="18"/>
          <w:color w:val="auto"/>
        </w:rPr>
        <w:t>oversees performance of internal and independent audit functions</w:t>
      </w:r>
    </w:p>
    <w:p>
      <w:pPr>
        <w:spacing w:after="0" w:line="63" w:lineRule="exact"/>
        <w:rPr>
          <w:rFonts w:ascii="Arial" w:cs="Arial" w:eastAsia="Arial" w:hAnsi="Arial"/>
          <w:sz w:val="16"/>
          <w:szCs w:val="16"/>
          <w:color w:val="auto"/>
        </w:rPr>
      </w:pPr>
    </w:p>
    <w:p>
      <w:pPr>
        <w:ind w:left="660" w:right="1899" w:hanging="331"/>
        <w:spacing w:after="0" w:line="281" w:lineRule="auto"/>
        <w:tabs>
          <w:tab w:leader="none" w:pos="649" w:val="left"/>
        </w:tabs>
        <w:numPr>
          <w:ilvl w:val="0"/>
          <w:numId w:val="90"/>
        </w:numPr>
        <w:rPr>
          <w:rFonts w:ascii="Arial" w:cs="Arial" w:eastAsia="Arial" w:hAnsi="Arial"/>
          <w:sz w:val="16"/>
          <w:szCs w:val="16"/>
          <w:color w:val="auto"/>
        </w:rPr>
      </w:pPr>
      <w:r>
        <w:rPr>
          <w:rFonts w:ascii="Arial" w:cs="Arial" w:eastAsia="Arial" w:hAnsi="Arial"/>
          <w:sz w:val="18"/>
          <w:szCs w:val="18"/>
          <w:color w:val="auto"/>
        </w:rPr>
        <w:t>establishes qualifications and determines independence of the company’s independent auditor</w:t>
      </w:r>
    </w:p>
    <w:p>
      <w:pPr>
        <w:spacing w:after="0" w:line="1" w:lineRule="exact"/>
        <w:rPr>
          <w:rFonts w:ascii="Arial" w:cs="Arial" w:eastAsia="Arial" w:hAnsi="Arial"/>
          <w:sz w:val="16"/>
          <w:szCs w:val="16"/>
          <w:color w:val="auto"/>
        </w:rPr>
      </w:pPr>
    </w:p>
    <w:p>
      <w:pPr>
        <w:ind w:left="640" w:hanging="311"/>
        <w:spacing w:after="0"/>
        <w:tabs>
          <w:tab w:leader="none" w:pos="640" w:val="left"/>
        </w:tabs>
        <w:numPr>
          <w:ilvl w:val="0"/>
          <w:numId w:val="90"/>
        </w:numPr>
        <w:rPr>
          <w:rFonts w:ascii="Arial" w:cs="Arial" w:eastAsia="Arial" w:hAnsi="Arial"/>
          <w:sz w:val="16"/>
          <w:szCs w:val="16"/>
          <w:color w:val="auto"/>
        </w:rPr>
      </w:pPr>
      <w:r>
        <w:rPr>
          <w:rFonts w:ascii="Arial" w:cs="Arial" w:eastAsia="Arial" w:hAnsi="Arial"/>
          <w:sz w:val="18"/>
          <w:szCs w:val="18"/>
          <w:color w:val="auto"/>
        </w:rPr>
        <w:t>has sole authority to appoint or replace the independent auditor</w:t>
      </w:r>
    </w:p>
    <w:p>
      <w:pPr>
        <w:spacing w:after="0" w:line="63" w:lineRule="exact"/>
        <w:rPr>
          <w:rFonts w:ascii="Arial" w:cs="Arial" w:eastAsia="Arial" w:hAnsi="Arial"/>
          <w:sz w:val="16"/>
          <w:szCs w:val="16"/>
          <w:color w:val="auto"/>
        </w:rPr>
      </w:pPr>
    </w:p>
    <w:p>
      <w:pPr>
        <w:ind w:left="640" w:hanging="311"/>
        <w:spacing w:after="0"/>
        <w:tabs>
          <w:tab w:leader="none" w:pos="640" w:val="left"/>
        </w:tabs>
        <w:numPr>
          <w:ilvl w:val="0"/>
          <w:numId w:val="90"/>
        </w:numPr>
        <w:rPr>
          <w:rFonts w:ascii="Arial" w:cs="Arial" w:eastAsia="Arial" w:hAnsi="Arial"/>
          <w:sz w:val="16"/>
          <w:szCs w:val="16"/>
          <w:color w:val="auto"/>
        </w:rPr>
      </w:pPr>
      <w:r>
        <w:rPr>
          <w:rFonts w:ascii="Arial" w:cs="Arial" w:eastAsia="Arial" w:hAnsi="Arial"/>
          <w:sz w:val="18"/>
          <w:szCs w:val="18"/>
          <w:color w:val="auto"/>
        </w:rPr>
        <w:t>oversees compliance with legal and regulatory requirements</w:t>
      </w:r>
    </w:p>
    <w:p>
      <w:pPr>
        <w:spacing w:after="0" w:line="63" w:lineRule="exact"/>
        <w:rPr>
          <w:rFonts w:ascii="Arial" w:cs="Arial" w:eastAsia="Arial" w:hAnsi="Arial"/>
          <w:sz w:val="16"/>
          <w:szCs w:val="16"/>
          <w:color w:val="auto"/>
        </w:rPr>
      </w:pPr>
    </w:p>
    <w:p>
      <w:pPr>
        <w:ind w:left="660" w:right="1119" w:hanging="331"/>
        <w:spacing w:after="0" w:line="281" w:lineRule="auto"/>
        <w:tabs>
          <w:tab w:leader="none" w:pos="649" w:val="left"/>
        </w:tabs>
        <w:numPr>
          <w:ilvl w:val="0"/>
          <w:numId w:val="90"/>
        </w:numPr>
        <w:rPr>
          <w:rFonts w:ascii="Arial" w:cs="Arial" w:eastAsia="Arial" w:hAnsi="Arial"/>
          <w:sz w:val="16"/>
          <w:szCs w:val="16"/>
          <w:color w:val="auto"/>
        </w:rPr>
      </w:pPr>
      <w:r>
        <w:rPr>
          <w:rFonts w:ascii="Arial" w:cs="Arial" w:eastAsia="Arial" w:hAnsi="Arial"/>
          <w:sz w:val="18"/>
          <w:szCs w:val="18"/>
          <w:color w:val="auto"/>
        </w:rPr>
        <w:t>oversees processes and procedures related to identifying and mitigating enterprise-level risks</w:t>
      </w:r>
    </w:p>
    <w:p>
      <w:pPr>
        <w:spacing w:after="0" w:line="1" w:lineRule="exact"/>
        <w:rPr>
          <w:rFonts w:ascii="Arial" w:cs="Arial" w:eastAsia="Arial" w:hAnsi="Arial"/>
          <w:sz w:val="16"/>
          <w:szCs w:val="16"/>
          <w:color w:val="auto"/>
        </w:rPr>
      </w:pPr>
    </w:p>
    <w:p>
      <w:pPr>
        <w:ind w:left="660" w:right="1139" w:hanging="331"/>
        <w:spacing w:after="0" w:line="268" w:lineRule="auto"/>
        <w:tabs>
          <w:tab w:leader="none" w:pos="649" w:val="left"/>
        </w:tabs>
        <w:numPr>
          <w:ilvl w:val="0"/>
          <w:numId w:val="90"/>
        </w:numPr>
        <w:rPr>
          <w:rFonts w:ascii="Arial" w:cs="Arial" w:eastAsia="Arial" w:hAnsi="Arial"/>
          <w:sz w:val="16"/>
          <w:szCs w:val="16"/>
          <w:color w:val="auto"/>
        </w:rPr>
      </w:pPr>
      <w:r>
        <w:rPr>
          <w:rFonts w:ascii="Arial" w:cs="Arial" w:eastAsia="Arial" w:hAnsi="Arial"/>
          <w:sz w:val="18"/>
          <w:szCs w:val="18"/>
          <w:color w:val="auto"/>
        </w:rPr>
        <w:t>oversees the company’s programs, policies, procedures, and risk management activities related to information security, cybersecurity and data protection</w:t>
      </w:r>
    </w:p>
    <w:p>
      <w:pPr>
        <w:spacing w:after="0" w:line="8" w:lineRule="exact"/>
        <w:rPr>
          <w:rFonts w:ascii="Arial" w:cs="Arial" w:eastAsia="Arial" w:hAnsi="Arial"/>
          <w:sz w:val="16"/>
          <w:szCs w:val="16"/>
          <w:color w:val="auto"/>
        </w:rPr>
      </w:pPr>
    </w:p>
    <w:p>
      <w:pPr>
        <w:ind w:left="660" w:right="1679" w:hanging="331"/>
        <w:spacing w:after="0" w:line="260" w:lineRule="auto"/>
        <w:tabs>
          <w:tab w:leader="none" w:pos="649" w:val="left"/>
        </w:tabs>
        <w:numPr>
          <w:ilvl w:val="0"/>
          <w:numId w:val="90"/>
        </w:numPr>
        <w:rPr>
          <w:rFonts w:ascii="Arial" w:cs="Arial" w:eastAsia="Arial" w:hAnsi="Arial"/>
          <w:sz w:val="16"/>
          <w:szCs w:val="16"/>
          <w:color w:val="auto"/>
        </w:rPr>
      </w:pPr>
      <w:r>
        <w:rPr>
          <w:rFonts w:ascii="Arial" w:cs="Arial" w:eastAsia="Arial" w:hAnsi="Arial"/>
          <w:sz w:val="18"/>
          <w:szCs w:val="18"/>
          <w:color w:val="auto"/>
        </w:rPr>
        <w:t>together with the ethics and compliance committee, oversees the company’s compliance with the company’s code of</w:t>
      </w:r>
    </w:p>
    <w:p>
      <w:pPr>
        <w:spacing w:after="0" w:line="1"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ethics</w:t>
      </w:r>
    </w:p>
    <w:p>
      <w:pPr>
        <w:spacing w:after="0" w:line="200" w:lineRule="exact"/>
        <w:rPr>
          <w:sz w:val="20"/>
          <w:szCs w:val="20"/>
          <w:color w:val="auto"/>
        </w:rPr>
      </w:pPr>
    </w:p>
    <w:p>
      <w:pPr>
        <w:sectPr>
          <w:pgSz w:w="11900" w:h="16838" w:orient="portrait"/>
          <w:cols w:equalWidth="0" w:num="2">
            <w:col w:w="1900" w:space="720"/>
            <w:col w:w="7499"/>
          </w:cols>
          <w:pgMar w:left="340" w:top="1070" w:right="1440" w:bottom="1440" w:gutter="0" w:footer="0" w:header="0"/>
          <w:type w:val="continuous"/>
        </w:sectPr>
      </w:pPr>
    </w:p>
    <w:p>
      <w:pPr>
        <w:spacing w:after="0" w:line="340" w:lineRule="exact"/>
        <w:rPr>
          <w:sz w:val="20"/>
          <w:szCs w:val="20"/>
          <w:color w:val="auto"/>
        </w:rPr>
      </w:pPr>
    </w:p>
    <w:p>
      <w:pPr>
        <w:ind w:left="1160"/>
        <w:spacing w:after="0"/>
        <w:rPr>
          <w:sz w:val="20"/>
          <w:szCs w:val="20"/>
          <w:color w:val="auto"/>
        </w:rPr>
      </w:pPr>
      <w:r>
        <w:rPr>
          <w:rFonts w:ascii="Arial" w:cs="Arial" w:eastAsia="Arial" w:hAnsi="Arial"/>
          <w:sz w:val="19"/>
          <w:szCs w:val="19"/>
          <w:b w:val="1"/>
          <w:bCs w:val="1"/>
          <w:color w:val="D52B1E"/>
        </w:rPr>
        <w:t>Talent and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3018155</wp:posOffset>
            </wp:positionH>
            <wp:positionV relativeFrom="paragraph">
              <wp:posOffset>-45720</wp:posOffset>
            </wp:positionV>
            <wp:extent cx="2734310"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2734310" cy="8255"/>
                    </a:xfrm>
                    <a:prstGeom prst="rect">
                      <a:avLst/>
                    </a:prstGeom>
                    <a:noFill/>
                  </pic:spPr>
                </pic:pic>
              </a:graphicData>
            </a:graphic>
          </wp:anchor>
        </w:drawing>
      </w:r>
    </w:p>
    <w:p>
      <w:pPr>
        <w:sectPr>
          <w:pgSz w:w="11900" w:h="16838" w:orient="portrait"/>
          <w:cols w:equalWidth="0" w:num="1">
            <w:col w:w="10119"/>
          </w:cols>
          <w:pgMar w:left="340" w:top="1070" w:right="1440" w:bottom="1440" w:gutter="0" w:footer="0" w:header="0"/>
          <w:type w:val="continuous"/>
        </w:sect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Members</w:t>
      </w:r>
      <w:r>
        <w:rPr>
          <w:rFonts w:ascii="Arial" w:cs="Arial" w:eastAsia="Arial" w:hAnsi="Arial"/>
          <w:sz w:val="18"/>
          <w:szCs w:val="18"/>
          <w:color w:val="auto"/>
        </w:rPr>
        <w:t>:</w:t>
      </w:r>
    </w:p>
    <w:p>
      <w:pPr>
        <w:spacing w:after="0" w:line="225" w:lineRule="exact"/>
        <w:rPr>
          <w:sz w:val="20"/>
          <w:szCs w:val="20"/>
          <w:color w:val="auto"/>
        </w:rPr>
      </w:pPr>
    </w:p>
    <w:p>
      <w:pPr>
        <w:ind w:left="240" w:hanging="153"/>
        <w:spacing w:after="0"/>
        <w:tabs>
          <w:tab w:leader="none" w:pos="240" w:val="left"/>
        </w:tabs>
        <w:numPr>
          <w:ilvl w:val="0"/>
          <w:numId w:val="91"/>
        </w:numPr>
        <w:rPr>
          <w:rFonts w:ascii="Arial" w:cs="Arial" w:eastAsia="Arial" w:hAnsi="Arial"/>
          <w:sz w:val="15"/>
          <w:szCs w:val="15"/>
          <w:color w:val="auto"/>
        </w:rPr>
      </w:pPr>
      <w:r>
        <w:rPr>
          <w:rFonts w:ascii="Arial" w:cs="Arial" w:eastAsia="Arial" w:hAnsi="Arial"/>
          <w:sz w:val="17"/>
          <w:szCs w:val="17"/>
          <w:color w:val="auto"/>
        </w:rPr>
        <w:t>Mr. Alvarez (Chair)</w:t>
      </w:r>
    </w:p>
    <w:p>
      <w:pPr>
        <w:spacing w:after="0" w:line="74" w:lineRule="exact"/>
        <w:rPr>
          <w:rFonts w:ascii="Arial" w:cs="Arial" w:eastAsia="Arial" w:hAnsi="Arial"/>
          <w:sz w:val="15"/>
          <w:szCs w:val="15"/>
          <w:color w:val="auto"/>
        </w:rPr>
      </w:pPr>
    </w:p>
    <w:p>
      <w:pPr>
        <w:ind w:left="240" w:hanging="153"/>
        <w:spacing w:after="0"/>
        <w:tabs>
          <w:tab w:leader="none" w:pos="240" w:val="left"/>
        </w:tabs>
        <w:numPr>
          <w:ilvl w:val="0"/>
          <w:numId w:val="91"/>
        </w:numPr>
        <w:rPr>
          <w:rFonts w:ascii="Arial" w:cs="Arial" w:eastAsia="Arial" w:hAnsi="Arial"/>
          <w:sz w:val="16"/>
          <w:szCs w:val="16"/>
          <w:color w:val="auto"/>
        </w:rPr>
      </w:pPr>
      <w:r>
        <w:rPr>
          <w:rFonts w:ascii="Arial" w:cs="Arial" w:eastAsia="Arial" w:hAnsi="Arial"/>
          <w:sz w:val="18"/>
          <w:szCs w:val="18"/>
          <w:color w:val="auto"/>
        </w:rPr>
        <w:t>Mr. Fyrwald</w:t>
      </w:r>
    </w:p>
    <w:p>
      <w:pPr>
        <w:spacing w:after="0" w:line="63" w:lineRule="exact"/>
        <w:rPr>
          <w:rFonts w:ascii="Arial" w:cs="Arial" w:eastAsia="Arial" w:hAnsi="Arial"/>
          <w:sz w:val="16"/>
          <w:szCs w:val="16"/>
          <w:color w:val="auto"/>
        </w:rPr>
      </w:pPr>
    </w:p>
    <w:p>
      <w:pPr>
        <w:ind w:left="240" w:hanging="153"/>
        <w:spacing w:after="0"/>
        <w:tabs>
          <w:tab w:leader="none" w:pos="240" w:val="left"/>
        </w:tabs>
        <w:numPr>
          <w:ilvl w:val="0"/>
          <w:numId w:val="91"/>
        </w:numPr>
        <w:rPr>
          <w:rFonts w:ascii="Arial" w:cs="Arial" w:eastAsia="Arial" w:hAnsi="Arial"/>
          <w:sz w:val="16"/>
          <w:szCs w:val="16"/>
          <w:color w:val="auto"/>
        </w:rPr>
      </w:pPr>
      <w:r>
        <w:rPr>
          <w:rFonts w:ascii="Arial" w:cs="Arial" w:eastAsia="Arial" w:hAnsi="Arial"/>
          <w:sz w:val="18"/>
          <w:szCs w:val="18"/>
          <w:color w:val="auto"/>
        </w:rPr>
        <w:t>Ms. Johnson</w:t>
      </w:r>
    </w:p>
    <w:p>
      <w:pPr>
        <w:spacing w:after="0" w:line="63" w:lineRule="exact"/>
        <w:rPr>
          <w:rFonts w:ascii="Arial" w:cs="Arial" w:eastAsia="Arial" w:hAnsi="Arial"/>
          <w:sz w:val="16"/>
          <w:szCs w:val="16"/>
          <w:color w:val="auto"/>
        </w:rPr>
      </w:pPr>
    </w:p>
    <w:p>
      <w:pPr>
        <w:ind w:left="240" w:hanging="153"/>
        <w:spacing w:after="0"/>
        <w:tabs>
          <w:tab w:leader="none" w:pos="240" w:val="left"/>
        </w:tabs>
        <w:numPr>
          <w:ilvl w:val="0"/>
          <w:numId w:val="91"/>
        </w:numPr>
        <w:rPr>
          <w:rFonts w:ascii="Arial" w:cs="Arial" w:eastAsia="Arial" w:hAnsi="Arial"/>
          <w:sz w:val="16"/>
          <w:szCs w:val="16"/>
          <w:color w:val="auto"/>
        </w:rPr>
      </w:pPr>
      <w:r>
        <w:rPr>
          <w:rFonts w:ascii="Arial" w:cs="Arial" w:eastAsia="Arial" w:hAnsi="Arial"/>
          <w:sz w:val="18"/>
          <w:szCs w:val="18"/>
          <w:color w:val="auto"/>
        </w:rPr>
        <w:t>Mr. Luciano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Meetings in 2024: 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responsibilities and areas of risk oversight:</w:t>
      </w:r>
    </w:p>
    <w:p>
      <w:pPr>
        <w:spacing w:after="0" w:line="63" w:lineRule="exact"/>
        <w:rPr>
          <w:sz w:val="20"/>
          <w:szCs w:val="20"/>
          <w:color w:val="auto"/>
        </w:rPr>
      </w:pPr>
    </w:p>
    <w:p>
      <w:pPr>
        <w:ind w:left="660" w:right="1159" w:hanging="331"/>
        <w:spacing w:after="0" w:line="268" w:lineRule="auto"/>
        <w:tabs>
          <w:tab w:leader="none" w:pos="649" w:val="left"/>
        </w:tabs>
        <w:numPr>
          <w:ilvl w:val="0"/>
          <w:numId w:val="92"/>
        </w:numPr>
        <w:rPr>
          <w:rFonts w:ascii="Arial" w:cs="Arial" w:eastAsia="Arial" w:hAnsi="Arial"/>
          <w:sz w:val="16"/>
          <w:szCs w:val="16"/>
          <w:color w:val="auto"/>
        </w:rPr>
      </w:pPr>
      <w:r>
        <w:rPr>
          <w:rFonts w:ascii="Arial" w:cs="Arial" w:eastAsia="Arial" w:hAnsi="Arial"/>
          <w:sz w:val="18"/>
          <w:szCs w:val="18"/>
          <w:color w:val="auto"/>
        </w:rPr>
        <w:t>establishes the compensation of the CEO (in consultation with independent directors and external compensation consultant) and other executive officers</w:t>
      </w:r>
    </w:p>
    <w:p>
      <w:pPr>
        <w:spacing w:after="0" w:line="8" w:lineRule="exact"/>
        <w:rPr>
          <w:rFonts w:ascii="Arial" w:cs="Arial" w:eastAsia="Arial" w:hAnsi="Arial"/>
          <w:sz w:val="16"/>
          <w:szCs w:val="16"/>
          <w:color w:val="auto"/>
        </w:rPr>
      </w:pPr>
    </w:p>
    <w:p>
      <w:pPr>
        <w:ind w:left="660" w:right="1159" w:hanging="331"/>
        <w:spacing w:after="0" w:line="281" w:lineRule="auto"/>
        <w:tabs>
          <w:tab w:leader="none" w:pos="649" w:val="left"/>
        </w:tabs>
        <w:numPr>
          <w:ilvl w:val="0"/>
          <w:numId w:val="92"/>
        </w:numPr>
        <w:rPr>
          <w:rFonts w:ascii="Arial" w:cs="Arial" w:eastAsia="Arial" w:hAnsi="Arial"/>
          <w:sz w:val="16"/>
          <w:szCs w:val="16"/>
          <w:color w:val="auto"/>
        </w:rPr>
      </w:pPr>
      <w:r>
        <w:rPr>
          <w:rFonts w:ascii="Arial" w:cs="Arial" w:eastAsia="Arial" w:hAnsi="Arial"/>
          <w:sz w:val="18"/>
          <w:szCs w:val="18"/>
          <w:color w:val="auto"/>
        </w:rPr>
        <w:t>oversees global compensation philosophy, human capital management, and inclusion efforts</w:t>
      </w:r>
    </w:p>
    <w:p>
      <w:pPr>
        <w:spacing w:after="0" w:line="1" w:lineRule="exact"/>
        <w:rPr>
          <w:rFonts w:ascii="Arial" w:cs="Arial" w:eastAsia="Arial" w:hAnsi="Arial"/>
          <w:sz w:val="16"/>
          <w:szCs w:val="16"/>
          <w:color w:val="auto"/>
        </w:rPr>
      </w:pPr>
    </w:p>
    <w:p>
      <w:pPr>
        <w:ind w:left="640" w:hanging="311"/>
        <w:spacing w:after="0"/>
        <w:tabs>
          <w:tab w:leader="none" w:pos="640" w:val="left"/>
        </w:tabs>
        <w:numPr>
          <w:ilvl w:val="0"/>
          <w:numId w:val="92"/>
        </w:numPr>
        <w:rPr>
          <w:rFonts w:ascii="Arial" w:cs="Arial" w:eastAsia="Arial" w:hAnsi="Arial"/>
          <w:sz w:val="16"/>
          <w:szCs w:val="16"/>
          <w:color w:val="auto"/>
        </w:rPr>
      </w:pPr>
      <w:r>
        <w:rPr>
          <w:rFonts w:ascii="Arial" w:cs="Arial" w:eastAsia="Arial" w:hAnsi="Arial"/>
          <w:sz w:val="18"/>
          <w:szCs w:val="18"/>
          <w:color w:val="auto"/>
        </w:rPr>
        <w:t>has authority to appoint or replace the compensation consultant</w:t>
      </w:r>
    </w:p>
    <w:p>
      <w:pPr>
        <w:spacing w:after="0" w:line="63" w:lineRule="exact"/>
        <w:rPr>
          <w:rFonts w:ascii="Arial" w:cs="Arial" w:eastAsia="Arial" w:hAnsi="Arial"/>
          <w:sz w:val="16"/>
          <w:szCs w:val="16"/>
          <w:color w:val="auto"/>
        </w:rPr>
      </w:pPr>
    </w:p>
    <w:p>
      <w:pPr>
        <w:jc w:val="both"/>
        <w:ind w:left="660" w:right="1179" w:hanging="331"/>
        <w:spacing w:after="0" w:line="268" w:lineRule="auto"/>
        <w:tabs>
          <w:tab w:leader="none" w:pos="649" w:val="left"/>
        </w:tabs>
        <w:numPr>
          <w:ilvl w:val="0"/>
          <w:numId w:val="92"/>
        </w:numPr>
        <w:rPr>
          <w:rFonts w:ascii="Arial" w:cs="Arial" w:eastAsia="Arial" w:hAnsi="Arial"/>
          <w:sz w:val="16"/>
          <w:szCs w:val="16"/>
          <w:color w:val="auto"/>
        </w:rPr>
      </w:pPr>
      <w:r>
        <w:rPr>
          <w:rFonts w:ascii="Arial" w:cs="Arial" w:eastAsia="Arial" w:hAnsi="Arial"/>
          <w:sz w:val="18"/>
          <w:szCs w:val="18"/>
          <w:color w:val="auto"/>
        </w:rPr>
        <w:t>acts as the oversight committee with respect to the company’s deferred compensation plans, management stock plans, and other management incentive and benefit programs</w:t>
      </w:r>
    </w:p>
    <w:p>
      <w:pPr>
        <w:spacing w:after="0" w:line="8" w:lineRule="exact"/>
        <w:rPr>
          <w:rFonts w:ascii="Arial" w:cs="Arial" w:eastAsia="Arial" w:hAnsi="Arial"/>
          <w:sz w:val="16"/>
          <w:szCs w:val="16"/>
          <w:color w:val="auto"/>
        </w:rPr>
      </w:pPr>
    </w:p>
    <w:p>
      <w:pPr>
        <w:ind w:left="660" w:right="1259" w:hanging="331"/>
        <w:spacing w:after="0" w:line="298" w:lineRule="auto"/>
        <w:tabs>
          <w:tab w:leader="none" w:pos="649" w:val="left"/>
        </w:tabs>
        <w:numPr>
          <w:ilvl w:val="0"/>
          <w:numId w:val="92"/>
        </w:numPr>
        <w:rPr>
          <w:rFonts w:ascii="Arial" w:cs="Arial" w:eastAsia="Arial" w:hAnsi="Arial"/>
          <w:sz w:val="15"/>
          <w:szCs w:val="15"/>
          <w:color w:val="auto"/>
        </w:rPr>
      </w:pPr>
      <w:r>
        <w:rPr>
          <w:rFonts w:ascii="Arial" w:cs="Arial" w:eastAsia="Arial" w:hAnsi="Arial"/>
          <w:sz w:val="17"/>
          <w:szCs w:val="17"/>
          <w:color w:val="auto"/>
        </w:rPr>
        <w:t>reviews succession plans for the CEO and other key senior leadership positions, including a broad review of our succession management</w:t>
      </w:r>
    </w:p>
    <w:p>
      <w:pPr>
        <w:ind w:left="660" w:right="1879" w:hanging="331"/>
        <w:spacing w:after="0" w:line="281" w:lineRule="auto"/>
        <w:tabs>
          <w:tab w:leader="none" w:pos="649" w:val="left"/>
        </w:tabs>
        <w:numPr>
          <w:ilvl w:val="0"/>
          <w:numId w:val="92"/>
        </w:numPr>
        <w:rPr>
          <w:rFonts w:ascii="Arial" w:cs="Arial" w:eastAsia="Arial" w:hAnsi="Arial"/>
          <w:sz w:val="16"/>
          <w:szCs w:val="16"/>
          <w:color w:val="auto"/>
        </w:rPr>
      </w:pPr>
      <w:r>
        <w:rPr>
          <w:rFonts w:ascii="Arial" w:cs="Arial" w:eastAsia="Arial" w:hAnsi="Arial"/>
          <w:sz w:val="18"/>
          <w:szCs w:val="18"/>
          <w:color w:val="auto"/>
        </w:rPr>
        <w:t>advises management and the board regarding other employee compensation and benefits matters</w:t>
      </w:r>
    </w:p>
    <w:p>
      <w:pPr>
        <w:spacing w:after="0" w:line="1" w:lineRule="exact"/>
        <w:rPr>
          <w:rFonts w:ascii="Arial" w:cs="Arial" w:eastAsia="Arial" w:hAnsi="Arial"/>
          <w:sz w:val="16"/>
          <w:szCs w:val="16"/>
          <w:color w:val="auto"/>
        </w:rPr>
      </w:pPr>
    </w:p>
    <w:p>
      <w:pPr>
        <w:ind w:left="660" w:right="1819" w:hanging="331"/>
        <w:spacing w:after="0" w:line="281" w:lineRule="auto"/>
        <w:tabs>
          <w:tab w:leader="none" w:pos="649" w:val="left"/>
        </w:tabs>
        <w:numPr>
          <w:ilvl w:val="0"/>
          <w:numId w:val="92"/>
        </w:numPr>
        <w:rPr>
          <w:rFonts w:ascii="Arial" w:cs="Arial" w:eastAsia="Arial" w:hAnsi="Arial"/>
          <w:sz w:val="16"/>
          <w:szCs w:val="16"/>
          <w:color w:val="auto"/>
        </w:rPr>
      </w:pPr>
      <w:r>
        <w:rPr>
          <w:rFonts w:ascii="Arial" w:cs="Arial" w:eastAsia="Arial" w:hAnsi="Arial"/>
          <w:sz w:val="18"/>
          <w:szCs w:val="18"/>
          <w:color w:val="auto"/>
        </w:rPr>
        <w:t>reviews, monitors, and oversees stock ownership guidelines for executive officers</w:t>
      </w:r>
    </w:p>
    <w:p>
      <w:pPr>
        <w:spacing w:after="0" w:line="1" w:lineRule="exact"/>
        <w:rPr>
          <w:rFonts w:ascii="Arial" w:cs="Arial" w:eastAsia="Arial" w:hAnsi="Arial"/>
          <w:sz w:val="16"/>
          <w:szCs w:val="16"/>
          <w:color w:val="auto"/>
        </w:rPr>
      </w:pPr>
    </w:p>
    <w:p>
      <w:pPr>
        <w:ind w:left="640" w:hanging="311"/>
        <w:spacing w:after="0"/>
        <w:tabs>
          <w:tab w:leader="none" w:pos="640" w:val="left"/>
        </w:tabs>
        <w:numPr>
          <w:ilvl w:val="0"/>
          <w:numId w:val="92"/>
        </w:numPr>
        <w:rPr>
          <w:rFonts w:ascii="Arial" w:cs="Arial" w:eastAsia="Arial" w:hAnsi="Arial"/>
          <w:sz w:val="16"/>
          <w:szCs w:val="16"/>
          <w:color w:val="auto"/>
        </w:rPr>
      </w:pPr>
      <w:r>
        <w:rPr>
          <w:rFonts w:ascii="Arial" w:cs="Arial" w:eastAsia="Arial" w:hAnsi="Arial"/>
          <w:sz w:val="18"/>
          <w:szCs w:val="18"/>
          <w:color w:val="auto"/>
        </w:rPr>
        <w:t>oversees the company’s executive compensation recovery policy</w:t>
      </w:r>
    </w:p>
    <w:p>
      <w:pPr>
        <w:spacing w:after="0" w:line="63" w:lineRule="exact"/>
        <w:rPr>
          <w:rFonts w:ascii="Arial" w:cs="Arial" w:eastAsia="Arial" w:hAnsi="Arial"/>
          <w:sz w:val="16"/>
          <w:szCs w:val="16"/>
          <w:color w:val="auto"/>
        </w:rPr>
      </w:pPr>
    </w:p>
    <w:p>
      <w:pPr>
        <w:ind w:left="660" w:right="1119" w:hanging="331"/>
        <w:spacing w:after="0" w:line="268" w:lineRule="auto"/>
        <w:tabs>
          <w:tab w:leader="none" w:pos="649" w:val="left"/>
        </w:tabs>
        <w:numPr>
          <w:ilvl w:val="0"/>
          <w:numId w:val="92"/>
        </w:numPr>
        <w:rPr>
          <w:rFonts w:ascii="Arial" w:cs="Arial" w:eastAsia="Arial" w:hAnsi="Arial"/>
          <w:sz w:val="16"/>
          <w:szCs w:val="16"/>
          <w:color w:val="auto"/>
        </w:rPr>
      </w:pPr>
      <w:r>
        <w:rPr>
          <w:rFonts w:ascii="Arial" w:cs="Arial" w:eastAsia="Arial" w:hAnsi="Arial"/>
          <w:sz w:val="18"/>
          <w:szCs w:val="18"/>
          <w:color w:val="auto"/>
        </w:rPr>
        <w:t>oversees the company’s engagement with shareholders regarding executive compensation matters, including reviewing and evaluating the results of advisory votes on executive compensation</w:t>
      </w:r>
    </w:p>
    <w:p>
      <w:pPr>
        <w:spacing w:after="0" w:line="200" w:lineRule="exact"/>
        <w:rPr>
          <w:sz w:val="20"/>
          <w:szCs w:val="20"/>
          <w:color w:val="auto"/>
        </w:rPr>
      </w:pPr>
    </w:p>
    <w:p>
      <w:pPr>
        <w:sectPr>
          <w:pgSz w:w="11900" w:h="16838" w:orient="portrait"/>
          <w:cols w:equalWidth="0" w:num="2">
            <w:col w:w="1900" w:space="720"/>
            <w:col w:w="7499"/>
          </w:cols>
          <w:pgMar w:left="340" w:top="107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500"/>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154940</wp:posOffset>
            </wp:positionV>
            <wp:extent cx="7157720" cy="425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070" w:right="1440" w:bottom="1440" w:gutter="0" w:footer="0" w:header="0"/>
          <w:type w:val="continuous"/>
        </w:sectPr>
      </w:pPr>
    </w:p>
    <w:bookmarkStart w:id="38" w:name="page39"/>
    <w:bookmarkEnd w:id="38"/>
    <w:p>
      <w:pPr>
        <w:ind w:left="1100"/>
        <w:spacing w:after="0"/>
        <w:rPr>
          <w:sz w:val="20"/>
          <w:szCs w:val="20"/>
          <w:color w:val="auto"/>
        </w:rPr>
      </w:pPr>
      <w:r>
        <w:rPr>
          <w:rFonts w:ascii="Arial" w:cs="Arial" w:eastAsia="Arial" w:hAnsi="Arial"/>
          <w:sz w:val="20"/>
          <w:szCs w:val="20"/>
          <w:b w:val="1"/>
          <w:bCs w:val="1"/>
          <w:color w:val="D52B1E"/>
        </w:rPr>
        <w:drawing>
          <wp:anchor simplePos="0" relativeHeight="251657728" behindDoc="1" locked="0" layoutInCell="0" allowOverlap="1">
            <wp:simplePos x="0" y="0"/>
            <wp:positionH relativeFrom="page">
              <wp:posOffset>208280</wp:posOffset>
            </wp:positionH>
            <wp:positionV relativeFrom="page">
              <wp:posOffset>517525</wp:posOffset>
            </wp:positionV>
            <wp:extent cx="531495" cy="47180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531495" cy="471805"/>
                    </a:xfrm>
                    <a:prstGeom prst="rect">
                      <a:avLst/>
                    </a:prstGeom>
                    <a:noFill/>
                  </pic:spPr>
                </pic:pic>
              </a:graphicData>
            </a:graphic>
          </wp:anchor>
        </w:drawing>
        <w:t>Directors and Corporate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3627120</wp:posOffset>
            </wp:positionH>
            <wp:positionV relativeFrom="paragraph">
              <wp:posOffset>-53340</wp:posOffset>
            </wp:positionV>
            <wp:extent cx="2125980"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2125980"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2200" w:type="dxa"/>
            <w:vAlign w:val="bottom"/>
            <w:gridSpan w:val="2"/>
          </w:tcPr>
          <w:p>
            <w:pPr>
              <w:spacing w:after="0"/>
              <w:rPr>
                <w:sz w:val="20"/>
                <w:szCs w:val="20"/>
                <w:color w:val="auto"/>
              </w:rPr>
            </w:pPr>
            <w:r>
              <w:rPr>
                <w:rFonts w:ascii="Arial" w:cs="Arial" w:eastAsia="Arial" w:hAnsi="Arial"/>
                <w:sz w:val="18"/>
                <w:szCs w:val="18"/>
                <w:b w:val="1"/>
                <w:bCs w:val="1"/>
                <w:color w:val="auto"/>
              </w:rPr>
              <w:t>Members</w:t>
            </w:r>
            <w:r>
              <w:rPr>
                <w:rFonts w:ascii="Arial" w:cs="Arial" w:eastAsia="Arial" w:hAnsi="Arial"/>
                <w:sz w:val="18"/>
                <w:szCs w:val="18"/>
                <w:color w:val="auto"/>
              </w:rPr>
              <w:t>:</w:t>
            </w:r>
          </w:p>
        </w:tc>
        <w:tc>
          <w:tcPr>
            <w:tcW w:w="6720" w:type="dxa"/>
            <w:vAlign w:val="bottom"/>
          </w:tcPr>
          <w:p>
            <w:pPr>
              <w:ind w:left="420"/>
              <w:spacing w:after="0"/>
              <w:rPr>
                <w:sz w:val="20"/>
                <w:szCs w:val="20"/>
                <w:color w:val="auto"/>
              </w:rPr>
            </w:pPr>
            <w:r>
              <w:rPr>
                <w:rFonts w:ascii="Arial" w:cs="Arial" w:eastAsia="Arial" w:hAnsi="Arial"/>
                <w:sz w:val="18"/>
                <w:szCs w:val="18"/>
                <w:b w:val="1"/>
                <w:bCs w:val="1"/>
                <w:color w:val="auto"/>
              </w:rPr>
              <w:t>Key responsibilities and areas of risk oversight:</w:t>
            </w:r>
          </w:p>
        </w:tc>
        <w:tc>
          <w:tcPr>
            <w:tcW w:w="0" w:type="dxa"/>
            <w:vAlign w:val="bottom"/>
          </w:tcPr>
          <w:p>
            <w:pPr>
              <w:spacing w:after="0"/>
              <w:rPr>
                <w:sz w:val="1"/>
                <w:szCs w:val="1"/>
                <w:color w:val="auto"/>
              </w:rPr>
            </w:pPr>
          </w:p>
        </w:tc>
      </w:tr>
      <w:tr>
        <w:trPr>
          <w:trHeight w:val="239"/>
        </w:trPr>
        <w:tc>
          <w:tcPr>
            <w:tcW w:w="200" w:type="dxa"/>
            <w:vAlign w:val="bottom"/>
            <w:vMerge w:val="restart"/>
          </w:tcPr>
          <w:p>
            <w:pPr>
              <w:ind w:left="80"/>
              <w:spacing w:after="0"/>
              <w:rPr>
                <w:sz w:val="20"/>
                <w:szCs w:val="20"/>
                <w:color w:val="auto"/>
              </w:rPr>
            </w:pPr>
            <w:r>
              <w:rPr>
                <w:rFonts w:ascii="Arial" w:cs="Arial" w:eastAsia="Arial" w:hAnsi="Arial"/>
                <w:sz w:val="16"/>
                <w:szCs w:val="16"/>
                <w:color w:val="auto"/>
              </w:rPr>
              <w:t>•</w:t>
            </w:r>
          </w:p>
        </w:tc>
        <w:tc>
          <w:tcPr>
            <w:tcW w:w="2000" w:type="dxa"/>
            <w:vAlign w:val="bottom"/>
            <w:vMerge w:val="restart"/>
          </w:tcPr>
          <w:p>
            <w:pPr>
              <w:ind w:left="40"/>
              <w:spacing w:after="0"/>
              <w:rPr>
                <w:sz w:val="20"/>
                <w:szCs w:val="20"/>
                <w:color w:val="auto"/>
              </w:rPr>
            </w:pPr>
            <w:r>
              <w:rPr>
                <w:rFonts w:ascii="Arial" w:cs="Arial" w:eastAsia="Arial" w:hAnsi="Arial"/>
                <w:sz w:val="18"/>
                <w:szCs w:val="18"/>
                <w:color w:val="auto"/>
              </w:rPr>
              <w:t>Mr. Jackson</w:t>
            </w:r>
          </w:p>
        </w:tc>
        <w:tc>
          <w:tcPr>
            <w:tcW w:w="6720" w:type="dxa"/>
            <w:vAlign w:val="bottom"/>
          </w:tcPr>
          <w:p>
            <w:pPr>
              <w:ind w:left="74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7"/>
                <w:szCs w:val="17"/>
                <w:color w:val="auto"/>
              </w:rPr>
              <w:t>reviews and recommends to the board the size and composition of the</w:t>
            </w:r>
          </w:p>
        </w:tc>
        <w:tc>
          <w:tcPr>
            <w:tcW w:w="0" w:type="dxa"/>
            <w:vAlign w:val="bottom"/>
          </w:tcPr>
          <w:p>
            <w:pPr>
              <w:spacing w:after="0"/>
              <w:rPr>
                <w:sz w:val="1"/>
                <w:szCs w:val="1"/>
                <w:color w:val="auto"/>
              </w:rPr>
            </w:pPr>
          </w:p>
        </w:tc>
      </w:tr>
      <w:tr>
        <w:trPr>
          <w:trHeight w:val="216"/>
        </w:trPr>
        <w:tc>
          <w:tcPr>
            <w:tcW w:w="200" w:type="dxa"/>
            <w:vAlign w:val="bottom"/>
            <w:vMerge w:val="continue"/>
          </w:tcPr>
          <w:p>
            <w:pPr>
              <w:spacing w:after="0"/>
              <w:rPr>
                <w:sz w:val="18"/>
                <w:szCs w:val="18"/>
                <w:color w:val="auto"/>
              </w:rPr>
            </w:pPr>
          </w:p>
        </w:tc>
        <w:tc>
          <w:tcPr>
            <w:tcW w:w="2000" w:type="dxa"/>
            <w:vAlign w:val="bottom"/>
            <w:vMerge w:val="continue"/>
          </w:tcPr>
          <w:p>
            <w:pPr>
              <w:spacing w:after="0"/>
              <w:rPr>
                <w:sz w:val="18"/>
                <w:szCs w:val="18"/>
                <w:color w:val="auto"/>
              </w:rPr>
            </w:pPr>
          </w:p>
        </w:tc>
        <w:tc>
          <w:tcPr>
            <w:tcW w:w="6720" w:type="dxa"/>
            <w:vAlign w:val="bottom"/>
          </w:tcPr>
          <w:p>
            <w:pPr>
              <w:ind w:left="1080"/>
              <w:spacing w:after="0"/>
              <w:rPr>
                <w:sz w:val="20"/>
                <w:szCs w:val="20"/>
                <w:color w:val="auto"/>
              </w:rPr>
            </w:pPr>
            <w:r>
              <w:rPr>
                <w:rFonts w:ascii="Arial" w:cs="Arial" w:eastAsia="Arial" w:hAnsi="Arial"/>
                <w:sz w:val="18"/>
                <w:szCs w:val="18"/>
                <w:color w:val="auto"/>
              </w:rPr>
              <w:t>board and its committees</w:t>
            </w:r>
          </w:p>
        </w:tc>
        <w:tc>
          <w:tcPr>
            <w:tcW w:w="0" w:type="dxa"/>
            <w:vAlign w:val="bottom"/>
          </w:tcPr>
          <w:p>
            <w:pPr>
              <w:spacing w:after="0"/>
              <w:rPr>
                <w:sz w:val="1"/>
                <w:szCs w:val="1"/>
                <w:color w:val="auto"/>
              </w:rPr>
            </w:pPr>
          </w:p>
        </w:tc>
      </w:tr>
      <w:tr>
        <w:trPr>
          <w:trHeight w:val="270"/>
        </w:trPr>
        <w:tc>
          <w:tcPr>
            <w:tcW w:w="200" w:type="dxa"/>
            <w:vAlign w:val="bottom"/>
          </w:tcPr>
          <w:p>
            <w:pPr>
              <w:ind w:left="80"/>
              <w:spacing w:after="0"/>
              <w:rPr>
                <w:sz w:val="20"/>
                <w:szCs w:val="20"/>
                <w:color w:val="auto"/>
              </w:rPr>
            </w:pPr>
            <w:r>
              <w:rPr>
                <w:rFonts w:ascii="Arial" w:cs="Arial" w:eastAsia="Arial" w:hAnsi="Arial"/>
                <w:sz w:val="16"/>
                <w:szCs w:val="16"/>
                <w:color w:val="auto"/>
              </w:rPr>
              <w:t>•</w:t>
            </w:r>
          </w:p>
        </w:tc>
        <w:tc>
          <w:tcPr>
            <w:tcW w:w="2000" w:type="dxa"/>
            <w:vAlign w:val="bottom"/>
          </w:tcPr>
          <w:p>
            <w:pPr>
              <w:ind w:left="40"/>
              <w:spacing w:after="0"/>
              <w:rPr>
                <w:sz w:val="20"/>
                <w:szCs w:val="20"/>
                <w:color w:val="auto"/>
              </w:rPr>
            </w:pPr>
            <w:r>
              <w:rPr>
                <w:rFonts w:ascii="Arial" w:cs="Arial" w:eastAsia="Arial" w:hAnsi="Arial"/>
                <w:sz w:val="18"/>
                <w:szCs w:val="18"/>
                <w:color w:val="auto"/>
              </w:rPr>
              <w:t>Dr. Kaelin</w:t>
            </w:r>
          </w:p>
        </w:tc>
        <w:tc>
          <w:tcPr>
            <w:tcW w:w="6720" w:type="dxa"/>
            <w:vAlign w:val="bottom"/>
          </w:tcPr>
          <w:p>
            <w:pPr>
              <w:ind w:left="74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7"/>
                <w:szCs w:val="17"/>
                <w:color w:val="auto"/>
              </w:rPr>
              <w:t>leads the process for director recruitment, together with the lead</w:t>
            </w:r>
          </w:p>
        </w:tc>
        <w:tc>
          <w:tcPr>
            <w:tcW w:w="0" w:type="dxa"/>
            <w:vAlign w:val="bottom"/>
          </w:tcPr>
          <w:p>
            <w:pPr>
              <w:spacing w:after="0"/>
              <w:rPr>
                <w:sz w:val="1"/>
                <w:szCs w:val="1"/>
                <w:color w:val="auto"/>
              </w:rPr>
            </w:pPr>
          </w:p>
        </w:tc>
      </w:tr>
      <w:tr>
        <w:trPr>
          <w:trHeight w:val="239"/>
        </w:trPr>
        <w:tc>
          <w:tcPr>
            <w:tcW w:w="200" w:type="dxa"/>
            <w:vAlign w:val="bottom"/>
          </w:tcPr>
          <w:p>
            <w:pPr>
              <w:ind w:left="80"/>
              <w:spacing w:after="0"/>
              <w:rPr>
                <w:sz w:val="20"/>
                <w:szCs w:val="20"/>
                <w:color w:val="auto"/>
              </w:rPr>
            </w:pPr>
            <w:r>
              <w:rPr>
                <w:rFonts w:ascii="Arial" w:cs="Arial" w:eastAsia="Arial" w:hAnsi="Arial"/>
                <w:sz w:val="16"/>
                <w:szCs w:val="16"/>
                <w:color w:val="auto"/>
              </w:rPr>
              <w:t>•</w:t>
            </w:r>
          </w:p>
        </w:tc>
        <w:tc>
          <w:tcPr>
            <w:tcW w:w="2000" w:type="dxa"/>
            <w:vAlign w:val="bottom"/>
          </w:tcPr>
          <w:p>
            <w:pPr>
              <w:ind w:left="40"/>
              <w:spacing w:after="0"/>
              <w:rPr>
                <w:sz w:val="20"/>
                <w:szCs w:val="20"/>
                <w:color w:val="auto"/>
              </w:rPr>
            </w:pPr>
            <w:r>
              <w:rPr>
                <w:rFonts w:ascii="Arial" w:cs="Arial" w:eastAsia="Arial" w:hAnsi="Arial"/>
                <w:sz w:val="18"/>
                <w:szCs w:val="18"/>
                <w:color w:val="auto"/>
              </w:rPr>
              <w:t>Mr. Luciano (Chair)</w:t>
            </w:r>
          </w:p>
        </w:tc>
        <w:tc>
          <w:tcPr>
            <w:tcW w:w="6720" w:type="dxa"/>
            <w:vAlign w:val="bottom"/>
          </w:tcPr>
          <w:p>
            <w:pPr>
              <w:ind w:left="1080"/>
              <w:spacing w:after="0"/>
              <w:rPr>
                <w:sz w:val="20"/>
                <w:szCs w:val="20"/>
                <w:color w:val="auto"/>
              </w:rPr>
            </w:pPr>
            <w:r>
              <w:rPr>
                <w:rFonts w:ascii="Arial" w:cs="Arial" w:eastAsia="Arial" w:hAnsi="Arial"/>
                <w:sz w:val="18"/>
                <w:szCs w:val="18"/>
                <w:color w:val="auto"/>
              </w:rPr>
              <w:t>independent director</w:t>
            </w:r>
          </w:p>
        </w:tc>
        <w:tc>
          <w:tcPr>
            <w:tcW w:w="0" w:type="dxa"/>
            <w:vAlign w:val="bottom"/>
          </w:tcPr>
          <w:p>
            <w:pPr>
              <w:spacing w:after="0"/>
              <w:rPr>
                <w:sz w:val="1"/>
                <w:szCs w:val="1"/>
                <w:color w:val="auto"/>
              </w:rPr>
            </w:pPr>
          </w:p>
        </w:tc>
      </w:tr>
      <w:tr>
        <w:trPr>
          <w:trHeight w:val="270"/>
        </w:trPr>
        <w:tc>
          <w:tcPr>
            <w:tcW w:w="200" w:type="dxa"/>
            <w:vAlign w:val="bottom"/>
          </w:tcPr>
          <w:p>
            <w:pPr>
              <w:ind w:left="80"/>
              <w:spacing w:after="0"/>
              <w:rPr>
                <w:sz w:val="20"/>
                <w:szCs w:val="20"/>
                <w:color w:val="auto"/>
              </w:rPr>
            </w:pPr>
            <w:r>
              <w:rPr>
                <w:rFonts w:ascii="Arial" w:cs="Arial" w:eastAsia="Arial" w:hAnsi="Arial"/>
                <w:sz w:val="16"/>
                <w:szCs w:val="16"/>
                <w:color w:val="auto"/>
              </w:rPr>
              <w:t>•</w:t>
            </w:r>
          </w:p>
        </w:tc>
        <w:tc>
          <w:tcPr>
            <w:tcW w:w="2000" w:type="dxa"/>
            <w:vAlign w:val="bottom"/>
          </w:tcPr>
          <w:p>
            <w:pPr>
              <w:ind w:left="40"/>
              <w:spacing w:after="0"/>
              <w:rPr>
                <w:sz w:val="20"/>
                <w:szCs w:val="20"/>
                <w:color w:val="auto"/>
              </w:rPr>
            </w:pPr>
            <w:r>
              <w:rPr>
                <w:rFonts w:ascii="Arial" w:cs="Arial" w:eastAsia="Arial" w:hAnsi="Arial"/>
                <w:sz w:val="18"/>
                <w:szCs w:val="18"/>
                <w:color w:val="auto"/>
              </w:rPr>
              <w:t>Mr. Moeller</w:t>
            </w:r>
          </w:p>
        </w:tc>
        <w:tc>
          <w:tcPr>
            <w:tcW w:w="6720" w:type="dxa"/>
            <w:vAlign w:val="bottom"/>
          </w:tcPr>
          <w:p>
            <w:pPr>
              <w:ind w:left="74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7"/>
                <w:szCs w:val="17"/>
                <w:color w:val="auto"/>
              </w:rPr>
              <w:t>reviews recommendations for nominees for the board of directors</w:t>
            </w:r>
          </w:p>
        </w:tc>
        <w:tc>
          <w:tcPr>
            <w:tcW w:w="0" w:type="dxa"/>
            <w:vAlign w:val="bottom"/>
          </w:tcPr>
          <w:p>
            <w:pPr>
              <w:spacing w:after="0"/>
              <w:rPr>
                <w:sz w:val="1"/>
                <w:szCs w:val="1"/>
                <w:color w:val="auto"/>
              </w:rPr>
            </w:pPr>
          </w:p>
        </w:tc>
      </w:tr>
      <w:tr>
        <w:trPr>
          <w:trHeight w:val="247"/>
        </w:trPr>
        <w:tc>
          <w:tcPr>
            <w:tcW w:w="200" w:type="dxa"/>
            <w:vAlign w:val="bottom"/>
          </w:tcPr>
          <w:p>
            <w:pPr>
              <w:ind w:left="80"/>
              <w:spacing w:after="0"/>
              <w:rPr>
                <w:sz w:val="20"/>
                <w:szCs w:val="20"/>
                <w:color w:val="auto"/>
              </w:rPr>
            </w:pPr>
            <w:r>
              <w:rPr>
                <w:rFonts w:ascii="Arial" w:cs="Arial" w:eastAsia="Arial" w:hAnsi="Arial"/>
                <w:sz w:val="16"/>
                <w:szCs w:val="16"/>
                <w:color w:val="auto"/>
              </w:rPr>
              <w:t>•</w:t>
            </w:r>
          </w:p>
        </w:tc>
        <w:tc>
          <w:tcPr>
            <w:tcW w:w="2000" w:type="dxa"/>
            <w:vAlign w:val="bottom"/>
          </w:tcPr>
          <w:p>
            <w:pPr>
              <w:ind w:left="40"/>
              <w:spacing w:after="0"/>
              <w:rPr>
                <w:sz w:val="20"/>
                <w:szCs w:val="20"/>
                <w:color w:val="auto"/>
              </w:rPr>
            </w:pPr>
            <w:r>
              <w:rPr>
                <w:rFonts w:ascii="Arial" w:cs="Arial" w:eastAsia="Arial" w:hAnsi="Arial"/>
                <w:sz w:val="18"/>
                <w:szCs w:val="18"/>
                <w:color w:val="auto"/>
              </w:rPr>
              <w:t>Ms. Sulzberger</w:t>
            </w:r>
          </w:p>
        </w:tc>
        <w:tc>
          <w:tcPr>
            <w:tcW w:w="6720" w:type="dxa"/>
            <w:vAlign w:val="bottom"/>
          </w:tcPr>
          <w:p>
            <w:pPr>
              <w:ind w:left="74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7"/>
                <w:szCs w:val="17"/>
                <w:color w:val="auto"/>
              </w:rPr>
              <w:t>oversees matters of corporate governance, including board</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6720" w:type="dxa"/>
            <w:vAlign w:val="bottom"/>
          </w:tcPr>
          <w:p>
            <w:pPr>
              <w:ind w:left="1080"/>
              <w:spacing w:after="0"/>
              <w:rPr>
                <w:sz w:val="20"/>
                <w:szCs w:val="20"/>
                <w:color w:val="auto"/>
              </w:rPr>
            </w:pPr>
            <w:r>
              <w:rPr>
                <w:rFonts w:ascii="Arial" w:cs="Arial" w:eastAsia="Arial" w:hAnsi="Arial"/>
                <w:sz w:val="18"/>
                <w:szCs w:val="18"/>
                <w:color w:val="auto"/>
                <w:w w:val="99"/>
              </w:rPr>
              <w:t>performance, non-employee director independence and compensation,</w:t>
            </w:r>
          </w:p>
        </w:tc>
        <w:tc>
          <w:tcPr>
            <w:tcW w:w="0" w:type="dxa"/>
            <w:vAlign w:val="bottom"/>
          </w:tcPr>
          <w:p>
            <w:pPr>
              <w:spacing w:after="0"/>
              <w:rPr>
                <w:sz w:val="1"/>
                <w:szCs w:val="1"/>
                <w:color w:val="auto"/>
              </w:rPr>
            </w:pPr>
          </w:p>
        </w:tc>
      </w:tr>
      <w:tr>
        <w:trPr>
          <w:trHeight w:val="216"/>
        </w:trPr>
        <w:tc>
          <w:tcPr>
            <w:tcW w:w="2200" w:type="dxa"/>
            <w:vAlign w:val="bottom"/>
            <w:gridSpan w:val="2"/>
          </w:tcPr>
          <w:p>
            <w:pPr>
              <w:spacing w:after="0"/>
              <w:rPr>
                <w:sz w:val="20"/>
                <w:szCs w:val="20"/>
                <w:color w:val="auto"/>
              </w:rPr>
            </w:pPr>
            <w:r>
              <w:rPr>
                <w:rFonts w:ascii="Arial" w:cs="Arial" w:eastAsia="Arial" w:hAnsi="Arial"/>
                <w:sz w:val="18"/>
                <w:szCs w:val="18"/>
                <w:color w:val="auto"/>
              </w:rPr>
              <w:t>Meetings in 2024: 3</w:t>
            </w:r>
          </w:p>
        </w:tc>
        <w:tc>
          <w:tcPr>
            <w:tcW w:w="6720" w:type="dxa"/>
            <w:vAlign w:val="bottom"/>
          </w:tcPr>
          <w:p>
            <w:pPr>
              <w:ind w:left="1080"/>
              <w:spacing w:after="0"/>
              <w:rPr>
                <w:sz w:val="20"/>
                <w:szCs w:val="20"/>
                <w:color w:val="auto"/>
              </w:rPr>
            </w:pPr>
            <w:r>
              <w:rPr>
                <w:rFonts w:ascii="Arial" w:cs="Arial" w:eastAsia="Arial" w:hAnsi="Arial"/>
                <w:sz w:val="18"/>
                <w:szCs w:val="18"/>
                <w:color w:val="auto"/>
              </w:rPr>
              <w:t>corporate governance guidelines, and shareholder engagement on</w:t>
            </w:r>
          </w:p>
        </w:tc>
        <w:tc>
          <w:tcPr>
            <w:tcW w:w="0" w:type="dxa"/>
            <w:vAlign w:val="bottom"/>
          </w:tcPr>
          <w:p>
            <w:pPr>
              <w:spacing w:after="0"/>
              <w:rPr>
                <w:sz w:val="1"/>
                <w:szCs w:val="1"/>
                <w:color w:val="auto"/>
              </w:rPr>
            </w:pPr>
          </w:p>
        </w:tc>
      </w:tr>
      <w:tr>
        <w:trPr>
          <w:trHeight w:val="239"/>
        </w:trPr>
        <w:tc>
          <w:tcPr>
            <w:tcW w:w="2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6720" w:type="dxa"/>
            <w:vAlign w:val="bottom"/>
          </w:tcPr>
          <w:p>
            <w:pPr>
              <w:ind w:left="1080"/>
              <w:spacing w:after="0"/>
              <w:rPr>
                <w:sz w:val="20"/>
                <w:szCs w:val="20"/>
                <w:color w:val="auto"/>
              </w:rPr>
            </w:pPr>
            <w:r>
              <w:rPr>
                <w:rFonts w:ascii="Arial" w:cs="Arial" w:eastAsia="Arial" w:hAnsi="Arial"/>
                <w:sz w:val="18"/>
                <w:szCs w:val="18"/>
                <w:color w:val="auto"/>
              </w:rPr>
              <w:t>governance matters</w:t>
            </w: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3260" w:right="1099" w:hanging="323"/>
        <w:spacing w:after="0" w:line="262" w:lineRule="auto"/>
        <w:tabs>
          <w:tab w:leader="none" w:pos="324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8"/>
          <w:szCs w:val="18"/>
          <w:color w:val="auto"/>
        </w:rPr>
        <w:t>identifies and brings to the attention of the board, as appropriate, current and emerging environmental, social, political, and governance trends and public policy issues that may affect the business operations, performance, or reputation of the company</w:t>
      </w:r>
    </w:p>
    <w:p>
      <w:pPr>
        <w:spacing w:after="0" w:line="14" w:lineRule="exact"/>
        <w:rPr>
          <w:sz w:val="20"/>
          <w:szCs w:val="20"/>
          <w:color w:val="auto"/>
        </w:rPr>
      </w:pPr>
    </w:p>
    <w:p>
      <w:pPr>
        <w:ind w:left="3260" w:right="1139" w:hanging="323"/>
        <w:spacing w:after="0" w:line="287" w:lineRule="auto"/>
        <w:tabs>
          <w:tab w:leader="none" w:pos="324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8"/>
          <w:szCs w:val="18"/>
          <w:color w:val="auto"/>
        </w:rPr>
        <w:t>annually assesses the performance of the board, board committees and board processes, and reviews such findings with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531495" cy="47180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531495" cy="471805"/>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1180"/>
        <w:spacing w:after="0"/>
        <w:rPr>
          <w:sz w:val="20"/>
          <w:szCs w:val="20"/>
          <w:color w:val="auto"/>
        </w:rPr>
      </w:pPr>
      <w:r>
        <w:rPr>
          <w:rFonts w:ascii="Arial" w:cs="Arial" w:eastAsia="Arial" w:hAnsi="Arial"/>
          <w:sz w:val="20"/>
          <w:szCs w:val="20"/>
          <w:b w:val="1"/>
          <w:bCs w:val="1"/>
          <w:color w:val="D52B1E"/>
        </w:rPr>
        <w:t>Ethics and Compliance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2889885</wp:posOffset>
            </wp:positionH>
            <wp:positionV relativeFrom="paragraph">
              <wp:posOffset>-53340</wp:posOffset>
            </wp:positionV>
            <wp:extent cx="2863215"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ectPr>
          <w:pgSz w:w="11900" w:h="16838" w:orient="portrait"/>
          <w:cols w:equalWidth="0" w:num="1">
            <w:col w:w="10119"/>
          </w:cols>
          <w:pgMar w:left="340" w:top="1034" w:right="1440" w:bottom="1440" w:gutter="0" w:footer="0" w:header="0"/>
        </w:sect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Members</w:t>
      </w:r>
      <w:r>
        <w:rPr>
          <w:rFonts w:ascii="Arial" w:cs="Arial" w:eastAsia="Arial" w:hAnsi="Arial"/>
          <w:sz w:val="18"/>
          <w:szCs w:val="18"/>
          <w:color w:val="auto"/>
        </w:rPr>
        <w:t>:</w:t>
      </w:r>
    </w:p>
    <w:p>
      <w:pPr>
        <w:spacing w:after="0" w:line="225" w:lineRule="exact"/>
        <w:rPr>
          <w:sz w:val="20"/>
          <w:szCs w:val="20"/>
          <w:color w:val="auto"/>
        </w:rPr>
      </w:pPr>
    </w:p>
    <w:p>
      <w:pPr>
        <w:ind w:left="240" w:hanging="153"/>
        <w:spacing w:after="0"/>
        <w:tabs>
          <w:tab w:leader="none" w:pos="240" w:val="left"/>
        </w:tabs>
        <w:numPr>
          <w:ilvl w:val="0"/>
          <w:numId w:val="93"/>
        </w:numPr>
        <w:rPr>
          <w:rFonts w:ascii="Arial" w:cs="Arial" w:eastAsia="Arial" w:hAnsi="Arial"/>
          <w:sz w:val="15"/>
          <w:szCs w:val="15"/>
          <w:color w:val="auto"/>
        </w:rPr>
      </w:pPr>
      <w:r>
        <w:rPr>
          <w:rFonts w:ascii="Arial" w:cs="Arial" w:eastAsia="Arial" w:hAnsi="Arial"/>
          <w:sz w:val="17"/>
          <w:szCs w:val="17"/>
          <w:color w:val="auto"/>
        </w:rPr>
        <w:t>Dr. Baicker (Chair)</w:t>
      </w:r>
    </w:p>
    <w:p>
      <w:pPr>
        <w:spacing w:after="0" w:line="74" w:lineRule="exact"/>
        <w:rPr>
          <w:rFonts w:ascii="Arial" w:cs="Arial" w:eastAsia="Arial" w:hAnsi="Arial"/>
          <w:sz w:val="15"/>
          <w:szCs w:val="15"/>
          <w:color w:val="auto"/>
        </w:rPr>
      </w:pPr>
    </w:p>
    <w:p>
      <w:pPr>
        <w:ind w:left="240" w:hanging="153"/>
        <w:spacing w:after="0"/>
        <w:tabs>
          <w:tab w:leader="none" w:pos="240" w:val="left"/>
        </w:tabs>
        <w:numPr>
          <w:ilvl w:val="0"/>
          <w:numId w:val="93"/>
        </w:numPr>
        <w:rPr>
          <w:rFonts w:ascii="Arial" w:cs="Arial" w:eastAsia="Arial" w:hAnsi="Arial"/>
          <w:sz w:val="16"/>
          <w:szCs w:val="16"/>
          <w:color w:val="auto"/>
        </w:rPr>
      </w:pPr>
      <w:r>
        <w:rPr>
          <w:rFonts w:ascii="Arial" w:cs="Arial" w:eastAsia="Arial" w:hAnsi="Arial"/>
          <w:sz w:val="18"/>
          <w:szCs w:val="18"/>
          <w:color w:val="auto"/>
        </w:rPr>
        <w:t>Dr. Hedley</w:t>
      </w:r>
    </w:p>
    <w:p>
      <w:pPr>
        <w:spacing w:after="0" w:line="63" w:lineRule="exact"/>
        <w:rPr>
          <w:rFonts w:ascii="Arial" w:cs="Arial" w:eastAsia="Arial" w:hAnsi="Arial"/>
          <w:sz w:val="16"/>
          <w:szCs w:val="16"/>
          <w:color w:val="auto"/>
        </w:rPr>
      </w:pPr>
    </w:p>
    <w:p>
      <w:pPr>
        <w:ind w:left="240" w:hanging="153"/>
        <w:spacing w:after="0"/>
        <w:tabs>
          <w:tab w:leader="none" w:pos="240" w:val="left"/>
        </w:tabs>
        <w:numPr>
          <w:ilvl w:val="0"/>
          <w:numId w:val="93"/>
        </w:numPr>
        <w:rPr>
          <w:rFonts w:ascii="Arial" w:cs="Arial" w:eastAsia="Arial" w:hAnsi="Arial"/>
          <w:sz w:val="16"/>
          <w:szCs w:val="16"/>
          <w:color w:val="auto"/>
        </w:rPr>
      </w:pPr>
      <w:r>
        <w:rPr>
          <w:rFonts w:ascii="Arial" w:cs="Arial" w:eastAsia="Arial" w:hAnsi="Arial"/>
          <w:sz w:val="18"/>
          <w:szCs w:val="18"/>
          <w:color w:val="auto"/>
        </w:rPr>
        <w:t>Ms. Johnson</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Meetings in 2024: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540385</wp:posOffset>
            </wp:positionV>
            <wp:extent cx="531495" cy="47180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531495" cy="4718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responsibilities and areas of risk oversight:</w:t>
      </w:r>
    </w:p>
    <w:p>
      <w:pPr>
        <w:spacing w:after="0" w:line="63" w:lineRule="exact"/>
        <w:rPr>
          <w:sz w:val="20"/>
          <w:szCs w:val="20"/>
          <w:color w:val="auto"/>
        </w:rPr>
      </w:pPr>
    </w:p>
    <w:p>
      <w:pPr>
        <w:ind w:left="660" w:right="1259" w:hanging="331"/>
        <w:spacing w:after="0" w:line="262" w:lineRule="auto"/>
        <w:tabs>
          <w:tab w:leader="none" w:pos="649" w:val="left"/>
        </w:tabs>
        <w:numPr>
          <w:ilvl w:val="0"/>
          <w:numId w:val="94"/>
        </w:numPr>
        <w:rPr>
          <w:rFonts w:ascii="Arial" w:cs="Arial" w:eastAsia="Arial" w:hAnsi="Arial"/>
          <w:sz w:val="16"/>
          <w:szCs w:val="16"/>
          <w:color w:val="auto"/>
        </w:rPr>
      </w:pPr>
      <w:r>
        <w:rPr>
          <w:rFonts w:ascii="Arial" w:cs="Arial" w:eastAsia="Arial" w:hAnsi="Arial"/>
          <w:sz w:val="18"/>
          <w:szCs w:val="18"/>
          <w:color w:val="auto"/>
        </w:rPr>
        <w:t>reviews, identifies and, when appropriate, brings to the attention of the board legal and regulatory trends and issues, and compliance and quality matters that may have an impact on the business operations, financial performance, or reputation of the company</w:t>
      </w:r>
    </w:p>
    <w:p>
      <w:pPr>
        <w:spacing w:after="0" w:line="14" w:lineRule="exact"/>
        <w:rPr>
          <w:rFonts w:ascii="Arial" w:cs="Arial" w:eastAsia="Arial" w:hAnsi="Arial"/>
          <w:sz w:val="16"/>
          <w:szCs w:val="16"/>
          <w:color w:val="auto"/>
        </w:rPr>
      </w:pPr>
    </w:p>
    <w:p>
      <w:pPr>
        <w:ind w:left="660" w:right="1259" w:hanging="331"/>
        <w:spacing w:after="0" w:line="268" w:lineRule="auto"/>
        <w:tabs>
          <w:tab w:leader="none" w:pos="649" w:val="left"/>
        </w:tabs>
        <w:numPr>
          <w:ilvl w:val="0"/>
          <w:numId w:val="94"/>
        </w:numPr>
        <w:rPr>
          <w:rFonts w:ascii="Arial" w:cs="Arial" w:eastAsia="Arial" w:hAnsi="Arial"/>
          <w:sz w:val="16"/>
          <w:szCs w:val="16"/>
          <w:color w:val="auto"/>
        </w:rPr>
      </w:pPr>
      <w:r>
        <w:rPr>
          <w:rFonts w:ascii="Arial" w:cs="Arial" w:eastAsia="Arial" w:hAnsi="Arial"/>
          <w:sz w:val="18"/>
          <w:szCs w:val="18"/>
          <w:color w:val="auto"/>
        </w:rPr>
        <w:t>reviews, monitors, and makes recommendations to the board on corporate policies and practices related to compliance, including those related to employee health and safety</w:t>
      </w:r>
    </w:p>
    <w:p>
      <w:pPr>
        <w:spacing w:after="0" w:line="8" w:lineRule="exact"/>
        <w:rPr>
          <w:rFonts w:ascii="Arial" w:cs="Arial" w:eastAsia="Arial" w:hAnsi="Arial"/>
          <w:sz w:val="16"/>
          <w:szCs w:val="16"/>
          <w:color w:val="auto"/>
        </w:rPr>
      </w:pPr>
    </w:p>
    <w:p>
      <w:pPr>
        <w:ind w:left="660" w:right="1339" w:hanging="331"/>
        <w:spacing w:after="0" w:line="268" w:lineRule="auto"/>
        <w:tabs>
          <w:tab w:leader="none" w:pos="649" w:val="left"/>
        </w:tabs>
        <w:numPr>
          <w:ilvl w:val="0"/>
          <w:numId w:val="94"/>
        </w:numPr>
        <w:rPr>
          <w:rFonts w:ascii="Arial" w:cs="Arial" w:eastAsia="Arial" w:hAnsi="Arial"/>
          <w:sz w:val="16"/>
          <w:szCs w:val="16"/>
          <w:color w:val="auto"/>
        </w:rPr>
      </w:pPr>
      <w:r>
        <w:rPr>
          <w:rFonts w:ascii="Arial" w:cs="Arial" w:eastAsia="Arial" w:hAnsi="Arial"/>
          <w:sz w:val="18"/>
          <w:szCs w:val="18"/>
          <w:color w:val="auto"/>
        </w:rPr>
        <w:t>together with the audit committee, assists the board in its oversight of legal and regulatory compliance and oversees the company’s compliance with its code of ethics</w:t>
      </w:r>
    </w:p>
    <w:p>
      <w:pPr>
        <w:spacing w:after="0" w:line="200" w:lineRule="exact"/>
        <w:rPr>
          <w:sz w:val="20"/>
          <w:szCs w:val="20"/>
          <w:color w:val="auto"/>
        </w:rPr>
      </w:pPr>
    </w:p>
    <w:p>
      <w:pPr>
        <w:sectPr>
          <w:pgSz w:w="11900" w:h="16838" w:orient="portrait"/>
          <w:cols w:equalWidth="0" w:num="2">
            <w:col w:w="1900" w:space="720"/>
            <w:col w:w="7499"/>
          </w:cols>
          <w:pgMar w:left="340" w:top="1034" w:right="1440" w:bottom="1440" w:gutter="0" w:footer="0" w:header="0"/>
          <w:type w:val="continuous"/>
        </w:sectPr>
      </w:pPr>
    </w:p>
    <w:p>
      <w:pPr>
        <w:spacing w:after="0" w:line="195" w:lineRule="exact"/>
        <w:rPr>
          <w:sz w:val="20"/>
          <w:szCs w:val="20"/>
          <w:color w:val="auto"/>
        </w:rPr>
      </w:pPr>
    </w:p>
    <w:p>
      <w:pPr>
        <w:ind w:left="1120"/>
        <w:spacing w:after="0"/>
        <w:rPr>
          <w:sz w:val="20"/>
          <w:szCs w:val="20"/>
          <w:color w:val="auto"/>
        </w:rPr>
      </w:pPr>
      <w:r>
        <w:rPr>
          <w:rFonts w:ascii="Arial" w:cs="Arial" w:eastAsia="Arial" w:hAnsi="Arial"/>
          <w:sz w:val="19"/>
          <w:szCs w:val="19"/>
          <w:b w:val="1"/>
          <w:bCs w:val="1"/>
          <w:color w:val="D52B1E"/>
        </w:rPr>
        <w:t>Science and Technology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2889885</wp:posOffset>
            </wp:positionH>
            <wp:positionV relativeFrom="paragraph">
              <wp:posOffset>-45720</wp:posOffset>
            </wp:positionV>
            <wp:extent cx="2863215"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ectPr>
          <w:pgSz w:w="11900" w:h="16838" w:orient="portrait"/>
          <w:cols w:equalWidth="0" w:num="1">
            <w:col w:w="10119"/>
          </w:cols>
          <w:pgMar w:left="340" w:top="1034" w:right="1440" w:bottom="1440" w:gutter="0" w:footer="0" w:header="0"/>
          <w:type w:val="continuous"/>
        </w:sect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Members</w:t>
      </w:r>
      <w:r>
        <w:rPr>
          <w:rFonts w:ascii="Arial" w:cs="Arial" w:eastAsia="Arial" w:hAnsi="Arial"/>
          <w:sz w:val="18"/>
          <w:szCs w:val="18"/>
          <w:color w:val="auto"/>
        </w:rPr>
        <w:t>:</w:t>
      </w:r>
    </w:p>
    <w:p>
      <w:pPr>
        <w:spacing w:after="0" w:line="225" w:lineRule="exact"/>
        <w:rPr>
          <w:sz w:val="20"/>
          <w:szCs w:val="20"/>
          <w:color w:val="auto"/>
        </w:rPr>
      </w:pPr>
    </w:p>
    <w:p>
      <w:pPr>
        <w:ind w:left="240" w:hanging="153"/>
        <w:spacing w:after="0"/>
        <w:tabs>
          <w:tab w:leader="none" w:pos="240" w:val="left"/>
        </w:tabs>
        <w:numPr>
          <w:ilvl w:val="0"/>
          <w:numId w:val="95"/>
        </w:numPr>
        <w:rPr>
          <w:rFonts w:ascii="Arial" w:cs="Arial" w:eastAsia="Arial" w:hAnsi="Arial"/>
          <w:sz w:val="16"/>
          <w:szCs w:val="16"/>
          <w:color w:val="auto"/>
        </w:rPr>
      </w:pPr>
      <w:r>
        <w:rPr>
          <w:rFonts w:ascii="Arial" w:cs="Arial" w:eastAsia="Arial" w:hAnsi="Arial"/>
          <w:sz w:val="18"/>
          <w:szCs w:val="18"/>
          <w:color w:val="auto"/>
        </w:rPr>
        <w:t>Dr. Baicker</w:t>
      </w:r>
    </w:p>
    <w:p>
      <w:pPr>
        <w:spacing w:after="0" w:line="63" w:lineRule="exact"/>
        <w:rPr>
          <w:rFonts w:ascii="Arial" w:cs="Arial" w:eastAsia="Arial" w:hAnsi="Arial"/>
          <w:sz w:val="16"/>
          <w:szCs w:val="16"/>
          <w:color w:val="auto"/>
        </w:rPr>
      </w:pPr>
    </w:p>
    <w:p>
      <w:pPr>
        <w:ind w:left="240" w:hanging="153"/>
        <w:spacing w:after="0"/>
        <w:tabs>
          <w:tab w:leader="none" w:pos="240" w:val="left"/>
        </w:tabs>
        <w:numPr>
          <w:ilvl w:val="0"/>
          <w:numId w:val="95"/>
        </w:numPr>
        <w:rPr>
          <w:rFonts w:ascii="Arial" w:cs="Arial" w:eastAsia="Arial" w:hAnsi="Arial"/>
          <w:sz w:val="16"/>
          <w:szCs w:val="16"/>
          <w:color w:val="auto"/>
        </w:rPr>
      </w:pPr>
      <w:r>
        <w:rPr>
          <w:rFonts w:ascii="Arial" w:cs="Arial" w:eastAsia="Arial" w:hAnsi="Arial"/>
          <w:sz w:val="18"/>
          <w:szCs w:val="18"/>
          <w:color w:val="auto"/>
        </w:rPr>
        <w:t>Mr. Fyrwald</w:t>
      </w:r>
    </w:p>
    <w:p>
      <w:pPr>
        <w:spacing w:after="0" w:line="63" w:lineRule="exact"/>
        <w:rPr>
          <w:rFonts w:ascii="Arial" w:cs="Arial" w:eastAsia="Arial" w:hAnsi="Arial"/>
          <w:sz w:val="16"/>
          <w:szCs w:val="16"/>
          <w:color w:val="auto"/>
        </w:rPr>
      </w:pPr>
    </w:p>
    <w:p>
      <w:pPr>
        <w:ind w:left="240" w:hanging="153"/>
        <w:spacing w:after="0"/>
        <w:tabs>
          <w:tab w:leader="none" w:pos="240" w:val="left"/>
        </w:tabs>
        <w:numPr>
          <w:ilvl w:val="0"/>
          <w:numId w:val="95"/>
        </w:numPr>
        <w:rPr>
          <w:rFonts w:ascii="Arial" w:cs="Arial" w:eastAsia="Arial" w:hAnsi="Arial"/>
          <w:sz w:val="16"/>
          <w:szCs w:val="16"/>
          <w:color w:val="auto"/>
        </w:rPr>
      </w:pPr>
      <w:r>
        <w:rPr>
          <w:rFonts w:ascii="Arial" w:cs="Arial" w:eastAsia="Arial" w:hAnsi="Arial"/>
          <w:sz w:val="18"/>
          <w:szCs w:val="18"/>
          <w:color w:val="auto"/>
        </w:rPr>
        <w:t>Dr. Hedley</w:t>
      </w:r>
    </w:p>
    <w:p>
      <w:pPr>
        <w:spacing w:after="0" w:line="63" w:lineRule="exact"/>
        <w:rPr>
          <w:rFonts w:ascii="Arial" w:cs="Arial" w:eastAsia="Arial" w:hAnsi="Arial"/>
          <w:sz w:val="16"/>
          <w:szCs w:val="16"/>
          <w:color w:val="auto"/>
        </w:rPr>
      </w:pPr>
    </w:p>
    <w:p>
      <w:pPr>
        <w:ind w:left="240" w:hanging="153"/>
        <w:spacing w:after="0"/>
        <w:tabs>
          <w:tab w:leader="none" w:pos="240" w:val="left"/>
        </w:tabs>
        <w:numPr>
          <w:ilvl w:val="0"/>
          <w:numId w:val="95"/>
        </w:numPr>
        <w:rPr>
          <w:rFonts w:ascii="Arial" w:cs="Arial" w:eastAsia="Arial" w:hAnsi="Arial"/>
          <w:sz w:val="16"/>
          <w:szCs w:val="16"/>
          <w:color w:val="auto"/>
        </w:rPr>
      </w:pPr>
      <w:r>
        <w:rPr>
          <w:rFonts w:ascii="Arial" w:cs="Arial" w:eastAsia="Arial" w:hAnsi="Arial"/>
          <w:sz w:val="18"/>
          <w:szCs w:val="18"/>
          <w:color w:val="auto"/>
        </w:rPr>
        <w:t>Dr. Kaelin (Chair)</w:t>
      </w:r>
    </w:p>
    <w:p>
      <w:pPr>
        <w:spacing w:after="0" w:line="225" w:lineRule="exact"/>
        <w:rPr>
          <w:rFonts w:ascii="Arial" w:cs="Arial" w:eastAsia="Arial" w:hAnsi="Arial"/>
          <w:sz w:val="16"/>
          <w:szCs w:val="16"/>
          <w:color w:val="auto"/>
        </w:rPr>
      </w:pPr>
    </w:p>
    <w:p>
      <w:pPr>
        <w:ind w:left="240" w:hanging="153"/>
        <w:spacing w:after="0"/>
        <w:tabs>
          <w:tab w:leader="none" w:pos="240" w:val="left"/>
        </w:tabs>
        <w:numPr>
          <w:ilvl w:val="0"/>
          <w:numId w:val="95"/>
        </w:numPr>
        <w:rPr>
          <w:rFonts w:ascii="Arial" w:cs="Arial" w:eastAsia="Arial" w:hAnsi="Arial"/>
          <w:sz w:val="15"/>
          <w:szCs w:val="15"/>
          <w:color w:val="auto"/>
        </w:rPr>
      </w:pPr>
      <w:r>
        <w:rPr>
          <w:rFonts w:ascii="Arial" w:cs="Arial" w:eastAsia="Arial" w:hAnsi="Arial"/>
          <w:sz w:val="17"/>
          <w:szCs w:val="17"/>
          <w:color w:val="auto"/>
        </w:rPr>
        <w:t>Meetings in 2024: 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responsibilities and areas of risk oversight:</w:t>
      </w:r>
    </w:p>
    <w:p>
      <w:pPr>
        <w:spacing w:after="0" w:line="63" w:lineRule="exact"/>
        <w:rPr>
          <w:sz w:val="20"/>
          <w:szCs w:val="20"/>
          <w:color w:val="auto"/>
        </w:rPr>
      </w:pPr>
    </w:p>
    <w:p>
      <w:pPr>
        <w:ind w:left="660" w:right="1599" w:hanging="331"/>
        <w:spacing w:after="0" w:line="268" w:lineRule="auto"/>
        <w:tabs>
          <w:tab w:leader="none" w:pos="649" w:val="left"/>
        </w:tabs>
        <w:numPr>
          <w:ilvl w:val="0"/>
          <w:numId w:val="96"/>
        </w:numPr>
        <w:rPr>
          <w:rFonts w:ascii="Arial" w:cs="Arial" w:eastAsia="Arial" w:hAnsi="Arial"/>
          <w:sz w:val="16"/>
          <w:szCs w:val="16"/>
          <w:color w:val="auto"/>
        </w:rPr>
      </w:pPr>
      <w:r>
        <w:rPr>
          <w:rFonts w:ascii="Arial" w:cs="Arial" w:eastAsia="Arial" w:hAnsi="Arial"/>
          <w:sz w:val="18"/>
          <w:szCs w:val="18"/>
          <w:color w:val="auto"/>
        </w:rPr>
        <w:t>reviews and advises the board regarding the company’s long-term strategic goals and objectives and the quality and direction of the company’s research and development programs</w:t>
      </w:r>
    </w:p>
    <w:p>
      <w:pPr>
        <w:spacing w:after="0" w:line="8" w:lineRule="exact"/>
        <w:rPr>
          <w:rFonts w:ascii="Arial" w:cs="Arial" w:eastAsia="Arial" w:hAnsi="Arial"/>
          <w:sz w:val="16"/>
          <w:szCs w:val="16"/>
          <w:color w:val="auto"/>
        </w:rPr>
      </w:pPr>
    </w:p>
    <w:p>
      <w:pPr>
        <w:ind w:left="660" w:right="1519" w:hanging="331"/>
        <w:spacing w:after="0" w:line="262" w:lineRule="auto"/>
        <w:tabs>
          <w:tab w:leader="none" w:pos="649" w:val="left"/>
        </w:tabs>
        <w:numPr>
          <w:ilvl w:val="0"/>
          <w:numId w:val="96"/>
        </w:numPr>
        <w:rPr>
          <w:rFonts w:ascii="Arial" w:cs="Arial" w:eastAsia="Arial" w:hAnsi="Arial"/>
          <w:sz w:val="16"/>
          <w:szCs w:val="16"/>
          <w:color w:val="auto"/>
        </w:rPr>
      </w:pPr>
      <w:r>
        <w:rPr>
          <w:rFonts w:ascii="Arial" w:cs="Arial" w:eastAsia="Arial" w:hAnsi="Arial"/>
          <w:sz w:val="18"/>
          <w:szCs w:val="18"/>
          <w:color w:val="auto"/>
        </w:rPr>
        <w:t>reviews and advises the board and management on the company’s major technology positions and strategies relative to emerging technologies, emerging concepts of therapy and health care, and changing market requirements</w:t>
      </w:r>
    </w:p>
    <w:p>
      <w:pPr>
        <w:spacing w:after="0" w:line="14" w:lineRule="exact"/>
        <w:rPr>
          <w:rFonts w:ascii="Arial" w:cs="Arial" w:eastAsia="Arial" w:hAnsi="Arial"/>
          <w:sz w:val="16"/>
          <w:szCs w:val="16"/>
          <w:color w:val="auto"/>
        </w:rPr>
      </w:pPr>
    </w:p>
    <w:p>
      <w:pPr>
        <w:ind w:left="660" w:right="1339" w:hanging="331"/>
        <w:spacing w:after="0" w:line="268" w:lineRule="auto"/>
        <w:tabs>
          <w:tab w:leader="none" w:pos="649" w:val="left"/>
        </w:tabs>
        <w:numPr>
          <w:ilvl w:val="0"/>
          <w:numId w:val="96"/>
        </w:numPr>
        <w:rPr>
          <w:rFonts w:ascii="Arial" w:cs="Arial" w:eastAsia="Arial" w:hAnsi="Arial"/>
          <w:sz w:val="16"/>
          <w:szCs w:val="16"/>
          <w:color w:val="auto"/>
        </w:rPr>
      </w:pPr>
      <w:r>
        <w:rPr>
          <w:rFonts w:ascii="Arial" w:cs="Arial" w:eastAsia="Arial" w:hAnsi="Arial"/>
          <w:sz w:val="18"/>
          <w:szCs w:val="18"/>
          <w:color w:val="auto"/>
        </w:rPr>
        <w:t>monitors and evaluates developments, technologies, and trends in pharmaceutical research and development (including those related to artificial intelligence)</w:t>
      </w:r>
    </w:p>
    <w:p>
      <w:pPr>
        <w:spacing w:after="0" w:line="8" w:lineRule="exact"/>
        <w:rPr>
          <w:rFonts w:ascii="Arial" w:cs="Arial" w:eastAsia="Arial" w:hAnsi="Arial"/>
          <w:sz w:val="16"/>
          <w:szCs w:val="16"/>
          <w:color w:val="auto"/>
        </w:rPr>
      </w:pPr>
    </w:p>
    <w:p>
      <w:pPr>
        <w:ind w:left="640" w:hanging="311"/>
        <w:spacing w:after="0"/>
        <w:tabs>
          <w:tab w:leader="none" w:pos="640" w:val="left"/>
        </w:tabs>
        <w:numPr>
          <w:ilvl w:val="0"/>
          <w:numId w:val="96"/>
        </w:numPr>
        <w:rPr>
          <w:rFonts w:ascii="Arial" w:cs="Arial" w:eastAsia="Arial" w:hAnsi="Arial"/>
          <w:sz w:val="16"/>
          <w:szCs w:val="16"/>
          <w:color w:val="auto"/>
        </w:rPr>
      </w:pPr>
      <w:r>
        <w:rPr>
          <w:rFonts w:ascii="Arial" w:cs="Arial" w:eastAsia="Arial" w:hAnsi="Arial"/>
          <w:sz w:val="18"/>
          <w:szCs w:val="18"/>
          <w:color w:val="auto"/>
        </w:rPr>
        <w:t>regularly reviews the company’s product pipeline</w:t>
      </w:r>
    </w:p>
    <w:p>
      <w:pPr>
        <w:spacing w:after="0" w:line="63" w:lineRule="exact"/>
        <w:rPr>
          <w:rFonts w:ascii="Arial" w:cs="Arial" w:eastAsia="Arial" w:hAnsi="Arial"/>
          <w:sz w:val="16"/>
          <w:szCs w:val="16"/>
          <w:color w:val="auto"/>
        </w:rPr>
      </w:pPr>
    </w:p>
    <w:p>
      <w:pPr>
        <w:ind w:left="660" w:right="1579" w:hanging="331"/>
        <w:spacing w:after="0" w:line="268" w:lineRule="auto"/>
        <w:tabs>
          <w:tab w:leader="none" w:pos="649" w:val="left"/>
        </w:tabs>
        <w:numPr>
          <w:ilvl w:val="0"/>
          <w:numId w:val="96"/>
        </w:numPr>
        <w:rPr>
          <w:rFonts w:ascii="Arial" w:cs="Arial" w:eastAsia="Arial" w:hAnsi="Arial"/>
          <w:sz w:val="16"/>
          <w:szCs w:val="16"/>
          <w:color w:val="auto"/>
        </w:rPr>
      </w:pPr>
      <w:r>
        <w:rPr>
          <w:rFonts w:ascii="Arial" w:cs="Arial" w:eastAsia="Arial" w:hAnsi="Arial"/>
          <w:sz w:val="18"/>
          <w:szCs w:val="18"/>
          <w:color w:val="auto"/>
        </w:rPr>
        <w:t>assists the board with its oversight responsibility for enterprise risk management in areas affecting the company’s research and development</w:t>
      </w:r>
    </w:p>
    <w:p>
      <w:pPr>
        <w:spacing w:after="0" w:line="200" w:lineRule="exact"/>
        <w:rPr>
          <w:sz w:val="20"/>
          <w:szCs w:val="20"/>
          <w:color w:val="auto"/>
        </w:rPr>
      </w:pPr>
    </w:p>
    <w:p>
      <w:pPr>
        <w:sectPr>
          <w:pgSz w:w="11900" w:h="16838" w:orient="portrait"/>
          <w:cols w:equalWidth="0" w:num="2">
            <w:col w:w="1900" w:space="720"/>
            <w:col w:w="7499"/>
          </w:cols>
          <w:pgMar w:left="340" w:top="1034" w:right="1440" w:bottom="1440" w:gutter="0" w:footer="0" w:header="0"/>
          <w:type w:val="continuous"/>
        </w:sectPr>
      </w:pPr>
    </w:p>
    <w:p>
      <w:pPr>
        <w:spacing w:after="0" w:line="200" w:lineRule="exact"/>
        <w:rPr>
          <w:sz w:val="20"/>
          <w:szCs w:val="20"/>
          <w:color w:val="auto"/>
        </w:rPr>
      </w:pPr>
    </w:p>
    <w:p>
      <w:pPr>
        <w:spacing w:after="0" w:line="208" w:lineRule="exact"/>
        <w:rPr>
          <w:sz w:val="20"/>
          <w:szCs w:val="20"/>
          <w:color w:val="auto"/>
        </w:rPr>
      </w:pPr>
    </w:p>
    <w:p>
      <w:pPr>
        <w:ind w:left="5500"/>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154940</wp:posOffset>
            </wp:positionV>
            <wp:extent cx="7157720" cy="425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034" w:right="1440"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22"/>
          <w:szCs w:val="22"/>
          <w:b w:val="1"/>
          <w:bCs w:val="1"/>
          <w:color w:val="auto"/>
        </w:rPr>
        <w:t>Compensation Committee Interlocks and Insider Participation</w:t>
      </w:r>
    </w:p>
    <w:p>
      <w:pPr>
        <w:spacing w:after="0" w:line="18" w:lineRule="exact"/>
        <w:rPr>
          <w:sz w:val="20"/>
          <w:szCs w:val="20"/>
          <w:color w:val="auto"/>
        </w:rPr>
      </w:pPr>
    </w:p>
    <w:p>
      <w:pPr>
        <w:ind w:right="260"/>
        <w:spacing w:after="0" w:line="266" w:lineRule="auto"/>
        <w:rPr>
          <w:sz w:val="20"/>
          <w:szCs w:val="20"/>
          <w:color w:val="auto"/>
        </w:rPr>
      </w:pPr>
      <w:r>
        <w:rPr>
          <w:rFonts w:ascii="Arial" w:cs="Arial" w:eastAsia="Arial" w:hAnsi="Arial"/>
          <w:sz w:val="18"/>
          <w:szCs w:val="18"/>
          <w:color w:val="auto"/>
        </w:rPr>
        <w:t>During the year ended December 31, 2024, Mr. Alvarez, Mr. Fyrwald, Ms. Johnson, Mr. Luciano, and Ms. Walker served on the Talent and Compensation Committee. Ms. Walker resigned from the board effective December 31, 2024.</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None of the Talent and Compensation Committee members:</w:t>
      </w:r>
    </w:p>
    <w:p>
      <w:pPr>
        <w:spacing w:after="0" w:line="63" w:lineRule="exact"/>
        <w:rPr>
          <w:sz w:val="20"/>
          <w:szCs w:val="20"/>
          <w:color w:val="auto"/>
        </w:rPr>
      </w:pPr>
    </w:p>
    <w:p>
      <w:pPr>
        <w:ind w:left="640" w:hanging="308"/>
        <w:spacing w:after="0"/>
        <w:tabs>
          <w:tab w:leader="none" w:pos="640" w:val="left"/>
        </w:tabs>
        <w:numPr>
          <w:ilvl w:val="0"/>
          <w:numId w:val="97"/>
        </w:numPr>
        <w:rPr>
          <w:rFonts w:ascii="Arial" w:cs="Arial" w:eastAsia="Arial" w:hAnsi="Arial"/>
          <w:sz w:val="16"/>
          <w:szCs w:val="16"/>
          <w:color w:val="auto"/>
        </w:rPr>
      </w:pPr>
      <w:r>
        <w:rPr>
          <w:rFonts w:ascii="Arial" w:cs="Arial" w:eastAsia="Arial" w:hAnsi="Arial"/>
          <w:sz w:val="18"/>
          <w:szCs w:val="18"/>
          <w:color w:val="auto"/>
        </w:rPr>
        <w:t>has ever been an officer or employee of the company,</w:t>
      </w:r>
    </w:p>
    <w:p>
      <w:pPr>
        <w:spacing w:after="0" w:line="63" w:lineRule="exact"/>
        <w:rPr>
          <w:rFonts w:ascii="Arial" w:cs="Arial" w:eastAsia="Arial" w:hAnsi="Arial"/>
          <w:sz w:val="16"/>
          <w:szCs w:val="16"/>
          <w:color w:val="auto"/>
        </w:rPr>
      </w:pPr>
    </w:p>
    <w:p>
      <w:pPr>
        <w:ind w:left="660" w:right="160" w:hanging="328"/>
        <w:spacing w:after="0" w:line="268" w:lineRule="auto"/>
        <w:tabs>
          <w:tab w:leader="none" w:pos="649" w:val="left"/>
        </w:tabs>
        <w:numPr>
          <w:ilvl w:val="0"/>
          <w:numId w:val="97"/>
        </w:numPr>
        <w:rPr>
          <w:rFonts w:ascii="Arial" w:cs="Arial" w:eastAsia="Arial" w:hAnsi="Arial"/>
          <w:sz w:val="16"/>
          <w:szCs w:val="16"/>
          <w:color w:val="auto"/>
        </w:rPr>
      </w:pPr>
      <w:r>
        <w:rPr>
          <w:rFonts w:ascii="Arial" w:cs="Arial" w:eastAsia="Arial" w:hAnsi="Arial"/>
          <w:sz w:val="18"/>
          <w:szCs w:val="18"/>
          <w:color w:val="auto"/>
        </w:rPr>
        <w:t>is or has been a participant in a related person transaction with the company (see “</w:t>
      </w:r>
      <w:r>
        <w:rPr>
          <w:rFonts w:ascii="Arial" w:cs="Arial" w:eastAsia="Arial" w:hAnsi="Arial"/>
          <w:sz w:val="18"/>
          <w:szCs w:val="18"/>
          <w:u w:val="single" w:color="auto"/>
          <w:color w:val="0000FF"/>
        </w:rPr>
        <w:t>Governance—How We Operate an Effective</w:t>
      </w:r>
      <w:r>
        <w:rPr>
          <w:rFonts w:ascii="Arial" w:cs="Arial" w:eastAsia="Arial" w:hAnsi="Arial"/>
          <w:sz w:val="18"/>
          <w:szCs w:val="18"/>
          <w:color w:val="auto"/>
        </w:rPr>
        <w:t xml:space="preserve"> </w:t>
      </w:r>
      <w:r>
        <w:rPr>
          <w:rFonts w:ascii="Arial" w:cs="Arial" w:eastAsia="Arial" w:hAnsi="Arial"/>
          <w:sz w:val="18"/>
          <w:szCs w:val="18"/>
          <w:u w:val="single" w:color="auto"/>
          <w:color w:val="0000FF"/>
        </w:rPr>
        <w:t>Board—Board Alignment—Conflicts of Interest and Transactions with Related Persons—Review and Approval of Transactions with Related Persons</w:t>
      </w:r>
      <w:r>
        <w:rPr>
          <w:rFonts w:ascii="Arial" w:cs="Arial" w:eastAsia="Arial" w:hAnsi="Arial"/>
          <w:sz w:val="18"/>
          <w:szCs w:val="18"/>
          <w:color w:val="000000"/>
        </w:rPr>
        <w:t>” for a description of our policy on related person transactions), or</w:t>
      </w:r>
    </w:p>
    <w:p>
      <w:pPr>
        <w:spacing w:after="0" w:line="8" w:lineRule="exact"/>
        <w:rPr>
          <w:rFonts w:ascii="Arial" w:cs="Arial" w:eastAsia="Arial" w:hAnsi="Arial"/>
          <w:sz w:val="16"/>
          <w:szCs w:val="16"/>
          <w:color w:val="auto"/>
        </w:rPr>
      </w:pPr>
    </w:p>
    <w:p>
      <w:pPr>
        <w:ind w:left="640" w:hanging="308"/>
        <w:spacing w:after="0"/>
        <w:tabs>
          <w:tab w:leader="none" w:pos="640" w:val="left"/>
        </w:tabs>
        <w:numPr>
          <w:ilvl w:val="0"/>
          <w:numId w:val="97"/>
        </w:numPr>
        <w:rPr>
          <w:rFonts w:ascii="Arial" w:cs="Arial" w:eastAsia="Arial" w:hAnsi="Arial"/>
          <w:sz w:val="16"/>
          <w:szCs w:val="16"/>
          <w:color w:val="auto"/>
        </w:rPr>
      </w:pPr>
      <w:r>
        <w:rPr>
          <w:rFonts w:ascii="Arial" w:cs="Arial" w:eastAsia="Arial" w:hAnsi="Arial"/>
          <w:sz w:val="18"/>
          <w:szCs w:val="18"/>
          <w:color w:val="auto"/>
        </w:rPr>
        <w:t>has any other interlocking relationships requiring disclosure under applicable SEC rules.</w:t>
      </w:r>
    </w:p>
    <w:p>
      <w:pPr>
        <w:spacing w:after="0" w:line="165" w:lineRule="exact"/>
        <w:rPr>
          <w:sz w:val="20"/>
          <w:szCs w:val="20"/>
          <w:color w:val="auto"/>
        </w:rPr>
      </w:pPr>
    </w:p>
    <w:p>
      <w:pPr>
        <w:spacing w:after="0"/>
        <w:rPr>
          <w:sz w:val="20"/>
          <w:szCs w:val="20"/>
          <w:color w:val="auto"/>
        </w:rPr>
      </w:pPr>
      <w:r>
        <w:rPr>
          <w:rFonts w:ascii="Arial" w:cs="Arial" w:eastAsia="Arial" w:hAnsi="Arial"/>
          <w:sz w:val="25"/>
          <w:szCs w:val="25"/>
          <w:b w:val="1"/>
          <w:bCs w:val="1"/>
          <w:color w:val="00A1DE"/>
        </w:rPr>
        <w:t>Governance Practices</w:t>
      </w:r>
    </w:p>
    <w:p>
      <w:pPr>
        <w:spacing w:after="0" w:line="83"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We are committed to good corporate governance, which promotes the long-term interests of shareholders and other company stakeholders, builds confidence in our leadership, and strengthens accountability by the board and management.</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Board Oversight</w:t>
      </w:r>
    </w:p>
    <w:p>
      <w:pPr>
        <w:spacing w:after="0" w:line="18" w:lineRule="exact"/>
        <w:rPr>
          <w:sz w:val="20"/>
          <w:szCs w:val="20"/>
          <w:color w:val="auto"/>
        </w:rPr>
      </w:pPr>
    </w:p>
    <w:p>
      <w:pPr>
        <w:ind w:right="340"/>
        <w:spacing w:after="0" w:line="266" w:lineRule="auto"/>
        <w:rPr>
          <w:sz w:val="20"/>
          <w:szCs w:val="20"/>
          <w:color w:val="auto"/>
        </w:rPr>
      </w:pPr>
      <w:r>
        <w:rPr>
          <w:rFonts w:ascii="Arial" w:cs="Arial" w:eastAsia="Arial" w:hAnsi="Arial"/>
          <w:sz w:val="18"/>
          <w:szCs w:val="18"/>
          <w:color w:val="auto"/>
        </w:rPr>
        <w:t>The board exercises oversight over a broad range of areas, but the board’s key responsibilities include the following (certain of which are carried out through the board’s committees):</w:t>
      </w:r>
    </w:p>
    <w:p>
      <w:pPr>
        <w:spacing w:after="0" w:line="9" w:lineRule="exact"/>
        <w:rPr>
          <w:sz w:val="20"/>
          <w:szCs w:val="20"/>
          <w:color w:val="auto"/>
        </w:rPr>
      </w:pPr>
    </w:p>
    <w:p>
      <w:pPr>
        <w:ind w:left="640" w:hanging="308"/>
        <w:spacing w:after="0"/>
        <w:tabs>
          <w:tab w:leader="none" w:pos="640" w:val="left"/>
        </w:tabs>
        <w:numPr>
          <w:ilvl w:val="0"/>
          <w:numId w:val="98"/>
        </w:numPr>
        <w:rPr>
          <w:rFonts w:ascii="Arial" w:cs="Arial" w:eastAsia="Arial" w:hAnsi="Arial"/>
          <w:sz w:val="16"/>
          <w:szCs w:val="16"/>
          <w:color w:val="auto"/>
        </w:rPr>
      </w:pPr>
      <w:r>
        <w:rPr>
          <w:rFonts w:ascii="Arial" w:cs="Arial" w:eastAsia="Arial" w:hAnsi="Arial"/>
          <w:sz w:val="18"/>
          <w:szCs w:val="18"/>
          <w:color w:val="auto"/>
        </w:rPr>
        <w:t>providing general oversight of the business,</w:t>
      </w:r>
    </w:p>
    <w:p>
      <w:pPr>
        <w:spacing w:after="0" w:line="63" w:lineRule="exact"/>
        <w:rPr>
          <w:rFonts w:ascii="Arial" w:cs="Arial" w:eastAsia="Arial" w:hAnsi="Arial"/>
          <w:sz w:val="16"/>
          <w:szCs w:val="16"/>
          <w:color w:val="auto"/>
        </w:rPr>
      </w:pPr>
    </w:p>
    <w:p>
      <w:pPr>
        <w:ind w:left="640" w:hanging="308"/>
        <w:spacing w:after="0"/>
        <w:tabs>
          <w:tab w:leader="none" w:pos="640" w:val="left"/>
        </w:tabs>
        <w:numPr>
          <w:ilvl w:val="0"/>
          <w:numId w:val="98"/>
        </w:numPr>
        <w:rPr>
          <w:rFonts w:ascii="Arial" w:cs="Arial" w:eastAsia="Arial" w:hAnsi="Arial"/>
          <w:sz w:val="16"/>
          <w:szCs w:val="16"/>
          <w:color w:val="auto"/>
        </w:rPr>
      </w:pPr>
      <w:r>
        <w:rPr>
          <w:rFonts w:ascii="Arial" w:cs="Arial" w:eastAsia="Arial" w:hAnsi="Arial"/>
          <w:sz w:val="18"/>
          <w:szCs w:val="18"/>
          <w:color w:val="auto"/>
        </w:rPr>
        <w:t>approving corporate strategy,</w:t>
      </w:r>
    </w:p>
    <w:p>
      <w:pPr>
        <w:spacing w:after="0" w:line="63" w:lineRule="exact"/>
        <w:rPr>
          <w:rFonts w:ascii="Arial" w:cs="Arial" w:eastAsia="Arial" w:hAnsi="Arial"/>
          <w:sz w:val="16"/>
          <w:szCs w:val="16"/>
          <w:color w:val="auto"/>
        </w:rPr>
      </w:pPr>
    </w:p>
    <w:p>
      <w:pPr>
        <w:ind w:left="640" w:hanging="308"/>
        <w:spacing w:after="0"/>
        <w:tabs>
          <w:tab w:leader="none" w:pos="640" w:val="left"/>
        </w:tabs>
        <w:numPr>
          <w:ilvl w:val="0"/>
          <w:numId w:val="98"/>
        </w:numPr>
        <w:rPr>
          <w:rFonts w:ascii="Arial" w:cs="Arial" w:eastAsia="Arial" w:hAnsi="Arial"/>
          <w:sz w:val="16"/>
          <w:szCs w:val="16"/>
          <w:color w:val="auto"/>
        </w:rPr>
      </w:pPr>
      <w:r>
        <w:rPr>
          <w:rFonts w:ascii="Arial" w:cs="Arial" w:eastAsia="Arial" w:hAnsi="Arial"/>
          <w:sz w:val="18"/>
          <w:szCs w:val="18"/>
          <w:color w:val="auto"/>
        </w:rPr>
        <w:t>overseeing major management initiatives and significant capital allocation,</w:t>
      </w:r>
    </w:p>
    <w:p>
      <w:pPr>
        <w:spacing w:after="0" w:line="63" w:lineRule="exact"/>
        <w:rPr>
          <w:rFonts w:ascii="Arial" w:cs="Arial" w:eastAsia="Arial" w:hAnsi="Arial"/>
          <w:sz w:val="16"/>
          <w:szCs w:val="16"/>
          <w:color w:val="auto"/>
        </w:rPr>
      </w:pPr>
    </w:p>
    <w:p>
      <w:pPr>
        <w:ind w:left="640" w:hanging="308"/>
        <w:spacing w:after="0"/>
        <w:tabs>
          <w:tab w:leader="none" w:pos="640" w:val="left"/>
        </w:tabs>
        <w:numPr>
          <w:ilvl w:val="0"/>
          <w:numId w:val="98"/>
        </w:numPr>
        <w:rPr>
          <w:rFonts w:ascii="Arial" w:cs="Arial" w:eastAsia="Arial" w:hAnsi="Arial"/>
          <w:sz w:val="16"/>
          <w:szCs w:val="16"/>
          <w:color w:val="auto"/>
        </w:rPr>
      </w:pPr>
      <w:r>
        <w:rPr>
          <w:rFonts w:ascii="Arial" w:cs="Arial" w:eastAsia="Arial" w:hAnsi="Arial"/>
          <w:sz w:val="18"/>
          <w:szCs w:val="18"/>
          <w:color w:val="auto"/>
        </w:rPr>
        <w:t>selecting, compensating, evaluating, and, when necessary, replacing the CEO, and compensating other senior executives,</w:t>
      </w:r>
    </w:p>
    <w:p>
      <w:pPr>
        <w:spacing w:after="0" w:line="63" w:lineRule="exact"/>
        <w:rPr>
          <w:rFonts w:ascii="Arial" w:cs="Arial" w:eastAsia="Arial" w:hAnsi="Arial"/>
          <w:sz w:val="16"/>
          <w:szCs w:val="16"/>
          <w:color w:val="auto"/>
        </w:rPr>
      </w:pPr>
    </w:p>
    <w:p>
      <w:pPr>
        <w:ind w:left="660" w:right="760" w:hanging="328"/>
        <w:spacing w:after="0" w:line="298" w:lineRule="auto"/>
        <w:tabs>
          <w:tab w:leader="none" w:pos="649" w:val="left"/>
        </w:tabs>
        <w:numPr>
          <w:ilvl w:val="0"/>
          <w:numId w:val="98"/>
        </w:numPr>
        <w:rPr>
          <w:rFonts w:ascii="Arial" w:cs="Arial" w:eastAsia="Arial" w:hAnsi="Arial"/>
          <w:sz w:val="15"/>
          <w:szCs w:val="15"/>
          <w:color w:val="auto"/>
        </w:rPr>
      </w:pPr>
      <w:r>
        <w:rPr>
          <w:rFonts w:ascii="Arial" w:cs="Arial" w:eastAsia="Arial" w:hAnsi="Arial"/>
          <w:sz w:val="17"/>
          <w:szCs w:val="17"/>
          <w:color w:val="auto"/>
        </w:rPr>
        <w:t>ensuring that an effective succession plan is in place for all key senior leadership positions and reviewing our broader talent management process, including human capital management strategies, overall corporate culture, and inclusion programs,</w:t>
      </w:r>
    </w:p>
    <w:p>
      <w:pPr>
        <w:ind w:left="640" w:hanging="308"/>
        <w:spacing w:after="0"/>
        <w:tabs>
          <w:tab w:leader="none" w:pos="640" w:val="left"/>
        </w:tabs>
        <w:numPr>
          <w:ilvl w:val="0"/>
          <w:numId w:val="98"/>
        </w:numPr>
        <w:rPr>
          <w:rFonts w:ascii="Arial" w:cs="Arial" w:eastAsia="Arial" w:hAnsi="Arial"/>
          <w:sz w:val="16"/>
          <w:szCs w:val="16"/>
          <w:color w:val="auto"/>
        </w:rPr>
      </w:pPr>
      <w:r>
        <w:rPr>
          <w:rFonts w:ascii="Arial" w:cs="Arial" w:eastAsia="Arial" w:hAnsi="Arial"/>
          <w:sz w:val="18"/>
          <w:szCs w:val="18"/>
          <w:color w:val="auto"/>
        </w:rPr>
        <w:t>overseeing the company’s ethics and compliance program and management of significant business risks,</w:t>
      </w:r>
    </w:p>
    <w:p>
      <w:pPr>
        <w:spacing w:after="0" w:line="63" w:lineRule="exact"/>
        <w:rPr>
          <w:rFonts w:ascii="Arial" w:cs="Arial" w:eastAsia="Arial" w:hAnsi="Arial"/>
          <w:sz w:val="16"/>
          <w:szCs w:val="16"/>
          <w:color w:val="auto"/>
        </w:rPr>
      </w:pPr>
    </w:p>
    <w:p>
      <w:pPr>
        <w:ind w:left="640" w:hanging="308"/>
        <w:spacing w:after="0"/>
        <w:tabs>
          <w:tab w:leader="none" w:pos="640" w:val="left"/>
        </w:tabs>
        <w:numPr>
          <w:ilvl w:val="0"/>
          <w:numId w:val="98"/>
        </w:numPr>
        <w:rPr>
          <w:rFonts w:ascii="Arial" w:cs="Arial" w:eastAsia="Arial" w:hAnsi="Arial"/>
          <w:sz w:val="16"/>
          <w:szCs w:val="16"/>
          <w:color w:val="auto"/>
        </w:rPr>
      </w:pPr>
      <w:r>
        <w:rPr>
          <w:rFonts w:ascii="Arial" w:cs="Arial" w:eastAsia="Arial" w:hAnsi="Arial"/>
          <w:sz w:val="18"/>
          <w:szCs w:val="18"/>
          <w:color w:val="auto"/>
        </w:rPr>
        <w:t>selecting, compensating, and evaluating directors, and evaluating board processes and performance,</w:t>
      </w:r>
    </w:p>
    <w:p>
      <w:pPr>
        <w:spacing w:after="0" w:line="63" w:lineRule="exact"/>
        <w:rPr>
          <w:rFonts w:ascii="Arial" w:cs="Arial" w:eastAsia="Arial" w:hAnsi="Arial"/>
          <w:sz w:val="16"/>
          <w:szCs w:val="16"/>
          <w:color w:val="auto"/>
        </w:rPr>
      </w:pPr>
    </w:p>
    <w:p>
      <w:pPr>
        <w:ind w:left="660" w:right="240" w:hanging="328"/>
        <w:spacing w:after="0" w:line="281" w:lineRule="auto"/>
        <w:tabs>
          <w:tab w:leader="none" w:pos="649" w:val="left"/>
        </w:tabs>
        <w:numPr>
          <w:ilvl w:val="0"/>
          <w:numId w:val="98"/>
        </w:numPr>
        <w:rPr>
          <w:rFonts w:ascii="Arial" w:cs="Arial" w:eastAsia="Arial" w:hAnsi="Arial"/>
          <w:sz w:val="16"/>
          <w:szCs w:val="16"/>
          <w:color w:val="auto"/>
        </w:rPr>
      </w:pPr>
      <w:r>
        <w:rPr>
          <w:rFonts w:ascii="Arial" w:cs="Arial" w:eastAsia="Arial" w:hAnsi="Arial"/>
          <w:sz w:val="18"/>
          <w:szCs w:val="18"/>
          <w:color w:val="auto"/>
        </w:rPr>
        <w:t>overseeing the company’s enterprise level risks, including receiving regular briefings on cybersecurity, technology, and information risks,</w:t>
      </w:r>
    </w:p>
    <w:p>
      <w:pPr>
        <w:spacing w:after="0" w:line="1" w:lineRule="exact"/>
        <w:rPr>
          <w:rFonts w:ascii="Arial" w:cs="Arial" w:eastAsia="Arial" w:hAnsi="Arial"/>
          <w:sz w:val="16"/>
          <w:szCs w:val="16"/>
          <w:color w:val="auto"/>
        </w:rPr>
      </w:pPr>
    </w:p>
    <w:p>
      <w:pPr>
        <w:ind w:left="660" w:right="480" w:hanging="328"/>
        <w:spacing w:after="0" w:line="281" w:lineRule="auto"/>
        <w:tabs>
          <w:tab w:leader="none" w:pos="649" w:val="left"/>
        </w:tabs>
        <w:numPr>
          <w:ilvl w:val="0"/>
          <w:numId w:val="98"/>
        </w:numPr>
        <w:rPr>
          <w:rFonts w:ascii="Arial" w:cs="Arial" w:eastAsia="Arial" w:hAnsi="Arial"/>
          <w:sz w:val="16"/>
          <w:szCs w:val="16"/>
          <w:color w:val="auto"/>
        </w:rPr>
      </w:pPr>
      <w:r>
        <w:rPr>
          <w:rFonts w:ascii="Arial" w:cs="Arial" w:eastAsia="Arial" w:hAnsi="Arial"/>
          <w:sz w:val="18"/>
          <w:szCs w:val="18"/>
          <w:color w:val="auto"/>
        </w:rPr>
        <w:t>overseeing the company’s approach to current and emerging environmental, social, political, and governance trends and public policy issues that may affect the business operations, performance or reputation of the company, and</w:t>
      </w:r>
    </w:p>
    <w:p>
      <w:pPr>
        <w:spacing w:after="0" w:line="1" w:lineRule="exact"/>
        <w:rPr>
          <w:rFonts w:ascii="Arial" w:cs="Arial" w:eastAsia="Arial" w:hAnsi="Arial"/>
          <w:sz w:val="16"/>
          <w:szCs w:val="16"/>
          <w:color w:val="auto"/>
        </w:rPr>
      </w:pPr>
    </w:p>
    <w:p>
      <w:pPr>
        <w:ind w:left="640" w:hanging="308"/>
        <w:spacing w:after="0"/>
        <w:tabs>
          <w:tab w:leader="none" w:pos="640" w:val="left"/>
        </w:tabs>
        <w:numPr>
          <w:ilvl w:val="0"/>
          <w:numId w:val="98"/>
        </w:numPr>
        <w:rPr>
          <w:rFonts w:ascii="Arial" w:cs="Arial" w:eastAsia="Arial" w:hAnsi="Arial"/>
          <w:sz w:val="16"/>
          <w:szCs w:val="16"/>
          <w:color w:val="auto"/>
        </w:rPr>
      </w:pPr>
      <w:r>
        <w:rPr>
          <w:rFonts w:ascii="Arial" w:cs="Arial" w:eastAsia="Arial" w:hAnsi="Arial"/>
          <w:sz w:val="18"/>
          <w:szCs w:val="18"/>
          <w:color w:val="auto"/>
        </w:rPr>
        <w:t>overseeing the company’s political expenditures and lobbying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5795010"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5795010" cy="8255"/>
                    </a:xfrm>
                    <a:prstGeom prst="rect">
                      <a:avLst/>
                    </a:prstGeom>
                    <a:noFill/>
                  </pic:spPr>
                </pic:pic>
              </a:graphicData>
            </a:graphic>
          </wp:anchor>
        </w:drawing>
      </w:r>
    </w:p>
    <w:p>
      <w:pPr>
        <w:spacing w:after="0" w:line="290" w:lineRule="exact"/>
        <w:rPr>
          <w:sz w:val="20"/>
          <w:szCs w:val="20"/>
          <w:color w:val="auto"/>
        </w:rPr>
      </w:pPr>
    </w:p>
    <w:p>
      <w:pPr>
        <w:ind w:left="1660"/>
        <w:spacing w:after="0"/>
        <w:rPr>
          <w:sz w:val="20"/>
          <w:szCs w:val="20"/>
          <w:color w:val="auto"/>
        </w:rPr>
      </w:pPr>
      <w:r>
        <w:rPr>
          <w:rFonts w:ascii="Arial" w:cs="Arial" w:eastAsia="Arial" w:hAnsi="Arial"/>
          <w:sz w:val="22"/>
          <w:szCs w:val="22"/>
          <w:b w:val="1"/>
          <w:bCs w:val="1"/>
          <w:color w:val="auto"/>
        </w:rPr>
        <w:t>Key Areas of Oversight by the Board and Its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5795010"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57950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269240</wp:posOffset>
            </wp:positionV>
            <wp:extent cx="539750" cy="48831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539750"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D52B1E"/>
        </w:rPr>
        <w:t>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-53340</wp:posOffset>
            </wp:positionV>
            <wp:extent cx="4465955"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4465955" cy="8255"/>
                    </a:xfrm>
                    <a:prstGeom prst="rect">
                      <a:avLst/>
                    </a:prstGeom>
                    <a:noFill/>
                  </pic:spPr>
                </pic:pic>
              </a:graphicData>
            </a:graphic>
          </wp:anchor>
        </w:drawing>
      </w:r>
    </w:p>
    <w:p>
      <w:pPr>
        <w:spacing w:after="0" w:line="362" w:lineRule="exact"/>
        <w:rPr>
          <w:sz w:val="20"/>
          <w:szCs w:val="20"/>
          <w:color w:val="auto"/>
        </w:rPr>
      </w:pPr>
    </w:p>
    <w:p>
      <w:pPr>
        <w:ind w:firstLine="972"/>
        <w:spacing w:after="0" w:line="257" w:lineRule="auto"/>
        <w:rPr>
          <w:sz w:val="20"/>
          <w:szCs w:val="20"/>
          <w:color w:val="auto"/>
        </w:rPr>
      </w:pPr>
      <w:r>
        <w:rPr>
          <w:rFonts w:ascii="Arial" w:cs="Arial" w:eastAsia="Arial" w:hAnsi="Arial"/>
          <w:sz w:val="18"/>
          <w:szCs w:val="18"/>
          <w:color w:val="auto"/>
        </w:rPr>
        <w:t>The board takes an active role in overseeing the development and execution of the company’s business strategy. Each year, the board and executive management conduct an extended review and discussion of the company’s strategy, goals, external environment, and key risks. Board meetings include discussions of company performance relative to its strategy. The board also reviews strategic focus areas for the company, such as innovation, information security, cybersecurity, and human capital management. Decisions reached in this session are reevaluated throughout the year, including as the board discusses the company’s financial performance, the performance of our business units, and progress in the product pipeline.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140335</wp:posOffset>
            </wp:positionV>
            <wp:extent cx="7157720" cy="425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9" w:right="359" w:bottom="1440" w:gutter="0" w:footer="0" w:header="0"/>
        </w:sectPr>
      </w:pPr>
    </w:p>
    <w:bookmarkStart w:id="40" w:name="page41"/>
    <w:bookmarkEnd w:id="40"/>
    <w:p>
      <w:pPr>
        <w:ind w:left="1100"/>
        <w:spacing w:after="0"/>
        <w:rPr>
          <w:sz w:val="20"/>
          <w:szCs w:val="20"/>
          <w:color w:val="auto"/>
        </w:rPr>
      </w:pPr>
      <w:r>
        <w:rPr>
          <w:rFonts w:ascii="Arial" w:cs="Arial" w:eastAsia="Arial" w:hAnsi="Arial"/>
          <w:sz w:val="20"/>
          <w:szCs w:val="20"/>
          <w:b w:val="1"/>
          <w:bCs w:val="1"/>
          <w:color w:val="D52B1E"/>
        </w:rPr>
        <w:drawing>
          <wp:anchor simplePos="0" relativeHeight="251657728" behindDoc="1" locked="0" layoutInCell="0" allowOverlap="1">
            <wp:simplePos x="0" y="0"/>
            <wp:positionH relativeFrom="page">
              <wp:posOffset>208280</wp:posOffset>
            </wp:positionH>
            <wp:positionV relativeFrom="page">
              <wp:posOffset>517525</wp:posOffset>
            </wp:positionV>
            <wp:extent cx="531495" cy="47180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531495" cy="471805"/>
                    </a:xfrm>
                    <a:prstGeom prst="rect">
                      <a:avLst/>
                    </a:prstGeom>
                    <a:noFill/>
                  </pic:spPr>
                </pic:pic>
              </a:graphicData>
            </a:graphic>
          </wp:anchor>
        </w:drawing>
        <w:t>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-53340</wp:posOffset>
            </wp:positionV>
            <wp:extent cx="4251960"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4251960" cy="8255"/>
                    </a:xfrm>
                    <a:prstGeom prst="rect">
                      <a:avLst/>
                    </a:prstGeom>
                    <a:noFill/>
                  </pic:spPr>
                </pic:pic>
              </a:graphicData>
            </a:graphic>
          </wp:anchor>
        </w:drawing>
      </w:r>
    </w:p>
    <w:p>
      <w:pPr>
        <w:spacing w:after="0" w:line="349" w:lineRule="exact"/>
        <w:rPr>
          <w:sz w:val="20"/>
          <w:szCs w:val="20"/>
          <w:color w:val="auto"/>
        </w:rPr>
      </w:pPr>
    </w:p>
    <w:p>
      <w:pPr>
        <w:ind w:firstLine="972"/>
        <w:spacing w:after="0" w:line="278" w:lineRule="auto"/>
        <w:rPr>
          <w:sz w:val="20"/>
          <w:szCs w:val="20"/>
          <w:color w:val="auto"/>
        </w:rPr>
      </w:pPr>
      <w:r>
        <w:rPr>
          <w:rFonts w:ascii="Arial" w:cs="Arial" w:eastAsia="Arial" w:hAnsi="Arial"/>
          <w:sz w:val="17"/>
          <w:szCs w:val="17"/>
          <w:color w:val="auto"/>
        </w:rPr>
        <w:t>The board, together with its committees, oversees the processes by which the company conducts its business to ensure the company operates in a manner that complies with laws and regulations and reflects the highest standards of integrity. The Ethics and Compliance Committee meets at least four times per year, including periodic private sessions to discuss compliance with the company’s chief ethics and compliance officer, the general auditor, and the leader of global quality. On an annual basis, the full board reviews the company’s overall state of compliance. The Ethics and Compliance Committee receives an update on compliance at each committee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531495" cy="47180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531495" cy="471805"/>
                    </a:xfrm>
                    <a:prstGeom prst="rect">
                      <a:avLst/>
                    </a:prstGeom>
                    <a:noFill/>
                  </pic:spPr>
                </pic:pic>
              </a:graphicData>
            </a:graphic>
          </wp:anchor>
        </w:drawing>
      </w:r>
    </w:p>
    <w:p>
      <w:pPr>
        <w:spacing w:after="0" w:line="355"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D52B1E"/>
        </w:rPr>
        <w:t>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1856740</wp:posOffset>
            </wp:positionH>
            <wp:positionV relativeFrom="paragraph">
              <wp:posOffset>-53340</wp:posOffset>
            </wp:positionV>
            <wp:extent cx="3909060"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3909060" cy="8255"/>
                    </a:xfrm>
                    <a:prstGeom prst="rect">
                      <a:avLst/>
                    </a:prstGeom>
                    <a:noFill/>
                  </pic:spPr>
                </pic:pic>
              </a:graphicData>
            </a:graphic>
          </wp:anchor>
        </w:drawing>
      </w:r>
    </w:p>
    <w:p>
      <w:pPr>
        <w:spacing w:after="0" w:line="335" w:lineRule="exact"/>
        <w:rPr>
          <w:sz w:val="20"/>
          <w:szCs w:val="20"/>
          <w:color w:val="auto"/>
        </w:rPr>
      </w:pPr>
    </w:p>
    <w:p>
      <w:pPr>
        <w:ind w:right="100" w:firstLine="972"/>
        <w:spacing w:after="0" w:line="262" w:lineRule="auto"/>
        <w:rPr>
          <w:sz w:val="20"/>
          <w:szCs w:val="20"/>
          <w:color w:val="auto"/>
        </w:rPr>
      </w:pPr>
      <w:r>
        <w:rPr>
          <w:rFonts w:ascii="Arial" w:cs="Arial" w:eastAsia="Arial" w:hAnsi="Arial"/>
          <w:sz w:val="18"/>
          <w:szCs w:val="18"/>
          <w:color w:val="auto"/>
        </w:rPr>
        <w:t xml:space="preserve">Our board, as a whole, is responsible for broad oversight of all existing and emerging enterprise risk (over the short-, mid- and long-term) and of management’s development and execution of mitigation strategies designed to address those risks. In this capacity, the board has designated committees to assist in its oversight of particular key risks as described in </w:t>
      </w:r>
      <w:r>
        <w:rPr>
          <w:rFonts w:ascii="Arial" w:cs="Arial" w:eastAsia="Arial" w:hAnsi="Arial"/>
          <w:sz w:val="18"/>
          <w:szCs w:val="18"/>
          <w:u w:val="single" w:color="auto"/>
          <w:color w:val="0000FF"/>
        </w:rPr>
        <w:t>Board Structure—Committees of the Board</w:t>
      </w:r>
      <w:r>
        <w:rPr>
          <w:rFonts w:ascii="Arial" w:cs="Arial" w:eastAsia="Arial" w:hAnsi="Arial"/>
          <w:sz w:val="18"/>
          <w:szCs w:val="18"/>
          <w:color w:val="auto"/>
        </w:rPr>
        <w:t>. Oversight of additional matters of potential risk not delegated remain the responsibility of the full board.</w:t>
      </w:r>
    </w:p>
    <w:p>
      <w:pPr>
        <w:spacing w:after="0" w:line="12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While the board and its committees oversee risk management, the company’s senior management is responsible for identifying, assessing and mitigating risk on a day-to-day basis. Each committee of our board meets regularly with key management personnel and, as desired by the applicable committee, outside advisors (including outside counsel, consultants and experts) to oversee risks associated with their respective principal areas of focus. In turn, each committee reports to the board regularly, fostering awareness and communication of significant matters among all directors, and promoting a coordinated and cohesive approach to enterprise risk oversight.</w:t>
      </w:r>
    </w:p>
    <w:p>
      <w:pPr>
        <w:spacing w:after="0" w:line="1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company’s approach to enterprise level risks is overseen by the Audit Committee. Enterprise level risks are identified and prioritized by management through both top-down and bottom-up processes. Management uses robust internal processes and controls to manage risk. The enterprise level risks are reviewed annually at a full board meeting, and relevant enterprise risks are also addressed in periodic business function reviews and at the annual board and senior management strategy session. Management frequently collaborates throughout the year to keep an open dialogue on emerging risks identified from a variety of internal and external 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531495" cy="47180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531495" cy="471805"/>
                    </a:xfrm>
                    <a:prstGeom prst="rect">
                      <a:avLst/>
                    </a:prstGeom>
                    <a:noFill/>
                  </pic:spPr>
                </pic:pic>
              </a:graphicData>
            </a:graphic>
          </wp:anchor>
        </w:drawing>
      </w:r>
    </w:p>
    <w:p>
      <w:pPr>
        <w:spacing w:after="0" w:line="370"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D52B1E"/>
        </w:rPr>
        <w:t>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-53340</wp:posOffset>
            </wp:positionV>
            <wp:extent cx="4217670"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4217670" cy="8255"/>
                    </a:xfrm>
                    <a:prstGeom prst="rect">
                      <a:avLst/>
                    </a:prstGeom>
                    <a:noFill/>
                  </pic:spPr>
                </pic:pic>
              </a:graphicData>
            </a:graphic>
          </wp:anchor>
        </w:drawing>
      </w:r>
    </w:p>
    <w:p>
      <w:pPr>
        <w:spacing w:after="0" w:line="354" w:lineRule="exact"/>
        <w:rPr>
          <w:sz w:val="20"/>
          <w:szCs w:val="20"/>
          <w:color w:val="auto"/>
        </w:rPr>
      </w:pPr>
    </w:p>
    <w:p>
      <w:pPr>
        <w:ind w:right="260" w:firstLine="972"/>
        <w:spacing w:after="0" w:line="300" w:lineRule="auto"/>
        <w:rPr>
          <w:sz w:val="20"/>
          <w:szCs w:val="20"/>
          <w:color w:val="auto"/>
        </w:rPr>
      </w:pPr>
      <w:r>
        <w:rPr>
          <w:rFonts w:ascii="Arial" w:cs="Arial" w:eastAsia="Arial" w:hAnsi="Arial"/>
          <w:sz w:val="19"/>
          <w:szCs w:val="19"/>
          <w:b w:val="1"/>
          <w:bCs w:val="1"/>
          <w:color w:val="auto"/>
        </w:rPr>
        <w:t xml:space="preserve">Corporate Governance Guidelines </w:t>
      </w:r>
      <w:r>
        <w:rPr>
          <w:rFonts w:ascii="Arial" w:cs="Arial" w:eastAsia="Arial" w:hAnsi="Arial"/>
          <w:sz w:val="17"/>
          <w:szCs w:val="17"/>
          <w:color w:val="auto"/>
        </w:rPr>
        <w:t>- The board has adopted corporate governance guidelines that set forth the company’s</w:t>
      </w:r>
      <w:r>
        <w:rPr>
          <w:rFonts w:ascii="Arial" w:cs="Arial" w:eastAsia="Arial" w:hAnsi="Arial"/>
          <w:sz w:val="19"/>
          <w:szCs w:val="19"/>
          <w:b w:val="1"/>
          <w:bCs w:val="1"/>
          <w:color w:val="auto"/>
        </w:rPr>
        <w:t xml:space="preserve"> </w:t>
      </w:r>
      <w:r>
        <w:rPr>
          <w:rFonts w:ascii="Arial" w:cs="Arial" w:eastAsia="Arial" w:hAnsi="Arial"/>
          <w:sz w:val="17"/>
          <w:szCs w:val="17"/>
          <w:color w:val="auto"/>
        </w:rPr>
        <w:t xml:space="preserve">key principles of corporate governance and are available at </w:t>
      </w:r>
      <w:r>
        <w:rPr>
          <w:rFonts w:ascii="Arial" w:cs="Arial" w:eastAsia="Arial" w:hAnsi="Arial"/>
          <w:sz w:val="17"/>
          <w:szCs w:val="17"/>
          <w:color w:val="D52B1E"/>
        </w:rPr>
        <w:t>lilly.com/leadership/governance</w:t>
      </w:r>
      <w:r>
        <w:rPr>
          <w:rFonts w:ascii="Arial" w:cs="Arial" w:eastAsia="Arial" w:hAnsi="Arial"/>
          <w:sz w:val="17"/>
          <w:szCs w:val="17"/>
          <w:color w:val="auto"/>
        </w:rPr>
        <w:t>.</w:t>
      </w:r>
    </w:p>
    <w:p>
      <w:pPr>
        <w:spacing w:after="0" w:line="90" w:lineRule="exact"/>
        <w:rPr>
          <w:sz w:val="20"/>
          <w:szCs w:val="20"/>
          <w:color w:val="auto"/>
        </w:rPr>
      </w:pPr>
    </w:p>
    <w:p>
      <w:pPr>
        <w:ind w:right="440"/>
        <w:spacing w:after="0" w:line="268" w:lineRule="auto"/>
        <w:rPr>
          <w:sz w:val="20"/>
          <w:szCs w:val="20"/>
          <w:color w:val="auto"/>
        </w:rPr>
      </w:pPr>
      <w:r>
        <w:rPr>
          <w:rFonts w:ascii="Arial" w:cs="Arial" w:eastAsia="Arial" w:hAnsi="Arial"/>
          <w:sz w:val="19"/>
          <w:szCs w:val="19"/>
          <w:b w:val="1"/>
          <w:bCs w:val="1"/>
          <w:color w:val="auto"/>
        </w:rPr>
        <w:t xml:space="preserve">Code of Ethics </w:t>
      </w:r>
      <w:r>
        <w:rPr>
          <w:rFonts w:ascii="Arial" w:cs="Arial" w:eastAsia="Arial" w:hAnsi="Arial"/>
          <w:sz w:val="17"/>
          <w:szCs w:val="17"/>
          <w:color w:val="auto"/>
        </w:rPr>
        <w:t>- The board approves the documents that comprise the company’s code of business conduct and ethics. These written</w:t>
      </w:r>
      <w:r>
        <w:rPr>
          <w:rFonts w:ascii="Arial" w:cs="Arial" w:eastAsia="Arial" w:hAnsi="Arial"/>
          <w:sz w:val="19"/>
          <w:szCs w:val="19"/>
          <w:b w:val="1"/>
          <w:bCs w:val="1"/>
          <w:color w:val="auto"/>
        </w:rPr>
        <w:t xml:space="preserve"> </w:t>
      </w:r>
      <w:r>
        <w:rPr>
          <w:rFonts w:ascii="Arial" w:cs="Arial" w:eastAsia="Arial" w:hAnsi="Arial"/>
          <w:sz w:val="17"/>
          <w:szCs w:val="17"/>
          <w:color w:val="auto"/>
        </w:rPr>
        <w:t>standards include:</w:t>
      </w:r>
    </w:p>
    <w:p>
      <w:pPr>
        <w:spacing w:after="0" w:line="6" w:lineRule="exact"/>
        <w:rPr>
          <w:sz w:val="20"/>
          <w:szCs w:val="20"/>
          <w:color w:val="auto"/>
        </w:rPr>
      </w:pPr>
    </w:p>
    <w:p>
      <w:pPr>
        <w:ind w:left="500" w:right="320" w:hanging="242"/>
        <w:spacing w:after="0" w:line="287" w:lineRule="auto"/>
        <w:rPr>
          <w:sz w:val="20"/>
          <w:szCs w:val="20"/>
          <w:color w:val="auto"/>
        </w:rPr>
      </w:pPr>
      <w:r>
        <w:rPr>
          <w:rFonts w:ascii="Arial" w:cs="Arial" w:eastAsia="Arial" w:hAnsi="Arial"/>
          <w:sz w:val="18"/>
          <w:szCs w:val="18"/>
          <w:color w:val="00A1DE"/>
        </w:rPr>
        <w:t>The Red Book</w:t>
      </w:r>
      <w:r>
        <w:rPr>
          <w:rFonts w:ascii="Arial" w:cs="Arial" w:eastAsia="Arial" w:hAnsi="Arial"/>
          <w:sz w:val="18"/>
          <w:szCs w:val="18"/>
          <w:color w:val="000000"/>
        </w:rPr>
        <w:t>: A code of ethical and legal business conduct applicable to all employees worldwide and to our board. The Red Book is</w:t>
      </w:r>
      <w:r>
        <w:rPr>
          <w:rFonts w:ascii="Arial" w:cs="Arial" w:eastAsia="Arial" w:hAnsi="Arial"/>
          <w:sz w:val="18"/>
          <w:szCs w:val="18"/>
          <w:color w:val="00A1DE"/>
        </w:rPr>
        <w:t xml:space="preserve"> </w:t>
      </w:r>
      <w:r>
        <w:rPr>
          <w:rFonts w:ascii="Arial" w:cs="Arial" w:eastAsia="Arial" w:hAnsi="Arial"/>
          <w:sz w:val="18"/>
          <w:szCs w:val="18"/>
          <w:color w:val="000000"/>
        </w:rPr>
        <w:t xml:space="preserve">reviewed and approved annually by the board and is available at </w:t>
      </w:r>
      <w:r>
        <w:rPr>
          <w:rFonts w:ascii="Arial" w:cs="Arial" w:eastAsia="Arial" w:hAnsi="Arial"/>
          <w:sz w:val="18"/>
          <w:szCs w:val="18"/>
          <w:color w:val="D52B1E"/>
        </w:rPr>
        <w:t>lilly.com/operating-responsibly/ethics-compliance</w:t>
      </w:r>
      <w:r>
        <w:rPr>
          <w:rFonts w:ascii="Arial" w:cs="Arial" w:eastAsia="Arial" w:hAnsi="Arial"/>
          <w:sz w:val="18"/>
          <w:szCs w:val="18"/>
          <w:color w:val="000000"/>
        </w:rPr>
        <w:t>.</w:t>
      </w:r>
    </w:p>
    <w:p>
      <w:pPr>
        <w:spacing w:after="0" w:line="99" w:lineRule="exact"/>
        <w:rPr>
          <w:sz w:val="20"/>
          <w:szCs w:val="20"/>
          <w:color w:val="auto"/>
        </w:rPr>
      </w:pPr>
    </w:p>
    <w:p>
      <w:pPr>
        <w:jc w:val="both"/>
        <w:ind w:left="500" w:right="100" w:hanging="242"/>
        <w:spacing w:after="0" w:line="268" w:lineRule="auto"/>
        <w:rPr>
          <w:sz w:val="20"/>
          <w:szCs w:val="20"/>
          <w:color w:val="auto"/>
        </w:rPr>
      </w:pPr>
      <w:r>
        <w:rPr>
          <w:rFonts w:ascii="Arial" w:cs="Arial" w:eastAsia="Arial" w:hAnsi="Arial"/>
          <w:sz w:val="18"/>
          <w:szCs w:val="18"/>
          <w:color w:val="00A1DE"/>
        </w:rPr>
        <w:t xml:space="preserve">Code of Ethical Conduct for Lilly Financial Management: </w:t>
      </w:r>
      <w:r>
        <w:rPr>
          <w:rFonts w:ascii="Arial" w:cs="Arial" w:eastAsia="Arial" w:hAnsi="Arial"/>
          <w:sz w:val="18"/>
          <w:szCs w:val="18"/>
          <w:color w:val="000000"/>
        </w:rPr>
        <w:t>A supplemental code for our CEO and all members of financial management in</w:t>
      </w:r>
      <w:r>
        <w:rPr>
          <w:rFonts w:ascii="Arial" w:cs="Arial" w:eastAsia="Arial" w:hAnsi="Arial"/>
          <w:sz w:val="18"/>
          <w:szCs w:val="18"/>
          <w:color w:val="00A1DE"/>
        </w:rPr>
        <w:t xml:space="preserve"> </w:t>
      </w:r>
      <w:r>
        <w:rPr>
          <w:rFonts w:ascii="Arial" w:cs="Arial" w:eastAsia="Arial" w:hAnsi="Arial"/>
          <w:sz w:val="18"/>
          <w:szCs w:val="18"/>
          <w:color w:val="000000"/>
        </w:rPr>
        <w:t xml:space="preserve">recognition of their unique responsibilities to ensure proper accounting, financial reporting, internal controls, and financial stewardship, is available at </w:t>
      </w:r>
      <w:r>
        <w:rPr>
          <w:rFonts w:ascii="Arial" w:cs="Arial" w:eastAsia="Arial" w:hAnsi="Arial"/>
          <w:sz w:val="18"/>
          <w:szCs w:val="18"/>
          <w:color w:val="D52B1E"/>
        </w:rPr>
        <w:t>lilly.com/operating-responsibly/ethics-compliance/financial-management-ethical-conduct</w:t>
      </w:r>
      <w:r>
        <w:rPr>
          <w:rFonts w:ascii="Arial" w:cs="Arial" w:eastAsia="Arial" w:hAnsi="Arial"/>
          <w:sz w:val="18"/>
          <w:szCs w:val="18"/>
          <w:color w:val="000000"/>
        </w:rPr>
        <w:t>.</w:t>
      </w:r>
    </w:p>
    <w:p>
      <w:pPr>
        <w:spacing w:after="0" w:line="117"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In the event of any amendments to, or waivers from, a provision of the code affecting the CEO, chief financial officer, chief accounting officer, controller, or persons performing similar functions, we intend to post on the above website, within four business days after the event, a description of the amendment or waiver as required under applicable SEC rules. We will maintain that information on our website for at least 12 months.</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4" w:right="339" w:bottom="1440" w:gutter="0" w:footer="0" w:header="0"/>
        </w:sectPr>
      </w:pPr>
    </w:p>
    <w:bookmarkStart w:id="41" w:name="page42"/>
    <w:bookmarkEnd w:id="41"/>
    <w:p>
      <w:pPr>
        <w:ind w:left="1100"/>
        <w:spacing w:after="0"/>
        <w:rPr>
          <w:sz w:val="20"/>
          <w:szCs w:val="20"/>
          <w:color w:val="auto"/>
        </w:rPr>
      </w:pPr>
      <w:r>
        <w:rPr>
          <w:rFonts w:ascii="Arial" w:cs="Arial" w:eastAsia="Arial" w:hAnsi="Arial"/>
          <w:sz w:val="20"/>
          <w:szCs w:val="20"/>
          <w:b w:val="1"/>
          <w:bCs w:val="1"/>
          <w:color w:val="D52B1E"/>
        </w:rPr>
        <w:drawing>
          <wp:anchor simplePos="0" relativeHeight="251657728" behindDoc="1" locked="0" layoutInCell="0" allowOverlap="1">
            <wp:simplePos x="0" y="0"/>
            <wp:positionH relativeFrom="page">
              <wp:posOffset>208280</wp:posOffset>
            </wp:positionH>
            <wp:positionV relativeFrom="page">
              <wp:posOffset>517525</wp:posOffset>
            </wp:positionV>
            <wp:extent cx="531495" cy="47180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531495" cy="471805"/>
                    </a:xfrm>
                    <a:prstGeom prst="rect">
                      <a:avLst/>
                    </a:prstGeom>
                    <a:noFill/>
                  </pic:spPr>
                </pic:pic>
              </a:graphicData>
            </a:graphic>
          </wp:anchor>
        </w:drawing>
        <w:t>Succession Planning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2036445</wp:posOffset>
            </wp:positionH>
            <wp:positionV relativeFrom="paragraph">
              <wp:posOffset>-53340</wp:posOffset>
            </wp:positionV>
            <wp:extent cx="3728720"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3728720" cy="8255"/>
                    </a:xfrm>
                    <a:prstGeom prst="rect">
                      <a:avLst/>
                    </a:prstGeom>
                    <a:noFill/>
                  </pic:spPr>
                </pic:pic>
              </a:graphicData>
            </a:graphic>
          </wp:anchor>
        </w:drawing>
      </w:r>
    </w:p>
    <w:p>
      <w:pPr>
        <w:spacing w:after="0" w:line="349" w:lineRule="exact"/>
        <w:rPr>
          <w:sz w:val="20"/>
          <w:szCs w:val="20"/>
          <w:color w:val="auto"/>
        </w:rPr>
      </w:pPr>
    </w:p>
    <w:p>
      <w:pPr>
        <w:ind w:right="340" w:firstLine="972"/>
        <w:spacing w:after="0" w:line="262" w:lineRule="auto"/>
        <w:rPr>
          <w:sz w:val="20"/>
          <w:szCs w:val="20"/>
          <w:color w:val="auto"/>
        </w:rPr>
      </w:pPr>
      <w:r>
        <w:rPr>
          <w:rFonts w:ascii="Arial" w:cs="Arial" w:eastAsia="Arial" w:hAnsi="Arial"/>
          <w:sz w:val="18"/>
          <w:szCs w:val="18"/>
          <w:b w:val="1"/>
          <w:bCs w:val="1"/>
          <w:color w:val="auto"/>
        </w:rPr>
        <w:t>Management Succession Planning</w:t>
      </w:r>
      <w:r>
        <w:rPr>
          <w:rFonts w:ascii="Arial" w:cs="Arial" w:eastAsia="Arial" w:hAnsi="Arial"/>
          <w:sz w:val="18"/>
          <w:szCs w:val="18"/>
          <w:color w:val="auto"/>
        </w:rPr>
        <w:t>. Our board recognizes the importance of identifying and developing executive talent to</w:t>
      </w:r>
      <w:r>
        <w:rPr>
          <w:rFonts w:ascii="Arial" w:cs="Arial" w:eastAsia="Arial" w:hAnsi="Arial"/>
          <w:sz w:val="18"/>
          <w:szCs w:val="18"/>
          <w:b w:val="1"/>
          <w:bCs w:val="1"/>
          <w:color w:val="auto"/>
        </w:rPr>
        <w:t xml:space="preserve"> </w:t>
      </w:r>
      <w:r>
        <w:rPr>
          <w:rFonts w:ascii="Arial" w:cs="Arial" w:eastAsia="Arial" w:hAnsi="Arial"/>
          <w:sz w:val="18"/>
          <w:szCs w:val="18"/>
          <w:color w:val="auto"/>
        </w:rPr>
        <w:t>ensure the continuity of effective executive leadership in place both now and in the future. At least annually the Talent and Compensation Committee, board, and CEO hold an in-depth review of the company’s succession plans for the CEO and other key senior leadership positions. The independent directors also meet without the CEO to discuss CEO succession planning.</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During these reviews, the CEO and directors discuss:</w:t>
      </w:r>
    </w:p>
    <w:p>
      <w:pPr>
        <w:spacing w:after="0" w:line="63" w:lineRule="exact"/>
        <w:rPr>
          <w:sz w:val="20"/>
          <w:szCs w:val="20"/>
          <w:color w:val="auto"/>
        </w:rPr>
      </w:pPr>
    </w:p>
    <w:p>
      <w:pPr>
        <w:ind w:left="720" w:hanging="307"/>
        <w:spacing w:after="0"/>
        <w:tabs>
          <w:tab w:leader="none" w:pos="720" w:val="left"/>
        </w:tabs>
        <w:numPr>
          <w:ilvl w:val="0"/>
          <w:numId w:val="99"/>
        </w:numPr>
        <w:rPr>
          <w:rFonts w:ascii="Arial" w:cs="Arial" w:eastAsia="Arial" w:hAnsi="Arial"/>
          <w:sz w:val="16"/>
          <w:szCs w:val="16"/>
          <w:color w:val="auto"/>
        </w:rPr>
      </w:pPr>
      <w:r>
        <w:rPr>
          <w:rFonts w:ascii="Arial" w:cs="Arial" w:eastAsia="Arial" w:hAnsi="Arial"/>
          <w:sz w:val="18"/>
          <w:szCs w:val="18"/>
          <w:color w:val="auto"/>
        </w:rPr>
        <w:t>future candidates for the CEO and other senior leadership positions;</w:t>
      </w:r>
    </w:p>
    <w:p>
      <w:pPr>
        <w:spacing w:after="0" w:line="63" w:lineRule="exact"/>
        <w:rPr>
          <w:rFonts w:ascii="Arial" w:cs="Arial" w:eastAsia="Arial" w:hAnsi="Arial"/>
          <w:sz w:val="16"/>
          <w:szCs w:val="16"/>
          <w:color w:val="auto"/>
        </w:rPr>
      </w:pPr>
    </w:p>
    <w:p>
      <w:pPr>
        <w:ind w:left="720" w:hanging="307"/>
        <w:spacing w:after="0"/>
        <w:tabs>
          <w:tab w:leader="none" w:pos="720" w:val="left"/>
        </w:tabs>
        <w:numPr>
          <w:ilvl w:val="0"/>
          <w:numId w:val="99"/>
        </w:numPr>
        <w:rPr>
          <w:rFonts w:ascii="Arial" w:cs="Arial" w:eastAsia="Arial" w:hAnsi="Arial"/>
          <w:sz w:val="16"/>
          <w:szCs w:val="16"/>
          <w:color w:val="auto"/>
        </w:rPr>
      </w:pPr>
      <w:r>
        <w:rPr>
          <w:rFonts w:ascii="Arial" w:cs="Arial" w:eastAsia="Arial" w:hAnsi="Arial"/>
          <w:sz w:val="18"/>
          <w:szCs w:val="18"/>
          <w:color w:val="auto"/>
        </w:rPr>
        <w:t>succession timing; and</w:t>
      </w:r>
    </w:p>
    <w:p>
      <w:pPr>
        <w:spacing w:after="0" w:line="63" w:lineRule="exact"/>
        <w:rPr>
          <w:rFonts w:ascii="Arial" w:cs="Arial" w:eastAsia="Arial" w:hAnsi="Arial"/>
          <w:sz w:val="16"/>
          <w:szCs w:val="16"/>
          <w:color w:val="auto"/>
        </w:rPr>
      </w:pPr>
    </w:p>
    <w:p>
      <w:pPr>
        <w:ind w:left="740" w:right="60" w:hanging="327"/>
        <w:spacing w:after="0" w:line="287" w:lineRule="auto"/>
        <w:tabs>
          <w:tab w:leader="none" w:pos="729" w:val="left"/>
        </w:tabs>
        <w:numPr>
          <w:ilvl w:val="0"/>
          <w:numId w:val="99"/>
        </w:numPr>
        <w:rPr>
          <w:rFonts w:ascii="Arial" w:cs="Arial" w:eastAsia="Arial" w:hAnsi="Arial"/>
          <w:sz w:val="16"/>
          <w:szCs w:val="16"/>
          <w:color w:val="auto"/>
        </w:rPr>
      </w:pPr>
      <w:r>
        <w:rPr>
          <w:rFonts w:ascii="Arial" w:cs="Arial" w:eastAsia="Arial" w:hAnsi="Arial"/>
          <w:sz w:val="18"/>
          <w:szCs w:val="18"/>
          <w:color w:val="auto"/>
        </w:rPr>
        <w:t>development plans for potential candidates to cultivate the experiences, skills and capabilities needed to become our future leaders and prepare them for roles with greater responsibility.</w:t>
      </w:r>
    </w:p>
    <w:p>
      <w:pPr>
        <w:spacing w:after="0" w:line="9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board considers a number of factors such as experience and skills, in its review of the senior leadership team to assess which senior leaders possess or can develop the attributes that the board believes are necessary to lead and achieve the company’s goals. To further the board’s familiarity with senior leaders, the board has direct exposure to senior leaders and high-potential employees in both formal and informal settings during the year to allow them to most effectively assess the candidates’ qualifications and capabilities. This exposure takes many forms, including management presentations to the board or its committees, attendance at board meetings and our annual board strategy retreat, and periodic informal meetings and communications.</w:t>
      </w:r>
    </w:p>
    <w:p>
      <w:pPr>
        <w:spacing w:after="0" w:line="128"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i w:val="1"/>
          <w:iCs w:val="1"/>
          <w:color w:val="auto"/>
        </w:rPr>
        <w:t>Emergency Succession Plan</w:t>
      </w:r>
      <w:r>
        <w:rPr>
          <w:rFonts w:ascii="Arial" w:cs="Arial" w:eastAsia="Arial" w:hAnsi="Arial"/>
          <w:sz w:val="18"/>
          <w:szCs w:val="18"/>
          <w:color w:val="auto"/>
        </w:rPr>
        <w:t>. The independent directors and the CEO maintain a confidential plan for the timely and efficient transfer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CEO’s responsibilities in the event of an emergency or his sudden departure, incapacitation, or death.</w:t>
      </w:r>
    </w:p>
    <w:p>
      <w:pPr>
        <w:spacing w:after="0" w:line="99"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color w:val="auto"/>
        </w:rPr>
        <w:t>Director Succession Planning</w:t>
      </w:r>
      <w:r>
        <w:rPr>
          <w:rFonts w:ascii="Arial" w:cs="Arial" w:eastAsia="Arial" w:hAnsi="Arial"/>
          <w:sz w:val="18"/>
          <w:szCs w:val="18"/>
          <w:color w:val="auto"/>
        </w:rPr>
        <w:t>. Director succession planning is a priority for our Directors and Corporate Governance Committee. This</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with the lead independent director, guides the director succession planning process, makes nomination recommendations to the board and, with input from the full board, assesses the contributions of directors.</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The Directors and Corporate Governance Committee regularly reviews the skills, qualifications, tenures, and projected mandatory retirement dates of our directors. They also review the various board refreshment tools that the board has implemented (as more fully discussed on p. </w:t>
      </w:r>
      <w:r>
        <w:rPr>
          <w:rFonts w:ascii="Arial" w:cs="Arial" w:eastAsia="Arial" w:hAnsi="Arial"/>
          <w:sz w:val="18"/>
          <w:szCs w:val="18"/>
          <w:u w:val="single" w:color="auto"/>
          <w:color w:val="0000FF"/>
        </w:rPr>
        <w:t>11</w:t>
      </w:r>
      <w:r>
        <w:rPr>
          <w:rFonts w:ascii="Arial" w:cs="Arial" w:eastAsia="Arial" w:hAnsi="Arial"/>
          <w:sz w:val="18"/>
          <w:szCs w:val="18"/>
          <w:color w:val="000000"/>
        </w:rPr>
        <w:t>), including the Resignation Policy, Director Retirement Policy, Other Board Service Policy, and annual assessment. The board fosters a</w:t>
      </w:r>
      <w:r>
        <w:rPr>
          <w:rFonts w:ascii="Arial" w:cs="Arial" w:eastAsia="Arial" w:hAnsi="Arial"/>
          <w:sz w:val="18"/>
          <w:szCs w:val="18"/>
          <w:color w:val="0000FF"/>
        </w:rPr>
        <w:t xml:space="preserve"> </w:t>
      </w:r>
      <w:r>
        <w:rPr>
          <w:rFonts w:ascii="Arial" w:cs="Arial" w:eastAsia="Arial" w:hAnsi="Arial"/>
          <w:sz w:val="18"/>
          <w:szCs w:val="18"/>
          <w:color w:val="000000"/>
        </w:rPr>
        <w:t>board refreshment culture that values the importance of ongoing evaluation and the evolution of the board, as necessary, to best suit the company’s evolving needs.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531495" cy="47117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531495" cy="471170"/>
                    </a:xfrm>
                    <a:prstGeom prst="rect">
                      <a:avLst/>
                    </a:prstGeom>
                    <a:noFill/>
                  </pic:spPr>
                </pic:pic>
              </a:graphicData>
            </a:graphic>
          </wp:anchor>
        </w:drawing>
      </w:r>
    </w:p>
    <w:p>
      <w:pPr>
        <w:spacing w:after="0" w:line="370"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D52B1E"/>
        </w:rPr>
        <w:t>Cybersecurity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1642110</wp:posOffset>
            </wp:positionH>
            <wp:positionV relativeFrom="paragraph">
              <wp:posOffset>-53340</wp:posOffset>
            </wp:positionV>
            <wp:extent cx="4123055"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4123055" cy="8890"/>
                    </a:xfrm>
                    <a:prstGeom prst="rect">
                      <a:avLst/>
                    </a:prstGeom>
                    <a:noFill/>
                  </pic:spPr>
                </pic:pic>
              </a:graphicData>
            </a:graphic>
          </wp:anchor>
        </w:drawing>
      </w:r>
    </w:p>
    <w:p>
      <w:pPr>
        <w:spacing w:after="0" w:line="335" w:lineRule="exact"/>
        <w:rPr>
          <w:sz w:val="20"/>
          <w:szCs w:val="20"/>
          <w:color w:val="auto"/>
        </w:rPr>
      </w:pPr>
    </w:p>
    <w:p>
      <w:pPr>
        <w:ind w:firstLine="972"/>
        <w:spacing w:after="0" w:line="257" w:lineRule="auto"/>
        <w:rPr>
          <w:sz w:val="20"/>
          <w:szCs w:val="20"/>
          <w:color w:val="auto"/>
        </w:rPr>
      </w:pPr>
      <w:r>
        <w:rPr>
          <w:rFonts w:ascii="Arial" w:cs="Arial" w:eastAsia="Arial" w:hAnsi="Arial"/>
          <w:sz w:val="18"/>
          <w:szCs w:val="18"/>
          <w:color w:val="auto"/>
        </w:rPr>
        <w:t>The Audit Committee is responsible for oversight of our programs, policies, procedures, and risk management activities related to information security, cybersecurity and data protection. It meets regularly with management to discuss threats, risks, and ongoing efforts to enhance cyber resiliency, as well as changes to the broader cybersecurity landscape. In addition, the Ethics and Compliance Committee supports the Audit Committee and board in oversight of legal and regulatory compliance. Our board also regularly participates in presentations on cybersecurity and information technology. In addition to regular presentations, management promptly updates the board regarding significant threats and incidents as they arise.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531495" cy="47180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531495" cy="471805"/>
                    </a:xfrm>
                    <a:prstGeom prst="rect">
                      <a:avLst/>
                    </a:prstGeom>
                    <a:noFill/>
                  </pic:spPr>
                </pic:pic>
              </a:graphicData>
            </a:graphic>
          </wp:anchor>
        </w:drawing>
      </w:r>
    </w:p>
    <w:p>
      <w:pPr>
        <w:spacing w:after="0" w:line="373"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D52B1E"/>
        </w:rPr>
        <w:t>Sustainability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1624965</wp:posOffset>
            </wp:positionH>
            <wp:positionV relativeFrom="paragraph">
              <wp:posOffset>-53340</wp:posOffset>
            </wp:positionV>
            <wp:extent cx="4140200"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4140200" cy="8890"/>
                    </a:xfrm>
                    <a:prstGeom prst="rect">
                      <a:avLst/>
                    </a:prstGeom>
                    <a:noFill/>
                  </pic:spPr>
                </pic:pic>
              </a:graphicData>
            </a:graphic>
          </wp:anchor>
        </w:drawing>
      </w:r>
    </w:p>
    <w:p>
      <w:pPr>
        <w:spacing w:after="0" w:line="349" w:lineRule="exact"/>
        <w:rPr>
          <w:sz w:val="20"/>
          <w:szCs w:val="20"/>
          <w:color w:val="auto"/>
        </w:rPr>
      </w:pPr>
    </w:p>
    <w:p>
      <w:pPr>
        <w:ind w:right="40" w:firstLine="972"/>
        <w:spacing w:after="0" w:line="262" w:lineRule="auto"/>
        <w:rPr>
          <w:sz w:val="20"/>
          <w:szCs w:val="20"/>
          <w:color w:val="auto"/>
        </w:rPr>
      </w:pPr>
      <w:r>
        <w:rPr>
          <w:rFonts w:ascii="Arial" w:cs="Arial" w:eastAsia="Arial" w:hAnsi="Arial"/>
          <w:sz w:val="18"/>
          <w:szCs w:val="18"/>
          <w:color w:val="auto"/>
        </w:rPr>
        <w:t>Our approach to sustainability includes board oversight, management accountability, corporate policies and management systems, and stated positions on key topics. Our full board is engaged in strategic sustainability oversight, receives regular updates on these matters, reviews our long-term environmental goals, and significant strategic investments, including those related to our overall sustainability priorities. The Directors and Corporate Governance Committee is also responsible for identifying and bringing to the attention of the</w:t>
      </w: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4" w:right="359" w:bottom="1440" w:gutter="0" w:footer="0" w:header="0"/>
        </w:sectPr>
      </w:pPr>
    </w:p>
    <w:bookmarkStart w:id="42" w:name="page43"/>
    <w:bookmarkEnd w:id="42"/>
    <w:p>
      <w:pPr>
        <w:ind w:right="140"/>
        <w:spacing w:after="0" w:line="287" w:lineRule="auto"/>
        <w:rPr>
          <w:sz w:val="20"/>
          <w:szCs w:val="20"/>
          <w:color w:val="auto"/>
        </w:rPr>
      </w:pPr>
      <w:r>
        <w:rPr>
          <w:rFonts w:ascii="Arial" w:cs="Arial" w:eastAsia="Arial" w:hAnsi="Arial"/>
          <w:sz w:val="18"/>
          <w:szCs w:val="18"/>
          <w:color w:val="auto"/>
        </w:rPr>
        <w:t>board, as appropriate, current and emerging environmental, social, political, and governance trends and public policy issues that may affect our business operations, performance, or reputation.</w:t>
      </w:r>
    </w:p>
    <w:p>
      <w:pPr>
        <w:spacing w:after="0" w:line="99"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In addition, we have an internal governance committee that includes senior leaders across many of our business functions to provide internal oversight of environmental, social, and governance matters.</w:t>
      </w:r>
    </w:p>
    <w:p>
      <w:pPr>
        <w:spacing w:after="0" w:line="99"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color w:val="auto"/>
        </w:rPr>
        <w:t>Our approach to sustainability efforts incorporates internal and external input to better determine the issues that matter most to our company and stakeholders. We set ambitious, measurable goals that are integrated into our business strategy and operations to directly support Lilly’s purpose.</w:t>
      </w:r>
    </w:p>
    <w:p>
      <w:pPr>
        <w:spacing w:after="0" w:line="117"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We are striving to improve access to medicines, improve healthcare for people with limited resources, strengthen communities and address social issues that impact health, empower a diverse workforce, minimize our environmental impact, and operate ethically and responsibly.</w:t>
      </w:r>
    </w:p>
    <w:p>
      <w:pPr>
        <w:spacing w:after="0" w:line="9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For example, we offer a variety of affordability solutions through patient support programs and copay assistance across our major products, including medicines for diabetes, migraine, immunology diseases and cancer. Beyond our medicines, we work with global health systems and organizations to extend our reach by seeking to be part of the solution for complex global health challenges that disproportionately affect people living in settings with limited resources. As a global company, we are particularly aware of the social and economic circumstances in many developing countries that may make access to medicines difficult. In response, Lilly is researching and implementing alternative business models, recognizing particular access challenges in lower-income countries.</w:t>
      </w:r>
    </w:p>
    <w:p>
      <w:pPr>
        <w:spacing w:after="0" w:line="128"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Through investments in people, medicines and health systems, we aim to improve access to quality health care for 30 million people living in settings with limited resources annually by 2030. This global effort is intended to advance health equity across three areas of impact: our pipeline and external pipelines we help support, programs to increase access to Lilly medicines, and donations. In each of these areas, we are working to develop high-impact, scalable solutions.</w:t>
      </w:r>
    </w:p>
    <w:p>
      <w:pPr>
        <w:spacing w:after="0" w:line="122"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While making medicines requires the use of valuable resources, including energy, water, and raw materials, we remain committed to improving our environmental impact across our product life cycles and supply chain. We have set 2030 sustainability goals to reduce our emissions and waste and to continue using water responsibly and efficiently.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Our Sustainability Report provides a central location for information about goals, efforts, and progress on these initiatives.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531495" cy="59182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531495" cy="591820"/>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D52B1E"/>
        </w:rPr>
        <w:t>Political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1864995</wp:posOffset>
            </wp:positionH>
            <wp:positionV relativeFrom="paragraph">
              <wp:posOffset>-53340</wp:posOffset>
            </wp:positionV>
            <wp:extent cx="3900170"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3900170" cy="825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right="40" w:firstLine="972"/>
        <w:spacing w:after="0" w:line="262" w:lineRule="auto"/>
        <w:rPr>
          <w:sz w:val="20"/>
          <w:szCs w:val="20"/>
          <w:color w:val="auto"/>
        </w:rPr>
      </w:pPr>
      <w:r>
        <w:rPr>
          <w:rFonts w:ascii="Arial" w:cs="Arial" w:eastAsia="Arial" w:hAnsi="Arial"/>
          <w:sz w:val="18"/>
          <w:szCs w:val="18"/>
          <w:color w:val="auto"/>
        </w:rPr>
        <w:t>We believe that as a biopharmaceutical company that develops treatments for serious diseases, we are in a position to help promote access to needed medications through engagement with policymakers. Public policy engagement provides a way to offer Lilly’s perspective on the political environment in a manner that supports access to innovative medicines and a way to engage on issues specific to local business environments.</w:t>
      </w:r>
    </w:p>
    <w:p>
      <w:pPr>
        <w:spacing w:after="0" w:line="12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board exercises governance oversight of our political expenditures and lobbying activities, ensuring our commitment to stewardship of corporate funds and risk minimization with respect to such activities. The Directors and Corporate Governance Committee is responsible for identifying current and emerging environmental, social, political, and governance trends and public policy issues that may affect the business operations, performance, or reputation of the company. In addition, the board receives regular updates at board meetings from management, which include updates on public policy issues and the company’s political corporate activity, as needed. The board also receives semi-annual updates on political engagement, including information on the contributions made by our employee political action committee (LillyPAC) and the company, as well as trade association memberships.</w:t>
      </w:r>
    </w:p>
    <w:p>
      <w:pPr>
        <w:spacing w:after="0" w:line="129"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We provide information on our website related to direct company contributions and LillyPAC contributions to support candidates for political office, political parties, officials, or committees in the United States, as well as information regarding our trade association memberships and the company’s oversight of these activities. In response to input from our stakeholders, over time we have reviewed and enhanced the information available on our website.</w:t>
      </w:r>
    </w:p>
    <w:p>
      <w:pPr>
        <w:spacing w:after="0" w:line="357"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88900</wp:posOffset>
            </wp:positionV>
            <wp:extent cx="7157720" cy="425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43" w:name="page44"/>
    <w:bookmarkEnd w:id="43"/>
    <w:p>
      <w:pPr>
        <w:ind w:left="1100"/>
        <w:spacing w:after="0"/>
        <w:rPr>
          <w:sz w:val="20"/>
          <w:szCs w:val="20"/>
          <w:color w:val="auto"/>
        </w:rPr>
      </w:pPr>
      <w:r>
        <w:rPr>
          <w:rFonts w:ascii="Arial" w:cs="Arial" w:eastAsia="Arial" w:hAnsi="Arial"/>
          <w:sz w:val="20"/>
          <w:szCs w:val="20"/>
          <w:b w:val="1"/>
          <w:bCs w:val="1"/>
          <w:color w:val="D52B1E"/>
        </w:rPr>
        <w:drawing>
          <wp:anchor simplePos="0" relativeHeight="251657728" behindDoc="1" locked="0" layoutInCell="0" allowOverlap="1">
            <wp:simplePos x="0" y="0"/>
            <wp:positionH relativeFrom="page">
              <wp:posOffset>208280</wp:posOffset>
            </wp:positionH>
            <wp:positionV relativeFrom="page">
              <wp:posOffset>620395</wp:posOffset>
            </wp:positionV>
            <wp:extent cx="531495" cy="47180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531495" cy="471805"/>
                    </a:xfrm>
                    <a:prstGeom prst="rect">
                      <a:avLst/>
                    </a:prstGeom>
                    <a:noFill/>
                  </pic:spPr>
                </pic:pic>
              </a:graphicData>
            </a:graphic>
          </wp:anchor>
        </w:drawing>
        <w:t>Human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2465070</wp:posOffset>
            </wp:positionH>
            <wp:positionV relativeFrom="paragraph">
              <wp:posOffset>-53340</wp:posOffset>
            </wp:positionV>
            <wp:extent cx="3300095"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349" w:lineRule="exact"/>
        <w:rPr>
          <w:sz w:val="20"/>
          <w:szCs w:val="20"/>
          <w:color w:val="auto"/>
        </w:rPr>
      </w:pPr>
    </w:p>
    <w:p>
      <w:pPr>
        <w:jc w:val="both"/>
        <w:ind w:firstLine="972"/>
        <w:spacing w:after="0" w:line="259" w:lineRule="auto"/>
        <w:rPr>
          <w:sz w:val="20"/>
          <w:szCs w:val="20"/>
          <w:color w:val="auto"/>
        </w:rPr>
      </w:pPr>
      <w:r>
        <w:rPr>
          <w:rFonts w:ascii="Arial" w:cs="Arial" w:eastAsia="Arial" w:hAnsi="Arial"/>
          <w:sz w:val="18"/>
          <w:szCs w:val="18"/>
          <w:color w:val="auto"/>
        </w:rPr>
        <w:t>The board exercises active oversight of our overall human capital strategy, including our talent management process, corporate culture, and inclusion efforts. The board also oversees the work of its committees in developing corporate policies and frameworks designed to attract, retain, engage, and develop a workforce that aligns with our values and mission. The Talent and Compensation Committee advises the board and management on oversight of human capital management, inclusion efforts, and employee compensation and benefits matters, and annually reviews our leadership development and succession planning practices.</w:t>
      </w:r>
    </w:p>
    <w:p>
      <w:pPr>
        <w:spacing w:after="0" w:line="1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board also oversees human capital management by regularly engaging with management and facilitating a system of reporting that highlights the importance of inclusion to Lilly. Our board also oversees the activities of our CEO and executive committee in setting expectations for inclusivity in our workforce. Our Chief People Officer has responsibility for all aspects of talent management in the company, which enables building a strong and inclusive culture. Our executive team and board are active in our talent management strategy, fostering a supportive, and rewarding workplace.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00A1DE"/>
        </w:rPr>
        <w:t>Talent Management Approach</w:t>
      </w:r>
    </w:p>
    <w:p>
      <w:pPr>
        <w:spacing w:after="0" w:line="17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Our comprehensive approach to human capital management is grounded in our core values of integrity, excellence, and respect for people, which reflect our commitment to creating a safe, supportive, ethical, and rewarding work environment. We are committed to fairness and nondiscrimination in our employment practices, and we deeply value diverse backgrounds, skills, and global perspectives. To fulfill our purpose, we believe we must look at challenges from multiple viewpoints and understand the diverse experiences of the patients who depend on us. In short, we believe that an inclusive culture makes us better. It helps us attract and retain the best talent and strengthens our understanding of the patients we serve while fostering a great workplace. At all times, we seek to hire the most qualified candidate for each open position.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00A1DE"/>
        </w:rPr>
        <w:t>Workforce Composition</w:t>
      </w:r>
    </w:p>
    <w:p>
      <w:pPr>
        <w:spacing w:after="0" w:line="171"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From the end of 2020 through the end of 2024, we have seen positive trends in representation across many areas of our workforce. Women in our global workforce, including in management positions are approximately at parity with men.</w:t>
      </w:r>
    </w:p>
    <w:p>
      <w:pPr>
        <w:spacing w:after="0" w:line="9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Empowering a global culture of inclusion and belonging also encompasses building a disability-confident workplace that promotes barrier-free experiences and empowers productivity for all employees and customers. Our recent initiative to increase equity and inclusion for employees with disabilities is grounded in three key pillars: physical accessibility, digital accessibility and attitudinal awareness – covering multiple categories, including learning and development, facilities, and information systems. Accessibility and inclusion are embedded in our strategy.</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00A1DE"/>
        </w:rPr>
        <w:t>Employee Development</w:t>
      </w:r>
    </w:p>
    <w:p>
      <w:pPr>
        <w:spacing w:after="0" w:line="171"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b w:val="1"/>
          <w:bCs w:val="1"/>
          <w:color w:val="auto"/>
        </w:rPr>
        <w:t>Recruiting</w:t>
      </w:r>
      <w:r>
        <w:rPr>
          <w:rFonts w:ascii="Arial" w:cs="Arial" w:eastAsia="Arial" w:hAnsi="Arial"/>
          <w:sz w:val="18"/>
          <w:szCs w:val="18"/>
          <w:color w:val="auto"/>
        </w:rPr>
        <w:t>: We believe attracting and retaining the best talent begins with an inclusive recruiting process. Our recruitment strategy focuses</w:t>
      </w:r>
      <w:r>
        <w:rPr>
          <w:rFonts w:ascii="Arial" w:cs="Arial" w:eastAsia="Arial" w:hAnsi="Arial"/>
          <w:sz w:val="18"/>
          <w:szCs w:val="18"/>
          <w:b w:val="1"/>
          <w:bCs w:val="1"/>
          <w:color w:val="auto"/>
        </w:rPr>
        <w:t xml:space="preserve"> </w:t>
      </w:r>
      <w:r>
        <w:rPr>
          <w:rFonts w:ascii="Arial" w:cs="Arial" w:eastAsia="Arial" w:hAnsi="Arial"/>
          <w:sz w:val="18"/>
          <w:szCs w:val="18"/>
          <w:color w:val="auto"/>
        </w:rPr>
        <w:t>on opportunities to reach more candidates across a variety of dimensions, including but not limited to race, religion, sexual orientation, gender identity, national origin, veteran status, disability status, education, and experience. We believe that recruiting in this way helps ensure that everyone will have an equal opportunity to advance their careers.</w:t>
      </w:r>
    </w:p>
    <w:p>
      <w:pPr>
        <w:spacing w:after="0" w:line="12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b w:val="1"/>
          <w:bCs w:val="1"/>
          <w:color w:val="auto"/>
        </w:rPr>
        <w:t>Onboarding and Continuing Education</w:t>
      </w:r>
      <w:r>
        <w:rPr>
          <w:rFonts w:ascii="Arial" w:cs="Arial" w:eastAsia="Arial" w:hAnsi="Arial"/>
          <w:sz w:val="18"/>
          <w:szCs w:val="18"/>
          <w:color w:val="auto"/>
        </w:rPr>
        <w:t>: Beginning with our 12-month new employee onboarding program, we offer training to enable our</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to perform their duties in our highly regulated industry. We also strive to cultivate a culture that promotes ongoing learning by encouraging employees to seek further education and growth experiences, helping them build rewarding careers. We have online programming to facilitate access to our learning and development offerings in addition to our in-person programs. Across Lilly, we are continuously working to design learning experiences to be more inclusive and effective. In addition, we have broadened access to development tools and coaching resources, implemented an 18-month curriculum for new leaders focused on developing five essential skills, and increased transparency regarding career development and advancement at Lilly.</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88900</wp:posOffset>
            </wp:positionV>
            <wp:extent cx="7157720" cy="425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6" w:right="35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00A1DE"/>
        </w:rPr>
        <w:t>Compensation, Benefits, and Pay Equity</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While our rewards programs vary around the world, we take a holistic approach to employee benefits. These may include flexible work arrangements, on-site conveniences, such as cafes, fitness centers and child development centers, competitive time-off programs, retirement benefits, and health and disability programs that are available to eligible employees when they need support.</w:t>
      </w:r>
    </w:p>
    <w:p>
      <w:pPr>
        <w:sectPr>
          <w:pgSz w:w="11900" w:h="16838" w:orient="portrait"/>
          <w:cols w:equalWidth="0" w:num="1">
            <w:col w:w="11240"/>
          </w:cols>
          <w:pgMar w:left="320" w:top="769" w:right="339" w:bottom="1440" w:gutter="0" w:footer="0" w:header="0"/>
        </w:sectPr>
      </w:pPr>
    </w:p>
    <w:p>
      <w:pPr>
        <w:spacing w:after="0" w:line="171" w:lineRule="exact"/>
        <w:rPr>
          <w:sz w:val="20"/>
          <w:szCs w:val="20"/>
          <w:color w:val="auto"/>
        </w:rPr>
      </w:pPr>
    </w:p>
    <w:p>
      <w:pPr>
        <w:ind w:left="20"/>
        <w:spacing w:after="0" w:line="262" w:lineRule="auto"/>
        <w:rPr>
          <w:sz w:val="20"/>
          <w:szCs w:val="20"/>
          <w:color w:val="auto"/>
        </w:rPr>
      </w:pPr>
      <w:r>
        <w:rPr>
          <w:rFonts w:ascii="Arial" w:cs="Arial" w:eastAsia="Arial" w:hAnsi="Arial"/>
          <w:sz w:val="18"/>
          <w:szCs w:val="18"/>
          <w:color w:val="auto"/>
        </w:rPr>
        <w:t>We are committed to ensuring pay is administered equitably across our workforce. For more than 20 years, we have regularly conducted pay equity studies of our workforce in the United States and have more recently started conducting studies of our workforce outside of the United States. Where appropriate, we have made pay adjustments as warranted and expect to continue to do so moving forward.</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00A1DE"/>
        </w:rPr>
        <w:t>Employee Health and Safety</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ind w:left="780"/>
        <w:spacing w:after="0"/>
        <w:rPr>
          <w:sz w:val="20"/>
          <w:szCs w:val="20"/>
          <w:color w:val="auto"/>
        </w:rPr>
      </w:pPr>
      <w:r>
        <w:rPr>
          <w:rFonts w:ascii="Arial" w:cs="Arial" w:eastAsia="Arial" w:hAnsi="Arial"/>
          <w:sz w:val="32"/>
          <w:szCs w:val="32"/>
          <w:color w:val="D52B1E"/>
        </w:rPr>
        <w:t>20+</w:t>
      </w:r>
    </w:p>
    <w:p>
      <w:pPr>
        <w:spacing w:after="0" w:line="64"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Years</w:t>
      </w:r>
    </w:p>
    <w:p>
      <w:pPr>
        <w:spacing w:after="0" w:line="45" w:lineRule="exact"/>
        <w:rPr>
          <w:sz w:val="20"/>
          <w:szCs w:val="20"/>
          <w:color w:val="auto"/>
        </w:rPr>
      </w:pPr>
    </w:p>
    <w:p>
      <w:pPr>
        <w:jc w:val="center"/>
        <w:ind w:right="60"/>
        <w:spacing w:after="0" w:line="266" w:lineRule="auto"/>
        <w:rPr>
          <w:sz w:val="20"/>
          <w:szCs w:val="20"/>
          <w:color w:val="auto"/>
        </w:rPr>
      </w:pPr>
      <w:r>
        <w:rPr>
          <w:rFonts w:ascii="Arial" w:cs="Arial" w:eastAsia="Arial" w:hAnsi="Arial"/>
          <w:sz w:val="18"/>
          <w:szCs w:val="18"/>
          <w:color w:val="auto"/>
        </w:rPr>
        <w:t>of pay equity studies in the U.S.</w:t>
      </w:r>
    </w:p>
    <w:p>
      <w:pPr>
        <w:spacing w:after="0" w:line="616" w:lineRule="exact"/>
        <w:rPr>
          <w:sz w:val="20"/>
          <w:szCs w:val="20"/>
          <w:color w:val="auto"/>
        </w:rPr>
      </w:pPr>
    </w:p>
    <w:p>
      <w:pPr>
        <w:sectPr>
          <w:pgSz w:w="11900" w:h="16838" w:orient="portrait"/>
          <w:cols w:equalWidth="0" w:num="2">
            <w:col w:w="8820" w:space="240"/>
            <w:col w:w="2180"/>
          </w:cols>
          <w:pgMar w:left="320" w:top="769" w:right="339" w:bottom="1440" w:gutter="0" w:footer="0" w:header="0"/>
          <w:type w:val="continuous"/>
        </w:sectPr>
      </w:pPr>
    </w:p>
    <w:p>
      <w:pPr>
        <w:ind w:right="40"/>
        <w:spacing w:after="0" w:line="282" w:lineRule="auto"/>
        <w:rPr>
          <w:sz w:val="20"/>
          <w:szCs w:val="20"/>
          <w:color w:val="auto"/>
        </w:rPr>
      </w:pPr>
      <w:r>
        <w:rPr>
          <w:rFonts w:ascii="Arial" w:cs="Arial" w:eastAsia="Arial" w:hAnsi="Arial"/>
          <w:sz w:val="17"/>
          <w:szCs w:val="17"/>
          <w:color w:val="auto"/>
        </w:rPr>
        <w:t>We strive to foster a healthy, vibrant work environment, which includes keeping our employees safe. We seek to create a companywide culture where best-in-class safety practices are consistently followed. To do this, we assess and continuously attempt to improve our companywide safety performance to promote the well-being of employees and to help safeguard communities where we operate. We believe a holistic approach and dedication to safety helps us be our best as we deliver on our company purpose to improve lives around the world.</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Our Sustainability Report provides additional information about our talent management efforts.</w:t>
      </w:r>
    </w:p>
    <w:p>
      <w:pPr>
        <w:spacing w:after="0" w:line="165" w:lineRule="exact"/>
        <w:rPr>
          <w:sz w:val="20"/>
          <w:szCs w:val="20"/>
          <w:color w:val="auto"/>
        </w:rPr>
      </w:pPr>
    </w:p>
    <w:p>
      <w:pPr>
        <w:spacing w:after="0"/>
        <w:rPr>
          <w:sz w:val="20"/>
          <w:szCs w:val="20"/>
          <w:color w:val="auto"/>
        </w:rPr>
      </w:pPr>
      <w:r>
        <w:rPr>
          <w:rFonts w:ascii="Arial" w:cs="Arial" w:eastAsia="Arial" w:hAnsi="Arial"/>
          <w:sz w:val="25"/>
          <w:szCs w:val="25"/>
          <w:b w:val="1"/>
          <w:bCs w:val="1"/>
          <w:color w:val="00A1DE"/>
        </w:rPr>
        <w:t>Board Alignment</w:t>
      </w: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Conflicts of Interest and Transactions with Related Persons</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color w:val="D52B1E"/>
        </w:rPr>
        <w:t>Conflicts of Interest</w:t>
      </w:r>
    </w:p>
    <w:p>
      <w:pPr>
        <w:spacing w:after="0" w:line="7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Occasionally, a director’s business or personal relationships may give rise to an interest that conflicts, or appears to conflict, with the interests of the company. As outlined in the company’s corporate governance guidelines, directors must disclose to the company all relationships that could create a conflict or an appearance of a conflict. The board, after consultation with counsel, takes appropriate steps to identify actual or apparent conflicts and ensure that all directors voting on an issue are disinterested with respect to that issue. A director may be excused from board discussions and decisions on an issue related to an actual or apparent conflict, as appropriate.</w:t>
      </w:r>
    </w:p>
    <w:p>
      <w:pPr>
        <w:spacing w:after="0" w:line="125"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In addition, a director’s relationship with Lilly may give rise to an interest that conflicts, or appears to conflict, with the interests of another company, institution, or other stakeholder. A director must disclose his or her relationship with Lilly in connection with any scientific publication, using the International Committee of Medical Journal Editors conflict of interest form for this purpose when possible. Each director must disclose his or her service on the board to his or her employer and any other organization with which the director has a relationship of trust and where the relationship with Lilly is relevant. In addition, directors must follow the internal conflict of interest policies and procedures of each such organization.</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D52B1E"/>
        </w:rPr>
        <w:t>Review and Approval of Transactions with Related Persons</w:t>
      </w:r>
    </w:p>
    <w:p>
      <w:pPr>
        <w:spacing w:after="0" w:line="58"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board has adopted a written policy and procedures for review, approval, and monitoring of transactions involving the company and related persons (including current executive officers, directors, or director nominees and persons who served in those roles at any time since the beginning of our last fiscal year, greater than five percent shareholders of the company, immediate family members of such persons, and related entities of such persons, including entities in which any of such persons is employed, is a general partner or principal or in which such person has a 10 percent or greater beneficial ownership interest). The policy covers any related person transaction that meets the minimum threshold for disclosure in this proxy statement under relevant SEC rules (generally, transactions involving amounts exceeding $120,000 in which a related person has a direct or indirect material interest).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00A1DE"/>
        </w:rPr>
        <w:t>Policy:</w:t>
      </w:r>
    </w:p>
    <w:p>
      <w:pPr>
        <w:spacing w:after="0" w:line="171"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Related person transactions must be preapproved by the Directors and Corporate Governance Committee of the board or another independent body of the board, who will approve the transaction only if the Directors and Corporate Governance Committee or such independent body determines it to be consistent with the interests of the company and its shareholders. In considering the transaction, the Directors and Corporate Governance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45" w:name="page46"/>
    <w:bookmarkEnd w:id="45"/>
    <w:p>
      <w:pPr>
        <w:spacing w:after="0"/>
        <w:rPr>
          <w:sz w:val="20"/>
          <w:szCs w:val="20"/>
          <w:color w:val="auto"/>
        </w:rPr>
      </w:pPr>
      <w:r>
        <w:rPr>
          <w:rFonts w:ascii="Arial" w:cs="Arial" w:eastAsia="Arial" w:hAnsi="Arial"/>
          <w:sz w:val="18"/>
          <w:szCs w:val="18"/>
          <w:color w:val="auto"/>
        </w:rPr>
        <w:t>Committee or such independent body will consider all relevant factors, including:</w:t>
      </w:r>
    </w:p>
    <w:p>
      <w:pPr>
        <w:spacing w:after="0" w:line="63" w:lineRule="exact"/>
        <w:rPr>
          <w:sz w:val="20"/>
          <w:szCs w:val="20"/>
          <w:color w:val="auto"/>
        </w:rPr>
      </w:pPr>
    </w:p>
    <w:p>
      <w:pPr>
        <w:ind w:left="640" w:hanging="308"/>
        <w:spacing w:after="0"/>
        <w:tabs>
          <w:tab w:leader="none" w:pos="640" w:val="left"/>
        </w:tabs>
        <w:numPr>
          <w:ilvl w:val="0"/>
          <w:numId w:val="100"/>
        </w:numPr>
        <w:rPr>
          <w:rFonts w:ascii="Arial" w:cs="Arial" w:eastAsia="Arial" w:hAnsi="Arial"/>
          <w:sz w:val="16"/>
          <w:szCs w:val="16"/>
          <w:color w:val="auto"/>
        </w:rPr>
      </w:pPr>
      <w:r>
        <w:rPr>
          <w:rFonts w:ascii="Arial" w:cs="Arial" w:eastAsia="Arial" w:hAnsi="Arial"/>
          <w:sz w:val="18"/>
          <w:szCs w:val="18"/>
          <w:color w:val="auto"/>
        </w:rPr>
        <w:t>the company’s business rationale for entering into the transaction;</w:t>
      </w:r>
    </w:p>
    <w:p>
      <w:pPr>
        <w:spacing w:after="0" w:line="171" w:lineRule="exact"/>
        <w:rPr>
          <w:rFonts w:ascii="Arial" w:cs="Arial" w:eastAsia="Arial" w:hAnsi="Arial"/>
          <w:sz w:val="16"/>
          <w:szCs w:val="16"/>
          <w:color w:val="auto"/>
        </w:rPr>
      </w:pPr>
    </w:p>
    <w:p>
      <w:pPr>
        <w:ind w:left="640" w:hanging="308"/>
        <w:spacing w:after="0"/>
        <w:tabs>
          <w:tab w:leader="none" w:pos="640" w:val="left"/>
        </w:tabs>
        <w:numPr>
          <w:ilvl w:val="0"/>
          <w:numId w:val="100"/>
        </w:numPr>
        <w:rPr>
          <w:rFonts w:ascii="Arial" w:cs="Arial" w:eastAsia="Arial" w:hAnsi="Arial"/>
          <w:sz w:val="16"/>
          <w:szCs w:val="16"/>
          <w:color w:val="auto"/>
        </w:rPr>
      </w:pPr>
      <w:r>
        <w:rPr>
          <w:rFonts w:ascii="Arial" w:cs="Arial" w:eastAsia="Arial" w:hAnsi="Arial"/>
          <w:sz w:val="18"/>
          <w:szCs w:val="18"/>
          <w:color w:val="auto"/>
        </w:rPr>
        <w:t>the purpose of, and potential benefits to the company of, the transaction;</w:t>
      </w:r>
    </w:p>
    <w:p>
      <w:pPr>
        <w:spacing w:after="0" w:line="171" w:lineRule="exact"/>
        <w:rPr>
          <w:rFonts w:ascii="Arial" w:cs="Arial" w:eastAsia="Arial" w:hAnsi="Arial"/>
          <w:sz w:val="16"/>
          <w:szCs w:val="16"/>
          <w:color w:val="auto"/>
        </w:rPr>
      </w:pPr>
    </w:p>
    <w:p>
      <w:pPr>
        <w:ind w:left="640" w:hanging="308"/>
        <w:spacing w:after="0"/>
        <w:tabs>
          <w:tab w:leader="none" w:pos="640" w:val="left"/>
        </w:tabs>
        <w:numPr>
          <w:ilvl w:val="0"/>
          <w:numId w:val="100"/>
        </w:numPr>
        <w:rPr>
          <w:rFonts w:ascii="Arial" w:cs="Arial" w:eastAsia="Arial" w:hAnsi="Arial"/>
          <w:sz w:val="16"/>
          <w:szCs w:val="16"/>
          <w:color w:val="auto"/>
        </w:rPr>
      </w:pPr>
      <w:r>
        <w:rPr>
          <w:rFonts w:ascii="Arial" w:cs="Arial" w:eastAsia="Arial" w:hAnsi="Arial"/>
          <w:sz w:val="18"/>
          <w:szCs w:val="18"/>
          <w:color w:val="auto"/>
        </w:rPr>
        <w:t>the alternatives to entering into a related person transaction;</w:t>
      </w:r>
    </w:p>
    <w:p>
      <w:pPr>
        <w:spacing w:after="0" w:line="171" w:lineRule="exact"/>
        <w:rPr>
          <w:rFonts w:ascii="Arial" w:cs="Arial" w:eastAsia="Arial" w:hAnsi="Arial"/>
          <w:sz w:val="16"/>
          <w:szCs w:val="16"/>
          <w:color w:val="auto"/>
        </w:rPr>
      </w:pPr>
    </w:p>
    <w:p>
      <w:pPr>
        <w:ind w:left="660" w:right="440" w:hanging="328"/>
        <w:spacing w:after="0" w:line="287" w:lineRule="auto"/>
        <w:tabs>
          <w:tab w:leader="none" w:pos="649" w:val="left"/>
        </w:tabs>
        <w:numPr>
          <w:ilvl w:val="0"/>
          <w:numId w:val="100"/>
        </w:numPr>
        <w:rPr>
          <w:rFonts w:ascii="Arial" w:cs="Arial" w:eastAsia="Arial" w:hAnsi="Arial"/>
          <w:sz w:val="16"/>
          <w:szCs w:val="16"/>
          <w:color w:val="auto"/>
        </w:rPr>
      </w:pPr>
      <w:r>
        <w:rPr>
          <w:rFonts w:ascii="Arial" w:cs="Arial" w:eastAsia="Arial" w:hAnsi="Arial"/>
          <w:sz w:val="18"/>
          <w:szCs w:val="18"/>
          <w:color w:val="auto"/>
        </w:rPr>
        <w:t>whether the transaction is on terms comparable to those available to third parties, or in the case of employment relationships, to employees generally;</w:t>
      </w:r>
    </w:p>
    <w:p>
      <w:pPr>
        <w:spacing w:after="0" w:line="98" w:lineRule="exact"/>
        <w:rPr>
          <w:rFonts w:ascii="Arial" w:cs="Arial" w:eastAsia="Arial" w:hAnsi="Arial"/>
          <w:sz w:val="16"/>
          <w:szCs w:val="16"/>
          <w:color w:val="auto"/>
        </w:rPr>
      </w:pPr>
    </w:p>
    <w:p>
      <w:pPr>
        <w:ind w:left="660" w:right="500" w:hanging="328"/>
        <w:spacing w:after="0" w:line="287" w:lineRule="auto"/>
        <w:tabs>
          <w:tab w:leader="none" w:pos="649" w:val="left"/>
        </w:tabs>
        <w:numPr>
          <w:ilvl w:val="0"/>
          <w:numId w:val="100"/>
        </w:numPr>
        <w:rPr>
          <w:rFonts w:ascii="Arial" w:cs="Arial" w:eastAsia="Arial" w:hAnsi="Arial"/>
          <w:sz w:val="16"/>
          <w:szCs w:val="16"/>
          <w:color w:val="auto"/>
        </w:rPr>
      </w:pPr>
      <w:r>
        <w:rPr>
          <w:rFonts w:ascii="Arial" w:cs="Arial" w:eastAsia="Arial" w:hAnsi="Arial"/>
          <w:sz w:val="18"/>
          <w:szCs w:val="18"/>
          <w:color w:val="auto"/>
        </w:rPr>
        <w:t>the potential for the transaction to lead to an actual or apparent conflict of interest and any safeguards imposed to prevent such actual or apparent conflicts;</w:t>
      </w:r>
    </w:p>
    <w:p>
      <w:pPr>
        <w:spacing w:after="0" w:line="98" w:lineRule="exact"/>
        <w:rPr>
          <w:rFonts w:ascii="Arial" w:cs="Arial" w:eastAsia="Arial" w:hAnsi="Arial"/>
          <w:sz w:val="16"/>
          <w:szCs w:val="16"/>
          <w:color w:val="auto"/>
        </w:rPr>
      </w:pPr>
    </w:p>
    <w:p>
      <w:pPr>
        <w:ind w:left="640" w:hanging="308"/>
        <w:spacing w:after="0"/>
        <w:tabs>
          <w:tab w:leader="none" w:pos="640" w:val="left"/>
        </w:tabs>
        <w:numPr>
          <w:ilvl w:val="0"/>
          <w:numId w:val="100"/>
        </w:numPr>
        <w:rPr>
          <w:rFonts w:ascii="Arial" w:cs="Arial" w:eastAsia="Arial" w:hAnsi="Arial"/>
          <w:sz w:val="16"/>
          <w:szCs w:val="16"/>
          <w:color w:val="auto"/>
        </w:rPr>
      </w:pPr>
      <w:r>
        <w:rPr>
          <w:rFonts w:ascii="Arial" w:cs="Arial" w:eastAsia="Arial" w:hAnsi="Arial"/>
          <w:sz w:val="18"/>
          <w:szCs w:val="18"/>
          <w:color w:val="auto"/>
        </w:rPr>
        <w:t>the overall fairness of the transaction to the company;</w:t>
      </w:r>
    </w:p>
    <w:p>
      <w:pPr>
        <w:spacing w:after="0" w:line="171" w:lineRule="exact"/>
        <w:rPr>
          <w:rFonts w:ascii="Arial" w:cs="Arial" w:eastAsia="Arial" w:hAnsi="Arial"/>
          <w:sz w:val="16"/>
          <w:szCs w:val="16"/>
          <w:color w:val="auto"/>
        </w:rPr>
      </w:pPr>
    </w:p>
    <w:p>
      <w:pPr>
        <w:ind w:left="640" w:hanging="308"/>
        <w:spacing w:after="0"/>
        <w:tabs>
          <w:tab w:leader="none" w:pos="640" w:val="left"/>
        </w:tabs>
        <w:numPr>
          <w:ilvl w:val="0"/>
          <w:numId w:val="100"/>
        </w:numPr>
        <w:rPr>
          <w:rFonts w:ascii="Arial" w:cs="Arial" w:eastAsia="Arial" w:hAnsi="Arial"/>
          <w:sz w:val="16"/>
          <w:szCs w:val="16"/>
          <w:color w:val="auto"/>
        </w:rPr>
      </w:pPr>
      <w:r>
        <w:rPr>
          <w:rFonts w:ascii="Arial" w:cs="Arial" w:eastAsia="Arial" w:hAnsi="Arial"/>
          <w:sz w:val="18"/>
          <w:szCs w:val="18"/>
          <w:color w:val="auto"/>
        </w:rPr>
        <w:t>the approximate dollar value of the amount involved in the transaction, particularly as it relates to the related person;</w:t>
      </w:r>
    </w:p>
    <w:p>
      <w:pPr>
        <w:spacing w:after="0" w:line="171" w:lineRule="exact"/>
        <w:rPr>
          <w:rFonts w:ascii="Arial" w:cs="Arial" w:eastAsia="Arial" w:hAnsi="Arial"/>
          <w:sz w:val="16"/>
          <w:szCs w:val="16"/>
          <w:color w:val="auto"/>
        </w:rPr>
      </w:pPr>
    </w:p>
    <w:p>
      <w:pPr>
        <w:ind w:left="640" w:hanging="308"/>
        <w:spacing w:after="0"/>
        <w:tabs>
          <w:tab w:leader="none" w:pos="640" w:val="left"/>
        </w:tabs>
        <w:numPr>
          <w:ilvl w:val="0"/>
          <w:numId w:val="100"/>
        </w:numPr>
        <w:rPr>
          <w:rFonts w:ascii="Arial" w:cs="Arial" w:eastAsia="Arial" w:hAnsi="Arial"/>
          <w:sz w:val="16"/>
          <w:szCs w:val="16"/>
          <w:color w:val="auto"/>
        </w:rPr>
      </w:pPr>
      <w:r>
        <w:rPr>
          <w:rFonts w:ascii="Arial" w:cs="Arial" w:eastAsia="Arial" w:hAnsi="Arial"/>
          <w:sz w:val="18"/>
          <w:szCs w:val="18"/>
          <w:color w:val="auto"/>
        </w:rPr>
        <w:t>the related person’s interest in the transaction; and</w:t>
      </w:r>
    </w:p>
    <w:p>
      <w:pPr>
        <w:spacing w:after="0" w:line="171" w:lineRule="exact"/>
        <w:rPr>
          <w:rFonts w:ascii="Arial" w:cs="Arial" w:eastAsia="Arial" w:hAnsi="Arial"/>
          <w:sz w:val="16"/>
          <w:szCs w:val="16"/>
          <w:color w:val="auto"/>
        </w:rPr>
      </w:pPr>
    </w:p>
    <w:p>
      <w:pPr>
        <w:ind w:left="660" w:right="80" w:hanging="328"/>
        <w:spacing w:after="0" w:line="287" w:lineRule="auto"/>
        <w:tabs>
          <w:tab w:leader="none" w:pos="649" w:val="left"/>
        </w:tabs>
        <w:numPr>
          <w:ilvl w:val="0"/>
          <w:numId w:val="100"/>
        </w:numPr>
        <w:rPr>
          <w:rFonts w:ascii="Arial" w:cs="Arial" w:eastAsia="Arial" w:hAnsi="Arial"/>
          <w:sz w:val="16"/>
          <w:szCs w:val="16"/>
          <w:color w:val="auto"/>
        </w:rPr>
      </w:pPr>
      <w:r>
        <w:rPr>
          <w:rFonts w:ascii="Arial" w:cs="Arial" w:eastAsia="Arial" w:hAnsi="Arial"/>
          <w:sz w:val="18"/>
          <w:szCs w:val="18"/>
          <w:color w:val="auto"/>
        </w:rPr>
        <w:t>any other information regarding the transaction or the related person that would be material to the company’s shareholders in light of the circumstances of the particular transaction.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00A1DE"/>
        </w:rPr>
        <w:t>Procedures:</w:t>
      </w:r>
    </w:p>
    <w:p>
      <w:pPr>
        <w:spacing w:after="0" w:line="171" w:lineRule="exact"/>
        <w:rPr>
          <w:sz w:val="20"/>
          <w:szCs w:val="20"/>
          <w:color w:val="auto"/>
        </w:rPr>
      </w:pPr>
    </w:p>
    <w:p>
      <w:pPr>
        <w:jc w:val="both"/>
        <w:ind w:left="660" w:right="200" w:hanging="328"/>
        <w:spacing w:after="0" w:line="268" w:lineRule="auto"/>
        <w:tabs>
          <w:tab w:leader="none" w:pos="649" w:val="left"/>
        </w:tabs>
        <w:numPr>
          <w:ilvl w:val="0"/>
          <w:numId w:val="101"/>
        </w:numPr>
        <w:rPr>
          <w:rFonts w:ascii="Arial" w:cs="Arial" w:eastAsia="Arial" w:hAnsi="Arial"/>
          <w:sz w:val="16"/>
          <w:szCs w:val="16"/>
          <w:color w:val="auto"/>
        </w:rPr>
      </w:pPr>
      <w:r>
        <w:rPr>
          <w:rFonts w:ascii="Arial" w:cs="Arial" w:eastAsia="Arial" w:hAnsi="Arial"/>
          <w:sz w:val="18"/>
          <w:szCs w:val="18"/>
          <w:color w:val="auto"/>
        </w:rPr>
        <w:t>Prior to entering into a transaction that may be a related person transaction, the related person (or the appropriate executive officer or director, in the case of immediate family members) is required to bring the matter to the attention of the chair of the board or the lead independent director, or alternatively, the General Counsel and Secretary.</w:t>
      </w:r>
    </w:p>
    <w:p>
      <w:pPr>
        <w:spacing w:after="0" w:line="116" w:lineRule="exact"/>
        <w:rPr>
          <w:rFonts w:ascii="Arial" w:cs="Arial" w:eastAsia="Arial" w:hAnsi="Arial"/>
          <w:sz w:val="16"/>
          <w:szCs w:val="16"/>
          <w:color w:val="auto"/>
        </w:rPr>
      </w:pPr>
    </w:p>
    <w:p>
      <w:pPr>
        <w:ind w:left="660" w:right="520" w:hanging="328"/>
        <w:spacing w:after="0" w:line="268" w:lineRule="auto"/>
        <w:tabs>
          <w:tab w:leader="none" w:pos="649" w:val="left"/>
        </w:tabs>
        <w:numPr>
          <w:ilvl w:val="0"/>
          <w:numId w:val="101"/>
        </w:numPr>
        <w:rPr>
          <w:rFonts w:ascii="Arial" w:cs="Arial" w:eastAsia="Arial" w:hAnsi="Arial"/>
          <w:sz w:val="16"/>
          <w:szCs w:val="16"/>
          <w:color w:val="auto"/>
        </w:rPr>
      </w:pPr>
      <w:r>
        <w:rPr>
          <w:rFonts w:ascii="Arial" w:cs="Arial" w:eastAsia="Arial" w:hAnsi="Arial"/>
          <w:sz w:val="18"/>
          <w:szCs w:val="18"/>
          <w:color w:val="auto"/>
        </w:rPr>
        <w:t>The chair of the board and the lead independent director jointly determine (or, if either is involved in the transaction, the other determines in consultation with the chair of the Directors and Corporate Governance Committee) whether the matter should be considered by the Directors and Corporate Governance Committee or another independent body of the board.</w:t>
      </w:r>
    </w:p>
    <w:p>
      <w:pPr>
        <w:spacing w:after="0" w:line="116" w:lineRule="exact"/>
        <w:rPr>
          <w:rFonts w:ascii="Arial" w:cs="Arial" w:eastAsia="Arial" w:hAnsi="Arial"/>
          <w:sz w:val="16"/>
          <w:szCs w:val="16"/>
          <w:color w:val="auto"/>
        </w:rPr>
      </w:pPr>
    </w:p>
    <w:p>
      <w:pPr>
        <w:ind w:left="640" w:hanging="308"/>
        <w:spacing w:after="0"/>
        <w:tabs>
          <w:tab w:leader="none" w:pos="640" w:val="left"/>
        </w:tabs>
        <w:numPr>
          <w:ilvl w:val="0"/>
          <w:numId w:val="101"/>
        </w:numPr>
        <w:rPr>
          <w:rFonts w:ascii="Arial" w:cs="Arial" w:eastAsia="Arial" w:hAnsi="Arial"/>
          <w:sz w:val="16"/>
          <w:szCs w:val="16"/>
          <w:color w:val="auto"/>
        </w:rPr>
      </w:pPr>
      <w:r>
        <w:rPr>
          <w:rFonts w:ascii="Arial" w:cs="Arial" w:eastAsia="Arial" w:hAnsi="Arial"/>
          <w:sz w:val="18"/>
          <w:szCs w:val="18"/>
          <w:color w:val="auto"/>
        </w:rPr>
        <w:t>If a director is involved in the transaction, he or she will be recused from all discussions and decisions relating to the transaction.</w:t>
      </w:r>
    </w:p>
    <w:p>
      <w:pPr>
        <w:spacing w:after="0" w:line="171" w:lineRule="exact"/>
        <w:rPr>
          <w:rFonts w:ascii="Arial" w:cs="Arial" w:eastAsia="Arial" w:hAnsi="Arial"/>
          <w:sz w:val="16"/>
          <w:szCs w:val="16"/>
          <w:color w:val="auto"/>
        </w:rPr>
      </w:pPr>
    </w:p>
    <w:p>
      <w:pPr>
        <w:ind w:left="660" w:hanging="328"/>
        <w:spacing w:after="0" w:line="268" w:lineRule="auto"/>
        <w:tabs>
          <w:tab w:leader="none" w:pos="649" w:val="left"/>
        </w:tabs>
        <w:numPr>
          <w:ilvl w:val="0"/>
          <w:numId w:val="101"/>
        </w:numPr>
        <w:rPr>
          <w:rFonts w:ascii="Arial" w:cs="Arial" w:eastAsia="Arial" w:hAnsi="Arial"/>
          <w:sz w:val="16"/>
          <w:szCs w:val="16"/>
          <w:color w:val="auto"/>
        </w:rPr>
      </w:pPr>
      <w:r>
        <w:rPr>
          <w:rFonts w:ascii="Arial" w:cs="Arial" w:eastAsia="Arial" w:hAnsi="Arial"/>
          <w:sz w:val="18"/>
          <w:szCs w:val="18"/>
          <w:color w:val="auto"/>
        </w:rPr>
        <w:t>The Directors and Corporate Governance Committee or such other independent body may approve the related person transaction only if the Directors and Corporate Governance Committee or such other independent body determines in good faith that, under all of the circumstances, the transaction is consistent with the interests of the company and its shareholders.</w:t>
      </w:r>
    </w:p>
    <w:p>
      <w:pPr>
        <w:spacing w:after="0" w:line="116" w:lineRule="exact"/>
        <w:rPr>
          <w:rFonts w:ascii="Arial" w:cs="Arial" w:eastAsia="Arial" w:hAnsi="Arial"/>
          <w:sz w:val="16"/>
          <w:szCs w:val="16"/>
          <w:color w:val="auto"/>
        </w:rPr>
      </w:pPr>
    </w:p>
    <w:p>
      <w:pPr>
        <w:ind w:left="660" w:right="500" w:hanging="328"/>
        <w:spacing w:after="0" w:line="287" w:lineRule="auto"/>
        <w:tabs>
          <w:tab w:leader="none" w:pos="649" w:val="left"/>
        </w:tabs>
        <w:numPr>
          <w:ilvl w:val="0"/>
          <w:numId w:val="101"/>
        </w:numPr>
        <w:rPr>
          <w:rFonts w:ascii="Arial" w:cs="Arial" w:eastAsia="Arial" w:hAnsi="Arial"/>
          <w:sz w:val="16"/>
          <w:szCs w:val="16"/>
          <w:color w:val="auto"/>
        </w:rPr>
      </w:pPr>
      <w:r>
        <w:rPr>
          <w:rFonts w:ascii="Arial" w:cs="Arial" w:eastAsia="Arial" w:hAnsi="Arial"/>
          <w:sz w:val="18"/>
          <w:szCs w:val="18"/>
          <w:color w:val="auto"/>
        </w:rPr>
        <w:t>The Directors and Corporate Governance Committee or such other independent body may impose such conditions as it deems appropriate on the company or the related person in connection with the approval of the related person transaction.</w:t>
      </w:r>
    </w:p>
    <w:p>
      <w:pPr>
        <w:spacing w:after="0" w:line="98" w:lineRule="exact"/>
        <w:rPr>
          <w:rFonts w:ascii="Arial" w:cs="Arial" w:eastAsia="Arial" w:hAnsi="Arial"/>
          <w:sz w:val="16"/>
          <w:szCs w:val="16"/>
          <w:color w:val="auto"/>
        </w:rPr>
      </w:pPr>
    </w:p>
    <w:p>
      <w:pPr>
        <w:ind w:left="660" w:right="140" w:hanging="328"/>
        <w:spacing w:after="0" w:line="268" w:lineRule="auto"/>
        <w:tabs>
          <w:tab w:leader="none" w:pos="649" w:val="left"/>
        </w:tabs>
        <w:numPr>
          <w:ilvl w:val="0"/>
          <w:numId w:val="101"/>
        </w:numPr>
        <w:rPr>
          <w:rFonts w:ascii="Arial" w:cs="Arial" w:eastAsia="Arial" w:hAnsi="Arial"/>
          <w:sz w:val="16"/>
          <w:szCs w:val="16"/>
          <w:color w:val="auto"/>
        </w:rPr>
      </w:pPr>
      <w:r>
        <w:rPr>
          <w:rFonts w:ascii="Arial" w:cs="Arial" w:eastAsia="Arial" w:hAnsi="Arial"/>
          <w:sz w:val="18"/>
          <w:szCs w:val="18"/>
          <w:color w:val="auto"/>
        </w:rPr>
        <w:t>If the transaction is recurring and is approved, the Directors and Corporate Governance Committee or such other independent body will review the related person transaction annually to determine whether it continues to be consistent with the interests of the company and its shareholders.</w:t>
      </w:r>
    </w:p>
    <w:p>
      <w:pPr>
        <w:spacing w:after="0" w:line="117"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The Directors and Corporate Governance Committee or another independent body of the board retains the right to review and ratify related person transactions. In addition, the Directors and Corporate Governance Committee or such other independent body may take or cause to be taken additional actions including, but not limited to, immediate discontinuation or rescission of the transaction, or modification of the transaction.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In 2024, there were no related party transactions required to be reported pursuant to relevant SEC rules in this proxy statement.</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6" w:name="page47"/>
    <w:bookmarkEnd w:id="46"/>
    <w:p>
      <w:pPr>
        <w:spacing w:after="0"/>
        <w:rPr>
          <w:sz w:val="20"/>
          <w:szCs w:val="20"/>
          <w:color w:val="auto"/>
        </w:rPr>
      </w:pPr>
      <w:r>
        <w:rPr>
          <w:rFonts w:ascii="Arial" w:cs="Arial" w:eastAsia="Arial" w:hAnsi="Arial"/>
          <w:sz w:val="25"/>
          <w:szCs w:val="25"/>
          <w:b w:val="1"/>
          <w:bCs w:val="1"/>
          <w:color w:val="00A1DE"/>
        </w:rPr>
        <w:t>Communication with the Board of Directors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You may send written communications to members of the board, including independent directors, addressed to:</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Eli Lilly and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 General Counsel and 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Lilly Corporate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Indianapolis, IN 46285</w:t>
      </w:r>
    </w:p>
    <w:p>
      <w:pPr>
        <w:spacing w:after="0" w:line="147" w:lineRule="exact"/>
        <w:rPr>
          <w:sz w:val="20"/>
          <w:szCs w:val="20"/>
          <w:color w:val="auto"/>
        </w:rPr>
      </w:pPr>
    </w:p>
    <w:p>
      <w:pPr>
        <w:spacing w:after="0"/>
        <w:rPr>
          <w:sz w:val="20"/>
          <w:szCs w:val="20"/>
          <w:color w:val="auto"/>
        </w:rPr>
      </w:pPr>
      <w:r>
        <w:rPr>
          <w:rFonts w:ascii="Arial" w:cs="Arial" w:eastAsia="Arial" w:hAnsi="Arial"/>
          <w:sz w:val="25"/>
          <w:szCs w:val="25"/>
          <w:b w:val="1"/>
          <w:bCs w:val="1"/>
          <w:color w:val="00A1DE"/>
        </w:rPr>
        <w:t>Shareholder Engagement on Governance Issues</w:t>
      </w:r>
    </w:p>
    <w:p>
      <w:pPr>
        <w:spacing w:after="0" w:line="8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To ensure that a variety of perspectives are thoughtfully considered on key issues, each year the company engages large shareholders and other key constituents to discuss areas of interest or concern related to corporate governance, as well as any specific issues for the coming proxy season. Since our 2024 annual meeting of shareholders, we have spoken with a number of investors on an array of subjects. We appreciate the thoughtful and constructive feedback that we receive from our stakeholders. While a few shareholders communicated differing views on some of our governance practices, the investors with whom we spoke were generally supportive of our performance and overall compensation and governance policies. This feedback has been discussed with our chair and CEO, the lead independent director, our Talent and Compensation Committee, and our Directors and Corporate Governance Committee, and it was a key input into board discussions on corporate governance topics. As a result of these discussions and its own deliberations, the board decided to recommend in favor of management proposals to eliminate the classified board structure and supermajority voting requirements (</w:t>
      </w:r>
      <w:r>
        <w:rPr>
          <w:rFonts w:ascii="Arial" w:cs="Arial" w:eastAsia="Arial" w:hAnsi="Arial"/>
          <w:sz w:val="18"/>
          <w:szCs w:val="18"/>
          <w:u w:val="single" w:color="auto"/>
          <w:color w:val="0000FF"/>
        </w:rPr>
        <w:t>see Items 4 and 5</w:t>
      </w:r>
      <w:r>
        <w:rPr>
          <w:rFonts w:ascii="Arial" w:cs="Arial" w:eastAsia="Arial" w:hAnsi="Arial"/>
          <w:sz w:val="18"/>
          <w:szCs w:val="18"/>
          <w:color w:val="auto"/>
        </w:rPr>
        <w:t>).</w:t>
      </w:r>
    </w:p>
    <w:p>
      <w:pPr>
        <w:spacing w:after="0" w:line="12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We are committed to continuing to engage with our investors to ensure that their diverse perspectives on corporate governance and other issues are thoughtfully considered. We will continue to engage with our shareholders on these and other topics to ensure that we continue to demonstrate strong corporate governance and accountability to shareholders.</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Shareholder Proposals</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color w:val="D52B1E"/>
        </w:rPr>
        <w:t>Shareholder Proposals under Rule 14a-8</w:t>
      </w:r>
    </w:p>
    <w:p>
      <w:pPr>
        <w:spacing w:after="0" w:line="72"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 xml:space="preserve">Shareholders interested in submitting a proposal considered for inclusion in the proxy statement for the 2026 annual meeting must follow the procedures set forth in Rule 14a-8 under the Securities Exchange Act of 1934. Proposals should be addressed to the General Counsel and Secretary and mailed to Lilly Corporate Center, Indianapolis, IN 46285. For convenience, emailed copies may also be sent to </w:t>
      </w:r>
      <w:r>
        <w:rPr>
          <w:rFonts w:ascii="Arial" w:cs="Arial" w:eastAsia="Arial" w:hAnsi="Arial"/>
          <w:sz w:val="18"/>
          <w:szCs w:val="18"/>
          <w:color w:val="D52B1E"/>
        </w:rPr>
        <w:t>shareholderproposals@lilly.com</w:t>
      </w:r>
      <w:r>
        <w:rPr>
          <w:rFonts w:ascii="Arial" w:cs="Arial" w:eastAsia="Arial" w:hAnsi="Arial"/>
          <w:sz w:val="18"/>
          <w:szCs w:val="18"/>
          <w:color w:val="000000"/>
        </w:rPr>
        <w:t>. In general, to be eligible for inclusion in the proxy statement for the 2026 annual meeting, shareholder</w:t>
      </w:r>
      <w:r>
        <w:rPr>
          <w:rFonts w:ascii="Arial" w:cs="Arial" w:eastAsia="Arial" w:hAnsi="Arial"/>
          <w:sz w:val="18"/>
          <w:szCs w:val="18"/>
          <w:color w:val="D52B1E"/>
        </w:rPr>
        <w:t xml:space="preserve"> </w:t>
      </w:r>
      <w:r>
        <w:rPr>
          <w:rFonts w:ascii="Arial" w:cs="Arial" w:eastAsia="Arial" w:hAnsi="Arial"/>
          <w:sz w:val="18"/>
          <w:szCs w:val="18"/>
          <w:color w:val="000000"/>
        </w:rPr>
        <w:t>proposals must be received no later than November 21, 2025.</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D52B1E"/>
        </w:rPr>
        <w:t>Other Shareholder Proposals</w:t>
      </w:r>
    </w:p>
    <w:p>
      <w:pPr>
        <w:spacing w:after="0" w:line="72"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 xml:space="preserve">In addition, under section 1.8 of the company’s bylaws, any shareholder of record wishing to propose business (other than pursuant to Rule 14a-8 or related to the nomination of directors) at the 2026 annual meeting of shareholders, must give the company written notice no later than the close of business on November 21, 2025, and no earlier than the close of business on September 22, 2025. However, if the date of the 2026 annual meeting is changed by more than 30 days from May 4, 2026 (the date contemplated for the 2026 annual meeting as set forth in this proxy statement), a shareholder must give the company written notice no later than the close of business on the later of 120 days in advance of the 2026 annual meeting or 10 days following the date we first publicly announce the date of the 2026 annual meeting. Any such notice must also comply with the timing, disclosure, procedural and other requirements as set forth in the bylaws. A copy of the bylaws is available online at </w:t>
      </w:r>
      <w:r>
        <w:rPr>
          <w:rFonts w:ascii="Arial" w:cs="Arial" w:eastAsia="Arial" w:hAnsi="Arial"/>
          <w:sz w:val="18"/>
          <w:szCs w:val="18"/>
          <w:color w:val="D52B1E"/>
        </w:rPr>
        <w:t>lilly.com/leadership/governance</w:t>
      </w:r>
      <w:r>
        <w:rPr>
          <w:rFonts w:ascii="Arial" w:cs="Arial" w:eastAsia="Arial" w:hAnsi="Arial"/>
          <w:sz w:val="18"/>
          <w:szCs w:val="18"/>
          <w:color w:val="auto"/>
        </w:rPr>
        <w:t>.</w:t>
      </w: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25" w:right="379" w:bottom="1440" w:gutter="0" w:footer="0" w:header="0"/>
        </w:sectPr>
      </w:pPr>
    </w:p>
    <w:bookmarkStart w:id="47" w:name="page48"/>
    <w:bookmarkEnd w:id="47"/>
    <w:p>
      <w:pPr>
        <w:spacing w:after="0"/>
        <w:rPr>
          <w:sz w:val="20"/>
          <w:szCs w:val="20"/>
          <w:color w:val="auto"/>
        </w:rPr>
      </w:pPr>
      <w:r>
        <w:rPr>
          <w:rFonts w:ascii="Arial" w:cs="Arial" w:eastAsia="Arial" w:hAnsi="Arial"/>
          <w:sz w:val="52"/>
          <w:szCs w:val="52"/>
          <w:b w:val="1"/>
          <w:bCs w:val="1"/>
          <w:color w:val="auto"/>
        </w:rPr>
        <w:t>Ownership of Company Stock</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32"/>
          <w:szCs w:val="32"/>
          <w:b w:val="1"/>
          <w:bCs w:val="1"/>
          <w:color w:val="D52B1E"/>
        </w:rPr>
        <w:t>Common Stock Ownership by Directors and Executive Officers</w:t>
      </w:r>
    </w:p>
    <w:p>
      <w:pPr>
        <w:spacing w:after="0" w:line="89"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following table sets forth the number of shares of company common stock beneficially owned by directors, named executive officers, and all directors and executive officers as a group, as of February 26, 2025. On February 26, 2025, there were 947,989,151 shares of the company’s common stock outstanding. None of the stock or stock units owned by any of the listed individuals has been pledged as collateral for a loan or other obligation.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106680</wp:posOffset>
            </wp:positionV>
            <wp:extent cx="2031365" cy="8572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2031365" cy="85725"/>
                    </a:xfrm>
                    <a:prstGeom prst="rect">
                      <a:avLst/>
                    </a:prstGeom>
                    <a:noFill/>
                  </pic:spPr>
                </pic:pic>
              </a:graphicData>
            </a:graphic>
          </wp:anchor>
        </w:drawing>
      </w:r>
    </w:p>
    <w:p>
      <w:pPr>
        <w:spacing w:after="0" w:line="285" w:lineRule="exact"/>
        <w:rPr>
          <w:sz w:val="20"/>
          <w:szCs w:val="20"/>
          <w:color w:val="auto"/>
        </w:rPr>
      </w:pPr>
    </w:p>
    <w:p>
      <w:pPr>
        <w:ind w:left="4380"/>
        <w:spacing w:after="0"/>
        <w:rPr>
          <w:sz w:val="20"/>
          <w:szCs w:val="20"/>
          <w:color w:val="auto"/>
        </w:rPr>
      </w:pPr>
      <w:r>
        <w:rPr>
          <w:rFonts w:ascii="Arial" w:cs="Arial" w:eastAsia="Arial" w:hAnsi="Arial"/>
          <w:sz w:val="14"/>
          <w:szCs w:val="14"/>
          <w:b w:val="1"/>
          <w:bCs w:val="1"/>
          <w:color w:val="auto"/>
        </w:rPr>
        <w:t>Common Stock</w:t>
      </w:r>
      <w:r>
        <w:rPr>
          <w:rFonts w:ascii="Arial" w:cs="Arial" w:eastAsia="Arial" w:hAnsi="Arial"/>
          <w:sz w:val="18"/>
          <w:szCs w:val="18"/>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5760720" cy="25717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5760720" cy="257175"/>
                    </a:xfrm>
                    <a:prstGeom prst="rect">
                      <a:avLst/>
                    </a:prstGeom>
                    <a:noFill/>
                  </pic:spPr>
                </pic:pic>
              </a:graphicData>
            </a:graphic>
          </wp:anchor>
        </w:drawing>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4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460" w:type="dxa"/>
            <w:vAlign w:val="bottom"/>
          </w:tcPr>
          <w:p>
            <w:pPr>
              <w:jc w:val="center"/>
              <w:ind w:left="48"/>
              <w:spacing w:after="0"/>
              <w:rPr>
                <w:sz w:val="20"/>
                <w:szCs w:val="20"/>
                <w:color w:val="auto"/>
              </w:rPr>
            </w:pPr>
            <w:r>
              <w:rPr>
                <w:rFonts w:ascii="Arial" w:cs="Arial" w:eastAsia="Arial" w:hAnsi="Arial"/>
                <w:sz w:val="14"/>
                <w:szCs w:val="14"/>
                <w:b w:val="1"/>
                <w:bCs w:val="1"/>
                <w:color w:val="auto"/>
              </w:rPr>
              <w:t>Stock Units</w:t>
            </w:r>
          </w:p>
        </w:tc>
        <w:tc>
          <w:tcPr>
            <w:tcW w:w="800" w:type="dxa"/>
            <w:vAlign w:val="bottom"/>
          </w:tcPr>
          <w:p>
            <w:pPr>
              <w:spacing w:after="0"/>
              <w:rPr>
                <w:sz w:val="15"/>
                <w:szCs w:val="15"/>
                <w:color w:val="auto"/>
              </w:rPr>
            </w:pP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rPr>
              <w:t>Stock Units Not</w:t>
            </w:r>
          </w:p>
        </w:tc>
        <w:tc>
          <w:tcPr>
            <w:tcW w:w="0" w:type="dxa"/>
            <w:vAlign w:val="bottom"/>
          </w:tcPr>
          <w:p>
            <w:pPr>
              <w:spacing w:after="0"/>
              <w:rPr>
                <w:sz w:val="1"/>
                <w:szCs w:val="1"/>
                <w:color w:val="auto"/>
              </w:rPr>
            </w:pPr>
          </w:p>
        </w:tc>
      </w:tr>
      <w:tr>
        <w:trPr>
          <w:trHeight w:val="185"/>
        </w:trPr>
        <w:tc>
          <w:tcPr>
            <w:tcW w:w="3480" w:type="dxa"/>
            <w:vAlign w:val="bottom"/>
          </w:tcPr>
          <w:p>
            <w:pPr>
              <w:spacing w:after="0"/>
              <w:rPr>
                <w:sz w:val="16"/>
                <w:szCs w:val="16"/>
                <w:color w:val="auto"/>
              </w:rPr>
            </w:pPr>
          </w:p>
        </w:tc>
        <w:tc>
          <w:tcPr>
            <w:tcW w:w="156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Shares Owned</w:t>
            </w:r>
            <w:r>
              <w:rPr>
                <w:rFonts w:ascii="Arial" w:cs="Arial" w:eastAsia="Arial" w:hAnsi="Arial"/>
                <w:sz w:val="18"/>
                <w:szCs w:val="18"/>
                <w:b w:val="1"/>
                <w:bCs w:val="1"/>
                <w:color w:val="auto"/>
                <w:vertAlign w:val="superscript"/>
              </w:rPr>
              <w:t>2</w:t>
            </w:r>
          </w:p>
        </w:tc>
        <w:tc>
          <w:tcPr>
            <w:tcW w:w="1460" w:type="dxa"/>
            <w:vAlign w:val="bottom"/>
          </w:tcPr>
          <w:p>
            <w:pPr>
              <w:jc w:val="center"/>
              <w:ind w:left="68"/>
              <w:spacing w:after="0"/>
              <w:rPr>
                <w:sz w:val="20"/>
                <w:szCs w:val="20"/>
                <w:color w:val="auto"/>
              </w:rPr>
            </w:pPr>
            <w:r>
              <w:rPr>
                <w:rFonts w:ascii="Arial" w:cs="Arial" w:eastAsia="Arial" w:hAnsi="Arial"/>
                <w:sz w:val="14"/>
                <w:szCs w:val="14"/>
                <w:b w:val="1"/>
                <w:bCs w:val="1"/>
                <w:color w:val="auto"/>
              </w:rPr>
              <w:t>Distributable</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Percent</w:t>
            </w: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rPr>
              <w:t>Distributable Within 60</w:t>
            </w:r>
          </w:p>
        </w:tc>
        <w:tc>
          <w:tcPr>
            <w:tcW w:w="0" w:type="dxa"/>
            <w:vAlign w:val="bottom"/>
          </w:tcPr>
          <w:p>
            <w:pPr>
              <w:spacing w:after="0"/>
              <w:rPr>
                <w:sz w:val="1"/>
                <w:szCs w:val="1"/>
                <w:color w:val="auto"/>
              </w:rPr>
            </w:pPr>
          </w:p>
        </w:tc>
      </w:tr>
      <w:tr>
        <w:trPr>
          <w:trHeight w:val="243"/>
        </w:trPr>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Beneficial Owners</w:t>
            </w:r>
          </w:p>
        </w:tc>
        <w:tc>
          <w:tcPr>
            <w:tcW w:w="1560" w:type="dxa"/>
            <w:vAlign w:val="bottom"/>
            <w:tcBorders>
              <w:bottom w:val="single" w:sz="8" w:color="auto"/>
            </w:tcBorders>
            <w:vMerge w:val="continue"/>
          </w:tcPr>
          <w:p>
            <w:pPr>
              <w:spacing w:after="0"/>
              <w:rPr>
                <w:sz w:val="21"/>
                <w:szCs w:val="21"/>
                <w:color w:val="auto"/>
              </w:rPr>
            </w:pPr>
          </w:p>
        </w:tc>
        <w:tc>
          <w:tcPr>
            <w:tcW w:w="1460" w:type="dxa"/>
            <w:vAlign w:val="bottom"/>
            <w:tcBorders>
              <w:bottom w:val="single" w:sz="8" w:color="auto"/>
            </w:tcBorders>
          </w:tcPr>
          <w:p>
            <w:pPr>
              <w:jc w:val="center"/>
              <w:ind w:left="68"/>
              <w:spacing w:after="0"/>
              <w:rPr>
                <w:sz w:val="20"/>
                <w:szCs w:val="20"/>
                <w:color w:val="auto"/>
              </w:rPr>
            </w:pPr>
            <w:r>
              <w:rPr>
                <w:rFonts w:ascii="Arial" w:cs="Arial" w:eastAsia="Arial" w:hAnsi="Arial"/>
                <w:sz w:val="14"/>
                <w:szCs w:val="14"/>
                <w:b w:val="1"/>
                <w:bCs w:val="1"/>
                <w:color w:val="auto"/>
              </w:rPr>
              <w:t>Within 60 Days</w:t>
            </w:r>
            <w:r>
              <w:rPr>
                <w:rFonts w:ascii="Arial" w:cs="Arial" w:eastAsia="Arial" w:hAnsi="Arial"/>
                <w:sz w:val="18"/>
                <w:szCs w:val="18"/>
                <w:b w:val="1"/>
                <w:bCs w:val="1"/>
                <w:color w:val="auto"/>
                <w:vertAlign w:val="superscript"/>
              </w:rPr>
              <w:t>3</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of Class</w:t>
            </w: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Days</w:t>
            </w:r>
            <w:r>
              <w:rPr>
                <w:rFonts w:ascii="Arial" w:cs="Arial" w:eastAsia="Arial" w:hAnsi="Arial"/>
                <w:sz w:val="18"/>
                <w:szCs w:val="18"/>
                <w:b w:val="1"/>
                <w:bCs w:val="1"/>
                <w:color w:val="auto"/>
                <w:w w:val="99"/>
                <w:vertAlign w:val="superscript"/>
              </w:rPr>
              <w:t>4</w:t>
            </w:r>
          </w:p>
        </w:tc>
        <w:tc>
          <w:tcPr>
            <w:tcW w:w="0" w:type="dxa"/>
            <w:vAlign w:val="bottom"/>
          </w:tcPr>
          <w:p>
            <w:pPr>
              <w:spacing w:after="0"/>
              <w:rPr>
                <w:sz w:val="1"/>
                <w:szCs w:val="1"/>
                <w:color w:val="auto"/>
              </w:rPr>
            </w:pPr>
          </w:p>
        </w:tc>
      </w:tr>
      <w:tr>
        <w:trPr>
          <w:trHeight w:val="217"/>
        </w:trPr>
        <w:tc>
          <w:tcPr>
            <w:tcW w:w="348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4"/>
                <w:szCs w:val="14"/>
                <w:color w:val="auto"/>
              </w:rPr>
              <w:t>Ralph Alvarez</w:t>
            </w:r>
          </w:p>
        </w:tc>
        <w:tc>
          <w:tcPr>
            <w:tcW w:w="1560" w:type="dxa"/>
            <w:vAlign w:val="bottom"/>
            <w:tcBorders>
              <w:bottom w:val="single" w:sz="8" w:color="F2F2F2"/>
            </w:tcBorders>
            <w:shd w:val="clear" w:color="auto" w:fill="F2F2F2"/>
          </w:tcPr>
          <w:p>
            <w:pPr>
              <w:jc w:val="right"/>
              <w:ind w:right="32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F2F2F2"/>
            </w:tcBorders>
            <w:shd w:val="clear" w:color="auto" w:fill="F2F2F2"/>
          </w:tcPr>
          <w:p>
            <w:pPr>
              <w:jc w:val="center"/>
              <w:ind w:left="48"/>
              <w:spacing w:after="0"/>
              <w:rPr>
                <w:sz w:val="20"/>
                <w:szCs w:val="20"/>
                <w:color w:val="auto"/>
              </w:rPr>
            </w:pPr>
            <w:r>
              <w:rPr>
                <w:rFonts w:ascii="Arial" w:cs="Arial" w:eastAsia="Arial" w:hAnsi="Arial"/>
                <w:sz w:val="14"/>
                <w:szCs w:val="14"/>
                <w:color w:val="auto"/>
                <w:w w:val="99"/>
              </w:rPr>
              <w:t>—</w:t>
            </w:r>
          </w:p>
        </w:tc>
        <w:tc>
          <w:tcPr>
            <w:tcW w:w="8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w:t>
            </w:r>
          </w:p>
        </w:tc>
        <w:tc>
          <w:tcPr>
            <w:tcW w:w="1780" w:type="dxa"/>
            <w:vAlign w:val="bottom"/>
            <w:tcBorders>
              <w:bottom w:val="single" w:sz="8" w:color="F2F2F2"/>
            </w:tcBorders>
            <w:shd w:val="clear" w:color="auto" w:fill="F2F2F2"/>
          </w:tcPr>
          <w:p>
            <w:pPr>
              <w:jc w:val="right"/>
              <w:ind w:right="448"/>
              <w:spacing w:after="0"/>
              <w:rPr>
                <w:sz w:val="20"/>
                <w:szCs w:val="20"/>
                <w:color w:val="auto"/>
              </w:rPr>
            </w:pPr>
            <w:r>
              <w:rPr>
                <w:rFonts w:ascii="Arial" w:cs="Arial" w:eastAsia="Arial" w:hAnsi="Arial"/>
                <w:sz w:val="14"/>
                <w:szCs w:val="14"/>
                <w:color w:val="auto"/>
              </w:rPr>
              <w:t>54,719</w:t>
            </w:r>
          </w:p>
        </w:tc>
        <w:tc>
          <w:tcPr>
            <w:tcW w:w="0" w:type="dxa"/>
            <w:vAlign w:val="bottom"/>
          </w:tcPr>
          <w:p>
            <w:pPr>
              <w:spacing w:after="0"/>
              <w:rPr>
                <w:sz w:val="1"/>
                <w:szCs w:val="1"/>
                <w:color w:val="auto"/>
              </w:rPr>
            </w:pPr>
          </w:p>
        </w:tc>
      </w:tr>
      <w:tr>
        <w:trPr>
          <w:trHeight w:val="235"/>
        </w:trPr>
        <w:tc>
          <w:tcPr>
            <w:tcW w:w="3480" w:type="dxa"/>
            <w:vAlign w:val="bottom"/>
          </w:tcPr>
          <w:p>
            <w:pPr>
              <w:ind w:left="20"/>
              <w:spacing w:after="0"/>
              <w:rPr>
                <w:sz w:val="20"/>
                <w:szCs w:val="20"/>
                <w:color w:val="auto"/>
              </w:rPr>
            </w:pPr>
            <w:r>
              <w:rPr>
                <w:rFonts w:ascii="Arial" w:cs="Arial" w:eastAsia="Arial" w:hAnsi="Arial"/>
                <w:sz w:val="14"/>
                <w:szCs w:val="14"/>
                <w:color w:val="auto"/>
              </w:rPr>
              <w:t>Anat Ashkenazi</w:t>
            </w:r>
          </w:p>
        </w:tc>
        <w:tc>
          <w:tcPr>
            <w:tcW w:w="1560" w:type="dxa"/>
            <w:vAlign w:val="bottom"/>
          </w:tcPr>
          <w:p>
            <w:pPr>
              <w:jc w:val="right"/>
              <w:ind w:right="328"/>
              <w:spacing w:after="0"/>
              <w:rPr>
                <w:sz w:val="20"/>
                <w:szCs w:val="20"/>
                <w:color w:val="auto"/>
              </w:rPr>
            </w:pPr>
            <w:r>
              <w:rPr>
                <w:rFonts w:ascii="Arial" w:cs="Arial" w:eastAsia="Arial" w:hAnsi="Arial"/>
                <w:sz w:val="14"/>
                <w:szCs w:val="14"/>
                <w:color w:val="auto"/>
              </w:rPr>
              <w:t>42,524</w:t>
            </w:r>
          </w:p>
        </w:tc>
        <w:tc>
          <w:tcPr>
            <w:tcW w:w="1460" w:type="dxa"/>
            <w:vAlign w:val="bottom"/>
          </w:tcPr>
          <w:p>
            <w:pPr>
              <w:jc w:val="center"/>
              <w:ind w:left="48"/>
              <w:spacing w:after="0"/>
              <w:rPr>
                <w:sz w:val="20"/>
                <w:szCs w:val="20"/>
                <w:color w:val="auto"/>
              </w:rPr>
            </w:pPr>
            <w:r>
              <w:rPr>
                <w:rFonts w:ascii="Arial" w:cs="Arial" w:eastAsia="Arial" w:hAnsi="Arial"/>
                <w:sz w:val="14"/>
                <w:szCs w:val="14"/>
                <w:color w:val="auto"/>
                <w:w w:val="99"/>
              </w:rPr>
              <w:t>—</w:t>
            </w:r>
          </w:p>
        </w:tc>
        <w:tc>
          <w:tcPr>
            <w:tcW w:w="800" w:type="dxa"/>
            <w:vAlign w:val="bottom"/>
          </w:tcPr>
          <w:p>
            <w:pPr>
              <w:jc w:val="center"/>
              <w:spacing w:after="0"/>
              <w:rPr>
                <w:sz w:val="20"/>
                <w:szCs w:val="20"/>
                <w:color w:val="auto"/>
              </w:rPr>
            </w:pPr>
            <w:r>
              <w:rPr>
                <w:rFonts w:ascii="Arial" w:cs="Arial" w:eastAsia="Arial" w:hAnsi="Arial"/>
                <w:sz w:val="14"/>
                <w:szCs w:val="14"/>
                <w:color w:val="auto"/>
              </w:rPr>
              <w:t>*</w:t>
            </w:r>
          </w:p>
        </w:tc>
        <w:tc>
          <w:tcPr>
            <w:tcW w:w="1780" w:type="dxa"/>
            <w:vAlign w:val="bottom"/>
          </w:tcPr>
          <w:p>
            <w:pPr>
              <w:jc w:val="right"/>
              <w:ind w:right="4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34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48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4"/>
                <w:szCs w:val="14"/>
                <w:color w:val="auto"/>
              </w:rPr>
              <w:t>Katherine Baicker, Ph.D.</w:t>
            </w:r>
          </w:p>
        </w:tc>
        <w:tc>
          <w:tcPr>
            <w:tcW w:w="1560" w:type="dxa"/>
            <w:vAlign w:val="bottom"/>
            <w:tcBorders>
              <w:bottom w:val="single" w:sz="8" w:color="F2F2F2"/>
            </w:tcBorders>
            <w:shd w:val="clear" w:color="auto" w:fill="F2F2F2"/>
          </w:tcPr>
          <w:p>
            <w:pPr>
              <w:jc w:val="right"/>
              <w:ind w:right="32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F2F2F2"/>
            </w:tcBorders>
            <w:shd w:val="clear" w:color="auto" w:fill="F2F2F2"/>
          </w:tcPr>
          <w:p>
            <w:pPr>
              <w:jc w:val="center"/>
              <w:ind w:left="48"/>
              <w:spacing w:after="0"/>
              <w:rPr>
                <w:sz w:val="20"/>
                <w:szCs w:val="20"/>
                <w:color w:val="auto"/>
              </w:rPr>
            </w:pPr>
            <w:r>
              <w:rPr>
                <w:rFonts w:ascii="Arial" w:cs="Arial" w:eastAsia="Arial" w:hAnsi="Arial"/>
                <w:sz w:val="14"/>
                <w:szCs w:val="14"/>
                <w:color w:val="auto"/>
                <w:w w:val="99"/>
              </w:rPr>
              <w:t>—</w:t>
            </w:r>
          </w:p>
        </w:tc>
        <w:tc>
          <w:tcPr>
            <w:tcW w:w="8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w:t>
            </w:r>
          </w:p>
        </w:tc>
        <w:tc>
          <w:tcPr>
            <w:tcW w:w="1780" w:type="dxa"/>
            <w:vAlign w:val="bottom"/>
            <w:tcBorders>
              <w:bottom w:val="single" w:sz="8" w:color="F2F2F2"/>
            </w:tcBorders>
            <w:shd w:val="clear" w:color="auto" w:fill="F2F2F2"/>
          </w:tcPr>
          <w:p>
            <w:pPr>
              <w:jc w:val="right"/>
              <w:ind w:right="448"/>
              <w:spacing w:after="0"/>
              <w:rPr>
                <w:sz w:val="20"/>
                <w:szCs w:val="20"/>
                <w:color w:val="auto"/>
              </w:rPr>
            </w:pPr>
            <w:r>
              <w:rPr>
                <w:rFonts w:ascii="Arial" w:cs="Arial" w:eastAsia="Arial" w:hAnsi="Arial"/>
                <w:sz w:val="14"/>
                <w:szCs w:val="14"/>
                <w:color w:val="auto"/>
              </w:rPr>
              <w:t>23,156</w:t>
            </w:r>
          </w:p>
        </w:tc>
        <w:tc>
          <w:tcPr>
            <w:tcW w:w="0" w:type="dxa"/>
            <w:vAlign w:val="bottom"/>
          </w:tcPr>
          <w:p>
            <w:pPr>
              <w:spacing w:after="0"/>
              <w:rPr>
                <w:sz w:val="1"/>
                <w:szCs w:val="1"/>
                <w:color w:val="auto"/>
              </w:rPr>
            </w:pPr>
          </w:p>
        </w:tc>
      </w:tr>
      <w:tr>
        <w:trPr>
          <w:trHeight w:val="235"/>
        </w:trPr>
        <w:tc>
          <w:tcPr>
            <w:tcW w:w="3480" w:type="dxa"/>
            <w:vAlign w:val="bottom"/>
          </w:tcPr>
          <w:p>
            <w:pPr>
              <w:ind w:left="20"/>
              <w:spacing w:after="0"/>
              <w:rPr>
                <w:sz w:val="20"/>
                <w:szCs w:val="20"/>
                <w:color w:val="auto"/>
              </w:rPr>
            </w:pPr>
            <w:r>
              <w:rPr>
                <w:rFonts w:ascii="Arial" w:cs="Arial" w:eastAsia="Arial" w:hAnsi="Arial"/>
                <w:sz w:val="14"/>
                <w:szCs w:val="14"/>
                <w:color w:val="auto"/>
              </w:rPr>
              <w:t>Gordon Brooks</w:t>
            </w:r>
          </w:p>
        </w:tc>
        <w:tc>
          <w:tcPr>
            <w:tcW w:w="1560" w:type="dxa"/>
            <w:vAlign w:val="bottom"/>
          </w:tcPr>
          <w:p>
            <w:pPr>
              <w:jc w:val="right"/>
              <w:ind w:right="328"/>
              <w:spacing w:after="0"/>
              <w:rPr>
                <w:sz w:val="20"/>
                <w:szCs w:val="20"/>
                <w:color w:val="auto"/>
              </w:rPr>
            </w:pPr>
            <w:r>
              <w:rPr>
                <w:rFonts w:ascii="Arial" w:cs="Arial" w:eastAsia="Arial" w:hAnsi="Arial"/>
                <w:sz w:val="14"/>
                <w:szCs w:val="14"/>
                <w:color w:val="auto"/>
              </w:rPr>
              <w:t>19,914</w:t>
            </w:r>
          </w:p>
        </w:tc>
        <w:tc>
          <w:tcPr>
            <w:tcW w:w="1460" w:type="dxa"/>
            <w:vAlign w:val="bottom"/>
          </w:tcPr>
          <w:p>
            <w:pPr>
              <w:jc w:val="center"/>
              <w:ind w:left="48"/>
              <w:spacing w:after="0"/>
              <w:rPr>
                <w:sz w:val="20"/>
                <w:szCs w:val="20"/>
                <w:color w:val="auto"/>
              </w:rPr>
            </w:pPr>
            <w:r>
              <w:rPr>
                <w:rFonts w:ascii="Arial" w:cs="Arial" w:eastAsia="Arial" w:hAnsi="Arial"/>
                <w:sz w:val="14"/>
                <w:szCs w:val="14"/>
                <w:color w:val="auto"/>
                <w:w w:val="99"/>
              </w:rPr>
              <w:t>—</w:t>
            </w:r>
          </w:p>
        </w:tc>
        <w:tc>
          <w:tcPr>
            <w:tcW w:w="800" w:type="dxa"/>
            <w:vAlign w:val="bottom"/>
          </w:tcPr>
          <w:p>
            <w:pPr>
              <w:jc w:val="center"/>
              <w:spacing w:after="0"/>
              <w:rPr>
                <w:sz w:val="20"/>
                <w:szCs w:val="20"/>
                <w:color w:val="auto"/>
              </w:rPr>
            </w:pPr>
            <w:r>
              <w:rPr>
                <w:rFonts w:ascii="Arial" w:cs="Arial" w:eastAsia="Arial" w:hAnsi="Arial"/>
                <w:sz w:val="14"/>
                <w:szCs w:val="14"/>
                <w:color w:val="auto"/>
              </w:rPr>
              <w:t>*</w:t>
            </w:r>
          </w:p>
        </w:tc>
        <w:tc>
          <w:tcPr>
            <w:tcW w:w="1780" w:type="dxa"/>
            <w:vAlign w:val="bottom"/>
          </w:tcPr>
          <w:p>
            <w:pPr>
              <w:jc w:val="right"/>
              <w:ind w:right="448"/>
              <w:spacing w:after="0"/>
              <w:rPr>
                <w:sz w:val="20"/>
                <w:szCs w:val="20"/>
                <w:color w:val="auto"/>
              </w:rPr>
            </w:pPr>
            <w:r>
              <w:rPr>
                <w:rFonts w:ascii="Arial" w:cs="Arial" w:eastAsia="Arial" w:hAnsi="Arial"/>
                <w:sz w:val="14"/>
                <w:szCs w:val="14"/>
                <w:color w:val="auto"/>
              </w:rPr>
              <w:t>5,719</w:t>
            </w:r>
          </w:p>
        </w:tc>
        <w:tc>
          <w:tcPr>
            <w:tcW w:w="0" w:type="dxa"/>
            <w:vAlign w:val="bottom"/>
          </w:tcPr>
          <w:p>
            <w:pPr>
              <w:spacing w:after="0"/>
              <w:rPr>
                <w:sz w:val="1"/>
                <w:szCs w:val="1"/>
                <w:color w:val="auto"/>
              </w:rPr>
            </w:pPr>
          </w:p>
        </w:tc>
      </w:tr>
      <w:tr>
        <w:trPr>
          <w:trHeight w:val="22"/>
        </w:trPr>
        <w:tc>
          <w:tcPr>
            <w:tcW w:w="34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48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4"/>
                <w:szCs w:val="14"/>
                <w:color w:val="auto"/>
              </w:rPr>
              <w:t>J. Erik Fyrwald</w:t>
            </w:r>
          </w:p>
        </w:tc>
        <w:tc>
          <w:tcPr>
            <w:tcW w:w="1560" w:type="dxa"/>
            <w:vAlign w:val="bottom"/>
            <w:tcBorders>
              <w:bottom w:val="single" w:sz="8" w:color="F2F2F2"/>
            </w:tcBorders>
            <w:shd w:val="clear" w:color="auto" w:fill="F2F2F2"/>
          </w:tcPr>
          <w:p>
            <w:pPr>
              <w:jc w:val="right"/>
              <w:ind w:right="328"/>
              <w:spacing w:after="0"/>
              <w:rPr>
                <w:sz w:val="20"/>
                <w:szCs w:val="20"/>
                <w:color w:val="auto"/>
              </w:rPr>
            </w:pPr>
            <w:r>
              <w:rPr>
                <w:rFonts w:ascii="Arial" w:cs="Arial" w:eastAsia="Arial" w:hAnsi="Arial"/>
                <w:sz w:val="14"/>
                <w:szCs w:val="14"/>
                <w:color w:val="auto"/>
              </w:rPr>
              <w:t>118</w:t>
            </w:r>
          </w:p>
        </w:tc>
        <w:tc>
          <w:tcPr>
            <w:tcW w:w="1460" w:type="dxa"/>
            <w:vAlign w:val="bottom"/>
            <w:tcBorders>
              <w:bottom w:val="single" w:sz="8" w:color="F2F2F2"/>
            </w:tcBorders>
            <w:shd w:val="clear" w:color="auto" w:fill="F2F2F2"/>
          </w:tcPr>
          <w:p>
            <w:pPr>
              <w:jc w:val="center"/>
              <w:ind w:left="48"/>
              <w:spacing w:after="0"/>
              <w:rPr>
                <w:sz w:val="20"/>
                <w:szCs w:val="20"/>
                <w:color w:val="auto"/>
              </w:rPr>
            </w:pPr>
            <w:r>
              <w:rPr>
                <w:rFonts w:ascii="Arial" w:cs="Arial" w:eastAsia="Arial" w:hAnsi="Arial"/>
                <w:sz w:val="14"/>
                <w:szCs w:val="14"/>
                <w:color w:val="auto"/>
                <w:w w:val="99"/>
              </w:rPr>
              <w:t>—</w:t>
            </w:r>
          </w:p>
        </w:tc>
        <w:tc>
          <w:tcPr>
            <w:tcW w:w="8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w:t>
            </w:r>
          </w:p>
        </w:tc>
        <w:tc>
          <w:tcPr>
            <w:tcW w:w="1780" w:type="dxa"/>
            <w:vAlign w:val="bottom"/>
            <w:tcBorders>
              <w:bottom w:val="single" w:sz="8" w:color="F2F2F2"/>
            </w:tcBorders>
            <w:shd w:val="clear" w:color="auto" w:fill="F2F2F2"/>
          </w:tcPr>
          <w:p>
            <w:pPr>
              <w:jc w:val="right"/>
              <w:ind w:right="448"/>
              <w:spacing w:after="0"/>
              <w:rPr>
                <w:sz w:val="20"/>
                <w:szCs w:val="20"/>
                <w:color w:val="auto"/>
              </w:rPr>
            </w:pPr>
            <w:r>
              <w:rPr>
                <w:rFonts w:ascii="Arial" w:cs="Arial" w:eastAsia="Arial" w:hAnsi="Arial"/>
                <w:sz w:val="14"/>
                <w:szCs w:val="14"/>
                <w:color w:val="auto"/>
              </w:rPr>
              <w:t>72,565</w:t>
            </w:r>
          </w:p>
        </w:tc>
        <w:tc>
          <w:tcPr>
            <w:tcW w:w="0" w:type="dxa"/>
            <w:vAlign w:val="bottom"/>
          </w:tcPr>
          <w:p>
            <w:pPr>
              <w:spacing w:after="0"/>
              <w:rPr>
                <w:sz w:val="1"/>
                <w:szCs w:val="1"/>
                <w:color w:val="auto"/>
              </w:rPr>
            </w:pPr>
          </w:p>
        </w:tc>
      </w:tr>
      <w:tr>
        <w:trPr>
          <w:trHeight w:val="235"/>
        </w:trPr>
        <w:tc>
          <w:tcPr>
            <w:tcW w:w="3480" w:type="dxa"/>
            <w:vAlign w:val="bottom"/>
          </w:tcPr>
          <w:p>
            <w:pPr>
              <w:ind w:left="20"/>
              <w:spacing w:after="0"/>
              <w:rPr>
                <w:sz w:val="20"/>
                <w:szCs w:val="20"/>
                <w:color w:val="auto"/>
              </w:rPr>
            </w:pPr>
            <w:r>
              <w:rPr>
                <w:rFonts w:ascii="Arial" w:cs="Arial" w:eastAsia="Arial" w:hAnsi="Arial"/>
                <w:sz w:val="14"/>
                <w:szCs w:val="14"/>
                <w:color w:val="auto"/>
              </w:rPr>
              <w:t>Anat Hakim</w:t>
            </w:r>
          </w:p>
        </w:tc>
        <w:tc>
          <w:tcPr>
            <w:tcW w:w="1560" w:type="dxa"/>
            <w:vAlign w:val="bottom"/>
          </w:tcPr>
          <w:p>
            <w:pPr>
              <w:jc w:val="right"/>
              <w:ind w:right="328"/>
              <w:spacing w:after="0"/>
              <w:rPr>
                <w:sz w:val="20"/>
                <w:szCs w:val="20"/>
                <w:color w:val="auto"/>
              </w:rPr>
            </w:pPr>
            <w:r>
              <w:rPr>
                <w:rFonts w:ascii="Arial" w:cs="Arial" w:eastAsia="Arial" w:hAnsi="Arial"/>
                <w:sz w:val="14"/>
                <w:szCs w:val="14"/>
                <w:color w:val="auto"/>
              </w:rPr>
              <w:t>43,538</w:t>
            </w:r>
          </w:p>
        </w:tc>
        <w:tc>
          <w:tcPr>
            <w:tcW w:w="1460" w:type="dxa"/>
            <w:vAlign w:val="bottom"/>
          </w:tcPr>
          <w:p>
            <w:pPr>
              <w:jc w:val="center"/>
              <w:ind w:left="48"/>
              <w:spacing w:after="0"/>
              <w:rPr>
                <w:sz w:val="20"/>
                <w:szCs w:val="20"/>
                <w:color w:val="auto"/>
              </w:rPr>
            </w:pPr>
            <w:r>
              <w:rPr>
                <w:rFonts w:ascii="Arial" w:cs="Arial" w:eastAsia="Arial" w:hAnsi="Arial"/>
                <w:sz w:val="14"/>
                <w:szCs w:val="14"/>
                <w:color w:val="auto"/>
                <w:w w:val="99"/>
              </w:rPr>
              <w:t>—</w:t>
            </w:r>
          </w:p>
        </w:tc>
        <w:tc>
          <w:tcPr>
            <w:tcW w:w="800" w:type="dxa"/>
            <w:vAlign w:val="bottom"/>
          </w:tcPr>
          <w:p>
            <w:pPr>
              <w:jc w:val="center"/>
              <w:spacing w:after="0"/>
              <w:rPr>
                <w:sz w:val="20"/>
                <w:szCs w:val="20"/>
                <w:color w:val="auto"/>
              </w:rPr>
            </w:pPr>
            <w:r>
              <w:rPr>
                <w:rFonts w:ascii="Arial" w:cs="Arial" w:eastAsia="Arial" w:hAnsi="Arial"/>
                <w:sz w:val="14"/>
                <w:szCs w:val="14"/>
                <w:color w:val="auto"/>
              </w:rPr>
              <w:t>*</w:t>
            </w:r>
          </w:p>
        </w:tc>
        <w:tc>
          <w:tcPr>
            <w:tcW w:w="1780" w:type="dxa"/>
            <w:vAlign w:val="bottom"/>
          </w:tcPr>
          <w:p>
            <w:pPr>
              <w:jc w:val="right"/>
              <w:ind w:right="448"/>
              <w:spacing w:after="0"/>
              <w:rPr>
                <w:sz w:val="20"/>
                <w:szCs w:val="20"/>
                <w:color w:val="auto"/>
              </w:rPr>
            </w:pPr>
            <w:r>
              <w:rPr>
                <w:rFonts w:ascii="Arial" w:cs="Arial" w:eastAsia="Arial" w:hAnsi="Arial"/>
                <w:sz w:val="14"/>
                <w:szCs w:val="14"/>
                <w:color w:val="auto"/>
              </w:rPr>
              <w:t>5,863</w:t>
            </w:r>
          </w:p>
        </w:tc>
        <w:tc>
          <w:tcPr>
            <w:tcW w:w="0" w:type="dxa"/>
            <w:vAlign w:val="bottom"/>
          </w:tcPr>
          <w:p>
            <w:pPr>
              <w:spacing w:after="0"/>
              <w:rPr>
                <w:sz w:val="1"/>
                <w:szCs w:val="1"/>
                <w:color w:val="auto"/>
              </w:rPr>
            </w:pPr>
          </w:p>
        </w:tc>
      </w:tr>
      <w:tr>
        <w:trPr>
          <w:trHeight w:val="22"/>
        </w:trPr>
        <w:tc>
          <w:tcPr>
            <w:tcW w:w="34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48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4"/>
                <w:szCs w:val="14"/>
                <w:color w:val="auto"/>
              </w:rPr>
              <w:t>Mary Lynne Hedley</w:t>
            </w:r>
          </w:p>
        </w:tc>
        <w:tc>
          <w:tcPr>
            <w:tcW w:w="1560" w:type="dxa"/>
            <w:vAlign w:val="bottom"/>
            <w:tcBorders>
              <w:bottom w:val="single" w:sz="8" w:color="F2F2F2"/>
            </w:tcBorders>
            <w:shd w:val="clear" w:color="auto" w:fill="F2F2F2"/>
          </w:tcPr>
          <w:p>
            <w:pPr>
              <w:jc w:val="right"/>
              <w:ind w:right="328"/>
              <w:spacing w:after="0"/>
              <w:rPr>
                <w:sz w:val="20"/>
                <w:szCs w:val="20"/>
                <w:color w:val="auto"/>
              </w:rPr>
            </w:pPr>
            <w:r>
              <w:rPr>
                <w:rFonts w:ascii="Arial" w:cs="Arial" w:eastAsia="Arial" w:hAnsi="Arial"/>
                <w:sz w:val="14"/>
                <w:szCs w:val="14"/>
                <w:color w:val="auto"/>
              </w:rPr>
              <w:t>346</w:t>
            </w:r>
          </w:p>
        </w:tc>
        <w:tc>
          <w:tcPr>
            <w:tcW w:w="1460" w:type="dxa"/>
            <w:vAlign w:val="bottom"/>
            <w:tcBorders>
              <w:bottom w:val="single" w:sz="8" w:color="F2F2F2"/>
            </w:tcBorders>
            <w:shd w:val="clear" w:color="auto" w:fill="F2F2F2"/>
          </w:tcPr>
          <w:p>
            <w:pPr>
              <w:jc w:val="center"/>
              <w:ind w:left="48"/>
              <w:spacing w:after="0"/>
              <w:rPr>
                <w:sz w:val="20"/>
                <w:szCs w:val="20"/>
                <w:color w:val="auto"/>
              </w:rPr>
            </w:pPr>
            <w:r>
              <w:rPr>
                <w:rFonts w:ascii="Arial" w:cs="Arial" w:eastAsia="Arial" w:hAnsi="Arial"/>
                <w:sz w:val="14"/>
                <w:szCs w:val="14"/>
                <w:color w:val="auto"/>
                <w:w w:val="99"/>
              </w:rPr>
              <w:t>—</w:t>
            </w:r>
          </w:p>
        </w:tc>
        <w:tc>
          <w:tcPr>
            <w:tcW w:w="8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w:t>
            </w:r>
          </w:p>
        </w:tc>
        <w:tc>
          <w:tcPr>
            <w:tcW w:w="1780" w:type="dxa"/>
            <w:vAlign w:val="bottom"/>
            <w:tcBorders>
              <w:bottom w:val="single" w:sz="8" w:color="F2F2F2"/>
            </w:tcBorders>
            <w:shd w:val="clear" w:color="auto" w:fill="F2F2F2"/>
          </w:tcPr>
          <w:p>
            <w:pPr>
              <w:jc w:val="right"/>
              <w:ind w:right="448"/>
              <w:spacing w:after="0"/>
              <w:rPr>
                <w:sz w:val="20"/>
                <w:szCs w:val="20"/>
                <w:color w:val="auto"/>
              </w:rPr>
            </w:pPr>
            <w:r>
              <w:rPr>
                <w:rFonts w:ascii="Arial" w:cs="Arial" w:eastAsia="Arial" w:hAnsi="Arial"/>
                <w:sz w:val="14"/>
                <w:szCs w:val="14"/>
                <w:color w:val="auto"/>
              </w:rPr>
              <w:t>1,656</w:t>
            </w:r>
          </w:p>
        </w:tc>
        <w:tc>
          <w:tcPr>
            <w:tcW w:w="0" w:type="dxa"/>
            <w:vAlign w:val="bottom"/>
          </w:tcPr>
          <w:p>
            <w:pPr>
              <w:spacing w:after="0"/>
              <w:rPr>
                <w:sz w:val="1"/>
                <w:szCs w:val="1"/>
                <w:color w:val="auto"/>
              </w:rPr>
            </w:pPr>
          </w:p>
        </w:tc>
      </w:tr>
      <w:tr>
        <w:trPr>
          <w:trHeight w:val="235"/>
        </w:trPr>
        <w:tc>
          <w:tcPr>
            <w:tcW w:w="3480" w:type="dxa"/>
            <w:vAlign w:val="bottom"/>
          </w:tcPr>
          <w:p>
            <w:pPr>
              <w:ind w:left="20"/>
              <w:spacing w:after="0"/>
              <w:rPr>
                <w:sz w:val="20"/>
                <w:szCs w:val="20"/>
                <w:color w:val="auto"/>
              </w:rPr>
            </w:pPr>
            <w:r>
              <w:rPr>
                <w:rFonts w:ascii="Arial" w:cs="Arial" w:eastAsia="Arial" w:hAnsi="Arial"/>
                <w:sz w:val="14"/>
                <w:szCs w:val="14"/>
                <w:color w:val="auto"/>
              </w:rPr>
              <w:t>Jamere Jackson</w:t>
            </w:r>
          </w:p>
        </w:tc>
        <w:tc>
          <w:tcPr>
            <w:tcW w:w="156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460" w:type="dxa"/>
            <w:vAlign w:val="bottom"/>
          </w:tcPr>
          <w:p>
            <w:pPr>
              <w:jc w:val="center"/>
              <w:ind w:left="48"/>
              <w:spacing w:after="0"/>
              <w:rPr>
                <w:sz w:val="20"/>
                <w:szCs w:val="20"/>
                <w:color w:val="auto"/>
              </w:rPr>
            </w:pPr>
            <w:r>
              <w:rPr>
                <w:rFonts w:ascii="Arial" w:cs="Arial" w:eastAsia="Arial" w:hAnsi="Arial"/>
                <w:sz w:val="14"/>
                <w:szCs w:val="14"/>
                <w:color w:val="auto"/>
                <w:w w:val="99"/>
              </w:rPr>
              <w:t>—</w:t>
            </w:r>
          </w:p>
        </w:tc>
        <w:tc>
          <w:tcPr>
            <w:tcW w:w="800" w:type="dxa"/>
            <w:vAlign w:val="bottom"/>
          </w:tcPr>
          <w:p>
            <w:pPr>
              <w:jc w:val="center"/>
              <w:spacing w:after="0"/>
              <w:rPr>
                <w:sz w:val="20"/>
                <w:szCs w:val="20"/>
                <w:color w:val="auto"/>
              </w:rPr>
            </w:pPr>
            <w:r>
              <w:rPr>
                <w:rFonts w:ascii="Arial" w:cs="Arial" w:eastAsia="Arial" w:hAnsi="Arial"/>
                <w:sz w:val="14"/>
                <w:szCs w:val="14"/>
                <w:color w:val="auto"/>
              </w:rPr>
              <w:t>*</w:t>
            </w:r>
          </w:p>
        </w:tc>
        <w:tc>
          <w:tcPr>
            <w:tcW w:w="1780" w:type="dxa"/>
            <w:vAlign w:val="bottom"/>
          </w:tcPr>
          <w:p>
            <w:pPr>
              <w:jc w:val="right"/>
              <w:ind w:right="448"/>
              <w:spacing w:after="0"/>
              <w:rPr>
                <w:sz w:val="20"/>
                <w:szCs w:val="20"/>
                <w:color w:val="auto"/>
              </w:rPr>
            </w:pPr>
            <w:r>
              <w:rPr>
                <w:rFonts w:ascii="Arial" w:cs="Arial" w:eastAsia="Arial" w:hAnsi="Arial"/>
                <w:sz w:val="14"/>
                <w:szCs w:val="14"/>
                <w:color w:val="auto"/>
              </w:rPr>
              <w:t>9,168</w:t>
            </w:r>
          </w:p>
        </w:tc>
        <w:tc>
          <w:tcPr>
            <w:tcW w:w="0" w:type="dxa"/>
            <w:vAlign w:val="bottom"/>
          </w:tcPr>
          <w:p>
            <w:pPr>
              <w:spacing w:after="0"/>
              <w:rPr>
                <w:sz w:val="1"/>
                <w:szCs w:val="1"/>
                <w:color w:val="auto"/>
              </w:rPr>
            </w:pPr>
          </w:p>
        </w:tc>
      </w:tr>
      <w:tr>
        <w:trPr>
          <w:trHeight w:val="22"/>
        </w:trPr>
        <w:tc>
          <w:tcPr>
            <w:tcW w:w="34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48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4"/>
                <w:szCs w:val="14"/>
                <w:color w:val="auto"/>
              </w:rPr>
              <w:t>Kimberly H. Johnson</w:t>
            </w:r>
          </w:p>
        </w:tc>
        <w:tc>
          <w:tcPr>
            <w:tcW w:w="1560" w:type="dxa"/>
            <w:vAlign w:val="bottom"/>
            <w:tcBorders>
              <w:bottom w:val="single" w:sz="8" w:color="F2F2F2"/>
            </w:tcBorders>
            <w:shd w:val="clear" w:color="auto" w:fill="F2F2F2"/>
          </w:tcPr>
          <w:p>
            <w:pPr>
              <w:jc w:val="right"/>
              <w:ind w:right="32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F2F2F2"/>
            </w:tcBorders>
            <w:shd w:val="clear" w:color="auto" w:fill="F2F2F2"/>
          </w:tcPr>
          <w:p>
            <w:pPr>
              <w:jc w:val="center"/>
              <w:ind w:left="48"/>
              <w:spacing w:after="0"/>
              <w:rPr>
                <w:sz w:val="20"/>
                <w:szCs w:val="20"/>
                <w:color w:val="auto"/>
              </w:rPr>
            </w:pPr>
            <w:r>
              <w:rPr>
                <w:rFonts w:ascii="Arial" w:cs="Arial" w:eastAsia="Arial" w:hAnsi="Arial"/>
                <w:sz w:val="14"/>
                <w:szCs w:val="14"/>
                <w:color w:val="auto"/>
                <w:w w:val="99"/>
              </w:rPr>
              <w:t>—</w:t>
            </w:r>
          </w:p>
        </w:tc>
        <w:tc>
          <w:tcPr>
            <w:tcW w:w="8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w:t>
            </w:r>
          </w:p>
        </w:tc>
        <w:tc>
          <w:tcPr>
            <w:tcW w:w="1780" w:type="dxa"/>
            <w:vAlign w:val="bottom"/>
            <w:tcBorders>
              <w:bottom w:val="single" w:sz="8" w:color="F2F2F2"/>
            </w:tcBorders>
            <w:shd w:val="clear" w:color="auto" w:fill="F2F2F2"/>
          </w:tcPr>
          <w:p>
            <w:pPr>
              <w:jc w:val="right"/>
              <w:ind w:right="448"/>
              <w:spacing w:after="0"/>
              <w:rPr>
                <w:sz w:val="20"/>
                <w:szCs w:val="20"/>
                <w:color w:val="auto"/>
              </w:rPr>
            </w:pPr>
            <w:r>
              <w:rPr>
                <w:rFonts w:ascii="Arial" w:cs="Arial" w:eastAsia="Arial" w:hAnsi="Arial"/>
                <w:sz w:val="14"/>
                <w:szCs w:val="14"/>
                <w:color w:val="auto"/>
              </w:rPr>
              <w:t>3,032</w:t>
            </w:r>
          </w:p>
        </w:tc>
        <w:tc>
          <w:tcPr>
            <w:tcW w:w="0" w:type="dxa"/>
            <w:vAlign w:val="bottom"/>
          </w:tcPr>
          <w:p>
            <w:pPr>
              <w:spacing w:after="0"/>
              <w:rPr>
                <w:sz w:val="1"/>
                <w:szCs w:val="1"/>
                <w:color w:val="auto"/>
              </w:rPr>
            </w:pPr>
          </w:p>
        </w:tc>
      </w:tr>
      <w:tr>
        <w:trPr>
          <w:trHeight w:val="235"/>
        </w:trPr>
        <w:tc>
          <w:tcPr>
            <w:tcW w:w="3480" w:type="dxa"/>
            <w:vAlign w:val="bottom"/>
          </w:tcPr>
          <w:p>
            <w:pPr>
              <w:ind w:left="20"/>
              <w:spacing w:after="0"/>
              <w:rPr>
                <w:sz w:val="20"/>
                <w:szCs w:val="20"/>
                <w:color w:val="auto"/>
              </w:rPr>
            </w:pPr>
            <w:r>
              <w:rPr>
                <w:rFonts w:ascii="Arial" w:cs="Arial" w:eastAsia="Arial" w:hAnsi="Arial"/>
                <w:sz w:val="14"/>
                <w:szCs w:val="14"/>
                <w:color w:val="auto"/>
              </w:rPr>
              <w:t>William G. Kaelin, Jr., M.D.</w:t>
            </w:r>
          </w:p>
        </w:tc>
        <w:tc>
          <w:tcPr>
            <w:tcW w:w="156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460" w:type="dxa"/>
            <w:vAlign w:val="bottom"/>
          </w:tcPr>
          <w:p>
            <w:pPr>
              <w:jc w:val="center"/>
              <w:ind w:left="48"/>
              <w:spacing w:after="0"/>
              <w:rPr>
                <w:sz w:val="20"/>
                <w:szCs w:val="20"/>
                <w:color w:val="auto"/>
              </w:rPr>
            </w:pPr>
            <w:r>
              <w:rPr>
                <w:rFonts w:ascii="Arial" w:cs="Arial" w:eastAsia="Arial" w:hAnsi="Arial"/>
                <w:sz w:val="14"/>
                <w:szCs w:val="14"/>
                <w:color w:val="auto"/>
                <w:w w:val="99"/>
              </w:rPr>
              <w:t>—</w:t>
            </w:r>
          </w:p>
        </w:tc>
        <w:tc>
          <w:tcPr>
            <w:tcW w:w="800" w:type="dxa"/>
            <w:vAlign w:val="bottom"/>
          </w:tcPr>
          <w:p>
            <w:pPr>
              <w:jc w:val="center"/>
              <w:spacing w:after="0"/>
              <w:rPr>
                <w:sz w:val="20"/>
                <w:szCs w:val="20"/>
                <w:color w:val="auto"/>
              </w:rPr>
            </w:pPr>
            <w:r>
              <w:rPr>
                <w:rFonts w:ascii="Arial" w:cs="Arial" w:eastAsia="Arial" w:hAnsi="Arial"/>
                <w:sz w:val="14"/>
                <w:szCs w:val="14"/>
                <w:color w:val="auto"/>
              </w:rPr>
              <w:t>*</w:t>
            </w:r>
          </w:p>
        </w:tc>
        <w:tc>
          <w:tcPr>
            <w:tcW w:w="1780" w:type="dxa"/>
            <w:vAlign w:val="bottom"/>
          </w:tcPr>
          <w:p>
            <w:pPr>
              <w:jc w:val="right"/>
              <w:ind w:right="448"/>
              <w:spacing w:after="0"/>
              <w:rPr>
                <w:sz w:val="20"/>
                <w:szCs w:val="20"/>
                <w:color w:val="auto"/>
              </w:rPr>
            </w:pPr>
            <w:r>
              <w:rPr>
                <w:rFonts w:ascii="Arial" w:cs="Arial" w:eastAsia="Arial" w:hAnsi="Arial"/>
                <w:sz w:val="14"/>
                <w:szCs w:val="14"/>
                <w:color w:val="auto"/>
              </w:rPr>
              <w:t>21,499</w:t>
            </w:r>
          </w:p>
        </w:tc>
        <w:tc>
          <w:tcPr>
            <w:tcW w:w="0" w:type="dxa"/>
            <w:vAlign w:val="bottom"/>
          </w:tcPr>
          <w:p>
            <w:pPr>
              <w:spacing w:after="0"/>
              <w:rPr>
                <w:sz w:val="1"/>
                <w:szCs w:val="1"/>
                <w:color w:val="auto"/>
              </w:rPr>
            </w:pPr>
          </w:p>
        </w:tc>
      </w:tr>
      <w:tr>
        <w:trPr>
          <w:trHeight w:val="22"/>
        </w:trPr>
        <w:tc>
          <w:tcPr>
            <w:tcW w:w="34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48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4"/>
                <w:szCs w:val="14"/>
                <w:color w:val="auto"/>
              </w:rPr>
              <w:t>Juan R. Luciano</w:t>
            </w:r>
          </w:p>
        </w:tc>
        <w:tc>
          <w:tcPr>
            <w:tcW w:w="1560" w:type="dxa"/>
            <w:vAlign w:val="bottom"/>
            <w:tcBorders>
              <w:bottom w:val="single" w:sz="8" w:color="F2F2F2"/>
            </w:tcBorders>
            <w:shd w:val="clear" w:color="auto" w:fill="F2F2F2"/>
          </w:tcPr>
          <w:p>
            <w:pPr>
              <w:jc w:val="right"/>
              <w:ind w:right="32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F2F2F2"/>
            </w:tcBorders>
            <w:shd w:val="clear" w:color="auto" w:fill="F2F2F2"/>
          </w:tcPr>
          <w:p>
            <w:pPr>
              <w:jc w:val="center"/>
              <w:ind w:left="48"/>
              <w:spacing w:after="0"/>
              <w:rPr>
                <w:sz w:val="20"/>
                <w:szCs w:val="20"/>
                <w:color w:val="auto"/>
              </w:rPr>
            </w:pPr>
            <w:r>
              <w:rPr>
                <w:rFonts w:ascii="Arial" w:cs="Arial" w:eastAsia="Arial" w:hAnsi="Arial"/>
                <w:sz w:val="14"/>
                <w:szCs w:val="14"/>
                <w:color w:val="auto"/>
                <w:w w:val="99"/>
              </w:rPr>
              <w:t>—</w:t>
            </w:r>
          </w:p>
        </w:tc>
        <w:tc>
          <w:tcPr>
            <w:tcW w:w="8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w:t>
            </w:r>
          </w:p>
        </w:tc>
        <w:tc>
          <w:tcPr>
            <w:tcW w:w="1780" w:type="dxa"/>
            <w:vAlign w:val="bottom"/>
            <w:tcBorders>
              <w:bottom w:val="single" w:sz="8" w:color="F2F2F2"/>
            </w:tcBorders>
            <w:shd w:val="clear" w:color="auto" w:fill="F2F2F2"/>
          </w:tcPr>
          <w:p>
            <w:pPr>
              <w:jc w:val="right"/>
              <w:ind w:right="448"/>
              <w:spacing w:after="0"/>
              <w:rPr>
                <w:sz w:val="20"/>
                <w:szCs w:val="20"/>
                <w:color w:val="auto"/>
              </w:rPr>
            </w:pPr>
            <w:r>
              <w:rPr>
                <w:rFonts w:ascii="Arial" w:cs="Arial" w:eastAsia="Arial" w:hAnsi="Arial"/>
                <w:sz w:val="14"/>
                <w:szCs w:val="14"/>
                <w:color w:val="auto"/>
              </w:rPr>
              <w:t>16,229</w:t>
            </w:r>
          </w:p>
        </w:tc>
        <w:tc>
          <w:tcPr>
            <w:tcW w:w="0" w:type="dxa"/>
            <w:vAlign w:val="bottom"/>
          </w:tcPr>
          <w:p>
            <w:pPr>
              <w:spacing w:after="0"/>
              <w:rPr>
                <w:sz w:val="1"/>
                <w:szCs w:val="1"/>
                <w:color w:val="auto"/>
              </w:rPr>
            </w:pPr>
          </w:p>
        </w:tc>
      </w:tr>
      <w:tr>
        <w:trPr>
          <w:trHeight w:val="235"/>
        </w:trPr>
        <w:tc>
          <w:tcPr>
            <w:tcW w:w="3480" w:type="dxa"/>
            <w:vAlign w:val="bottom"/>
          </w:tcPr>
          <w:p>
            <w:pPr>
              <w:ind w:left="20"/>
              <w:spacing w:after="0"/>
              <w:rPr>
                <w:sz w:val="20"/>
                <w:szCs w:val="20"/>
                <w:color w:val="auto"/>
              </w:rPr>
            </w:pPr>
            <w:r>
              <w:rPr>
                <w:rFonts w:ascii="Arial" w:cs="Arial" w:eastAsia="Arial" w:hAnsi="Arial"/>
                <w:sz w:val="14"/>
                <w:szCs w:val="14"/>
                <w:color w:val="auto"/>
              </w:rPr>
              <w:t>Jonathan Moeller</w:t>
            </w:r>
          </w:p>
        </w:tc>
        <w:tc>
          <w:tcPr>
            <w:tcW w:w="1560" w:type="dxa"/>
            <w:vAlign w:val="bottom"/>
          </w:tcPr>
          <w:p>
            <w:pPr>
              <w:jc w:val="right"/>
              <w:ind w:right="328"/>
              <w:spacing w:after="0"/>
              <w:rPr>
                <w:sz w:val="20"/>
                <w:szCs w:val="20"/>
                <w:color w:val="auto"/>
              </w:rPr>
            </w:pPr>
            <w:r>
              <w:rPr>
                <w:rFonts w:ascii="Arial" w:cs="Arial" w:eastAsia="Arial" w:hAnsi="Arial"/>
                <w:sz w:val="14"/>
                <w:szCs w:val="14"/>
                <w:color w:val="auto"/>
              </w:rPr>
              <w:t>71</w:t>
            </w:r>
          </w:p>
        </w:tc>
        <w:tc>
          <w:tcPr>
            <w:tcW w:w="1460" w:type="dxa"/>
            <w:vAlign w:val="bottom"/>
          </w:tcPr>
          <w:p>
            <w:pPr>
              <w:jc w:val="center"/>
              <w:ind w:left="48"/>
              <w:spacing w:after="0"/>
              <w:rPr>
                <w:sz w:val="20"/>
                <w:szCs w:val="20"/>
                <w:color w:val="auto"/>
              </w:rPr>
            </w:pPr>
            <w:r>
              <w:rPr>
                <w:rFonts w:ascii="Arial" w:cs="Arial" w:eastAsia="Arial" w:hAnsi="Arial"/>
                <w:sz w:val="14"/>
                <w:szCs w:val="14"/>
                <w:color w:val="auto"/>
                <w:w w:val="99"/>
              </w:rPr>
              <w:t>—</w:t>
            </w:r>
          </w:p>
        </w:tc>
        <w:tc>
          <w:tcPr>
            <w:tcW w:w="800" w:type="dxa"/>
            <w:vAlign w:val="bottom"/>
          </w:tcPr>
          <w:p>
            <w:pPr>
              <w:jc w:val="center"/>
              <w:spacing w:after="0"/>
              <w:rPr>
                <w:sz w:val="20"/>
                <w:szCs w:val="20"/>
                <w:color w:val="auto"/>
              </w:rPr>
            </w:pPr>
            <w:r>
              <w:rPr>
                <w:rFonts w:ascii="Arial" w:cs="Arial" w:eastAsia="Arial" w:hAnsi="Arial"/>
                <w:sz w:val="14"/>
                <w:szCs w:val="14"/>
                <w:color w:val="auto"/>
              </w:rPr>
              <w:t>*</w:t>
            </w:r>
          </w:p>
        </w:tc>
        <w:tc>
          <w:tcPr>
            <w:tcW w:w="1780" w:type="dxa"/>
            <w:vAlign w:val="bottom"/>
          </w:tcPr>
          <w:p>
            <w:pPr>
              <w:jc w:val="right"/>
              <w:ind w:right="4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34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48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4"/>
                <w:szCs w:val="14"/>
                <w:color w:val="auto"/>
              </w:rPr>
              <w:t>Lucas Montarce</w:t>
            </w:r>
          </w:p>
        </w:tc>
        <w:tc>
          <w:tcPr>
            <w:tcW w:w="1560" w:type="dxa"/>
            <w:vAlign w:val="bottom"/>
            <w:tcBorders>
              <w:bottom w:val="single" w:sz="8" w:color="F2F2F2"/>
            </w:tcBorders>
            <w:shd w:val="clear" w:color="auto" w:fill="F2F2F2"/>
          </w:tcPr>
          <w:p>
            <w:pPr>
              <w:jc w:val="right"/>
              <w:ind w:right="328"/>
              <w:spacing w:after="0"/>
              <w:rPr>
                <w:sz w:val="20"/>
                <w:szCs w:val="20"/>
                <w:color w:val="auto"/>
              </w:rPr>
            </w:pPr>
            <w:r>
              <w:rPr>
                <w:rFonts w:ascii="Arial" w:cs="Arial" w:eastAsia="Arial" w:hAnsi="Arial"/>
                <w:sz w:val="14"/>
                <w:szCs w:val="14"/>
                <w:color w:val="auto"/>
              </w:rPr>
              <w:t>13,973</w:t>
            </w:r>
          </w:p>
        </w:tc>
        <w:tc>
          <w:tcPr>
            <w:tcW w:w="1460" w:type="dxa"/>
            <w:vAlign w:val="bottom"/>
            <w:tcBorders>
              <w:bottom w:val="single" w:sz="8" w:color="F2F2F2"/>
            </w:tcBorders>
            <w:shd w:val="clear" w:color="auto" w:fill="F2F2F2"/>
          </w:tcPr>
          <w:p>
            <w:pPr>
              <w:jc w:val="center"/>
              <w:ind w:left="48"/>
              <w:spacing w:after="0"/>
              <w:rPr>
                <w:sz w:val="20"/>
                <w:szCs w:val="20"/>
                <w:color w:val="auto"/>
              </w:rPr>
            </w:pPr>
            <w:r>
              <w:rPr>
                <w:rFonts w:ascii="Arial" w:cs="Arial" w:eastAsia="Arial" w:hAnsi="Arial"/>
                <w:sz w:val="14"/>
                <w:szCs w:val="14"/>
                <w:color w:val="auto"/>
                <w:w w:val="99"/>
              </w:rPr>
              <w:t>—</w:t>
            </w:r>
          </w:p>
        </w:tc>
        <w:tc>
          <w:tcPr>
            <w:tcW w:w="8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w:t>
            </w:r>
          </w:p>
        </w:tc>
        <w:tc>
          <w:tcPr>
            <w:tcW w:w="1780" w:type="dxa"/>
            <w:vAlign w:val="bottom"/>
            <w:tcBorders>
              <w:bottom w:val="single" w:sz="8" w:color="F2F2F2"/>
            </w:tcBorders>
            <w:shd w:val="clear" w:color="auto" w:fill="F2F2F2"/>
          </w:tcPr>
          <w:p>
            <w:pPr>
              <w:jc w:val="right"/>
              <w:ind w:right="448"/>
              <w:spacing w:after="0"/>
              <w:rPr>
                <w:sz w:val="20"/>
                <w:szCs w:val="20"/>
                <w:color w:val="auto"/>
              </w:rPr>
            </w:pPr>
            <w:r>
              <w:rPr>
                <w:rFonts w:ascii="Arial" w:cs="Arial" w:eastAsia="Arial" w:hAnsi="Arial"/>
                <w:sz w:val="14"/>
                <w:szCs w:val="14"/>
                <w:color w:val="auto"/>
              </w:rPr>
              <w:t>2,349</w:t>
            </w:r>
          </w:p>
        </w:tc>
        <w:tc>
          <w:tcPr>
            <w:tcW w:w="0" w:type="dxa"/>
            <w:vAlign w:val="bottom"/>
          </w:tcPr>
          <w:p>
            <w:pPr>
              <w:spacing w:after="0"/>
              <w:rPr>
                <w:sz w:val="1"/>
                <w:szCs w:val="1"/>
                <w:color w:val="auto"/>
              </w:rPr>
            </w:pPr>
          </w:p>
        </w:tc>
      </w:tr>
      <w:tr>
        <w:trPr>
          <w:trHeight w:val="256"/>
        </w:trPr>
        <w:tc>
          <w:tcPr>
            <w:tcW w:w="3480" w:type="dxa"/>
            <w:vAlign w:val="bottom"/>
          </w:tcPr>
          <w:p>
            <w:pPr>
              <w:ind w:left="20"/>
              <w:spacing w:after="0"/>
              <w:rPr>
                <w:sz w:val="20"/>
                <w:szCs w:val="20"/>
                <w:color w:val="auto"/>
              </w:rPr>
            </w:pPr>
            <w:r>
              <w:rPr>
                <w:rFonts w:ascii="Arial" w:cs="Arial" w:eastAsia="Arial" w:hAnsi="Arial"/>
                <w:sz w:val="14"/>
                <w:szCs w:val="14"/>
                <w:color w:val="auto"/>
              </w:rPr>
              <w:t>David A. Ricks</w:t>
            </w:r>
            <w:r>
              <w:rPr>
                <w:rFonts w:ascii="Arial" w:cs="Arial" w:eastAsia="Arial" w:hAnsi="Arial"/>
                <w:sz w:val="18"/>
                <w:szCs w:val="18"/>
                <w:color w:val="auto"/>
                <w:vertAlign w:val="superscript"/>
              </w:rPr>
              <w:t>5</w:t>
            </w:r>
          </w:p>
        </w:tc>
        <w:tc>
          <w:tcPr>
            <w:tcW w:w="1560" w:type="dxa"/>
            <w:vAlign w:val="bottom"/>
          </w:tcPr>
          <w:p>
            <w:pPr>
              <w:jc w:val="right"/>
              <w:ind w:right="328"/>
              <w:spacing w:after="0"/>
              <w:rPr>
                <w:sz w:val="20"/>
                <w:szCs w:val="20"/>
                <w:color w:val="auto"/>
              </w:rPr>
            </w:pPr>
            <w:r>
              <w:rPr>
                <w:rFonts w:ascii="Arial" w:cs="Arial" w:eastAsia="Arial" w:hAnsi="Arial"/>
                <w:sz w:val="14"/>
                <w:szCs w:val="14"/>
                <w:color w:val="auto"/>
              </w:rPr>
              <w:t>757,308</w:t>
            </w:r>
          </w:p>
        </w:tc>
        <w:tc>
          <w:tcPr>
            <w:tcW w:w="1460" w:type="dxa"/>
            <w:vAlign w:val="bottom"/>
          </w:tcPr>
          <w:p>
            <w:pPr>
              <w:jc w:val="center"/>
              <w:ind w:left="48"/>
              <w:spacing w:after="0"/>
              <w:rPr>
                <w:sz w:val="20"/>
                <w:szCs w:val="20"/>
                <w:color w:val="auto"/>
              </w:rPr>
            </w:pPr>
            <w:r>
              <w:rPr>
                <w:rFonts w:ascii="Arial" w:cs="Arial" w:eastAsia="Arial" w:hAnsi="Arial"/>
                <w:sz w:val="14"/>
                <w:szCs w:val="14"/>
                <w:color w:val="auto"/>
                <w:w w:val="99"/>
              </w:rPr>
              <w:t>—</w:t>
            </w:r>
          </w:p>
        </w:tc>
        <w:tc>
          <w:tcPr>
            <w:tcW w:w="800" w:type="dxa"/>
            <w:vAlign w:val="bottom"/>
          </w:tcPr>
          <w:p>
            <w:pPr>
              <w:jc w:val="center"/>
              <w:spacing w:after="0"/>
              <w:rPr>
                <w:sz w:val="20"/>
                <w:szCs w:val="20"/>
                <w:color w:val="auto"/>
              </w:rPr>
            </w:pPr>
            <w:r>
              <w:rPr>
                <w:rFonts w:ascii="Arial" w:cs="Arial" w:eastAsia="Arial" w:hAnsi="Arial"/>
                <w:sz w:val="14"/>
                <w:szCs w:val="14"/>
                <w:color w:val="auto"/>
              </w:rPr>
              <w:t>*</w:t>
            </w:r>
          </w:p>
        </w:tc>
        <w:tc>
          <w:tcPr>
            <w:tcW w:w="1780" w:type="dxa"/>
            <w:vAlign w:val="bottom"/>
          </w:tcPr>
          <w:p>
            <w:pPr>
              <w:jc w:val="right"/>
              <w:ind w:right="448"/>
              <w:spacing w:after="0"/>
              <w:rPr>
                <w:sz w:val="20"/>
                <w:szCs w:val="20"/>
                <w:color w:val="auto"/>
              </w:rPr>
            </w:pPr>
            <w:r>
              <w:rPr>
                <w:rFonts w:ascii="Arial" w:cs="Arial" w:eastAsia="Arial" w:hAnsi="Arial"/>
                <w:sz w:val="14"/>
                <w:szCs w:val="14"/>
                <w:color w:val="auto"/>
              </w:rPr>
              <w:t>27,941</w:t>
            </w:r>
          </w:p>
        </w:tc>
        <w:tc>
          <w:tcPr>
            <w:tcW w:w="0" w:type="dxa"/>
            <w:vAlign w:val="bottom"/>
          </w:tcPr>
          <w:p>
            <w:pPr>
              <w:spacing w:after="0"/>
              <w:rPr>
                <w:sz w:val="1"/>
                <w:szCs w:val="1"/>
                <w:color w:val="auto"/>
              </w:rPr>
            </w:pPr>
          </w:p>
        </w:tc>
      </w:tr>
      <w:tr>
        <w:trPr>
          <w:trHeight w:val="237"/>
        </w:trPr>
        <w:tc>
          <w:tcPr>
            <w:tcW w:w="348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4"/>
                <w:szCs w:val="14"/>
                <w:color w:val="auto"/>
              </w:rPr>
              <w:t>Daniel Skovronsky, M.D., Ph.D.</w:t>
            </w:r>
          </w:p>
        </w:tc>
        <w:tc>
          <w:tcPr>
            <w:tcW w:w="1560" w:type="dxa"/>
            <w:vAlign w:val="bottom"/>
            <w:tcBorders>
              <w:bottom w:val="single" w:sz="8" w:color="F2F2F2"/>
            </w:tcBorders>
            <w:shd w:val="clear" w:color="auto" w:fill="F2F2F2"/>
          </w:tcPr>
          <w:p>
            <w:pPr>
              <w:jc w:val="right"/>
              <w:ind w:right="328"/>
              <w:spacing w:after="0"/>
              <w:rPr>
                <w:sz w:val="20"/>
                <w:szCs w:val="20"/>
                <w:color w:val="auto"/>
              </w:rPr>
            </w:pPr>
            <w:r>
              <w:rPr>
                <w:rFonts w:ascii="Arial" w:cs="Arial" w:eastAsia="Arial" w:hAnsi="Arial"/>
                <w:sz w:val="14"/>
                <w:szCs w:val="14"/>
                <w:color w:val="auto"/>
              </w:rPr>
              <w:t>212,276</w:t>
            </w:r>
          </w:p>
        </w:tc>
        <w:tc>
          <w:tcPr>
            <w:tcW w:w="1460" w:type="dxa"/>
            <w:vAlign w:val="bottom"/>
            <w:tcBorders>
              <w:bottom w:val="single" w:sz="8" w:color="F2F2F2"/>
            </w:tcBorders>
            <w:shd w:val="clear" w:color="auto" w:fill="F2F2F2"/>
          </w:tcPr>
          <w:p>
            <w:pPr>
              <w:jc w:val="center"/>
              <w:ind w:left="48"/>
              <w:spacing w:after="0"/>
              <w:rPr>
                <w:sz w:val="20"/>
                <w:szCs w:val="20"/>
                <w:color w:val="auto"/>
              </w:rPr>
            </w:pPr>
            <w:r>
              <w:rPr>
                <w:rFonts w:ascii="Arial" w:cs="Arial" w:eastAsia="Arial" w:hAnsi="Arial"/>
                <w:sz w:val="14"/>
                <w:szCs w:val="14"/>
                <w:color w:val="auto"/>
                <w:w w:val="99"/>
              </w:rPr>
              <w:t>—</w:t>
            </w:r>
          </w:p>
        </w:tc>
        <w:tc>
          <w:tcPr>
            <w:tcW w:w="8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w:t>
            </w:r>
          </w:p>
        </w:tc>
        <w:tc>
          <w:tcPr>
            <w:tcW w:w="1780" w:type="dxa"/>
            <w:vAlign w:val="bottom"/>
            <w:tcBorders>
              <w:bottom w:val="single" w:sz="8" w:color="F2F2F2"/>
            </w:tcBorders>
            <w:shd w:val="clear" w:color="auto" w:fill="F2F2F2"/>
          </w:tcPr>
          <w:p>
            <w:pPr>
              <w:jc w:val="right"/>
              <w:ind w:right="448"/>
              <w:spacing w:after="0"/>
              <w:rPr>
                <w:sz w:val="20"/>
                <w:szCs w:val="20"/>
                <w:color w:val="auto"/>
              </w:rPr>
            </w:pPr>
            <w:r>
              <w:rPr>
                <w:rFonts w:ascii="Arial" w:cs="Arial" w:eastAsia="Arial" w:hAnsi="Arial"/>
                <w:sz w:val="14"/>
                <w:szCs w:val="14"/>
                <w:color w:val="auto"/>
              </w:rPr>
              <w:t>11,099</w:t>
            </w:r>
          </w:p>
        </w:tc>
        <w:tc>
          <w:tcPr>
            <w:tcW w:w="0" w:type="dxa"/>
            <w:vAlign w:val="bottom"/>
          </w:tcPr>
          <w:p>
            <w:pPr>
              <w:spacing w:after="0"/>
              <w:rPr>
                <w:sz w:val="1"/>
                <w:szCs w:val="1"/>
                <w:color w:val="auto"/>
              </w:rPr>
            </w:pPr>
          </w:p>
        </w:tc>
      </w:tr>
      <w:tr>
        <w:trPr>
          <w:trHeight w:val="235"/>
        </w:trPr>
        <w:tc>
          <w:tcPr>
            <w:tcW w:w="3480" w:type="dxa"/>
            <w:vAlign w:val="bottom"/>
          </w:tcPr>
          <w:p>
            <w:pPr>
              <w:ind w:left="20"/>
              <w:spacing w:after="0"/>
              <w:rPr>
                <w:sz w:val="20"/>
                <w:szCs w:val="20"/>
                <w:color w:val="auto"/>
              </w:rPr>
            </w:pPr>
            <w:r>
              <w:rPr>
                <w:rFonts w:ascii="Arial" w:cs="Arial" w:eastAsia="Arial" w:hAnsi="Arial"/>
                <w:sz w:val="14"/>
                <w:szCs w:val="14"/>
                <w:color w:val="auto"/>
              </w:rPr>
              <w:t>Gabrielle Sulzberger</w:t>
            </w:r>
          </w:p>
        </w:tc>
        <w:tc>
          <w:tcPr>
            <w:tcW w:w="156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460" w:type="dxa"/>
            <w:vAlign w:val="bottom"/>
          </w:tcPr>
          <w:p>
            <w:pPr>
              <w:jc w:val="center"/>
              <w:ind w:left="48"/>
              <w:spacing w:after="0"/>
              <w:rPr>
                <w:sz w:val="20"/>
                <w:szCs w:val="20"/>
                <w:color w:val="auto"/>
              </w:rPr>
            </w:pPr>
            <w:r>
              <w:rPr>
                <w:rFonts w:ascii="Arial" w:cs="Arial" w:eastAsia="Arial" w:hAnsi="Arial"/>
                <w:sz w:val="14"/>
                <w:szCs w:val="14"/>
                <w:color w:val="auto"/>
                <w:w w:val="99"/>
              </w:rPr>
              <w:t>—</w:t>
            </w:r>
          </w:p>
        </w:tc>
        <w:tc>
          <w:tcPr>
            <w:tcW w:w="800" w:type="dxa"/>
            <w:vAlign w:val="bottom"/>
          </w:tcPr>
          <w:p>
            <w:pPr>
              <w:jc w:val="center"/>
              <w:spacing w:after="0"/>
              <w:rPr>
                <w:sz w:val="20"/>
                <w:szCs w:val="20"/>
                <w:color w:val="auto"/>
              </w:rPr>
            </w:pPr>
            <w:r>
              <w:rPr>
                <w:rFonts w:ascii="Arial" w:cs="Arial" w:eastAsia="Arial" w:hAnsi="Arial"/>
                <w:sz w:val="14"/>
                <w:szCs w:val="14"/>
                <w:color w:val="auto"/>
              </w:rPr>
              <w:t>*</w:t>
            </w:r>
          </w:p>
        </w:tc>
        <w:tc>
          <w:tcPr>
            <w:tcW w:w="1780" w:type="dxa"/>
            <w:vAlign w:val="bottom"/>
          </w:tcPr>
          <w:p>
            <w:pPr>
              <w:jc w:val="right"/>
              <w:ind w:right="448"/>
              <w:spacing w:after="0"/>
              <w:rPr>
                <w:sz w:val="20"/>
                <w:szCs w:val="20"/>
                <w:color w:val="auto"/>
              </w:rPr>
            </w:pPr>
            <w:r>
              <w:rPr>
                <w:rFonts w:ascii="Arial" w:cs="Arial" w:eastAsia="Arial" w:hAnsi="Arial"/>
                <w:sz w:val="14"/>
                <w:szCs w:val="14"/>
                <w:color w:val="auto"/>
              </w:rPr>
              <w:t>2,545</w:t>
            </w:r>
          </w:p>
        </w:tc>
        <w:tc>
          <w:tcPr>
            <w:tcW w:w="0" w:type="dxa"/>
            <w:vAlign w:val="bottom"/>
          </w:tcPr>
          <w:p>
            <w:pPr>
              <w:spacing w:after="0"/>
              <w:rPr>
                <w:sz w:val="1"/>
                <w:szCs w:val="1"/>
                <w:color w:val="auto"/>
              </w:rPr>
            </w:pPr>
          </w:p>
        </w:tc>
      </w:tr>
      <w:tr>
        <w:trPr>
          <w:trHeight w:val="22"/>
        </w:trPr>
        <w:tc>
          <w:tcPr>
            <w:tcW w:w="34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348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4"/>
                <w:szCs w:val="14"/>
                <w:color w:val="auto"/>
              </w:rPr>
              <w:t>Jake Van Naarden</w:t>
            </w:r>
          </w:p>
        </w:tc>
        <w:tc>
          <w:tcPr>
            <w:tcW w:w="1560" w:type="dxa"/>
            <w:vAlign w:val="bottom"/>
            <w:tcBorders>
              <w:bottom w:val="single" w:sz="8" w:color="F2F2F2"/>
            </w:tcBorders>
            <w:shd w:val="clear" w:color="auto" w:fill="F2F2F2"/>
          </w:tcPr>
          <w:p>
            <w:pPr>
              <w:jc w:val="right"/>
              <w:ind w:right="328"/>
              <w:spacing w:after="0"/>
              <w:rPr>
                <w:sz w:val="20"/>
                <w:szCs w:val="20"/>
                <w:color w:val="auto"/>
              </w:rPr>
            </w:pPr>
            <w:r>
              <w:rPr>
                <w:rFonts w:ascii="Arial" w:cs="Arial" w:eastAsia="Arial" w:hAnsi="Arial"/>
                <w:sz w:val="14"/>
                <w:szCs w:val="14"/>
                <w:color w:val="auto"/>
              </w:rPr>
              <w:t>28,206</w:t>
            </w:r>
          </w:p>
        </w:tc>
        <w:tc>
          <w:tcPr>
            <w:tcW w:w="1460" w:type="dxa"/>
            <w:vAlign w:val="bottom"/>
            <w:tcBorders>
              <w:bottom w:val="single" w:sz="8" w:color="F2F2F2"/>
            </w:tcBorders>
            <w:shd w:val="clear" w:color="auto" w:fill="F2F2F2"/>
          </w:tcPr>
          <w:p>
            <w:pPr>
              <w:jc w:val="center"/>
              <w:ind w:left="48"/>
              <w:spacing w:after="0"/>
              <w:rPr>
                <w:sz w:val="20"/>
                <w:szCs w:val="20"/>
                <w:color w:val="auto"/>
              </w:rPr>
            </w:pPr>
            <w:r>
              <w:rPr>
                <w:rFonts w:ascii="Arial" w:cs="Arial" w:eastAsia="Arial" w:hAnsi="Arial"/>
                <w:sz w:val="14"/>
                <w:szCs w:val="14"/>
                <w:color w:val="auto"/>
                <w:w w:val="99"/>
              </w:rPr>
              <w:t>—</w:t>
            </w:r>
          </w:p>
        </w:tc>
        <w:tc>
          <w:tcPr>
            <w:tcW w:w="8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w:t>
            </w:r>
          </w:p>
        </w:tc>
        <w:tc>
          <w:tcPr>
            <w:tcW w:w="1780" w:type="dxa"/>
            <w:vAlign w:val="bottom"/>
            <w:tcBorders>
              <w:bottom w:val="single" w:sz="8" w:color="F2F2F2"/>
            </w:tcBorders>
            <w:shd w:val="clear" w:color="auto" w:fill="F2F2F2"/>
          </w:tcPr>
          <w:p>
            <w:pPr>
              <w:jc w:val="right"/>
              <w:ind w:right="448"/>
              <w:spacing w:after="0"/>
              <w:rPr>
                <w:sz w:val="20"/>
                <w:szCs w:val="20"/>
                <w:color w:val="auto"/>
              </w:rPr>
            </w:pPr>
            <w:r>
              <w:rPr>
                <w:rFonts w:ascii="Arial" w:cs="Arial" w:eastAsia="Arial" w:hAnsi="Arial"/>
                <w:sz w:val="14"/>
                <w:szCs w:val="14"/>
                <w:color w:val="auto"/>
              </w:rPr>
              <w:t>3,595</w:t>
            </w:r>
          </w:p>
        </w:tc>
        <w:tc>
          <w:tcPr>
            <w:tcW w:w="0" w:type="dxa"/>
            <w:vAlign w:val="bottom"/>
          </w:tcPr>
          <w:p>
            <w:pPr>
              <w:spacing w:after="0"/>
              <w:rPr>
                <w:sz w:val="1"/>
                <w:szCs w:val="1"/>
                <w:color w:val="auto"/>
              </w:rPr>
            </w:pPr>
          </w:p>
        </w:tc>
      </w:tr>
      <w:tr>
        <w:trPr>
          <w:trHeight w:val="295"/>
        </w:trPr>
        <w:tc>
          <w:tcPr>
            <w:tcW w:w="3480" w:type="dxa"/>
            <w:vAlign w:val="bottom"/>
            <w:tcBorders>
              <w:top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All directors and current executive officers as</w:t>
            </w:r>
          </w:p>
        </w:tc>
        <w:tc>
          <w:tcPr>
            <w:tcW w:w="156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7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480" w:type="dxa"/>
            <w:vAlign w:val="bottom"/>
          </w:tcPr>
          <w:p>
            <w:pPr>
              <w:jc w:val="right"/>
              <w:ind w:right="168"/>
              <w:spacing w:after="0"/>
              <w:rPr>
                <w:sz w:val="20"/>
                <w:szCs w:val="20"/>
                <w:color w:val="auto"/>
              </w:rPr>
            </w:pPr>
            <w:r>
              <w:rPr>
                <w:rFonts w:ascii="Arial" w:cs="Arial" w:eastAsia="Arial" w:hAnsi="Arial"/>
                <w:sz w:val="14"/>
                <w:szCs w:val="14"/>
                <w:b w:val="1"/>
                <w:bCs w:val="1"/>
                <w:color w:val="auto"/>
              </w:rPr>
              <w:t>a group (22 people):</w:t>
            </w:r>
          </w:p>
        </w:tc>
        <w:tc>
          <w:tcPr>
            <w:tcW w:w="156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1,280,628</w:t>
            </w:r>
          </w:p>
        </w:tc>
        <w:tc>
          <w:tcPr>
            <w:tcW w:w="1460" w:type="dxa"/>
            <w:vAlign w:val="bottom"/>
            <w:vMerge w:val="restart"/>
          </w:tcPr>
          <w:p>
            <w:pPr>
              <w:jc w:val="center"/>
              <w:ind w:left="48"/>
              <w:spacing w:after="0"/>
              <w:rPr>
                <w:sz w:val="20"/>
                <w:szCs w:val="20"/>
                <w:color w:val="auto"/>
              </w:rPr>
            </w:pPr>
            <w:r>
              <w:rPr>
                <w:rFonts w:ascii="Arial" w:cs="Arial" w:eastAsia="Arial" w:hAnsi="Arial"/>
                <w:sz w:val="14"/>
                <w:szCs w:val="14"/>
                <w:b w:val="1"/>
                <w:bCs w:val="1"/>
                <w:color w:val="auto"/>
                <w:w w:val="99"/>
              </w:rPr>
              <w:t>—</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auto"/>
              </w:rPr>
              <w:t>*</w:t>
            </w:r>
          </w:p>
        </w:tc>
        <w:tc>
          <w:tcPr>
            <w:tcW w:w="1780" w:type="dxa"/>
            <w:vAlign w:val="bottom"/>
            <w:vMerge w:val="restart"/>
          </w:tcPr>
          <w:p>
            <w:pPr>
              <w:jc w:val="right"/>
              <w:ind w:right="448"/>
              <w:spacing w:after="0"/>
              <w:rPr>
                <w:sz w:val="20"/>
                <w:szCs w:val="20"/>
                <w:color w:val="auto"/>
              </w:rPr>
            </w:pPr>
            <w:r>
              <w:rPr>
                <w:rFonts w:ascii="Arial" w:cs="Arial" w:eastAsia="Arial" w:hAnsi="Arial"/>
                <w:sz w:val="14"/>
                <w:szCs w:val="14"/>
                <w:b w:val="1"/>
                <w:bCs w:val="1"/>
                <w:color w:val="auto"/>
              </w:rPr>
              <w:t>290,195</w:t>
            </w:r>
          </w:p>
        </w:tc>
        <w:tc>
          <w:tcPr>
            <w:tcW w:w="0" w:type="dxa"/>
            <w:vAlign w:val="bottom"/>
          </w:tcPr>
          <w:p>
            <w:pPr>
              <w:spacing w:after="0"/>
              <w:rPr>
                <w:sz w:val="1"/>
                <w:szCs w:val="1"/>
                <w:color w:val="auto"/>
              </w:rPr>
            </w:pPr>
          </w:p>
        </w:tc>
      </w:tr>
      <w:tr>
        <w:trPr>
          <w:trHeight w:val="63"/>
        </w:trPr>
        <w:tc>
          <w:tcPr>
            <w:tcW w:w="3480" w:type="dxa"/>
            <w:vAlign w:val="bottom"/>
            <w:tcBorders>
              <w:bottom w:val="single" w:sz="8" w:color="auto"/>
            </w:tcBorders>
          </w:tcPr>
          <w:p>
            <w:pPr>
              <w:spacing w:after="0"/>
              <w:rPr>
                <w:sz w:val="5"/>
                <w:szCs w:val="5"/>
                <w:color w:val="auto"/>
              </w:rPr>
            </w:pPr>
          </w:p>
        </w:tc>
        <w:tc>
          <w:tcPr>
            <w:tcW w:w="1560" w:type="dxa"/>
            <w:vAlign w:val="bottom"/>
            <w:tcBorders>
              <w:bottom w:val="single" w:sz="8" w:color="auto"/>
            </w:tcBorders>
            <w:vMerge w:val="continue"/>
          </w:tcPr>
          <w:p>
            <w:pPr>
              <w:spacing w:after="0"/>
              <w:rPr>
                <w:sz w:val="5"/>
                <w:szCs w:val="5"/>
                <w:color w:val="auto"/>
              </w:rPr>
            </w:pPr>
          </w:p>
        </w:tc>
        <w:tc>
          <w:tcPr>
            <w:tcW w:w="1460" w:type="dxa"/>
            <w:vAlign w:val="bottom"/>
            <w:tcBorders>
              <w:bottom w:val="single" w:sz="8" w:color="auto"/>
            </w:tcBorders>
            <w:vMerge w:val="continue"/>
          </w:tcPr>
          <w:p>
            <w:pPr>
              <w:spacing w:after="0"/>
              <w:rPr>
                <w:sz w:val="5"/>
                <w:szCs w:val="5"/>
                <w:color w:val="auto"/>
              </w:rPr>
            </w:pPr>
          </w:p>
        </w:tc>
        <w:tc>
          <w:tcPr>
            <w:tcW w:w="800" w:type="dxa"/>
            <w:vAlign w:val="bottom"/>
            <w:tcBorders>
              <w:bottom w:val="single" w:sz="8" w:color="auto"/>
            </w:tcBorders>
            <w:vMerge w:val="continue"/>
          </w:tcPr>
          <w:p>
            <w:pPr>
              <w:spacing w:after="0"/>
              <w:rPr>
                <w:sz w:val="5"/>
                <w:szCs w:val="5"/>
                <w:color w:val="auto"/>
              </w:rPr>
            </w:pPr>
          </w:p>
        </w:tc>
        <w:tc>
          <w:tcPr>
            <w:tcW w:w="178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-367665</wp:posOffset>
            </wp:positionV>
            <wp:extent cx="8890" cy="171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-342265</wp:posOffset>
            </wp:positionV>
            <wp:extent cx="8890"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-325120</wp:posOffset>
            </wp:positionV>
            <wp:extent cx="8890"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-307975</wp:posOffset>
            </wp:positionV>
            <wp:extent cx="8890"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-290830</wp:posOffset>
            </wp:positionV>
            <wp:extent cx="8890" cy="88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-273685</wp:posOffset>
            </wp:positionV>
            <wp:extent cx="8890"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-256540</wp:posOffset>
            </wp:positionV>
            <wp:extent cx="8890"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-239395</wp:posOffset>
            </wp:positionV>
            <wp:extent cx="8890"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-222250</wp:posOffset>
            </wp:positionV>
            <wp:extent cx="8890"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-205105</wp:posOffset>
            </wp:positionV>
            <wp:extent cx="8890"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-187960</wp:posOffset>
            </wp:positionV>
            <wp:extent cx="8890"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-170815</wp:posOffset>
            </wp:positionV>
            <wp:extent cx="8890"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-153670</wp:posOffset>
            </wp:positionV>
            <wp:extent cx="8890"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-136525</wp:posOffset>
            </wp:positionV>
            <wp:extent cx="8890"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-119380</wp:posOffset>
            </wp:positionV>
            <wp:extent cx="8890"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-102235</wp:posOffset>
            </wp:positionV>
            <wp:extent cx="8890"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-85090</wp:posOffset>
            </wp:positionV>
            <wp:extent cx="8890"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-67945</wp:posOffset>
            </wp:positionV>
            <wp:extent cx="8890"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-50800</wp:posOffset>
            </wp:positionV>
            <wp:extent cx="8890"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-33655</wp:posOffset>
            </wp:positionV>
            <wp:extent cx="8890"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-16510</wp:posOffset>
            </wp:positionV>
            <wp:extent cx="8890"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-367665</wp:posOffset>
            </wp:positionV>
            <wp:extent cx="8255" cy="171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-342265</wp:posOffset>
            </wp:positionV>
            <wp:extent cx="8255"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-325120</wp:posOffset>
            </wp:positionV>
            <wp:extent cx="8255"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-307975</wp:posOffset>
            </wp:positionV>
            <wp:extent cx="8255"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-290830</wp:posOffset>
            </wp:positionV>
            <wp:extent cx="8255" cy="88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-273685</wp:posOffset>
            </wp:positionV>
            <wp:extent cx="8255"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-256540</wp:posOffset>
            </wp:positionV>
            <wp:extent cx="8255"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-239395</wp:posOffset>
            </wp:positionV>
            <wp:extent cx="8255"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-222250</wp:posOffset>
            </wp:positionV>
            <wp:extent cx="8255" cy="88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-205105</wp:posOffset>
            </wp:positionV>
            <wp:extent cx="8255"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-187960</wp:posOffset>
            </wp:positionV>
            <wp:extent cx="8255"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-170815</wp:posOffset>
            </wp:positionV>
            <wp:extent cx="8255"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-153670</wp:posOffset>
            </wp:positionV>
            <wp:extent cx="8255" cy="88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-136525</wp:posOffset>
            </wp:positionV>
            <wp:extent cx="8255" cy="88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-119380</wp:posOffset>
            </wp:positionV>
            <wp:extent cx="8255"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-102235</wp:posOffset>
            </wp:positionV>
            <wp:extent cx="8255"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-85090</wp:posOffset>
            </wp:positionV>
            <wp:extent cx="8255"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-67945</wp:posOffset>
            </wp:positionV>
            <wp:extent cx="8255" cy="88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-50800</wp:posOffset>
            </wp:positionV>
            <wp:extent cx="8255"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-33655</wp:posOffset>
            </wp:positionV>
            <wp:extent cx="8255"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-16510</wp:posOffset>
            </wp:positionV>
            <wp:extent cx="8255"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-522605</wp:posOffset>
            </wp:positionV>
            <wp:extent cx="8890" cy="889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-505460</wp:posOffset>
            </wp:positionV>
            <wp:extent cx="8890" cy="88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-488315</wp:posOffset>
            </wp:positionV>
            <wp:extent cx="8890"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-471170</wp:posOffset>
            </wp:positionV>
            <wp:extent cx="8890"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-453390</wp:posOffset>
            </wp:positionV>
            <wp:extent cx="8890"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-436880</wp:posOffset>
            </wp:positionV>
            <wp:extent cx="8890" cy="88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-419735</wp:posOffset>
            </wp:positionV>
            <wp:extent cx="8890" cy="88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-402590</wp:posOffset>
            </wp:positionV>
            <wp:extent cx="8890"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-385445</wp:posOffset>
            </wp:positionV>
            <wp:extent cx="8890"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-522605</wp:posOffset>
            </wp:positionV>
            <wp:extent cx="8255" cy="88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-505460</wp:posOffset>
            </wp:positionV>
            <wp:extent cx="8255" cy="88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-488315</wp:posOffset>
            </wp:positionV>
            <wp:extent cx="8255"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-471170</wp:posOffset>
            </wp:positionV>
            <wp:extent cx="8255"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-453390</wp:posOffset>
            </wp:positionV>
            <wp:extent cx="8255"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-436880</wp:posOffset>
            </wp:positionV>
            <wp:extent cx="8255" cy="88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-419735</wp:posOffset>
            </wp:positionV>
            <wp:extent cx="8255" cy="88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-402590</wp:posOffset>
            </wp:positionV>
            <wp:extent cx="8255"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-385445</wp:posOffset>
            </wp:positionV>
            <wp:extent cx="8255"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-685165</wp:posOffset>
            </wp:positionV>
            <wp:extent cx="8890" cy="82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-668020</wp:posOffset>
            </wp:positionV>
            <wp:extent cx="8890"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8890" cy="88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-633730</wp:posOffset>
            </wp:positionV>
            <wp:extent cx="8890" cy="88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-616585</wp:posOffset>
            </wp:positionV>
            <wp:extent cx="8890" cy="82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-599440</wp:posOffset>
            </wp:positionV>
            <wp:extent cx="8890"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-582295</wp:posOffset>
            </wp:positionV>
            <wp:extent cx="8890" cy="82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-565150</wp:posOffset>
            </wp:positionV>
            <wp:extent cx="8890" cy="88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-548005</wp:posOffset>
            </wp:positionV>
            <wp:extent cx="8890" cy="1714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-685165</wp:posOffset>
            </wp:positionV>
            <wp:extent cx="8255" cy="82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-668020</wp:posOffset>
            </wp:positionV>
            <wp:extent cx="8255"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-650875</wp:posOffset>
            </wp:positionV>
            <wp:extent cx="8255" cy="889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-633730</wp:posOffset>
            </wp:positionV>
            <wp:extent cx="8255" cy="88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-616585</wp:posOffset>
            </wp:positionV>
            <wp:extent cx="8255" cy="82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-599440</wp:posOffset>
            </wp:positionV>
            <wp:extent cx="8255" cy="82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-582295</wp:posOffset>
            </wp:positionV>
            <wp:extent cx="8255"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-565150</wp:posOffset>
            </wp:positionV>
            <wp:extent cx="8255" cy="889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-548005</wp:posOffset>
            </wp:positionV>
            <wp:extent cx="8255" cy="1714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-848360</wp:posOffset>
            </wp:positionV>
            <wp:extent cx="8890" cy="889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-831215</wp:posOffset>
            </wp:positionV>
            <wp:extent cx="8890" cy="82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-814070</wp:posOffset>
            </wp:positionV>
            <wp:extent cx="8890" cy="8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-796290</wp:posOffset>
            </wp:positionV>
            <wp:extent cx="8890"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-779780</wp:posOffset>
            </wp:positionV>
            <wp:extent cx="8890" cy="889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-762635</wp:posOffset>
            </wp:positionV>
            <wp:extent cx="8890" cy="889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-745490</wp:posOffset>
            </wp:positionV>
            <wp:extent cx="8890" cy="82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-728345</wp:posOffset>
            </wp:positionV>
            <wp:extent cx="8890" cy="82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-710565</wp:posOffset>
            </wp:positionV>
            <wp:extent cx="8890" cy="1714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-848360</wp:posOffset>
            </wp:positionV>
            <wp:extent cx="8255" cy="88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-831215</wp:posOffset>
            </wp:positionV>
            <wp:extent cx="8255" cy="825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-814070</wp:posOffset>
            </wp:positionV>
            <wp:extent cx="8255" cy="82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-796290</wp:posOffset>
            </wp:positionV>
            <wp:extent cx="8255" cy="825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-779780</wp:posOffset>
            </wp:positionV>
            <wp:extent cx="8255" cy="889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-762635</wp:posOffset>
            </wp:positionV>
            <wp:extent cx="8255" cy="889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-745490</wp:posOffset>
            </wp:positionV>
            <wp:extent cx="8255" cy="82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-728345</wp:posOffset>
            </wp:positionV>
            <wp:extent cx="8255" cy="82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-710565</wp:posOffset>
            </wp:positionV>
            <wp:extent cx="8255" cy="1714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-1010920</wp:posOffset>
            </wp:positionV>
            <wp:extent cx="8890" cy="825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-993775</wp:posOffset>
            </wp:positionV>
            <wp:extent cx="8890" cy="825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-976630</wp:posOffset>
            </wp:positionV>
            <wp:extent cx="8890" cy="88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-959485</wp:posOffset>
            </wp:positionV>
            <wp:extent cx="8890" cy="889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-942340</wp:posOffset>
            </wp:positionV>
            <wp:extent cx="8890" cy="825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-925195</wp:posOffset>
            </wp:positionV>
            <wp:extent cx="8890" cy="825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-908050</wp:posOffset>
            </wp:positionV>
            <wp:extent cx="8890" cy="825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-890905</wp:posOffset>
            </wp:positionV>
            <wp:extent cx="8890" cy="889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-873760</wp:posOffset>
            </wp:positionV>
            <wp:extent cx="8890" cy="1714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-1010920</wp:posOffset>
            </wp:positionV>
            <wp:extent cx="8255"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-993775</wp:posOffset>
            </wp:positionV>
            <wp:extent cx="8255" cy="825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-976630</wp:posOffset>
            </wp:positionV>
            <wp:extent cx="8255" cy="889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-959485</wp:posOffset>
            </wp:positionV>
            <wp:extent cx="8255" cy="889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-942340</wp:posOffset>
            </wp:positionV>
            <wp:extent cx="8255" cy="825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-925195</wp:posOffset>
            </wp:positionV>
            <wp:extent cx="8255" cy="825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-908050</wp:posOffset>
            </wp:positionV>
            <wp:extent cx="8255" cy="825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-890905</wp:posOffset>
            </wp:positionV>
            <wp:extent cx="8255" cy="889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-873760</wp:posOffset>
            </wp:positionV>
            <wp:extent cx="8255" cy="1714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-1174115</wp:posOffset>
            </wp:positionV>
            <wp:extent cx="8890" cy="889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-1156970</wp:posOffset>
            </wp:positionV>
            <wp:extent cx="8890" cy="825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-1139190</wp:posOffset>
            </wp:positionV>
            <wp:extent cx="8890" cy="825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-1122045</wp:posOffset>
            </wp:positionV>
            <wp:extent cx="8890" cy="825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-1105535</wp:posOffset>
            </wp:positionV>
            <wp:extent cx="8890" cy="889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-1088390</wp:posOffset>
            </wp:positionV>
            <wp:extent cx="8890" cy="889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-1071245</wp:posOffset>
            </wp:positionV>
            <wp:extent cx="8890" cy="825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-1053465</wp:posOffset>
            </wp:positionV>
            <wp:extent cx="8890" cy="825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-1036320</wp:posOffset>
            </wp:positionV>
            <wp:extent cx="8890" cy="1714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-1174115</wp:posOffset>
            </wp:positionV>
            <wp:extent cx="8255" cy="889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-1156970</wp:posOffset>
            </wp:positionV>
            <wp:extent cx="8255" cy="825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-1139190</wp:posOffset>
            </wp:positionV>
            <wp:extent cx="8255" cy="825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-1122045</wp:posOffset>
            </wp:positionV>
            <wp:extent cx="8255" cy="825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-1105535</wp:posOffset>
            </wp:positionV>
            <wp:extent cx="8255" cy="889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-1088390</wp:posOffset>
            </wp:positionV>
            <wp:extent cx="8255" cy="889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-1071245</wp:posOffset>
            </wp:positionV>
            <wp:extent cx="8255" cy="825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-1053465</wp:posOffset>
            </wp:positionV>
            <wp:extent cx="8255" cy="825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-1036320</wp:posOffset>
            </wp:positionV>
            <wp:extent cx="8255" cy="1714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-1336675</wp:posOffset>
            </wp:positionV>
            <wp:extent cx="8890" cy="825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-1319530</wp:posOffset>
            </wp:positionV>
            <wp:extent cx="8890" cy="889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-1302385</wp:posOffset>
            </wp:positionV>
            <wp:extent cx="8890" cy="889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-1285240</wp:posOffset>
            </wp:positionV>
            <wp:extent cx="8890" cy="825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-1268095</wp:posOffset>
            </wp:positionV>
            <wp:extent cx="8890" cy="825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-1250950</wp:posOffset>
            </wp:positionV>
            <wp:extent cx="8890" cy="825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-1233805</wp:posOffset>
            </wp:positionV>
            <wp:extent cx="8890" cy="889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-1216660</wp:posOffset>
            </wp:positionV>
            <wp:extent cx="8890" cy="889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-1199515</wp:posOffset>
            </wp:positionV>
            <wp:extent cx="8890" cy="1714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-1336675</wp:posOffset>
            </wp:positionV>
            <wp:extent cx="8255" cy="825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-1319530</wp:posOffset>
            </wp:positionV>
            <wp:extent cx="8255" cy="889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-1302385</wp:posOffset>
            </wp:positionV>
            <wp:extent cx="8255" cy="889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-1285240</wp:posOffset>
            </wp:positionV>
            <wp:extent cx="8255" cy="825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-1268095</wp:posOffset>
            </wp:positionV>
            <wp:extent cx="8255" cy="825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-1250950</wp:posOffset>
            </wp:positionV>
            <wp:extent cx="8255" cy="825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-1233805</wp:posOffset>
            </wp:positionV>
            <wp:extent cx="8255" cy="889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-1216660</wp:posOffset>
            </wp:positionV>
            <wp:extent cx="8255" cy="889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-1199515</wp:posOffset>
            </wp:positionV>
            <wp:extent cx="8255" cy="1714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-1499870</wp:posOffset>
            </wp:positionV>
            <wp:extent cx="8890" cy="825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-1482090</wp:posOffset>
            </wp:positionV>
            <wp:extent cx="8890" cy="825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-1464945</wp:posOffset>
            </wp:positionV>
            <wp:extent cx="8890" cy="825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-1448435</wp:posOffset>
            </wp:positionV>
            <wp:extent cx="8890" cy="889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-1431290</wp:posOffset>
            </wp:positionV>
            <wp:extent cx="8890" cy="889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-1414145</wp:posOffset>
            </wp:positionV>
            <wp:extent cx="8890" cy="825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-1396365</wp:posOffset>
            </wp:positionV>
            <wp:extent cx="8890" cy="825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-1379220</wp:posOffset>
            </wp:positionV>
            <wp:extent cx="8890" cy="825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-1362710</wp:posOffset>
            </wp:positionV>
            <wp:extent cx="8890" cy="1714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-1499870</wp:posOffset>
            </wp:positionV>
            <wp:extent cx="8255" cy="825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-1482090</wp:posOffset>
            </wp:positionV>
            <wp:extent cx="8255" cy="825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-1464945</wp:posOffset>
            </wp:positionV>
            <wp:extent cx="8255" cy="825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-1448435</wp:posOffset>
            </wp:positionV>
            <wp:extent cx="8255" cy="889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-1431290</wp:posOffset>
            </wp:positionV>
            <wp:extent cx="8255" cy="889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-1414145</wp:posOffset>
            </wp:positionV>
            <wp:extent cx="8255" cy="825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-1396365</wp:posOffset>
            </wp:positionV>
            <wp:extent cx="8255" cy="825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-1379220</wp:posOffset>
            </wp:positionV>
            <wp:extent cx="8255" cy="825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-1362710</wp:posOffset>
            </wp:positionV>
            <wp:extent cx="8255" cy="1714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-1662430</wp:posOffset>
            </wp:positionV>
            <wp:extent cx="8890" cy="825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-1645285</wp:posOffset>
            </wp:positionV>
            <wp:extent cx="8890" cy="889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-1628140</wp:posOffset>
            </wp:positionV>
            <wp:extent cx="8890" cy="889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-1610995</wp:posOffset>
            </wp:positionV>
            <wp:extent cx="8890" cy="825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-1593850</wp:posOffset>
            </wp:positionV>
            <wp:extent cx="8890" cy="825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-1576705</wp:posOffset>
            </wp:positionV>
            <wp:extent cx="8890" cy="889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-1559560</wp:posOffset>
            </wp:positionV>
            <wp:extent cx="8890" cy="889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-1542415</wp:posOffset>
            </wp:positionV>
            <wp:extent cx="8890" cy="825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-1525270</wp:posOffset>
            </wp:positionV>
            <wp:extent cx="8890" cy="1714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-1662430</wp:posOffset>
            </wp:positionV>
            <wp:extent cx="8255" cy="825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-1645285</wp:posOffset>
            </wp:positionV>
            <wp:extent cx="8255" cy="889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-1628140</wp:posOffset>
            </wp:positionV>
            <wp:extent cx="8255" cy="889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-1610995</wp:posOffset>
            </wp:positionV>
            <wp:extent cx="8255" cy="825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-1593850</wp:posOffset>
            </wp:positionV>
            <wp:extent cx="8255" cy="825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-1576705</wp:posOffset>
            </wp:positionV>
            <wp:extent cx="8255" cy="889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-1559560</wp:posOffset>
            </wp:positionV>
            <wp:extent cx="8255" cy="889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-1542415</wp:posOffset>
            </wp:positionV>
            <wp:extent cx="8255" cy="825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-1525270</wp:posOffset>
            </wp:positionV>
            <wp:extent cx="8255" cy="1714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-1824990</wp:posOffset>
            </wp:positionV>
            <wp:extent cx="8890" cy="825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-1807845</wp:posOffset>
            </wp:positionV>
            <wp:extent cx="8890" cy="825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-1790700</wp:posOffset>
            </wp:positionV>
            <wp:extent cx="8890" cy="825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-1774190</wp:posOffset>
            </wp:positionV>
            <wp:extent cx="8890" cy="889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-1757045</wp:posOffset>
            </wp:positionV>
            <wp:extent cx="8890" cy="889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-1739265</wp:posOffset>
            </wp:positionV>
            <wp:extent cx="8890" cy="825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-1722120</wp:posOffset>
            </wp:positionV>
            <wp:extent cx="8890" cy="825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-1704975</wp:posOffset>
            </wp:positionV>
            <wp:extent cx="8890" cy="825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-1688465</wp:posOffset>
            </wp:positionV>
            <wp:extent cx="8890" cy="1714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-1824990</wp:posOffset>
            </wp:positionV>
            <wp:extent cx="8255" cy="825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-1807845</wp:posOffset>
            </wp:positionV>
            <wp:extent cx="8255" cy="825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-1790700</wp:posOffset>
            </wp:positionV>
            <wp:extent cx="8255" cy="825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-1774190</wp:posOffset>
            </wp:positionV>
            <wp:extent cx="8255" cy="889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-1757045</wp:posOffset>
            </wp:positionV>
            <wp:extent cx="8255" cy="889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-1739265</wp:posOffset>
            </wp:positionV>
            <wp:extent cx="8255" cy="825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-1722120</wp:posOffset>
            </wp:positionV>
            <wp:extent cx="8255" cy="825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-1704975</wp:posOffset>
            </wp:positionV>
            <wp:extent cx="8255" cy="825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-1688465</wp:posOffset>
            </wp:positionV>
            <wp:extent cx="8255" cy="1714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-1988185</wp:posOffset>
            </wp:positionV>
            <wp:extent cx="8890" cy="889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-1971040</wp:posOffset>
            </wp:positionV>
            <wp:extent cx="8890" cy="889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-1953895</wp:posOffset>
            </wp:positionV>
            <wp:extent cx="8890" cy="825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-1936750</wp:posOffset>
            </wp:positionV>
            <wp:extent cx="8890" cy="825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-1919605</wp:posOffset>
            </wp:positionV>
            <wp:extent cx="8890" cy="825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-1902460</wp:posOffset>
            </wp:positionV>
            <wp:extent cx="8890" cy="889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-1885315</wp:posOffset>
            </wp:positionV>
            <wp:extent cx="8890" cy="889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-1868170</wp:posOffset>
            </wp:positionV>
            <wp:extent cx="8890" cy="825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-1851025</wp:posOffset>
            </wp:positionV>
            <wp:extent cx="8890" cy="1714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-1988185</wp:posOffset>
            </wp:positionV>
            <wp:extent cx="8255" cy="889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-1971040</wp:posOffset>
            </wp:positionV>
            <wp:extent cx="8255" cy="889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-1953895</wp:posOffset>
            </wp:positionV>
            <wp:extent cx="8255" cy="825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-1936750</wp:posOffset>
            </wp:positionV>
            <wp:extent cx="8255" cy="825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-1919605</wp:posOffset>
            </wp:positionV>
            <wp:extent cx="8255" cy="825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-1902460</wp:posOffset>
            </wp:positionV>
            <wp:extent cx="8255" cy="889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-1885315</wp:posOffset>
            </wp:positionV>
            <wp:extent cx="8255" cy="889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-1868170</wp:posOffset>
            </wp:positionV>
            <wp:extent cx="8255" cy="825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-1851025</wp:posOffset>
            </wp:positionV>
            <wp:extent cx="8255" cy="1714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-2151380</wp:posOffset>
            </wp:positionV>
            <wp:extent cx="8890" cy="889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-2133600</wp:posOffset>
            </wp:positionV>
            <wp:extent cx="8890" cy="825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-2117090</wp:posOffset>
            </wp:positionV>
            <wp:extent cx="8890" cy="825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-2099310</wp:posOffset>
            </wp:positionV>
            <wp:extent cx="8890" cy="825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-2082165</wp:posOffset>
            </wp:positionV>
            <wp:extent cx="8890" cy="825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-2065655</wp:posOffset>
            </wp:positionV>
            <wp:extent cx="8890" cy="889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-2047875</wp:posOffset>
            </wp:positionV>
            <wp:extent cx="8890" cy="825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-2031365</wp:posOffset>
            </wp:positionV>
            <wp:extent cx="8890" cy="825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-2013585</wp:posOffset>
            </wp:positionV>
            <wp:extent cx="8890" cy="1714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-2151380</wp:posOffset>
            </wp:positionV>
            <wp:extent cx="8255" cy="889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-2133600</wp:posOffset>
            </wp:positionV>
            <wp:extent cx="8255" cy="825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-2117090</wp:posOffset>
            </wp:positionV>
            <wp:extent cx="8255" cy="825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-2099310</wp:posOffset>
            </wp:positionV>
            <wp:extent cx="8255" cy="825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-2082165</wp:posOffset>
            </wp:positionV>
            <wp:extent cx="8255" cy="825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-2065655</wp:posOffset>
            </wp:positionV>
            <wp:extent cx="8255" cy="889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-2047875</wp:posOffset>
            </wp:positionV>
            <wp:extent cx="8255" cy="825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-2031365</wp:posOffset>
            </wp:positionV>
            <wp:extent cx="8255" cy="825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-2013585</wp:posOffset>
            </wp:positionV>
            <wp:extent cx="8255" cy="1714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-2313940</wp:posOffset>
            </wp:positionV>
            <wp:extent cx="8890" cy="825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-2296795</wp:posOffset>
            </wp:positionV>
            <wp:extent cx="8890" cy="825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-2279650</wp:posOffset>
            </wp:positionV>
            <wp:extent cx="8890" cy="889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-2262505</wp:posOffset>
            </wp:positionV>
            <wp:extent cx="8890" cy="825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-2245360</wp:posOffset>
            </wp:positionV>
            <wp:extent cx="8890" cy="825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-2228215</wp:posOffset>
            </wp:positionV>
            <wp:extent cx="8890" cy="825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-2211070</wp:posOffset>
            </wp:positionV>
            <wp:extent cx="8890" cy="825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-2193925</wp:posOffset>
            </wp:positionV>
            <wp:extent cx="8890" cy="889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-2176780</wp:posOffset>
            </wp:positionV>
            <wp:extent cx="8890" cy="1714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-2313940</wp:posOffset>
            </wp:positionV>
            <wp:extent cx="8255" cy="825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-2296795</wp:posOffset>
            </wp:positionV>
            <wp:extent cx="8255" cy="825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-2279650</wp:posOffset>
            </wp:positionV>
            <wp:extent cx="8255" cy="889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-2262505</wp:posOffset>
            </wp:positionV>
            <wp:extent cx="8255" cy="825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-2245360</wp:posOffset>
            </wp:positionV>
            <wp:extent cx="8255" cy="825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-2228215</wp:posOffset>
            </wp:positionV>
            <wp:extent cx="8255" cy="825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-2211070</wp:posOffset>
            </wp:positionV>
            <wp:extent cx="8255" cy="825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-2193925</wp:posOffset>
            </wp:positionV>
            <wp:extent cx="8255" cy="889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-2176780</wp:posOffset>
            </wp:positionV>
            <wp:extent cx="8255" cy="1714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-2476500</wp:posOffset>
            </wp:positionV>
            <wp:extent cx="8890" cy="825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-2459990</wp:posOffset>
            </wp:positionV>
            <wp:extent cx="8890" cy="825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-2442210</wp:posOffset>
            </wp:positionV>
            <wp:extent cx="8890" cy="825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-2425065</wp:posOffset>
            </wp:positionV>
            <wp:extent cx="8890" cy="825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-2408555</wp:posOffset>
            </wp:positionV>
            <wp:extent cx="8890" cy="889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-2390775</wp:posOffset>
            </wp:positionV>
            <wp:extent cx="8890" cy="825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-2374265</wp:posOffset>
            </wp:positionV>
            <wp:extent cx="8890" cy="825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-2356485</wp:posOffset>
            </wp:positionV>
            <wp:extent cx="8890" cy="825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-2339340</wp:posOffset>
            </wp:positionV>
            <wp:extent cx="8890" cy="1714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-2476500</wp:posOffset>
            </wp:positionV>
            <wp:extent cx="8255" cy="825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-2459990</wp:posOffset>
            </wp:positionV>
            <wp:extent cx="8255" cy="825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-2442210</wp:posOffset>
            </wp:positionV>
            <wp:extent cx="8255" cy="825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-2425065</wp:posOffset>
            </wp:positionV>
            <wp:extent cx="8255" cy="825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-2408555</wp:posOffset>
            </wp:positionV>
            <wp:extent cx="8255" cy="889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-2390775</wp:posOffset>
            </wp:positionV>
            <wp:extent cx="8255" cy="825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-2374265</wp:posOffset>
            </wp:positionV>
            <wp:extent cx="8255" cy="825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-2356485</wp:posOffset>
            </wp:positionV>
            <wp:extent cx="8255" cy="825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-2339340</wp:posOffset>
            </wp:positionV>
            <wp:extent cx="8255" cy="1714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-2639695</wp:posOffset>
            </wp:positionV>
            <wp:extent cx="8890" cy="825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-2622550</wp:posOffset>
            </wp:positionV>
            <wp:extent cx="8890" cy="889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-2605405</wp:posOffset>
            </wp:positionV>
            <wp:extent cx="8890" cy="825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-2588260</wp:posOffset>
            </wp:positionV>
            <wp:extent cx="8890" cy="825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-2571115</wp:posOffset>
            </wp:positionV>
            <wp:extent cx="8890" cy="825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-2553970</wp:posOffset>
            </wp:positionV>
            <wp:extent cx="8890" cy="825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-2536825</wp:posOffset>
            </wp:positionV>
            <wp:extent cx="8890" cy="889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-2519680</wp:posOffset>
            </wp:positionV>
            <wp:extent cx="8890" cy="825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-2502535</wp:posOffset>
            </wp:positionV>
            <wp:extent cx="8890" cy="1714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-2639695</wp:posOffset>
            </wp:positionV>
            <wp:extent cx="8255" cy="825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-2622550</wp:posOffset>
            </wp:positionV>
            <wp:extent cx="8255" cy="889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-2605405</wp:posOffset>
            </wp:positionV>
            <wp:extent cx="8255" cy="825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-2588260</wp:posOffset>
            </wp:positionV>
            <wp:extent cx="8255" cy="825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-2571115</wp:posOffset>
            </wp:positionV>
            <wp:extent cx="8255" cy="825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-2553970</wp:posOffset>
            </wp:positionV>
            <wp:extent cx="8255" cy="825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-2536825</wp:posOffset>
            </wp:positionV>
            <wp:extent cx="8255" cy="889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-2519680</wp:posOffset>
            </wp:positionV>
            <wp:extent cx="8255" cy="825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-2502535</wp:posOffset>
            </wp:positionV>
            <wp:extent cx="8255" cy="1714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-2802890</wp:posOffset>
            </wp:positionV>
            <wp:extent cx="8890" cy="889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-2785110</wp:posOffset>
            </wp:positionV>
            <wp:extent cx="8890" cy="825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-2767965</wp:posOffset>
            </wp:positionV>
            <wp:extent cx="8890" cy="825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-2750820</wp:posOffset>
            </wp:positionV>
            <wp:extent cx="8890" cy="825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-2733675</wp:posOffset>
            </wp:positionV>
            <wp:extent cx="8890" cy="825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-2717165</wp:posOffset>
            </wp:positionV>
            <wp:extent cx="8890" cy="889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-2699385</wp:posOffset>
            </wp:positionV>
            <wp:extent cx="8890" cy="825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-2682240</wp:posOffset>
            </wp:positionV>
            <wp:extent cx="8890" cy="825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-2665095</wp:posOffset>
            </wp:positionV>
            <wp:extent cx="8890" cy="1714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-2802890</wp:posOffset>
            </wp:positionV>
            <wp:extent cx="8255" cy="8890"/>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-2785110</wp:posOffset>
            </wp:positionV>
            <wp:extent cx="8255" cy="825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-2767965</wp:posOffset>
            </wp:positionV>
            <wp:extent cx="8255" cy="825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-2750820</wp:posOffset>
            </wp:positionV>
            <wp:extent cx="8255" cy="825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-2733675</wp:posOffset>
            </wp:positionV>
            <wp:extent cx="8255" cy="825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-2717165</wp:posOffset>
            </wp:positionV>
            <wp:extent cx="8255" cy="889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-2699385</wp:posOffset>
            </wp:positionV>
            <wp:extent cx="8255" cy="8255"/>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-2682240</wp:posOffset>
            </wp:positionV>
            <wp:extent cx="8255" cy="825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-2665095</wp:posOffset>
            </wp:positionV>
            <wp:extent cx="8255" cy="1714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-2965450</wp:posOffset>
            </wp:positionV>
            <wp:extent cx="8890" cy="825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-2948305</wp:posOffset>
            </wp:positionV>
            <wp:extent cx="8890" cy="825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-2931160</wp:posOffset>
            </wp:positionV>
            <wp:extent cx="8890" cy="889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-2914015</wp:posOffset>
            </wp:positionV>
            <wp:extent cx="8890" cy="8255"/>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-2896870</wp:posOffset>
            </wp:positionV>
            <wp:extent cx="8890" cy="825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-2879725</wp:posOffset>
            </wp:positionV>
            <wp:extent cx="8890" cy="825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-2862580</wp:posOffset>
            </wp:positionV>
            <wp:extent cx="8890" cy="825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-2845435</wp:posOffset>
            </wp:positionV>
            <wp:extent cx="8890" cy="8890"/>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-2828290</wp:posOffset>
            </wp:positionV>
            <wp:extent cx="8890" cy="17145"/>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-2965450</wp:posOffset>
            </wp:positionV>
            <wp:extent cx="8255" cy="8255"/>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-2948305</wp:posOffset>
            </wp:positionV>
            <wp:extent cx="8255" cy="8255"/>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-2931160</wp:posOffset>
            </wp:positionV>
            <wp:extent cx="8255" cy="8890"/>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-2914015</wp:posOffset>
            </wp:positionV>
            <wp:extent cx="8255" cy="8255"/>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-2896870</wp:posOffset>
            </wp:positionV>
            <wp:extent cx="8255" cy="8255"/>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-2879725</wp:posOffset>
            </wp:positionV>
            <wp:extent cx="8255" cy="8255"/>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-2862580</wp:posOffset>
            </wp:positionV>
            <wp:extent cx="8255" cy="8255"/>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-2845435</wp:posOffset>
            </wp:positionV>
            <wp:extent cx="8255" cy="8890"/>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-2828290</wp:posOffset>
            </wp:positionV>
            <wp:extent cx="8255" cy="17145"/>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-3136900</wp:posOffset>
            </wp:positionV>
            <wp:extent cx="8890" cy="17145"/>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-3110865</wp:posOffset>
            </wp:positionV>
            <wp:extent cx="8890" cy="8255"/>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-3093720</wp:posOffset>
            </wp:positionV>
            <wp:extent cx="8890" cy="8255"/>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-3076575</wp:posOffset>
            </wp:positionV>
            <wp:extent cx="8890" cy="8255"/>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-3060065</wp:posOffset>
            </wp:positionV>
            <wp:extent cx="8890" cy="8890"/>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-3042285</wp:posOffset>
            </wp:positionV>
            <wp:extent cx="8890" cy="8255"/>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-3025140</wp:posOffset>
            </wp:positionV>
            <wp:extent cx="8890" cy="8255"/>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-3007995</wp:posOffset>
            </wp:positionV>
            <wp:extent cx="8890" cy="8255"/>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-2990850</wp:posOffset>
            </wp:positionV>
            <wp:extent cx="8890" cy="17145"/>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-3136900</wp:posOffset>
            </wp:positionV>
            <wp:extent cx="8255" cy="17145"/>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-3110865</wp:posOffset>
            </wp:positionV>
            <wp:extent cx="8255" cy="8255"/>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-3093720</wp:posOffset>
            </wp:positionV>
            <wp:extent cx="8255" cy="8255"/>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-3076575</wp:posOffset>
            </wp:positionV>
            <wp:extent cx="8255" cy="8255"/>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-3060065</wp:posOffset>
            </wp:positionV>
            <wp:extent cx="8255" cy="8890"/>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-3042285</wp:posOffset>
            </wp:positionV>
            <wp:extent cx="8255" cy="8255"/>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-3025140</wp:posOffset>
            </wp:positionV>
            <wp:extent cx="8255" cy="8255"/>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-3007995</wp:posOffset>
            </wp:positionV>
            <wp:extent cx="8255" cy="8255"/>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-2990850</wp:posOffset>
            </wp:positionV>
            <wp:extent cx="8255" cy="17145"/>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-3514090</wp:posOffset>
            </wp:positionV>
            <wp:extent cx="8890" cy="8255"/>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-3496945</wp:posOffset>
            </wp:positionV>
            <wp:extent cx="8890" cy="8255"/>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-3479800</wp:posOffset>
            </wp:positionV>
            <wp:extent cx="8890" cy="8255"/>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-3462655</wp:posOffset>
            </wp:positionV>
            <wp:extent cx="8890" cy="8255"/>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-3445510</wp:posOffset>
            </wp:positionV>
            <wp:extent cx="8890" cy="8890"/>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-3428365</wp:posOffset>
            </wp:positionV>
            <wp:extent cx="8890" cy="8255"/>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-3411220</wp:posOffset>
            </wp:positionV>
            <wp:extent cx="8890" cy="8255"/>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-3394075</wp:posOffset>
            </wp:positionV>
            <wp:extent cx="8890" cy="8255"/>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-3376930</wp:posOffset>
            </wp:positionV>
            <wp:extent cx="8890" cy="8255"/>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-3359785</wp:posOffset>
            </wp:positionV>
            <wp:extent cx="8890" cy="8890"/>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-3342640</wp:posOffset>
            </wp:positionV>
            <wp:extent cx="8890" cy="8255"/>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-3325495</wp:posOffset>
            </wp:positionV>
            <wp:extent cx="8890" cy="8255"/>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-3308350</wp:posOffset>
            </wp:positionV>
            <wp:extent cx="8890" cy="8255"/>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-3291205</wp:posOffset>
            </wp:positionV>
            <wp:extent cx="8890" cy="8255"/>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-3274060</wp:posOffset>
            </wp:positionV>
            <wp:extent cx="8890" cy="8890"/>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-3256915</wp:posOffset>
            </wp:positionV>
            <wp:extent cx="8890" cy="8255"/>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-3239770</wp:posOffset>
            </wp:positionV>
            <wp:extent cx="8890" cy="8255"/>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-3222625</wp:posOffset>
            </wp:positionV>
            <wp:extent cx="8890" cy="8255"/>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-3205480</wp:posOffset>
            </wp:positionV>
            <wp:extent cx="8890" cy="8255"/>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-3188335</wp:posOffset>
            </wp:positionV>
            <wp:extent cx="8890" cy="8890"/>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-3171190</wp:posOffset>
            </wp:positionV>
            <wp:extent cx="8890" cy="8255"/>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-3154045</wp:posOffset>
            </wp:positionV>
            <wp:extent cx="8890" cy="8255"/>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-3514090</wp:posOffset>
            </wp:positionV>
            <wp:extent cx="8255" cy="8255"/>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-3496945</wp:posOffset>
            </wp:positionV>
            <wp:extent cx="8255" cy="8255"/>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-3479800</wp:posOffset>
            </wp:positionV>
            <wp:extent cx="8255" cy="8255"/>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-3462655</wp:posOffset>
            </wp:positionV>
            <wp:extent cx="8255" cy="8255"/>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-3445510</wp:posOffset>
            </wp:positionV>
            <wp:extent cx="8255" cy="8890"/>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-3428365</wp:posOffset>
            </wp:positionV>
            <wp:extent cx="8255" cy="8255"/>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-3411220</wp:posOffset>
            </wp:positionV>
            <wp:extent cx="8255" cy="8255"/>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-3394075</wp:posOffset>
            </wp:positionV>
            <wp:extent cx="8255" cy="8255"/>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-3376930</wp:posOffset>
            </wp:positionV>
            <wp:extent cx="8255" cy="8255"/>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-3359785</wp:posOffset>
            </wp:positionV>
            <wp:extent cx="8255" cy="8890"/>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-3342640</wp:posOffset>
            </wp:positionV>
            <wp:extent cx="8255" cy="8255"/>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-3325495</wp:posOffset>
            </wp:positionV>
            <wp:extent cx="8255" cy="8255"/>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-3308350</wp:posOffset>
            </wp:positionV>
            <wp:extent cx="8255" cy="8255"/>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-3291205</wp:posOffset>
            </wp:positionV>
            <wp:extent cx="8255" cy="8255"/>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-3274060</wp:posOffset>
            </wp:positionV>
            <wp:extent cx="8255" cy="8890"/>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-3256915</wp:posOffset>
            </wp:positionV>
            <wp:extent cx="8255" cy="8255"/>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-3239770</wp:posOffset>
            </wp:positionV>
            <wp:extent cx="8255" cy="8255"/>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-3222625</wp:posOffset>
            </wp:positionV>
            <wp:extent cx="8255" cy="8255"/>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-3205480</wp:posOffset>
            </wp:positionV>
            <wp:extent cx="8255" cy="8255"/>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-3188335</wp:posOffset>
            </wp:positionV>
            <wp:extent cx="8255" cy="8890"/>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-3171190</wp:posOffset>
            </wp:positionV>
            <wp:extent cx="8255" cy="8255"/>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-3154045</wp:posOffset>
            </wp:positionV>
            <wp:extent cx="8255" cy="8255"/>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119" w:lineRule="exact"/>
        <w:rPr>
          <w:sz w:val="20"/>
          <w:szCs w:val="20"/>
          <w:color w:val="auto"/>
        </w:rPr>
      </w:pPr>
    </w:p>
    <w:p>
      <w:pPr>
        <w:spacing w:after="0"/>
        <w:rPr>
          <w:sz w:val="20"/>
          <w:szCs w:val="20"/>
          <w:color w:val="auto"/>
        </w:rPr>
      </w:pPr>
      <w:r>
        <w:rPr>
          <w:rFonts w:ascii="Arial" w:cs="Arial" w:eastAsia="Arial" w:hAnsi="Arial"/>
          <w:sz w:val="14"/>
          <w:szCs w:val="14"/>
          <w:color w:val="auto"/>
        </w:rPr>
        <w:t>*  Less than 1.0 percent of the outstanding common stock of the company.</w:t>
      </w:r>
    </w:p>
    <w:p>
      <w:pPr>
        <w:spacing w:after="0" w:line="69" w:lineRule="exact"/>
        <w:rPr>
          <w:sz w:val="20"/>
          <w:szCs w:val="20"/>
          <w:color w:val="auto"/>
        </w:rPr>
      </w:pPr>
    </w:p>
    <w:p>
      <w:pPr>
        <w:jc w:val="both"/>
        <w:ind w:left="180" w:right="120" w:hanging="172"/>
        <w:spacing w:after="0" w:line="222" w:lineRule="auto"/>
        <w:tabs>
          <w:tab w:leader="none" w:pos="174" w:val="left"/>
        </w:tabs>
        <w:numPr>
          <w:ilvl w:val="0"/>
          <w:numId w:val="102"/>
        </w:numPr>
        <w:rPr>
          <w:rFonts w:ascii="Arial" w:cs="Arial" w:eastAsia="Arial" w:hAnsi="Arial"/>
          <w:sz w:val="19"/>
          <w:szCs w:val="19"/>
          <w:color w:val="auto"/>
          <w:vertAlign w:val="superscript"/>
        </w:rPr>
      </w:pPr>
      <w:r>
        <w:rPr>
          <w:rFonts w:ascii="Arial" w:cs="Arial" w:eastAsia="Arial" w:hAnsi="Arial"/>
          <w:sz w:val="14"/>
          <w:szCs w:val="14"/>
          <w:color w:val="auto"/>
        </w:rPr>
        <w:t>The sum of the “Shares Owned” and “Stock Units Distributable Within 60 Days” columns represents the shares considered “beneficially owned” for purposes of disclosure in this proxy statement. Unless otherwise indicated in a footnote, each person listed in the table possesses sole voting and sole investment power with respect to their shares.</w:t>
      </w:r>
    </w:p>
    <w:p>
      <w:pPr>
        <w:spacing w:after="0" w:line="40" w:lineRule="exact"/>
        <w:rPr>
          <w:sz w:val="20"/>
          <w:szCs w:val="20"/>
          <w:color w:val="auto"/>
        </w:rPr>
      </w:pPr>
    </w:p>
    <w:p>
      <w:pPr>
        <w:ind w:left="180" w:right="280" w:hanging="172"/>
        <w:spacing w:after="0" w:line="300" w:lineRule="auto"/>
        <w:tabs>
          <w:tab w:leader="none" w:pos="174" w:val="left"/>
        </w:tabs>
        <w:numPr>
          <w:ilvl w:val="0"/>
          <w:numId w:val="103"/>
        </w:numPr>
        <w:rPr>
          <w:rFonts w:ascii="Arial" w:cs="Arial" w:eastAsia="Arial" w:hAnsi="Arial"/>
          <w:sz w:val="9"/>
          <w:szCs w:val="9"/>
          <w:color w:val="auto"/>
        </w:rPr>
      </w:pPr>
      <w:r>
        <w:rPr>
          <w:rFonts w:ascii="Arial" w:cs="Arial" w:eastAsia="Arial" w:hAnsi="Arial"/>
          <w:sz w:val="14"/>
          <w:szCs w:val="14"/>
          <w:color w:val="auto"/>
        </w:rPr>
        <w:t>This column includes the number of shares of common stock held directly or indirectly, including the number of 401(k) Plan shares held by the beneficial owners indirectly through the 401(k) Plan.</w:t>
      </w:r>
    </w:p>
    <w:p>
      <w:pPr>
        <w:ind w:left="160" w:hanging="152"/>
        <w:spacing w:after="0" w:line="211" w:lineRule="auto"/>
        <w:tabs>
          <w:tab w:leader="none" w:pos="160" w:val="left"/>
        </w:tabs>
        <w:numPr>
          <w:ilvl w:val="0"/>
          <w:numId w:val="104"/>
        </w:numPr>
        <w:rPr>
          <w:rFonts w:ascii="Arial" w:cs="Arial" w:eastAsia="Arial" w:hAnsi="Arial"/>
          <w:sz w:val="19"/>
          <w:szCs w:val="19"/>
          <w:color w:val="auto"/>
          <w:vertAlign w:val="superscript"/>
        </w:rPr>
      </w:pPr>
      <w:r>
        <w:rPr>
          <w:rFonts w:ascii="Arial" w:cs="Arial" w:eastAsia="Arial" w:hAnsi="Arial"/>
          <w:sz w:val="14"/>
          <w:szCs w:val="14"/>
          <w:color w:val="auto"/>
        </w:rPr>
        <w:t>This column sets forth restricted stock units that vest within 60 days of February 26, 2025.</w:t>
      </w:r>
    </w:p>
    <w:p>
      <w:pPr>
        <w:spacing w:after="0" w:line="46" w:lineRule="exact"/>
        <w:rPr>
          <w:sz w:val="20"/>
          <w:szCs w:val="20"/>
          <w:color w:val="auto"/>
        </w:rPr>
      </w:pPr>
    </w:p>
    <w:p>
      <w:pPr>
        <w:ind w:left="180" w:hanging="172"/>
        <w:spacing w:after="0" w:line="219" w:lineRule="auto"/>
        <w:tabs>
          <w:tab w:leader="none" w:pos="174" w:val="left"/>
        </w:tabs>
        <w:numPr>
          <w:ilvl w:val="0"/>
          <w:numId w:val="105"/>
        </w:numPr>
        <w:rPr>
          <w:rFonts w:ascii="Arial" w:cs="Arial" w:eastAsia="Arial" w:hAnsi="Arial"/>
          <w:sz w:val="19"/>
          <w:szCs w:val="19"/>
          <w:color w:val="auto"/>
          <w:vertAlign w:val="superscript"/>
        </w:rPr>
      </w:pPr>
      <w:r>
        <w:rPr>
          <w:rFonts w:ascii="Arial" w:cs="Arial" w:eastAsia="Arial" w:hAnsi="Arial"/>
          <w:sz w:val="14"/>
          <w:szCs w:val="14"/>
          <w:color w:val="auto"/>
        </w:rPr>
        <w:t>For the executive officers, this column reflects restricted stock units that will not vest within 60 days of February 26, 2025. For the non-employee directors, this column reflects the number of units representing the right to receive shares of company stock credited to the directors’ accounts in the Lilly Directors’ Deferral Plan.</w:t>
      </w:r>
    </w:p>
    <w:p>
      <w:pPr>
        <w:spacing w:after="0" w:line="40" w:lineRule="exact"/>
        <w:rPr>
          <w:sz w:val="20"/>
          <w:szCs w:val="20"/>
          <w:color w:val="auto"/>
        </w:rPr>
      </w:pPr>
    </w:p>
    <w:p>
      <w:pPr>
        <w:ind w:left="160" w:hanging="152"/>
        <w:spacing w:after="0"/>
        <w:tabs>
          <w:tab w:leader="none" w:pos="160" w:val="left"/>
        </w:tabs>
        <w:numPr>
          <w:ilvl w:val="0"/>
          <w:numId w:val="106"/>
        </w:numPr>
        <w:rPr>
          <w:rFonts w:ascii="Arial" w:cs="Arial" w:eastAsia="Arial" w:hAnsi="Arial"/>
          <w:sz w:val="9"/>
          <w:szCs w:val="9"/>
          <w:color w:val="auto"/>
        </w:rPr>
      </w:pPr>
      <w:r>
        <w:rPr>
          <w:rFonts w:ascii="Arial" w:cs="Arial" w:eastAsia="Arial" w:hAnsi="Arial"/>
          <w:sz w:val="14"/>
          <w:szCs w:val="14"/>
          <w:color w:val="auto"/>
        </w:rPr>
        <w:t>The shares shown for Mr. Ricks include 81,943 shares that are owned by a family foundation for which he is a director.</w:t>
      </w: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Insider Trading Procedure</w:t>
      </w:r>
    </w:p>
    <w:p>
      <w:pPr>
        <w:spacing w:after="0" w:line="243" w:lineRule="exact"/>
        <w:rPr>
          <w:sz w:val="20"/>
          <w:szCs w:val="20"/>
          <w:color w:val="auto"/>
        </w:rPr>
      </w:pPr>
    </w:p>
    <w:p>
      <w:pPr>
        <w:jc w:val="both"/>
        <w:ind w:right="240"/>
        <w:spacing w:after="0" w:line="262" w:lineRule="auto"/>
        <w:rPr>
          <w:sz w:val="20"/>
          <w:szCs w:val="20"/>
          <w:color w:val="auto"/>
        </w:rPr>
      </w:pPr>
      <w:r>
        <w:rPr>
          <w:rFonts w:ascii="Arial" w:cs="Arial" w:eastAsia="Arial" w:hAnsi="Arial"/>
          <w:sz w:val="18"/>
          <w:szCs w:val="18"/>
          <w:color w:val="auto"/>
        </w:rPr>
        <w:t>Lilly has adopted an insider trading procedure governing the purchase, sale, and/or other dispositions of its securities by directors, officers and employees, and has implemented processes with respect to the Company, that are reasonably designed to promote compliance with securities laws, rules and regulations, and New York Stock Exchange listing standards. The full text of Lilly’s insider trading procedure was filed as Exhibit 19 to the company's Annual Report on Form 10-K for the year ended December 31, 2024.</w:t>
      </w:r>
    </w:p>
    <w:p>
      <w:pPr>
        <w:sectPr>
          <w:pgSz w:w="11900" w:h="16838" w:orient="portrait"/>
          <w:cols w:equalWidth="0" w:num="1">
            <w:col w:w="11220"/>
          </w:cols>
          <w:pgMar w:left="320" w:top="1125" w:right="359" w:bottom="1440" w:gutter="0" w:footer="0" w:header="0"/>
        </w:sect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94615</wp:posOffset>
            </wp:positionV>
            <wp:extent cx="7157720" cy="42545"/>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5" w:right="359" w:bottom="1440" w:gutter="0" w:footer="0" w:header="0"/>
          <w:type w:val="continuous"/>
        </w:sectPr>
      </w:pPr>
    </w:p>
    <w:bookmarkStart w:id="48" w:name="page49"/>
    <w:bookmarkEnd w:id="48"/>
    <w:p>
      <w:pPr>
        <w:spacing w:after="0"/>
        <w:rPr>
          <w:sz w:val="20"/>
          <w:szCs w:val="20"/>
          <w:color w:val="auto"/>
        </w:rPr>
      </w:pPr>
      <w:r>
        <w:rPr>
          <w:rFonts w:ascii="Arial" w:cs="Arial" w:eastAsia="Arial" w:hAnsi="Arial"/>
          <w:sz w:val="32"/>
          <w:szCs w:val="32"/>
          <w:b w:val="1"/>
          <w:bCs w:val="1"/>
          <w:color w:val="D52B1E"/>
        </w:rPr>
        <w:t>Common Stock Ownership of Certain Beneficial Holders</w:t>
      </w:r>
    </w:p>
    <w:p>
      <w:pPr>
        <w:spacing w:after="0" w:line="89"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The following table sets forth the number of shares of company common stock beneficially owned as of December 31, 2024, unless otherwise indicated, by each person known to the company to beneficially own more than five percent of the outstanding shares of the company’s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4474845" cy="8255"/>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4474845" cy="8255"/>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5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100" w:type="dxa"/>
            <w:vAlign w:val="bottom"/>
          </w:tcPr>
          <w:p>
            <w:pPr>
              <w:jc w:val="center"/>
              <w:ind w:right="188"/>
              <w:spacing w:after="0"/>
              <w:rPr>
                <w:sz w:val="20"/>
                <w:szCs w:val="20"/>
                <w:color w:val="auto"/>
              </w:rPr>
            </w:pPr>
            <w:r>
              <w:rPr>
                <w:rFonts w:ascii="Arial" w:cs="Arial" w:eastAsia="Arial" w:hAnsi="Arial"/>
                <w:sz w:val="14"/>
                <w:szCs w:val="14"/>
                <w:b w:val="1"/>
                <w:bCs w:val="1"/>
                <w:color w:val="auto"/>
              </w:rPr>
              <w:t>Number of Shares</w:t>
            </w:r>
          </w:p>
        </w:tc>
        <w:tc>
          <w:tcPr>
            <w:tcW w:w="200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Percent of Class</w:t>
            </w:r>
            <w:r>
              <w:rPr>
                <w:rFonts w:ascii="Arial" w:cs="Arial" w:eastAsia="Arial" w:hAnsi="Arial"/>
                <w:sz w:val="18"/>
                <w:szCs w:val="18"/>
                <w:b w:val="1"/>
                <w:bCs w:val="1"/>
                <w:color w:val="auto"/>
                <w:vertAlign w:val="superscript"/>
              </w:rPr>
              <w:t>*</w:t>
            </w:r>
          </w:p>
        </w:tc>
        <w:tc>
          <w:tcPr>
            <w:tcW w:w="0" w:type="dxa"/>
            <w:vAlign w:val="bottom"/>
          </w:tcPr>
          <w:p>
            <w:pPr>
              <w:spacing w:after="0"/>
              <w:rPr>
                <w:sz w:val="1"/>
                <w:szCs w:val="1"/>
                <w:color w:val="auto"/>
              </w:rPr>
            </w:pPr>
          </w:p>
        </w:tc>
      </w:tr>
      <w:tr>
        <w:trPr>
          <w:trHeight w:val="144"/>
        </w:trPr>
        <w:tc>
          <w:tcPr>
            <w:tcW w:w="2560" w:type="dxa"/>
            <w:vAlign w:val="bottom"/>
            <w:vMerge w:val="restart"/>
          </w:tcPr>
          <w:p>
            <w:pPr>
              <w:ind w:left="660"/>
              <w:spacing w:after="0"/>
              <w:rPr>
                <w:sz w:val="20"/>
                <w:szCs w:val="20"/>
                <w:color w:val="auto"/>
              </w:rPr>
            </w:pPr>
            <w:r>
              <w:rPr>
                <w:rFonts w:ascii="Arial" w:cs="Arial" w:eastAsia="Arial" w:hAnsi="Arial"/>
                <w:sz w:val="14"/>
                <w:szCs w:val="14"/>
                <w:b w:val="1"/>
                <w:bCs w:val="1"/>
                <w:color w:val="auto"/>
              </w:rPr>
              <w:t>Name and Address</w:t>
            </w:r>
          </w:p>
        </w:tc>
        <w:tc>
          <w:tcPr>
            <w:tcW w:w="400" w:type="dxa"/>
            <w:vAlign w:val="bottom"/>
          </w:tcPr>
          <w:p>
            <w:pPr>
              <w:spacing w:after="0"/>
              <w:rPr>
                <w:sz w:val="12"/>
                <w:szCs w:val="12"/>
                <w:color w:val="auto"/>
              </w:rPr>
            </w:pPr>
          </w:p>
        </w:tc>
        <w:tc>
          <w:tcPr>
            <w:tcW w:w="2100" w:type="dxa"/>
            <w:vAlign w:val="bottom"/>
            <w:vMerge w:val="restart"/>
          </w:tcPr>
          <w:p>
            <w:pPr>
              <w:jc w:val="center"/>
              <w:ind w:right="148"/>
              <w:spacing w:after="0"/>
              <w:rPr>
                <w:sz w:val="20"/>
                <w:szCs w:val="20"/>
                <w:color w:val="auto"/>
              </w:rPr>
            </w:pPr>
            <w:r>
              <w:rPr>
                <w:rFonts w:ascii="Arial" w:cs="Arial" w:eastAsia="Arial" w:hAnsi="Arial"/>
                <w:sz w:val="14"/>
                <w:szCs w:val="14"/>
                <w:b w:val="1"/>
                <w:bCs w:val="1"/>
                <w:color w:val="auto"/>
              </w:rPr>
              <w:t>Beneficially Owned</w:t>
            </w:r>
          </w:p>
        </w:tc>
        <w:tc>
          <w:tcPr>
            <w:tcW w:w="2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1"/>
        </w:trPr>
        <w:tc>
          <w:tcPr>
            <w:tcW w:w="2560" w:type="dxa"/>
            <w:vAlign w:val="bottom"/>
            <w:tcBorders>
              <w:bottom w:val="single" w:sz="8" w:color="auto"/>
            </w:tcBorders>
            <w:vMerge w:val="continue"/>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2100" w:type="dxa"/>
            <w:vAlign w:val="bottom"/>
            <w:tcBorders>
              <w:bottom w:val="single" w:sz="8" w:color="auto"/>
            </w:tcBorders>
            <w:vMerge w:val="continue"/>
          </w:tcPr>
          <w:p>
            <w:pPr>
              <w:spacing w:after="0"/>
              <w:rPr>
                <w:sz w:val="5"/>
                <w:szCs w:val="5"/>
                <w:color w:val="auto"/>
              </w:rPr>
            </w:pPr>
          </w:p>
        </w:tc>
        <w:tc>
          <w:tcPr>
            <w:tcW w:w="20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3"/>
        </w:trPr>
        <w:tc>
          <w:tcPr>
            <w:tcW w:w="2560" w:type="dxa"/>
            <w:vAlign w:val="bottom"/>
            <w:vMerge w:val="restart"/>
            <w:shd w:val="clear" w:color="auto" w:fill="F2F2F2"/>
          </w:tcPr>
          <w:p>
            <w:pPr>
              <w:ind w:left="20"/>
              <w:spacing w:after="0"/>
              <w:rPr>
                <w:sz w:val="20"/>
                <w:szCs w:val="20"/>
                <w:color w:val="auto"/>
              </w:rPr>
            </w:pPr>
            <w:r>
              <w:rPr>
                <w:rFonts w:ascii="Arial" w:cs="Arial" w:eastAsia="Arial" w:hAnsi="Arial"/>
                <w:sz w:val="14"/>
                <w:szCs w:val="14"/>
                <w:color w:val="auto"/>
              </w:rPr>
              <w:t>Lilly Endowment Inc. (the Endowment)</w:t>
            </w:r>
          </w:p>
        </w:tc>
        <w:tc>
          <w:tcPr>
            <w:tcW w:w="400" w:type="dxa"/>
            <w:vAlign w:val="bottom"/>
            <w:shd w:val="clear" w:color="auto" w:fill="F2F2F2"/>
          </w:tcPr>
          <w:p>
            <w:pPr>
              <w:jc w:val="right"/>
              <w:ind w:right="213"/>
              <w:spacing w:after="0"/>
              <w:rPr>
                <w:sz w:val="20"/>
                <w:szCs w:val="20"/>
                <w:color w:val="auto"/>
              </w:rPr>
            </w:pPr>
            <w:r>
              <w:rPr>
                <w:rFonts w:ascii="Arial" w:cs="Arial" w:eastAsia="Arial" w:hAnsi="Arial"/>
                <w:sz w:val="9"/>
                <w:szCs w:val="9"/>
                <w:color w:val="auto"/>
              </w:rPr>
              <w:t>1</w:t>
            </w:r>
          </w:p>
        </w:tc>
        <w:tc>
          <w:tcPr>
            <w:tcW w:w="2100" w:type="dxa"/>
            <w:vAlign w:val="bottom"/>
            <w:vMerge w:val="restart"/>
            <w:shd w:val="clear" w:color="auto" w:fill="F2F2F2"/>
          </w:tcPr>
          <w:p>
            <w:pPr>
              <w:jc w:val="center"/>
              <w:ind w:right="148"/>
              <w:spacing w:after="0"/>
              <w:rPr>
                <w:sz w:val="20"/>
                <w:szCs w:val="20"/>
                <w:color w:val="auto"/>
              </w:rPr>
            </w:pPr>
            <w:r>
              <w:rPr>
                <w:rFonts w:ascii="Arial" w:cs="Arial" w:eastAsia="Arial" w:hAnsi="Arial"/>
                <w:sz w:val="14"/>
                <w:szCs w:val="14"/>
                <w:color w:val="auto"/>
              </w:rPr>
              <w:t>96,891,978</w:t>
            </w:r>
          </w:p>
        </w:tc>
        <w:tc>
          <w:tcPr>
            <w:tcW w:w="2000" w:type="dxa"/>
            <w:vAlign w:val="bottom"/>
            <w:vMerge w:val="restart"/>
            <w:shd w:val="clear" w:color="auto" w:fill="F2F2F2"/>
          </w:tcPr>
          <w:p>
            <w:pPr>
              <w:jc w:val="center"/>
              <w:ind w:left="128"/>
              <w:spacing w:after="0"/>
              <w:rPr>
                <w:sz w:val="20"/>
                <w:szCs w:val="20"/>
                <w:color w:val="auto"/>
              </w:rPr>
            </w:pPr>
            <w:r>
              <w:rPr>
                <w:rFonts w:ascii="Arial" w:cs="Arial" w:eastAsia="Arial" w:hAnsi="Arial"/>
                <w:sz w:val="14"/>
                <w:szCs w:val="14"/>
                <w:color w:val="auto"/>
              </w:rPr>
              <w:t>10.2%</w:t>
            </w:r>
          </w:p>
        </w:tc>
        <w:tc>
          <w:tcPr>
            <w:tcW w:w="0" w:type="dxa"/>
            <w:vAlign w:val="bottom"/>
          </w:tcPr>
          <w:p>
            <w:pPr>
              <w:spacing w:after="0"/>
              <w:rPr>
                <w:sz w:val="1"/>
                <w:szCs w:val="1"/>
                <w:color w:val="auto"/>
              </w:rPr>
            </w:pPr>
          </w:p>
        </w:tc>
      </w:tr>
      <w:tr>
        <w:trPr>
          <w:trHeight w:val="71"/>
        </w:trPr>
        <w:tc>
          <w:tcPr>
            <w:tcW w:w="2560" w:type="dxa"/>
            <w:vAlign w:val="bottom"/>
            <w:vMerge w:val="continue"/>
            <w:shd w:val="clear" w:color="auto" w:fill="F2F2F2"/>
          </w:tcPr>
          <w:p>
            <w:pPr>
              <w:spacing w:after="0"/>
              <w:rPr>
                <w:sz w:val="6"/>
                <w:szCs w:val="6"/>
                <w:color w:val="auto"/>
              </w:rPr>
            </w:pPr>
          </w:p>
        </w:tc>
        <w:tc>
          <w:tcPr>
            <w:tcW w:w="400" w:type="dxa"/>
            <w:vAlign w:val="bottom"/>
            <w:shd w:val="clear" w:color="auto" w:fill="F2F2F2"/>
          </w:tcPr>
          <w:p>
            <w:pPr>
              <w:spacing w:after="0"/>
              <w:rPr>
                <w:sz w:val="6"/>
                <w:szCs w:val="6"/>
                <w:color w:val="auto"/>
              </w:rPr>
            </w:pPr>
          </w:p>
        </w:tc>
        <w:tc>
          <w:tcPr>
            <w:tcW w:w="2100" w:type="dxa"/>
            <w:vAlign w:val="bottom"/>
            <w:vMerge w:val="continue"/>
            <w:shd w:val="clear" w:color="auto" w:fill="F2F2F2"/>
          </w:tcPr>
          <w:p>
            <w:pPr>
              <w:spacing w:after="0"/>
              <w:rPr>
                <w:sz w:val="6"/>
                <w:szCs w:val="6"/>
                <w:color w:val="auto"/>
              </w:rPr>
            </w:pPr>
          </w:p>
        </w:tc>
        <w:tc>
          <w:tcPr>
            <w:tcW w:w="2000" w:type="dxa"/>
            <w:vAlign w:val="bottom"/>
            <w:vMerge w:val="continue"/>
            <w:shd w:val="clear" w:color="auto" w:fill="F2F2F2"/>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2560" w:type="dxa"/>
            <w:vAlign w:val="bottom"/>
            <w:shd w:val="clear" w:color="auto" w:fill="F2F2F2"/>
          </w:tcPr>
          <w:p>
            <w:pPr>
              <w:ind w:left="20"/>
              <w:spacing w:after="0"/>
              <w:rPr>
                <w:sz w:val="20"/>
                <w:szCs w:val="20"/>
                <w:color w:val="auto"/>
              </w:rPr>
            </w:pPr>
            <w:r>
              <w:rPr>
                <w:rFonts w:ascii="Arial" w:cs="Arial" w:eastAsia="Arial" w:hAnsi="Arial"/>
                <w:sz w:val="14"/>
                <w:szCs w:val="14"/>
                <w:color w:val="auto"/>
              </w:rPr>
              <w:t>2801 North Meridian Street</w:t>
            </w:r>
          </w:p>
        </w:tc>
        <w:tc>
          <w:tcPr>
            <w:tcW w:w="400" w:type="dxa"/>
            <w:vAlign w:val="bottom"/>
            <w:shd w:val="clear" w:color="auto" w:fill="F2F2F2"/>
          </w:tcPr>
          <w:p>
            <w:pPr>
              <w:spacing w:after="0"/>
              <w:rPr>
                <w:sz w:val="14"/>
                <w:szCs w:val="14"/>
                <w:color w:val="auto"/>
              </w:rPr>
            </w:pPr>
          </w:p>
        </w:tc>
        <w:tc>
          <w:tcPr>
            <w:tcW w:w="2100" w:type="dxa"/>
            <w:vAlign w:val="bottom"/>
            <w:shd w:val="clear" w:color="auto" w:fill="F2F2F2"/>
          </w:tcPr>
          <w:p>
            <w:pPr>
              <w:spacing w:after="0"/>
              <w:rPr>
                <w:sz w:val="14"/>
                <w:szCs w:val="14"/>
                <w:color w:val="auto"/>
              </w:rPr>
            </w:pPr>
          </w:p>
        </w:tc>
        <w:tc>
          <w:tcPr>
            <w:tcW w:w="2000" w:type="dxa"/>
            <w:vAlign w:val="bottom"/>
            <w:shd w:val="clear" w:color="auto" w:fill="F2F2F2"/>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256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4"/>
                <w:szCs w:val="14"/>
                <w:color w:val="auto"/>
              </w:rPr>
              <w:t>Indianapolis, IN 46208</w:t>
            </w:r>
          </w:p>
        </w:tc>
        <w:tc>
          <w:tcPr>
            <w:tcW w:w="400" w:type="dxa"/>
            <w:vAlign w:val="bottom"/>
            <w:tcBorders>
              <w:bottom w:val="single" w:sz="8" w:color="F2F2F2"/>
            </w:tcBorders>
            <w:shd w:val="clear" w:color="auto" w:fill="F2F2F2"/>
          </w:tcPr>
          <w:p>
            <w:pPr>
              <w:spacing w:after="0"/>
              <w:rPr>
                <w:sz w:val="17"/>
                <w:szCs w:val="17"/>
                <w:color w:val="auto"/>
              </w:rPr>
            </w:pPr>
          </w:p>
        </w:tc>
        <w:tc>
          <w:tcPr>
            <w:tcW w:w="2100" w:type="dxa"/>
            <w:vAlign w:val="bottom"/>
            <w:tcBorders>
              <w:bottom w:val="single" w:sz="8" w:color="F2F2F2"/>
            </w:tcBorders>
            <w:shd w:val="clear" w:color="auto" w:fill="F2F2F2"/>
          </w:tcPr>
          <w:p>
            <w:pPr>
              <w:spacing w:after="0"/>
              <w:rPr>
                <w:sz w:val="17"/>
                <w:szCs w:val="17"/>
                <w:color w:val="auto"/>
              </w:rPr>
            </w:pPr>
          </w:p>
        </w:tc>
        <w:tc>
          <w:tcPr>
            <w:tcW w:w="2000" w:type="dxa"/>
            <w:vAlign w:val="bottom"/>
            <w:tcBorders>
              <w:bottom w:val="single" w:sz="8" w:color="F2F2F2"/>
            </w:tcBorders>
            <w:shd w:val="clear" w:color="auto" w:fill="F2F2F2"/>
          </w:tcPr>
          <w:p>
            <w:pPr>
              <w:spacing w:after="0"/>
              <w:rPr>
                <w:sz w:val="17"/>
                <w:szCs w:val="17"/>
                <w:color w:val="auto"/>
              </w:rPr>
            </w:pPr>
          </w:p>
        </w:tc>
        <w:tc>
          <w:tcPr>
            <w:tcW w:w="0" w:type="dxa"/>
            <w:vAlign w:val="bottom"/>
          </w:tcPr>
          <w:p>
            <w:pPr>
              <w:spacing w:after="0"/>
              <w:rPr>
                <w:sz w:val="1"/>
                <w:szCs w:val="1"/>
                <w:color w:val="auto"/>
              </w:rPr>
            </w:pPr>
          </w:p>
        </w:tc>
      </w:tr>
      <w:tr>
        <w:trPr>
          <w:trHeight w:val="123"/>
        </w:trPr>
        <w:tc>
          <w:tcPr>
            <w:tcW w:w="2560" w:type="dxa"/>
            <w:vAlign w:val="bottom"/>
            <w:vMerge w:val="restart"/>
          </w:tcPr>
          <w:p>
            <w:pPr>
              <w:ind w:left="20"/>
              <w:spacing w:after="0"/>
              <w:rPr>
                <w:sz w:val="20"/>
                <w:szCs w:val="20"/>
                <w:color w:val="auto"/>
              </w:rPr>
            </w:pPr>
            <w:r>
              <w:rPr>
                <w:rFonts w:ascii="Arial" w:cs="Arial" w:eastAsia="Arial" w:hAnsi="Arial"/>
                <w:sz w:val="14"/>
                <w:szCs w:val="14"/>
                <w:color w:val="auto"/>
              </w:rPr>
              <w:t>The Vanguard Group</w:t>
            </w:r>
          </w:p>
        </w:tc>
        <w:tc>
          <w:tcPr>
            <w:tcW w:w="400" w:type="dxa"/>
            <w:vAlign w:val="bottom"/>
          </w:tcPr>
          <w:p>
            <w:pPr>
              <w:jc w:val="right"/>
              <w:ind w:right="213"/>
              <w:spacing w:after="0"/>
              <w:rPr>
                <w:sz w:val="20"/>
                <w:szCs w:val="20"/>
                <w:color w:val="auto"/>
              </w:rPr>
            </w:pPr>
            <w:r>
              <w:rPr>
                <w:rFonts w:ascii="Arial" w:cs="Arial" w:eastAsia="Arial" w:hAnsi="Arial"/>
                <w:sz w:val="9"/>
                <w:szCs w:val="9"/>
                <w:color w:val="auto"/>
              </w:rPr>
              <w:t>2</w:t>
            </w:r>
          </w:p>
        </w:tc>
        <w:tc>
          <w:tcPr>
            <w:tcW w:w="2100" w:type="dxa"/>
            <w:vAlign w:val="bottom"/>
            <w:vMerge w:val="restart"/>
          </w:tcPr>
          <w:p>
            <w:pPr>
              <w:jc w:val="center"/>
              <w:ind w:right="148"/>
              <w:spacing w:after="0"/>
              <w:rPr>
                <w:sz w:val="20"/>
                <w:szCs w:val="20"/>
                <w:color w:val="auto"/>
              </w:rPr>
            </w:pPr>
            <w:r>
              <w:rPr>
                <w:rFonts w:ascii="Arial" w:cs="Arial" w:eastAsia="Arial" w:hAnsi="Arial"/>
                <w:sz w:val="14"/>
                <w:szCs w:val="14"/>
                <w:color w:val="auto"/>
              </w:rPr>
              <w:t>71,604,696</w:t>
            </w:r>
          </w:p>
        </w:tc>
        <w:tc>
          <w:tcPr>
            <w:tcW w:w="2000" w:type="dxa"/>
            <w:vAlign w:val="bottom"/>
            <w:vMerge w:val="restart"/>
          </w:tcPr>
          <w:p>
            <w:pPr>
              <w:jc w:val="center"/>
              <w:ind w:left="128"/>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71"/>
        </w:trPr>
        <w:tc>
          <w:tcPr>
            <w:tcW w:w="256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2100" w:type="dxa"/>
            <w:vAlign w:val="bottom"/>
            <w:vMerge w:val="continue"/>
          </w:tcPr>
          <w:p>
            <w:pPr>
              <w:spacing w:after="0"/>
              <w:rPr>
                <w:sz w:val="6"/>
                <w:szCs w:val="6"/>
                <w:color w:val="auto"/>
              </w:rPr>
            </w:pPr>
          </w:p>
        </w:tc>
        <w:tc>
          <w:tcPr>
            <w:tcW w:w="2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2560" w:type="dxa"/>
            <w:vAlign w:val="bottom"/>
          </w:tcPr>
          <w:p>
            <w:pPr>
              <w:ind w:left="20"/>
              <w:spacing w:after="0"/>
              <w:rPr>
                <w:sz w:val="20"/>
                <w:szCs w:val="20"/>
                <w:color w:val="auto"/>
              </w:rPr>
            </w:pPr>
            <w:r>
              <w:rPr>
                <w:rFonts w:ascii="Arial" w:cs="Arial" w:eastAsia="Arial" w:hAnsi="Arial"/>
                <w:sz w:val="14"/>
                <w:szCs w:val="14"/>
                <w:color w:val="auto"/>
              </w:rPr>
              <w:t>100 Vanguard Blvd.</w:t>
            </w:r>
          </w:p>
        </w:tc>
        <w:tc>
          <w:tcPr>
            <w:tcW w:w="4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560" w:type="dxa"/>
            <w:vAlign w:val="bottom"/>
          </w:tcPr>
          <w:p>
            <w:pPr>
              <w:ind w:left="20"/>
              <w:spacing w:after="0"/>
              <w:rPr>
                <w:sz w:val="20"/>
                <w:szCs w:val="20"/>
                <w:color w:val="auto"/>
              </w:rPr>
            </w:pPr>
            <w:r>
              <w:rPr>
                <w:rFonts w:ascii="Arial" w:cs="Arial" w:eastAsia="Arial" w:hAnsi="Arial"/>
                <w:sz w:val="14"/>
                <w:szCs w:val="14"/>
                <w:color w:val="auto"/>
              </w:rPr>
              <w:t>Malvern, PA 19355</w:t>
            </w:r>
          </w:p>
        </w:tc>
        <w:tc>
          <w:tcPr>
            <w:tcW w:w="40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2560" w:type="dxa"/>
            <w:vAlign w:val="bottom"/>
          </w:tcPr>
          <w:p>
            <w:pPr>
              <w:spacing w:after="0"/>
              <w:rPr>
                <w:sz w:val="4"/>
                <w:szCs w:val="4"/>
                <w:color w:val="auto"/>
              </w:rPr>
            </w:pPr>
          </w:p>
        </w:tc>
        <w:tc>
          <w:tcPr>
            <w:tcW w:w="400" w:type="dxa"/>
            <w:vAlign w:val="bottom"/>
          </w:tcPr>
          <w:p>
            <w:pPr>
              <w:spacing w:after="0"/>
              <w:rPr>
                <w:sz w:val="4"/>
                <w:szCs w:val="4"/>
                <w:color w:val="auto"/>
              </w:rPr>
            </w:pPr>
          </w:p>
        </w:tc>
        <w:tc>
          <w:tcPr>
            <w:tcW w:w="2100" w:type="dxa"/>
            <w:vAlign w:val="bottom"/>
          </w:tcPr>
          <w:p>
            <w:pPr>
              <w:spacing w:after="0"/>
              <w:rPr>
                <w:sz w:val="4"/>
                <w:szCs w:val="4"/>
                <w:color w:val="auto"/>
              </w:rPr>
            </w:pPr>
          </w:p>
        </w:tc>
        <w:tc>
          <w:tcPr>
            <w:tcW w:w="2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3"/>
        </w:trPr>
        <w:tc>
          <w:tcPr>
            <w:tcW w:w="2560" w:type="dxa"/>
            <w:vAlign w:val="bottom"/>
            <w:vMerge w:val="restart"/>
            <w:shd w:val="clear" w:color="auto" w:fill="F2F2F2"/>
          </w:tcPr>
          <w:p>
            <w:pPr>
              <w:ind w:left="20"/>
              <w:spacing w:after="0"/>
              <w:rPr>
                <w:sz w:val="20"/>
                <w:szCs w:val="20"/>
                <w:color w:val="auto"/>
              </w:rPr>
            </w:pPr>
            <w:r>
              <w:rPr>
                <w:rFonts w:ascii="Arial" w:cs="Arial" w:eastAsia="Arial" w:hAnsi="Arial"/>
                <w:sz w:val="14"/>
                <w:szCs w:val="14"/>
                <w:color w:val="auto"/>
              </w:rPr>
              <w:t>BlackRock, Inc.</w:t>
            </w:r>
          </w:p>
        </w:tc>
        <w:tc>
          <w:tcPr>
            <w:tcW w:w="400" w:type="dxa"/>
            <w:vAlign w:val="bottom"/>
            <w:shd w:val="clear" w:color="auto" w:fill="F2F2F2"/>
          </w:tcPr>
          <w:p>
            <w:pPr>
              <w:jc w:val="right"/>
              <w:ind w:right="213"/>
              <w:spacing w:after="0"/>
              <w:rPr>
                <w:sz w:val="20"/>
                <w:szCs w:val="20"/>
                <w:color w:val="auto"/>
              </w:rPr>
            </w:pPr>
            <w:r>
              <w:rPr>
                <w:rFonts w:ascii="Arial" w:cs="Arial" w:eastAsia="Arial" w:hAnsi="Arial"/>
                <w:sz w:val="9"/>
                <w:szCs w:val="9"/>
                <w:color w:val="auto"/>
              </w:rPr>
              <w:t>3</w:t>
            </w:r>
          </w:p>
        </w:tc>
        <w:tc>
          <w:tcPr>
            <w:tcW w:w="2100" w:type="dxa"/>
            <w:vAlign w:val="bottom"/>
            <w:vMerge w:val="restart"/>
            <w:shd w:val="clear" w:color="auto" w:fill="F2F2F2"/>
          </w:tcPr>
          <w:p>
            <w:pPr>
              <w:jc w:val="center"/>
              <w:ind w:right="148"/>
              <w:spacing w:after="0"/>
              <w:rPr>
                <w:sz w:val="20"/>
                <w:szCs w:val="20"/>
                <w:color w:val="auto"/>
              </w:rPr>
            </w:pPr>
            <w:r>
              <w:rPr>
                <w:rFonts w:ascii="Arial" w:cs="Arial" w:eastAsia="Arial" w:hAnsi="Arial"/>
                <w:sz w:val="14"/>
                <w:szCs w:val="14"/>
                <w:color w:val="auto"/>
              </w:rPr>
              <w:t>64,376,027</w:t>
            </w:r>
          </w:p>
        </w:tc>
        <w:tc>
          <w:tcPr>
            <w:tcW w:w="2000" w:type="dxa"/>
            <w:vAlign w:val="bottom"/>
            <w:vMerge w:val="restart"/>
            <w:shd w:val="clear" w:color="auto" w:fill="F2F2F2"/>
          </w:tcPr>
          <w:p>
            <w:pPr>
              <w:jc w:val="center"/>
              <w:ind w:left="128"/>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71"/>
        </w:trPr>
        <w:tc>
          <w:tcPr>
            <w:tcW w:w="2560" w:type="dxa"/>
            <w:vAlign w:val="bottom"/>
            <w:vMerge w:val="continue"/>
            <w:shd w:val="clear" w:color="auto" w:fill="F2F2F2"/>
          </w:tcPr>
          <w:p>
            <w:pPr>
              <w:spacing w:after="0"/>
              <w:rPr>
                <w:sz w:val="6"/>
                <w:szCs w:val="6"/>
                <w:color w:val="auto"/>
              </w:rPr>
            </w:pPr>
          </w:p>
        </w:tc>
        <w:tc>
          <w:tcPr>
            <w:tcW w:w="400" w:type="dxa"/>
            <w:vAlign w:val="bottom"/>
            <w:shd w:val="clear" w:color="auto" w:fill="F2F2F2"/>
          </w:tcPr>
          <w:p>
            <w:pPr>
              <w:spacing w:after="0"/>
              <w:rPr>
                <w:sz w:val="6"/>
                <w:szCs w:val="6"/>
                <w:color w:val="auto"/>
              </w:rPr>
            </w:pPr>
          </w:p>
        </w:tc>
        <w:tc>
          <w:tcPr>
            <w:tcW w:w="2100" w:type="dxa"/>
            <w:vAlign w:val="bottom"/>
            <w:vMerge w:val="continue"/>
            <w:shd w:val="clear" w:color="auto" w:fill="F2F2F2"/>
          </w:tcPr>
          <w:p>
            <w:pPr>
              <w:spacing w:after="0"/>
              <w:rPr>
                <w:sz w:val="6"/>
                <w:szCs w:val="6"/>
                <w:color w:val="auto"/>
              </w:rPr>
            </w:pPr>
          </w:p>
        </w:tc>
        <w:tc>
          <w:tcPr>
            <w:tcW w:w="2000" w:type="dxa"/>
            <w:vAlign w:val="bottom"/>
            <w:vMerge w:val="continue"/>
            <w:shd w:val="clear" w:color="auto" w:fill="F2F2F2"/>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2560" w:type="dxa"/>
            <w:vAlign w:val="bottom"/>
            <w:shd w:val="clear" w:color="auto" w:fill="F2F2F2"/>
          </w:tcPr>
          <w:p>
            <w:pPr>
              <w:ind w:left="20"/>
              <w:spacing w:after="0"/>
              <w:rPr>
                <w:sz w:val="20"/>
                <w:szCs w:val="20"/>
                <w:color w:val="auto"/>
              </w:rPr>
            </w:pPr>
            <w:r>
              <w:rPr>
                <w:rFonts w:ascii="Arial" w:cs="Arial" w:eastAsia="Arial" w:hAnsi="Arial"/>
                <w:sz w:val="14"/>
                <w:szCs w:val="14"/>
                <w:color w:val="auto"/>
              </w:rPr>
              <w:t>55 East 52nd Street</w:t>
            </w:r>
          </w:p>
        </w:tc>
        <w:tc>
          <w:tcPr>
            <w:tcW w:w="400" w:type="dxa"/>
            <w:vAlign w:val="bottom"/>
            <w:shd w:val="clear" w:color="auto" w:fill="F2F2F2"/>
          </w:tcPr>
          <w:p>
            <w:pPr>
              <w:spacing w:after="0"/>
              <w:rPr>
                <w:sz w:val="14"/>
                <w:szCs w:val="14"/>
                <w:color w:val="auto"/>
              </w:rPr>
            </w:pPr>
          </w:p>
        </w:tc>
        <w:tc>
          <w:tcPr>
            <w:tcW w:w="2100" w:type="dxa"/>
            <w:vAlign w:val="bottom"/>
            <w:shd w:val="clear" w:color="auto" w:fill="F2F2F2"/>
          </w:tcPr>
          <w:p>
            <w:pPr>
              <w:spacing w:after="0"/>
              <w:rPr>
                <w:sz w:val="14"/>
                <w:szCs w:val="14"/>
                <w:color w:val="auto"/>
              </w:rPr>
            </w:pPr>
          </w:p>
        </w:tc>
        <w:tc>
          <w:tcPr>
            <w:tcW w:w="2000" w:type="dxa"/>
            <w:vAlign w:val="bottom"/>
            <w:shd w:val="clear" w:color="auto" w:fill="F2F2F2"/>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256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4"/>
                <w:szCs w:val="14"/>
                <w:color w:val="auto"/>
              </w:rPr>
              <w:t>New York, NY 10055</w:t>
            </w:r>
          </w:p>
        </w:tc>
        <w:tc>
          <w:tcPr>
            <w:tcW w:w="400" w:type="dxa"/>
            <w:vAlign w:val="bottom"/>
            <w:tcBorders>
              <w:bottom w:val="single" w:sz="8" w:color="F2F2F2"/>
            </w:tcBorders>
            <w:shd w:val="clear" w:color="auto" w:fill="F2F2F2"/>
          </w:tcPr>
          <w:p>
            <w:pPr>
              <w:spacing w:after="0"/>
              <w:rPr>
                <w:sz w:val="19"/>
                <w:szCs w:val="19"/>
                <w:color w:val="auto"/>
              </w:rPr>
            </w:pPr>
          </w:p>
        </w:tc>
        <w:tc>
          <w:tcPr>
            <w:tcW w:w="2100" w:type="dxa"/>
            <w:vAlign w:val="bottom"/>
            <w:tcBorders>
              <w:bottom w:val="single" w:sz="8" w:color="F2F2F2"/>
            </w:tcBorders>
            <w:shd w:val="clear" w:color="auto" w:fill="F2F2F2"/>
          </w:tcPr>
          <w:p>
            <w:pPr>
              <w:spacing w:after="0"/>
              <w:rPr>
                <w:sz w:val="19"/>
                <w:szCs w:val="19"/>
                <w:color w:val="auto"/>
              </w:rPr>
            </w:pPr>
          </w:p>
        </w:tc>
        <w:tc>
          <w:tcPr>
            <w:tcW w:w="2000" w:type="dxa"/>
            <w:vAlign w:val="bottom"/>
            <w:tcBorders>
              <w:bottom w:val="single" w:sz="8" w:color="F2F2F2"/>
            </w:tcBorders>
            <w:shd w:val="clear" w:color="auto" w:fill="F2F2F2"/>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2960" w:type="dxa"/>
            <w:vAlign w:val="bottom"/>
            <w:gridSpan w:val="2"/>
          </w:tcPr>
          <w:p>
            <w:pPr>
              <w:ind w:left="20"/>
              <w:spacing w:after="0" w:line="194" w:lineRule="exact"/>
              <w:rPr>
                <w:sz w:val="20"/>
                <w:szCs w:val="20"/>
                <w:color w:val="auto"/>
              </w:rPr>
            </w:pPr>
            <w:r>
              <w:rPr>
                <w:rFonts w:ascii="Arial" w:cs="Arial" w:eastAsia="Arial" w:hAnsi="Arial"/>
                <w:sz w:val="14"/>
                <w:szCs w:val="14"/>
                <w:color w:val="auto"/>
              </w:rPr>
              <w:t xml:space="preserve">The PNC Financial Services Group, Inc. </w:t>
            </w:r>
            <w:r>
              <w:rPr>
                <w:rFonts w:ascii="Arial" w:cs="Arial" w:eastAsia="Arial" w:hAnsi="Arial"/>
                <w:sz w:val="18"/>
                <w:szCs w:val="18"/>
                <w:color w:val="auto"/>
                <w:vertAlign w:val="superscript"/>
              </w:rPr>
              <w:t>4</w:t>
            </w:r>
          </w:p>
        </w:tc>
        <w:tc>
          <w:tcPr>
            <w:tcW w:w="2100" w:type="dxa"/>
            <w:vAlign w:val="bottom"/>
          </w:tcPr>
          <w:p>
            <w:pPr>
              <w:jc w:val="center"/>
              <w:ind w:right="148"/>
              <w:spacing w:after="0"/>
              <w:rPr>
                <w:sz w:val="20"/>
                <w:szCs w:val="20"/>
                <w:color w:val="auto"/>
              </w:rPr>
            </w:pPr>
            <w:r>
              <w:rPr>
                <w:rFonts w:ascii="Arial" w:cs="Arial" w:eastAsia="Arial" w:hAnsi="Arial"/>
                <w:sz w:val="14"/>
                <w:szCs w:val="14"/>
                <w:color w:val="auto"/>
              </w:rPr>
              <w:t>51,153,837</w:t>
            </w:r>
          </w:p>
        </w:tc>
        <w:tc>
          <w:tcPr>
            <w:tcW w:w="2000" w:type="dxa"/>
            <w:vAlign w:val="bottom"/>
          </w:tcPr>
          <w:p>
            <w:pPr>
              <w:jc w:val="center"/>
              <w:ind w:left="128"/>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62"/>
        </w:trPr>
        <w:tc>
          <w:tcPr>
            <w:tcW w:w="2560" w:type="dxa"/>
            <w:vAlign w:val="bottom"/>
          </w:tcPr>
          <w:p>
            <w:pPr>
              <w:ind w:left="20"/>
              <w:spacing w:after="0"/>
              <w:rPr>
                <w:sz w:val="20"/>
                <w:szCs w:val="20"/>
                <w:color w:val="auto"/>
              </w:rPr>
            </w:pPr>
            <w:r>
              <w:rPr>
                <w:rFonts w:ascii="Arial" w:cs="Arial" w:eastAsia="Arial" w:hAnsi="Arial"/>
                <w:sz w:val="14"/>
                <w:szCs w:val="14"/>
                <w:color w:val="auto"/>
              </w:rPr>
              <w:t>300 Fifth Avenue</w:t>
            </w:r>
          </w:p>
        </w:tc>
        <w:tc>
          <w:tcPr>
            <w:tcW w:w="4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560" w:type="dxa"/>
            <w:vAlign w:val="bottom"/>
          </w:tcPr>
          <w:p>
            <w:pPr>
              <w:ind w:left="20"/>
              <w:spacing w:after="0"/>
              <w:rPr>
                <w:sz w:val="20"/>
                <w:szCs w:val="20"/>
                <w:color w:val="auto"/>
              </w:rPr>
            </w:pPr>
            <w:r>
              <w:rPr>
                <w:rFonts w:ascii="Arial" w:cs="Arial" w:eastAsia="Arial" w:hAnsi="Arial"/>
                <w:sz w:val="14"/>
                <w:szCs w:val="14"/>
                <w:color w:val="auto"/>
              </w:rPr>
              <w:t>Pittsburgh, PA 15222</w:t>
            </w:r>
          </w:p>
        </w:tc>
        <w:tc>
          <w:tcPr>
            <w:tcW w:w="40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9"/>
        </w:trPr>
        <w:tc>
          <w:tcPr>
            <w:tcW w:w="256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2100" w:type="dxa"/>
            <w:vAlign w:val="bottom"/>
            <w:tcBorders>
              <w:bottom w:val="single" w:sz="8" w:color="auto"/>
            </w:tcBorders>
          </w:tcPr>
          <w:p>
            <w:pPr>
              <w:spacing w:after="0"/>
              <w:rPr>
                <w:sz w:val="4"/>
                <w:szCs w:val="4"/>
                <w:color w:val="auto"/>
              </w:rPr>
            </w:pPr>
          </w:p>
        </w:tc>
        <w:tc>
          <w:tcPr>
            <w:tcW w:w="20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4"/>
          <w:szCs w:val="14"/>
          <w:color w:val="auto"/>
        </w:rPr>
        <w:t>*  Percent of class is calculated based on the shares of our common stock outstanding as of February 26, 2025.</w:t>
      </w:r>
    </w:p>
    <w:p>
      <w:pPr>
        <w:spacing w:after="0" w:line="69" w:lineRule="exact"/>
        <w:rPr>
          <w:sz w:val="20"/>
          <w:szCs w:val="20"/>
          <w:color w:val="auto"/>
        </w:rPr>
      </w:pPr>
    </w:p>
    <w:p>
      <w:pPr>
        <w:ind w:left="180" w:right="200" w:hanging="172"/>
        <w:spacing w:after="0" w:line="300" w:lineRule="auto"/>
        <w:tabs>
          <w:tab w:leader="none" w:pos="174" w:val="left"/>
        </w:tabs>
        <w:numPr>
          <w:ilvl w:val="0"/>
          <w:numId w:val="107"/>
        </w:numPr>
        <w:rPr>
          <w:rFonts w:ascii="Arial" w:cs="Arial" w:eastAsia="Arial" w:hAnsi="Arial"/>
          <w:sz w:val="9"/>
          <w:szCs w:val="9"/>
          <w:color w:val="auto"/>
        </w:rPr>
      </w:pPr>
      <w:r>
        <w:rPr>
          <w:rFonts w:ascii="Arial" w:cs="Arial" w:eastAsia="Arial" w:hAnsi="Arial"/>
          <w:sz w:val="14"/>
          <w:szCs w:val="14"/>
          <w:color w:val="auto"/>
        </w:rPr>
        <w:t>Based on information provided to Lilly by the Endowment as of December 31, 2024, and a Schedule 13G/A filed by the Endowment with the SEC on January 27, 2024, the Endowment has sole voting and sole dispositive power with respect to all of its shares.</w:t>
      </w:r>
    </w:p>
    <w:p>
      <w:pPr>
        <w:spacing w:after="0" w:line="3" w:lineRule="exact"/>
        <w:rPr>
          <w:sz w:val="20"/>
          <w:szCs w:val="20"/>
          <w:color w:val="auto"/>
        </w:rPr>
      </w:pPr>
    </w:p>
    <w:p>
      <w:pPr>
        <w:ind w:left="180" w:right="720" w:hanging="172"/>
        <w:spacing w:after="0" w:line="231" w:lineRule="auto"/>
        <w:tabs>
          <w:tab w:leader="none" w:pos="174" w:val="left"/>
        </w:tabs>
        <w:numPr>
          <w:ilvl w:val="0"/>
          <w:numId w:val="108"/>
        </w:numPr>
        <w:rPr>
          <w:rFonts w:ascii="Arial" w:cs="Arial" w:eastAsia="Arial" w:hAnsi="Arial"/>
          <w:sz w:val="19"/>
          <w:szCs w:val="19"/>
          <w:color w:val="auto"/>
          <w:vertAlign w:val="superscript"/>
        </w:rPr>
      </w:pPr>
      <w:r>
        <w:rPr>
          <w:rFonts w:ascii="Arial" w:cs="Arial" w:eastAsia="Arial" w:hAnsi="Arial"/>
          <w:sz w:val="14"/>
          <w:szCs w:val="14"/>
          <w:color w:val="auto"/>
        </w:rPr>
        <w:t>Based solely on the Schedule 13G/A filed with the SEC on February 13, 2024, reporting beneficial ownership as of December 31, 2023, by The Vanguard Group, it beneficially owns 71,604,696 shares.</w:t>
      </w:r>
    </w:p>
    <w:p>
      <w:pPr>
        <w:spacing w:after="0" w:line="26" w:lineRule="exact"/>
        <w:rPr>
          <w:sz w:val="20"/>
          <w:szCs w:val="20"/>
          <w:color w:val="auto"/>
        </w:rPr>
      </w:pPr>
    </w:p>
    <w:p>
      <w:pPr>
        <w:ind w:left="180" w:right="120" w:hanging="172"/>
        <w:spacing w:after="0" w:line="300" w:lineRule="auto"/>
        <w:tabs>
          <w:tab w:leader="none" w:pos="174" w:val="left"/>
        </w:tabs>
        <w:numPr>
          <w:ilvl w:val="0"/>
          <w:numId w:val="109"/>
        </w:numPr>
        <w:rPr>
          <w:rFonts w:ascii="Arial" w:cs="Arial" w:eastAsia="Arial" w:hAnsi="Arial"/>
          <w:sz w:val="9"/>
          <w:szCs w:val="9"/>
          <w:color w:val="auto"/>
        </w:rPr>
      </w:pPr>
      <w:r>
        <w:rPr>
          <w:rFonts w:ascii="Arial" w:cs="Arial" w:eastAsia="Arial" w:hAnsi="Arial"/>
          <w:sz w:val="14"/>
          <w:szCs w:val="14"/>
          <w:color w:val="auto"/>
        </w:rPr>
        <w:t>Based solely on the Schedule 13G/A filed with the SEC on January 29, 2024, reporting beneficial ownership as of December 31, 2023, by BlackRock, Inc., it has sole voting power with respect to 58,375,051 of its shares and sole dispositive power with respect to 64,376,027 of its shares.</w:t>
      </w:r>
    </w:p>
    <w:p>
      <w:pPr>
        <w:spacing w:after="0" w:line="3" w:lineRule="exact"/>
        <w:rPr>
          <w:sz w:val="20"/>
          <w:szCs w:val="20"/>
          <w:color w:val="auto"/>
        </w:rPr>
      </w:pPr>
    </w:p>
    <w:p>
      <w:pPr>
        <w:ind w:left="180" w:hanging="172"/>
        <w:spacing w:after="0" w:line="248" w:lineRule="auto"/>
        <w:tabs>
          <w:tab w:leader="none" w:pos="174" w:val="left"/>
        </w:tabs>
        <w:numPr>
          <w:ilvl w:val="0"/>
          <w:numId w:val="110"/>
        </w:numPr>
        <w:rPr>
          <w:rFonts w:ascii="Arial" w:cs="Arial" w:eastAsia="Arial" w:hAnsi="Arial"/>
          <w:sz w:val="19"/>
          <w:szCs w:val="19"/>
          <w:color w:val="auto"/>
          <w:vertAlign w:val="superscript"/>
        </w:rPr>
      </w:pPr>
      <w:r>
        <w:rPr>
          <w:rFonts w:ascii="Arial" w:cs="Arial" w:eastAsia="Arial" w:hAnsi="Arial"/>
          <w:sz w:val="14"/>
          <w:szCs w:val="14"/>
          <w:color w:val="auto"/>
        </w:rPr>
        <w:t>Based solely on the Schedule 13G/A filed with the SEC on February 7, 2025, by The PNC Financial Services Group, Inc.; PNC Bank, National Association; PNC Delaware Trust Company; PNC Ohio Trust Company; and PNC Investments LLC (collectively, PNC), PNC beneficially owns 51,153,837 shares in total. PNC has sole voting power with respect to 1,128,657 of its shares and shared voting power with respect to 50,004,717 of its shares. PNC has sole dispositive power with respect to 881,684 of its shares and shared dispositive power with respect to 50,229,518 of its shares. Of the total shares of common stock reported for PNC above, 50,000,000 shares are held in the Eli Lilly and Company Compensation Trust account for which PNC Bank serves as directed trustee. As directed trustee, PNC Bank is deemed to share both voting power and investment discretion with respect to those 50,000,000 shares.</w:t>
      </w:r>
    </w:p>
    <w:p>
      <w:pPr>
        <w:spacing w:after="0" w:line="339" w:lineRule="exact"/>
        <w:rPr>
          <w:sz w:val="20"/>
          <w:szCs w:val="20"/>
          <w:color w:val="auto"/>
        </w:rPr>
      </w:pPr>
    </w:p>
    <w:p>
      <w:pPr>
        <w:spacing w:after="0"/>
        <w:rPr>
          <w:sz w:val="20"/>
          <w:szCs w:val="20"/>
          <w:color w:val="auto"/>
        </w:rPr>
      </w:pPr>
      <w:r>
        <w:rPr>
          <w:rFonts w:ascii="Arial" w:cs="Arial" w:eastAsia="Arial" w:hAnsi="Arial"/>
          <w:sz w:val="32"/>
          <w:szCs w:val="32"/>
          <w:b w:val="1"/>
          <w:bCs w:val="1"/>
          <w:color w:val="D52B1E"/>
        </w:rPr>
        <w:t>Delinquent Section 16(a) Reports</w:t>
      </w:r>
    </w:p>
    <w:p>
      <w:pPr>
        <w:spacing w:after="0" w:line="8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Section 16(a) of the Exchange Act requires our directors and executive officers and persons who own more than 10% of a registered class of our equity securities to file reports of ownership of, and transactions in, our equity securities with the SEC. Based on a review of the copies of these reports, and on written representations from our reporting persons, we believe that all such reports were timely filed, except that due to administrative error one report for two restricted stock unit grants was filed late for Donald Zakrowski.</w:t>
      </w:r>
    </w:p>
    <w:p>
      <w:pPr>
        <w:spacing w:after="0" w:line="101" w:lineRule="exact"/>
        <w:rPr>
          <w:sz w:val="20"/>
          <w:szCs w:val="20"/>
          <w:color w:val="auto"/>
        </w:rPr>
      </w:pPr>
    </w:p>
    <w:p>
      <w:pPr>
        <w:spacing w:after="0"/>
        <w:rPr>
          <w:sz w:val="20"/>
          <w:szCs w:val="20"/>
          <w:color w:val="auto"/>
        </w:rPr>
      </w:pPr>
      <w:r>
        <w:rPr>
          <w:rFonts w:ascii="Arial" w:cs="Arial" w:eastAsia="Arial" w:hAnsi="Arial"/>
          <w:sz w:val="52"/>
          <w:szCs w:val="52"/>
          <w:b w:val="1"/>
          <w:bCs w:val="1"/>
          <w:color w:val="auto"/>
        </w:rPr>
        <w:t>Compensation</w:t>
      </w:r>
    </w:p>
    <w:p>
      <w:pPr>
        <w:spacing w:after="0" w:line="200" w:lineRule="exact"/>
        <w:rPr>
          <w:sz w:val="20"/>
          <w:szCs w:val="20"/>
          <w:color w:val="auto"/>
        </w:rPr>
      </w:pPr>
    </w:p>
    <w:p>
      <w:pPr>
        <w:spacing w:after="0" w:line="211" w:lineRule="exact"/>
        <w:rPr>
          <w:sz w:val="20"/>
          <w:szCs w:val="20"/>
          <w:color w:val="auto"/>
        </w:rPr>
      </w:pPr>
    </w:p>
    <w:p>
      <w:pPr>
        <w:ind w:right="1180"/>
        <w:spacing w:after="0" w:line="276" w:lineRule="auto"/>
        <w:rPr>
          <w:sz w:val="20"/>
          <w:szCs w:val="20"/>
          <w:color w:val="auto"/>
        </w:rPr>
      </w:pPr>
      <w:r>
        <w:rPr>
          <w:rFonts w:ascii="Arial" w:cs="Arial" w:eastAsia="Arial" w:hAnsi="Arial"/>
          <w:sz w:val="32"/>
          <w:szCs w:val="32"/>
          <w:b w:val="1"/>
          <w:bCs w:val="1"/>
          <w:color w:val="D52B1E"/>
        </w:rPr>
        <w:t>Item 2. Advisory Vote on Compensation Paid to Named Executive Officers</w:t>
      </w:r>
    </w:p>
    <w:p>
      <w:pPr>
        <w:spacing w:after="0" w:line="2"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Section 14A of the Securities Exchange Act of 1934 provides the company’s shareholders with the opportunity to approve, on an advisory basis, the compensation of the company’s named executive officers as disclosed in this proxy statement. Our compensation philosophy is designed to attract, engage, and retain highly talented individuals from a variety of backgrounds and motivate them to create long-term shareholder value by achieving top-tier corporate performance while embracing the company’s core values of integrity, excellence, and respect for people.</w:t>
      </w:r>
    </w:p>
    <w:p>
      <w:pPr>
        <w:spacing w:after="0" w:line="125"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The Talent and Compensation Committee and the board believe that our executive compensation aligns well with our philosophy and with corporate performance. Executive compensation is an important matter for our</w:t>
      </w:r>
    </w:p>
    <w:p>
      <w:pPr>
        <w:sectPr>
          <w:pgSz w:w="11900" w:h="16838" w:orient="portrait"/>
          <w:cols w:equalWidth="0" w:num="1">
            <w:col w:w="11220"/>
          </w:cols>
          <w:pgMar w:left="320" w:top="1135" w:right="359" w:bottom="1440" w:gutter="0" w:footer="0" w:header="0"/>
        </w:sect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103505</wp:posOffset>
            </wp:positionV>
            <wp:extent cx="7157720" cy="42545"/>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5" w:right="359" w:bottom="1440" w:gutter="0" w:footer="0" w:header="0"/>
          <w:type w:val="continuous"/>
        </w:sectPr>
      </w:pPr>
    </w:p>
    <w:bookmarkStart w:id="49" w:name="page50"/>
    <w:bookmarkEnd w:id="49"/>
    <w:p>
      <w:pPr>
        <w:ind w:right="20"/>
        <w:spacing w:after="0" w:line="287" w:lineRule="auto"/>
        <w:rPr>
          <w:sz w:val="20"/>
          <w:szCs w:val="20"/>
          <w:color w:val="auto"/>
        </w:rPr>
      </w:pPr>
      <w:r>
        <w:rPr>
          <w:rFonts w:ascii="Arial" w:cs="Arial" w:eastAsia="Arial" w:hAnsi="Arial"/>
          <w:sz w:val="18"/>
          <w:szCs w:val="18"/>
          <w:color w:val="auto"/>
        </w:rPr>
        <w:t>shareholders. We routinely review our compensation practices and engage in ongoing dialogue with our shareholders to ensure our practices are aligned with stakeholder interests and reflect best practices.</w:t>
      </w:r>
    </w:p>
    <w:p>
      <w:pPr>
        <w:spacing w:after="0" w:line="99"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request shareholder approval, on an advisory basis, of the compensation of the company’s named executive officers as disclosed in this proxy statement. As an advisory vote, this proposal is not binding on the company. However, the Talent and Compensation Committee values input from shareholders and will consider the outcome of the vote when making future executive compensation decisions.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5760720" cy="866140"/>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5760720" cy="866140"/>
                    </a:xfrm>
                    <a:prstGeom prst="rect">
                      <a:avLst/>
                    </a:prstGeom>
                    <a:noFill/>
                  </pic:spPr>
                </pic:pic>
              </a:graphicData>
            </a:graphic>
          </wp:anchor>
        </w:drawing>
      </w:r>
    </w:p>
    <w:p>
      <w:pPr>
        <w:spacing w:after="0" w:line="227" w:lineRule="exact"/>
        <w:rPr>
          <w:sz w:val="20"/>
          <w:szCs w:val="20"/>
          <w:color w:val="auto"/>
        </w:rPr>
      </w:pPr>
    </w:p>
    <w:p>
      <w:pPr>
        <w:ind w:left="1020"/>
        <w:spacing w:after="0"/>
        <w:rPr>
          <w:sz w:val="20"/>
          <w:szCs w:val="20"/>
          <w:color w:val="auto"/>
        </w:rPr>
      </w:pPr>
      <w:r>
        <w:rPr>
          <w:rFonts w:ascii="Arial" w:cs="Arial" w:eastAsia="Arial" w:hAnsi="Arial"/>
          <w:sz w:val="20"/>
          <w:szCs w:val="20"/>
          <w:b w:val="1"/>
          <w:bCs w:val="1"/>
          <w:color w:val="D52B1E"/>
        </w:rPr>
        <w:t>RECOMMENDATION FOR</w:t>
      </w:r>
    </w:p>
    <w:p>
      <w:pPr>
        <w:spacing w:after="0" w:line="172" w:lineRule="exact"/>
        <w:rPr>
          <w:sz w:val="20"/>
          <w:szCs w:val="20"/>
          <w:color w:val="auto"/>
        </w:rPr>
      </w:pPr>
    </w:p>
    <w:p>
      <w:pPr>
        <w:ind w:left="200" w:right="2200"/>
        <w:spacing w:after="0" w:line="273" w:lineRule="auto"/>
        <w:rPr>
          <w:sz w:val="20"/>
          <w:szCs w:val="20"/>
          <w:color w:val="auto"/>
        </w:rPr>
      </w:pPr>
      <w:r>
        <w:rPr>
          <w:rFonts w:ascii="Arial" w:cs="Arial" w:eastAsia="Arial" w:hAnsi="Arial"/>
          <w:sz w:val="18"/>
          <w:szCs w:val="18"/>
          <w:color w:val="auto"/>
        </w:rPr>
        <w:t xml:space="preserve">The board recommends that you vote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approval, on an advisory basis, of the compensation paid to the named executive officers, as disclosed pursuant to Item 402 of Regulation S-K, including the CD&amp;A, the compensation tables, and related narratives provided below in this proxy statement.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32"/>
          <w:szCs w:val="32"/>
          <w:b w:val="1"/>
          <w:bCs w:val="1"/>
          <w:color w:val="D52B1E"/>
        </w:rPr>
        <w:t>Talent and Compensation Committee Matters</w:t>
      </w:r>
    </w:p>
    <w:p>
      <w:pPr>
        <w:spacing w:after="0" w:line="178" w:lineRule="exact"/>
        <w:rPr>
          <w:sz w:val="20"/>
          <w:szCs w:val="20"/>
          <w:color w:val="auto"/>
        </w:rPr>
      </w:pPr>
    </w:p>
    <w:p>
      <w:pPr>
        <w:spacing w:after="0"/>
        <w:rPr>
          <w:sz w:val="20"/>
          <w:szCs w:val="20"/>
          <w:color w:val="auto"/>
        </w:rPr>
      </w:pPr>
      <w:r>
        <w:rPr>
          <w:rFonts w:ascii="Arial" w:cs="Arial" w:eastAsia="Arial" w:hAnsi="Arial"/>
          <w:sz w:val="25"/>
          <w:szCs w:val="25"/>
          <w:b w:val="1"/>
          <w:bCs w:val="1"/>
          <w:color w:val="00A1DE"/>
        </w:rPr>
        <w:t>Background</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Role of the Independent Consultant in Assessing Executive Compensation</w:t>
      </w:r>
    </w:p>
    <w:p>
      <w:pPr>
        <w:spacing w:after="0" w:line="54"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Talent and Compensation Committee has retained Frederic W. Cook &amp; Co., Inc. (FW Cook) as its independent compensation consultant. FW Cook reports directly to the Talent and Compensation Committee, and it is not permitted to have any business or personal relationship with management or members of the Talent and Compensation Committee. FW Cook’s responsibilities are to:</w:t>
      </w:r>
    </w:p>
    <w:p>
      <w:pPr>
        <w:spacing w:after="0" w:line="117" w:lineRule="exact"/>
        <w:rPr>
          <w:sz w:val="20"/>
          <w:szCs w:val="20"/>
          <w:color w:val="auto"/>
        </w:rPr>
      </w:pPr>
    </w:p>
    <w:p>
      <w:pPr>
        <w:ind w:left="500" w:right="900" w:hanging="330"/>
        <w:spacing w:after="0" w:line="287" w:lineRule="auto"/>
        <w:tabs>
          <w:tab w:leader="none" w:pos="489" w:val="left"/>
        </w:tabs>
        <w:numPr>
          <w:ilvl w:val="0"/>
          <w:numId w:val="111"/>
        </w:numPr>
        <w:rPr>
          <w:rFonts w:ascii="Arial" w:cs="Arial" w:eastAsia="Arial" w:hAnsi="Arial"/>
          <w:sz w:val="16"/>
          <w:szCs w:val="16"/>
          <w:color w:val="auto"/>
        </w:rPr>
      </w:pPr>
      <w:r>
        <w:rPr>
          <w:rFonts w:ascii="Arial" w:cs="Arial" w:eastAsia="Arial" w:hAnsi="Arial"/>
          <w:sz w:val="18"/>
          <w:szCs w:val="18"/>
          <w:color w:val="auto"/>
        </w:rPr>
        <w:t>review the company’s total compensation philosophy, peer group, and target competitive positioning for reasonableness and appropriateness;</w:t>
      </w:r>
    </w:p>
    <w:p>
      <w:pPr>
        <w:spacing w:after="0" w:line="98" w:lineRule="exact"/>
        <w:rPr>
          <w:rFonts w:ascii="Arial" w:cs="Arial" w:eastAsia="Arial" w:hAnsi="Arial"/>
          <w:sz w:val="16"/>
          <w:szCs w:val="16"/>
          <w:color w:val="auto"/>
        </w:rPr>
      </w:pPr>
    </w:p>
    <w:p>
      <w:pPr>
        <w:ind w:left="500" w:right="800" w:hanging="330"/>
        <w:spacing w:after="0" w:line="287" w:lineRule="auto"/>
        <w:tabs>
          <w:tab w:leader="none" w:pos="489" w:val="left"/>
        </w:tabs>
        <w:numPr>
          <w:ilvl w:val="0"/>
          <w:numId w:val="111"/>
        </w:numPr>
        <w:rPr>
          <w:rFonts w:ascii="Arial" w:cs="Arial" w:eastAsia="Arial" w:hAnsi="Arial"/>
          <w:sz w:val="16"/>
          <w:szCs w:val="16"/>
          <w:color w:val="auto"/>
        </w:rPr>
      </w:pPr>
      <w:r>
        <w:rPr>
          <w:rFonts w:ascii="Arial" w:cs="Arial" w:eastAsia="Arial" w:hAnsi="Arial"/>
          <w:sz w:val="18"/>
          <w:szCs w:val="18"/>
          <w:color w:val="auto"/>
        </w:rPr>
        <w:t>review the company’s executive compensation program and advise the Talent and Compensation Committee of evolving best practices;</w:t>
      </w:r>
    </w:p>
    <w:p>
      <w:pPr>
        <w:spacing w:after="0" w:line="98" w:lineRule="exact"/>
        <w:rPr>
          <w:rFonts w:ascii="Arial" w:cs="Arial" w:eastAsia="Arial" w:hAnsi="Arial"/>
          <w:sz w:val="16"/>
          <w:szCs w:val="16"/>
          <w:color w:val="auto"/>
        </w:rPr>
      </w:pPr>
    </w:p>
    <w:p>
      <w:pPr>
        <w:ind w:left="480" w:hanging="310"/>
        <w:spacing w:after="0"/>
        <w:tabs>
          <w:tab w:leader="none" w:pos="480" w:val="left"/>
        </w:tabs>
        <w:numPr>
          <w:ilvl w:val="0"/>
          <w:numId w:val="111"/>
        </w:numPr>
        <w:rPr>
          <w:rFonts w:ascii="Arial" w:cs="Arial" w:eastAsia="Arial" w:hAnsi="Arial"/>
          <w:sz w:val="16"/>
          <w:szCs w:val="16"/>
          <w:color w:val="auto"/>
        </w:rPr>
      </w:pPr>
      <w:r>
        <w:rPr>
          <w:rFonts w:ascii="Arial" w:cs="Arial" w:eastAsia="Arial" w:hAnsi="Arial"/>
          <w:sz w:val="18"/>
          <w:szCs w:val="18"/>
          <w:color w:val="auto"/>
        </w:rPr>
        <w:t>provide independent analyses and recommendations to the Talent and Compensation Committee on the CEO’s pay;</w:t>
      </w:r>
    </w:p>
    <w:p>
      <w:pPr>
        <w:spacing w:after="0" w:line="171" w:lineRule="exact"/>
        <w:rPr>
          <w:rFonts w:ascii="Arial" w:cs="Arial" w:eastAsia="Arial" w:hAnsi="Arial"/>
          <w:sz w:val="16"/>
          <w:szCs w:val="16"/>
          <w:color w:val="auto"/>
        </w:rPr>
      </w:pPr>
    </w:p>
    <w:p>
      <w:pPr>
        <w:ind w:left="480" w:hanging="310"/>
        <w:spacing w:after="0"/>
        <w:tabs>
          <w:tab w:leader="none" w:pos="480" w:val="left"/>
        </w:tabs>
        <w:numPr>
          <w:ilvl w:val="0"/>
          <w:numId w:val="111"/>
        </w:numPr>
        <w:rPr>
          <w:rFonts w:ascii="Arial" w:cs="Arial" w:eastAsia="Arial" w:hAnsi="Arial"/>
          <w:sz w:val="16"/>
          <w:szCs w:val="16"/>
          <w:color w:val="auto"/>
        </w:rPr>
      </w:pPr>
      <w:r>
        <w:rPr>
          <w:rFonts w:ascii="Arial" w:cs="Arial" w:eastAsia="Arial" w:hAnsi="Arial"/>
          <w:sz w:val="18"/>
          <w:szCs w:val="18"/>
          <w:color w:val="auto"/>
        </w:rPr>
        <w:t>review the CD&amp;A and related tables for the proxy statement;</w:t>
      </w:r>
    </w:p>
    <w:p>
      <w:pPr>
        <w:spacing w:after="0" w:line="171" w:lineRule="exact"/>
        <w:rPr>
          <w:rFonts w:ascii="Arial" w:cs="Arial" w:eastAsia="Arial" w:hAnsi="Arial"/>
          <w:sz w:val="16"/>
          <w:szCs w:val="16"/>
          <w:color w:val="auto"/>
        </w:rPr>
      </w:pPr>
    </w:p>
    <w:p>
      <w:pPr>
        <w:ind w:left="480" w:hanging="310"/>
        <w:spacing w:after="0"/>
        <w:tabs>
          <w:tab w:leader="none" w:pos="480" w:val="left"/>
        </w:tabs>
        <w:numPr>
          <w:ilvl w:val="0"/>
          <w:numId w:val="111"/>
        </w:numPr>
        <w:rPr>
          <w:rFonts w:ascii="Arial" w:cs="Arial" w:eastAsia="Arial" w:hAnsi="Arial"/>
          <w:sz w:val="16"/>
          <w:szCs w:val="16"/>
          <w:color w:val="auto"/>
        </w:rPr>
      </w:pPr>
      <w:r>
        <w:rPr>
          <w:rFonts w:ascii="Arial" w:cs="Arial" w:eastAsia="Arial" w:hAnsi="Arial"/>
          <w:sz w:val="18"/>
          <w:szCs w:val="18"/>
          <w:color w:val="auto"/>
        </w:rPr>
        <w:t>proactively advise the Talent and Compensation Committee on best practices for board governance of executive compensation; and</w:t>
      </w:r>
    </w:p>
    <w:p>
      <w:pPr>
        <w:spacing w:after="0" w:line="171" w:lineRule="exact"/>
        <w:rPr>
          <w:rFonts w:ascii="Arial" w:cs="Arial" w:eastAsia="Arial" w:hAnsi="Arial"/>
          <w:sz w:val="16"/>
          <w:szCs w:val="16"/>
          <w:color w:val="auto"/>
        </w:rPr>
      </w:pPr>
    </w:p>
    <w:p>
      <w:pPr>
        <w:ind w:left="480" w:hanging="310"/>
        <w:spacing w:after="0"/>
        <w:tabs>
          <w:tab w:leader="none" w:pos="480" w:val="left"/>
        </w:tabs>
        <w:numPr>
          <w:ilvl w:val="0"/>
          <w:numId w:val="111"/>
        </w:numPr>
        <w:rPr>
          <w:rFonts w:ascii="Arial" w:cs="Arial" w:eastAsia="Arial" w:hAnsi="Arial"/>
          <w:sz w:val="16"/>
          <w:szCs w:val="16"/>
          <w:color w:val="auto"/>
        </w:rPr>
      </w:pPr>
      <w:r>
        <w:rPr>
          <w:rFonts w:ascii="Arial" w:cs="Arial" w:eastAsia="Arial" w:hAnsi="Arial"/>
          <w:sz w:val="18"/>
          <w:szCs w:val="18"/>
          <w:color w:val="auto"/>
        </w:rPr>
        <w:t>undertake special projects at the request of the Talent and Compensation Committee or its chair.</w:t>
      </w:r>
    </w:p>
    <w:p>
      <w:pPr>
        <w:spacing w:after="0" w:line="171" w:lineRule="exact"/>
        <w:rPr>
          <w:sz w:val="20"/>
          <w:szCs w:val="20"/>
          <w:color w:val="auto"/>
        </w:rPr>
      </w:pPr>
    </w:p>
    <w:p>
      <w:pPr>
        <w:ind w:right="660"/>
        <w:spacing w:after="0" w:line="287" w:lineRule="auto"/>
        <w:rPr>
          <w:sz w:val="20"/>
          <w:szCs w:val="20"/>
          <w:color w:val="auto"/>
        </w:rPr>
      </w:pPr>
      <w:r>
        <w:rPr>
          <w:rFonts w:ascii="Arial" w:cs="Arial" w:eastAsia="Arial" w:hAnsi="Arial"/>
          <w:sz w:val="18"/>
          <w:szCs w:val="18"/>
          <w:color w:val="auto"/>
        </w:rPr>
        <w:t>FW Cook interacts directly with members of company management only on matters under the Talent and Compensation Committee’s oversight and with the knowledge and approval of the Talent and Compensation Committee chair.</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Role of Executive Officers and Management in Assessing Executive Compensation</w:t>
      </w:r>
    </w:p>
    <w:p>
      <w:pPr>
        <w:spacing w:after="0" w:line="5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With the oversight of the CEO and the Chief People Officer, the company’s global compensation group formulates recommendations on compensation philosophy, plan design, and compensation for executive officers (other than the CEO, as noted below). The CEO provides the Talent and Compensation Committee with a performance assessment and compensation recommendation for each of the other executive officers. The Talent and Compensation Committee considers those recommendations with the assistance of its independent compensation consultant FW Cook. The CEO and the Chief People Officer attend Talent and Compensation Committee meetings; however, they are not present for executive sessions or any discussion of their own compensation. Only non-employee directors and the Talent and Compensation Committee’s consultant attend executive sessions.</w:t>
      </w:r>
    </w:p>
    <w:p>
      <w:pPr>
        <w:spacing w:after="0" w:line="129" w:lineRule="exact"/>
        <w:rPr>
          <w:sz w:val="20"/>
          <w:szCs w:val="20"/>
          <w:color w:val="auto"/>
        </w:rPr>
      </w:pPr>
    </w:p>
    <w:p>
      <w:pPr>
        <w:ind w:right="1300"/>
        <w:spacing w:after="0" w:line="287" w:lineRule="auto"/>
        <w:rPr>
          <w:sz w:val="20"/>
          <w:szCs w:val="20"/>
          <w:color w:val="auto"/>
        </w:rPr>
      </w:pPr>
      <w:r>
        <w:rPr>
          <w:rFonts w:ascii="Arial" w:cs="Arial" w:eastAsia="Arial" w:hAnsi="Arial"/>
          <w:sz w:val="18"/>
          <w:szCs w:val="18"/>
          <w:color w:val="auto"/>
        </w:rPr>
        <w:t>The CEO does not participate in the formulation or discussion of his pay recommendations. He has no prior knowledge of the recommendations that FW Cook makes to the Talent and Compensation Committee.</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0" w:name="page51"/>
    <w:bookmarkEnd w:id="50"/>
    <w:p>
      <w:pPr>
        <w:spacing w:after="0"/>
        <w:rPr>
          <w:sz w:val="20"/>
          <w:szCs w:val="20"/>
          <w:color w:val="auto"/>
        </w:rPr>
      </w:pPr>
      <w:r>
        <w:rPr>
          <w:rFonts w:ascii="Arial" w:cs="Arial" w:eastAsia="Arial" w:hAnsi="Arial"/>
          <w:sz w:val="22"/>
          <w:szCs w:val="22"/>
          <w:b w:val="1"/>
          <w:bCs w:val="1"/>
          <w:color w:val="auto"/>
        </w:rPr>
        <w:t>Risk Assessment Process</w:t>
      </w:r>
    </w:p>
    <w:p>
      <w:pPr>
        <w:spacing w:after="0" w:line="5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As part of the company’s overall enterprise risk management program, in 2024, with consultation from the independent compensation consultant, the Talent and Compensation Committee reviewed the company’s compensation policies and practices and concluded that the programs and practices are not reasonably likely to have a material adverse effect on the company. The Talent and Compensation Committee noted numerous policy and design features of the company’s compensation programs and governance structure that reduce the likelihood of inappropriate or excessive risk-taking, including, but not limited to:</w:t>
      </w:r>
    </w:p>
    <w:p>
      <w:pPr>
        <w:spacing w:after="0" w:line="125" w:lineRule="exact"/>
        <w:rPr>
          <w:sz w:val="20"/>
          <w:szCs w:val="20"/>
          <w:color w:val="auto"/>
        </w:rPr>
      </w:pPr>
    </w:p>
    <w:p>
      <w:pPr>
        <w:ind w:left="480" w:hanging="310"/>
        <w:spacing w:after="0"/>
        <w:tabs>
          <w:tab w:leader="none" w:pos="480" w:val="left"/>
        </w:tabs>
        <w:numPr>
          <w:ilvl w:val="0"/>
          <w:numId w:val="112"/>
        </w:numPr>
        <w:rPr>
          <w:rFonts w:ascii="Arial" w:cs="Arial" w:eastAsia="Arial" w:hAnsi="Arial"/>
          <w:sz w:val="16"/>
          <w:szCs w:val="16"/>
          <w:color w:val="auto"/>
        </w:rPr>
      </w:pPr>
      <w:r>
        <w:rPr>
          <w:rFonts w:ascii="Arial" w:cs="Arial" w:eastAsia="Arial" w:hAnsi="Arial"/>
          <w:sz w:val="18"/>
          <w:szCs w:val="18"/>
          <w:color w:val="auto"/>
        </w:rPr>
        <w:t>Only independent directors serve on the Talent and Compensation Committee.</w:t>
      </w:r>
    </w:p>
    <w:p>
      <w:pPr>
        <w:spacing w:after="0" w:line="171" w:lineRule="exact"/>
        <w:rPr>
          <w:rFonts w:ascii="Arial" w:cs="Arial" w:eastAsia="Arial" w:hAnsi="Arial"/>
          <w:sz w:val="16"/>
          <w:szCs w:val="16"/>
          <w:color w:val="auto"/>
        </w:rPr>
      </w:pPr>
    </w:p>
    <w:p>
      <w:pPr>
        <w:ind w:left="480" w:hanging="310"/>
        <w:spacing w:after="0"/>
        <w:tabs>
          <w:tab w:leader="none" w:pos="480" w:val="left"/>
        </w:tabs>
        <w:numPr>
          <w:ilvl w:val="0"/>
          <w:numId w:val="112"/>
        </w:numPr>
        <w:rPr>
          <w:rFonts w:ascii="Arial" w:cs="Arial" w:eastAsia="Arial" w:hAnsi="Arial"/>
          <w:sz w:val="16"/>
          <w:szCs w:val="16"/>
          <w:color w:val="auto"/>
        </w:rPr>
      </w:pPr>
      <w:r>
        <w:rPr>
          <w:rFonts w:ascii="Arial" w:cs="Arial" w:eastAsia="Arial" w:hAnsi="Arial"/>
          <w:sz w:val="18"/>
          <w:szCs w:val="18"/>
          <w:color w:val="auto"/>
        </w:rPr>
        <w:t>The Talent and Compensation Committee engages its own independent compensation consultant.</w:t>
      </w:r>
    </w:p>
    <w:p>
      <w:pPr>
        <w:spacing w:after="0" w:line="171" w:lineRule="exact"/>
        <w:rPr>
          <w:rFonts w:ascii="Arial" w:cs="Arial" w:eastAsia="Arial" w:hAnsi="Arial"/>
          <w:sz w:val="16"/>
          <w:szCs w:val="16"/>
          <w:color w:val="auto"/>
        </w:rPr>
      </w:pPr>
    </w:p>
    <w:p>
      <w:pPr>
        <w:ind w:left="480" w:hanging="310"/>
        <w:spacing w:after="0"/>
        <w:tabs>
          <w:tab w:leader="none" w:pos="480" w:val="left"/>
        </w:tabs>
        <w:numPr>
          <w:ilvl w:val="0"/>
          <w:numId w:val="112"/>
        </w:numPr>
        <w:rPr>
          <w:rFonts w:ascii="Arial" w:cs="Arial" w:eastAsia="Arial" w:hAnsi="Arial"/>
          <w:sz w:val="16"/>
          <w:szCs w:val="16"/>
          <w:color w:val="auto"/>
        </w:rPr>
      </w:pPr>
      <w:r>
        <w:rPr>
          <w:rFonts w:ascii="Arial" w:cs="Arial" w:eastAsia="Arial" w:hAnsi="Arial"/>
          <w:sz w:val="18"/>
          <w:szCs w:val="18"/>
          <w:color w:val="auto"/>
        </w:rPr>
        <w:t>The Talent and Compensation Committee has downward discretion to lower compensation plan payouts.</w:t>
      </w:r>
    </w:p>
    <w:p>
      <w:pPr>
        <w:spacing w:after="0" w:line="171" w:lineRule="exact"/>
        <w:rPr>
          <w:rFonts w:ascii="Arial" w:cs="Arial" w:eastAsia="Arial" w:hAnsi="Arial"/>
          <w:sz w:val="16"/>
          <w:szCs w:val="16"/>
          <w:color w:val="auto"/>
        </w:rPr>
      </w:pPr>
    </w:p>
    <w:p>
      <w:pPr>
        <w:ind w:left="480" w:hanging="310"/>
        <w:spacing w:after="0"/>
        <w:tabs>
          <w:tab w:leader="none" w:pos="480" w:val="left"/>
        </w:tabs>
        <w:numPr>
          <w:ilvl w:val="0"/>
          <w:numId w:val="112"/>
        </w:numPr>
        <w:rPr>
          <w:rFonts w:ascii="Arial" w:cs="Arial" w:eastAsia="Arial" w:hAnsi="Arial"/>
          <w:sz w:val="16"/>
          <w:szCs w:val="16"/>
          <w:color w:val="auto"/>
        </w:rPr>
      </w:pPr>
      <w:r>
        <w:rPr>
          <w:rFonts w:ascii="Arial" w:cs="Arial" w:eastAsia="Arial" w:hAnsi="Arial"/>
          <w:sz w:val="18"/>
          <w:szCs w:val="18"/>
          <w:color w:val="auto"/>
        </w:rPr>
        <w:t>The Talent and Compensation Committee approves all adjustments to financial results that affect compensation calculations.</w:t>
      </w:r>
    </w:p>
    <w:p>
      <w:pPr>
        <w:spacing w:after="0" w:line="171" w:lineRule="exact"/>
        <w:rPr>
          <w:rFonts w:ascii="Arial" w:cs="Arial" w:eastAsia="Arial" w:hAnsi="Arial"/>
          <w:sz w:val="16"/>
          <w:szCs w:val="16"/>
          <w:color w:val="auto"/>
        </w:rPr>
      </w:pPr>
    </w:p>
    <w:p>
      <w:pPr>
        <w:ind w:left="500" w:right="80" w:hanging="330"/>
        <w:spacing w:after="0" w:line="287" w:lineRule="auto"/>
        <w:tabs>
          <w:tab w:leader="none" w:pos="489" w:val="left"/>
        </w:tabs>
        <w:numPr>
          <w:ilvl w:val="0"/>
          <w:numId w:val="112"/>
        </w:numPr>
        <w:rPr>
          <w:rFonts w:ascii="Arial" w:cs="Arial" w:eastAsia="Arial" w:hAnsi="Arial"/>
          <w:sz w:val="16"/>
          <w:szCs w:val="16"/>
          <w:color w:val="auto"/>
        </w:rPr>
      </w:pPr>
      <w:r>
        <w:rPr>
          <w:rFonts w:ascii="Arial" w:cs="Arial" w:eastAsia="Arial" w:hAnsi="Arial"/>
          <w:sz w:val="18"/>
          <w:szCs w:val="18"/>
          <w:color w:val="auto"/>
        </w:rPr>
        <w:t>Different measures and metrics are used across multiple incentive plans that appropriately balance cash/stock, fixed/variable pay, and short-term/long-term incentives.</w:t>
      </w:r>
    </w:p>
    <w:p>
      <w:pPr>
        <w:spacing w:after="0" w:line="98" w:lineRule="exact"/>
        <w:rPr>
          <w:rFonts w:ascii="Arial" w:cs="Arial" w:eastAsia="Arial" w:hAnsi="Arial"/>
          <w:sz w:val="16"/>
          <w:szCs w:val="16"/>
          <w:color w:val="auto"/>
        </w:rPr>
      </w:pPr>
    </w:p>
    <w:p>
      <w:pPr>
        <w:ind w:left="480" w:hanging="310"/>
        <w:spacing w:after="0"/>
        <w:tabs>
          <w:tab w:leader="none" w:pos="480" w:val="left"/>
        </w:tabs>
        <w:numPr>
          <w:ilvl w:val="0"/>
          <w:numId w:val="112"/>
        </w:numPr>
        <w:rPr>
          <w:rFonts w:ascii="Arial" w:cs="Arial" w:eastAsia="Arial" w:hAnsi="Arial"/>
          <w:sz w:val="16"/>
          <w:szCs w:val="16"/>
          <w:color w:val="auto"/>
        </w:rPr>
      </w:pPr>
      <w:r>
        <w:rPr>
          <w:rFonts w:ascii="Arial" w:cs="Arial" w:eastAsia="Arial" w:hAnsi="Arial"/>
          <w:sz w:val="18"/>
          <w:szCs w:val="18"/>
          <w:color w:val="auto"/>
        </w:rPr>
        <w:t>Incentive plans have predetermined maximum payouts.</w:t>
      </w:r>
    </w:p>
    <w:p>
      <w:pPr>
        <w:spacing w:after="0" w:line="171" w:lineRule="exact"/>
        <w:rPr>
          <w:rFonts w:ascii="Arial" w:cs="Arial" w:eastAsia="Arial" w:hAnsi="Arial"/>
          <w:sz w:val="16"/>
          <w:szCs w:val="16"/>
          <w:color w:val="auto"/>
        </w:rPr>
      </w:pPr>
    </w:p>
    <w:p>
      <w:pPr>
        <w:ind w:left="480" w:hanging="310"/>
        <w:spacing w:after="0"/>
        <w:tabs>
          <w:tab w:leader="none" w:pos="480" w:val="left"/>
        </w:tabs>
        <w:numPr>
          <w:ilvl w:val="0"/>
          <w:numId w:val="112"/>
        </w:numPr>
        <w:rPr>
          <w:rFonts w:ascii="Arial" w:cs="Arial" w:eastAsia="Arial" w:hAnsi="Arial"/>
          <w:sz w:val="16"/>
          <w:szCs w:val="16"/>
          <w:color w:val="auto"/>
        </w:rPr>
      </w:pPr>
      <w:r>
        <w:rPr>
          <w:rFonts w:ascii="Arial" w:cs="Arial" w:eastAsia="Arial" w:hAnsi="Arial"/>
          <w:sz w:val="18"/>
          <w:szCs w:val="18"/>
          <w:color w:val="auto"/>
        </w:rPr>
        <w:t>Performance objectives are challenging but achievable.</w:t>
      </w:r>
    </w:p>
    <w:p>
      <w:pPr>
        <w:spacing w:after="0" w:line="171" w:lineRule="exact"/>
        <w:rPr>
          <w:rFonts w:ascii="Arial" w:cs="Arial" w:eastAsia="Arial" w:hAnsi="Arial"/>
          <w:sz w:val="16"/>
          <w:szCs w:val="16"/>
          <w:color w:val="auto"/>
        </w:rPr>
      </w:pPr>
    </w:p>
    <w:p>
      <w:pPr>
        <w:ind w:left="500" w:right="180" w:hanging="330"/>
        <w:spacing w:after="0" w:line="287" w:lineRule="auto"/>
        <w:tabs>
          <w:tab w:leader="none" w:pos="489" w:val="left"/>
        </w:tabs>
        <w:numPr>
          <w:ilvl w:val="0"/>
          <w:numId w:val="112"/>
        </w:numPr>
        <w:rPr>
          <w:rFonts w:ascii="Arial" w:cs="Arial" w:eastAsia="Arial" w:hAnsi="Arial"/>
          <w:sz w:val="16"/>
          <w:szCs w:val="16"/>
          <w:color w:val="auto"/>
        </w:rPr>
      </w:pPr>
      <w:r>
        <w:rPr>
          <w:rFonts w:ascii="Arial" w:cs="Arial" w:eastAsia="Arial" w:hAnsi="Arial"/>
          <w:sz w:val="18"/>
          <w:szCs w:val="18"/>
          <w:color w:val="auto"/>
        </w:rPr>
        <w:t>Programs with operational metrics have a continuum of payout multiples based upon achievement of performance milestones, rather than “cliffs” that might encourage suboptimal or improper behavior.</w:t>
      </w:r>
    </w:p>
    <w:p>
      <w:pPr>
        <w:spacing w:after="0" w:line="98" w:lineRule="exact"/>
        <w:rPr>
          <w:rFonts w:ascii="Arial" w:cs="Arial" w:eastAsia="Arial" w:hAnsi="Arial"/>
          <w:sz w:val="16"/>
          <w:szCs w:val="16"/>
          <w:color w:val="auto"/>
        </w:rPr>
      </w:pPr>
    </w:p>
    <w:p>
      <w:pPr>
        <w:ind w:left="500" w:right="760" w:hanging="330"/>
        <w:spacing w:after="0" w:line="287" w:lineRule="auto"/>
        <w:tabs>
          <w:tab w:leader="none" w:pos="489" w:val="left"/>
        </w:tabs>
        <w:numPr>
          <w:ilvl w:val="0"/>
          <w:numId w:val="112"/>
        </w:numPr>
        <w:rPr>
          <w:rFonts w:ascii="Arial" w:cs="Arial" w:eastAsia="Arial" w:hAnsi="Arial"/>
          <w:sz w:val="16"/>
          <w:szCs w:val="16"/>
          <w:color w:val="auto"/>
        </w:rPr>
      </w:pPr>
      <w:r>
        <w:rPr>
          <w:rFonts w:ascii="Arial" w:cs="Arial" w:eastAsia="Arial" w:hAnsi="Arial"/>
          <w:sz w:val="18"/>
          <w:szCs w:val="18"/>
          <w:color w:val="auto"/>
        </w:rPr>
        <w:t>A compensation recovery policy is in place that complies with applicable NYSE listing standards, and additionally provides for discretionary recoupment in the event of misconduct.</w:t>
      </w:r>
    </w:p>
    <w:p>
      <w:pPr>
        <w:spacing w:after="0" w:line="98" w:lineRule="exact"/>
        <w:rPr>
          <w:rFonts w:ascii="Arial" w:cs="Arial" w:eastAsia="Arial" w:hAnsi="Arial"/>
          <w:sz w:val="16"/>
          <w:szCs w:val="16"/>
          <w:color w:val="auto"/>
        </w:rPr>
      </w:pPr>
    </w:p>
    <w:p>
      <w:pPr>
        <w:ind w:left="480" w:hanging="310"/>
        <w:spacing w:after="0"/>
        <w:tabs>
          <w:tab w:leader="none" w:pos="480" w:val="left"/>
        </w:tabs>
        <w:numPr>
          <w:ilvl w:val="0"/>
          <w:numId w:val="112"/>
        </w:numPr>
        <w:rPr>
          <w:rFonts w:ascii="Arial" w:cs="Arial" w:eastAsia="Arial" w:hAnsi="Arial"/>
          <w:sz w:val="16"/>
          <w:szCs w:val="16"/>
          <w:color w:val="auto"/>
        </w:rPr>
      </w:pPr>
      <w:r>
        <w:rPr>
          <w:rFonts w:ascii="Arial" w:cs="Arial" w:eastAsia="Arial" w:hAnsi="Arial"/>
          <w:sz w:val="18"/>
          <w:szCs w:val="18"/>
          <w:color w:val="auto"/>
        </w:rPr>
        <w:t>Meaningful share ownership and retention requirements are in place for all members of senior management and the board.</w:t>
      </w:r>
    </w:p>
    <w:p>
      <w:pPr>
        <w:spacing w:after="0" w:line="165" w:lineRule="exact"/>
        <w:rPr>
          <w:sz w:val="20"/>
          <w:szCs w:val="20"/>
          <w:color w:val="auto"/>
        </w:rPr>
      </w:pPr>
    </w:p>
    <w:p>
      <w:pPr>
        <w:spacing w:after="0"/>
        <w:rPr>
          <w:sz w:val="20"/>
          <w:szCs w:val="20"/>
          <w:color w:val="auto"/>
        </w:rPr>
      </w:pPr>
      <w:r>
        <w:rPr>
          <w:rFonts w:ascii="Arial" w:cs="Arial" w:eastAsia="Arial" w:hAnsi="Arial"/>
          <w:sz w:val="25"/>
          <w:szCs w:val="25"/>
          <w:b w:val="1"/>
          <w:bCs w:val="1"/>
          <w:color w:val="00A1DE"/>
        </w:rPr>
        <w:t>Talent and Compensation Committee Report</w:t>
      </w:r>
    </w:p>
    <w:p>
      <w:pPr>
        <w:spacing w:after="0" w:line="8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Talent and Compensation Committee evaluates and establishes compensation for executive officers and oversees the deferred compensation plan, management stock plans, and other management incentive and benefit programs. Management has the primary responsibility for the company’s financial statements and reporting process, including the disclosure of executive compensation in the CD&amp;A. With this in mind, the Talent and Compensation Committee has reviewed and discussed the CD&amp;A with management. Based on this discussion, the Talent and Compensation Committee recommended to the board that the CD&amp;A be included in this proxy statement and incorporated by reference into the company’s Annual Report on Form 10-K for the fiscal year ended December 31, 2024, for filing with the SEC.</w:t>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Talent and Compensation Committee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Ralph Alvarez, Chair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 Erik Fyrwald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Kimberly H. Johnson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Juan R. Luciano</w:t>
      </w:r>
    </w:p>
    <w:p>
      <w:pPr>
        <w:spacing w:after="0" w:line="358" w:lineRule="exact"/>
        <w:rPr>
          <w:sz w:val="20"/>
          <w:szCs w:val="20"/>
          <w:color w:val="auto"/>
        </w:rPr>
      </w:pPr>
    </w:p>
    <w:p>
      <w:pPr>
        <w:spacing w:after="0"/>
        <w:rPr>
          <w:sz w:val="20"/>
          <w:szCs w:val="20"/>
          <w:color w:val="auto"/>
        </w:rPr>
      </w:pPr>
      <w:r>
        <w:rPr>
          <w:rFonts w:ascii="Arial" w:cs="Arial" w:eastAsia="Arial" w:hAnsi="Arial"/>
          <w:sz w:val="32"/>
          <w:szCs w:val="32"/>
          <w:b w:val="1"/>
          <w:bCs w:val="1"/>
          <w:color w:val="D52B1E"/>
        </w:rPr>
        <w:t>Compensation Discussion and Analysis</w:t>
      </w:r>
    </w:p>
    <w:p>
      <w:pPr>
        <w:spacing w:after="0" w:line="8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This Compensation Discussion and Analysis (CD&amp;A) outlines our executive compensation philosophy, as well as the processes and considerations employed by the Talent and Compensation Committee (the Committee) in determining executive compensation. It also details the elements of our compensation program, our pay-for-performance culture, and the influence of the company’s results on incentive payouts. Specifically, the CD&amp;A provides compensation information for our Chief Executive Officer, David Ricks; Chief Financial Officer, Lucas Montarce; and our next three most highly compensated executive officers as of December 31, 2024: Daniel Skovronsky, Anat Hakim, and Jake Van Naarden.</w:t>
      </w:r>
    </w:p>
    <w:p>
      <w:pPr>
        <w:spacing w:after="0" w:line="128"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Under applicable SEC rules, we are required to disclose compensation information for any executive who served as Chief Financial Officer for any portion of 2024. As a result, this year’s CD&amp;A also includes Gordon Brooks,</w:t>
      </w:r>
    </w:p>
    <w:p>
      <w:pPr>
        <w:sectPr>
          <w:pgSz w:w="11900" w:h="16838" w:orient="portrait"/>
          <w:cols w:equalWidth="0" w:num="1">
            <w:col w:w="11200"/>
          </w:cols>
          <w:pgMar w:left="320" w:top="989" w:right="379" w:bottom="1440" w:gutter="0" w:footer="0" w:header="0"/>
        </w:sectPr>
      </w:pP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94615</wp:posOffset>
            </wp:positionV>
            <wp:extent cx="7157720" cy="42545"/>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9" w:right="379" w:bottom="1440" w:gutter="0" w:footer="0" w:header="0"/>
          <w:type w:val="continuous"/>
        </w:sectPr>
      </w:pPr>
    </w:p>
    <w:bookmarkStart w:id="51" w:name="page52"/>
    <w:bookmarkEnd w:id="51"/>
    <w:p>
      <w:pPr>
        <w:spacing w:after="0" w:line="268" w:lineRule="auto"/>
        <w:rPr>
          <w:sz w:val="20"/>
          <w:szCs w:val="20"/>
          <w:color w:val="auto"/>
        </w:rPr>
      </w:pPr>
      <w:r>
        <w:rPr>
          <w:rFonts w:ascii="Arial" w:cs="Arial" w:eastAsia="Arial" w:hAnsi="Arial"/>
          <w:sz w:val="18"/>
          <w:szCs w:val="18"/>
          <w:color w:val="auto"/>
        </w:rPr>
        <w:t>Group Vice President, Controller and Corporate Strategy, who took on the expanded role of interim Chief Financial Officer from July 15, 2024 through September 8, 2024, as well as our former Chief Financial Officer, Anat Ashkenazi, who resigned from her position effective July 30, 2024.</w:t>
      </w:r>
    </w:p>
    <w:p>
      <w:pPr>
        <w:spacing w:after="0" w:line="117"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The following introduces our named executive officers and provides 2024 performance highlights that contributed to the incentive payout outcomes detailed in the “</w:t>
      </w:r>
      <w:r>
        <w:rPr>
          <w:rFonts w:ascii="Arial" w:cs="Arial" w:eastAsia="Arial" w:hAnsi="Arial"/>
          <w:sz w:val="18"/>
          <w:szCs w:val="18"/>
          <w:u w:val="single" w:color="auto"/>
          <w:color w:val="0000FF"/>
        </w:rPr>
        <w:t>Compensation Results</w:t>
      </w:r>
      <w:r>
        <w:rPr>
          <w:rFonts w:ascii="Arial" w:cs="Arial" w:eastAsia="Arial" w:hAnsi="Arial"/>
          <w:sz w:val="18"/>
          <w:szCs w:val="18"/>
          <w:color w:val="auto"/>
        </w:rPr>
        <w:t>”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5760720" cy="8255"/>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06" w:lineRule="exact"/>
        <w:rPr>
          <w:sz w:val="20"/>
          <w:szCs w:val="20"/>
          <w:color w:val="auto"/>
        </w:rPr>
      </w:pPr>
    </w:p>
    <w:p>
      <w:pPr>
        <w:ind w:left="2780"/>
        <w:spacing w:after="0"/>
        <w:rPr>
          <w:sz w:val="20"/>
          <w:szCs w:val="20"/>
          <w:color w:val="auto"/>
        </w:rPr>
      </w:pPr>
      <w:r>
        <w:rPr>
          <w:rFonts w:ascii="Arial" w:cs="Arial" w:eastAsia="Arial" w:hAnsi="Arial"/>
          <w:sz w:val="19"/>
          <w:szCs w:val="19"/>
          <w:b w:val="1"/>
          <w:bCs w:val="1"/>
          <w:color w:val="00A1DE"/>
        </w:rPr>
        <w:t>Dave Ricks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-9525</wp:posOffset>
            </wp:positionV>
            <wp:extent cx="1645920" cy="1645920"/>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1645920" cy="1645920"/>
                    </a:xfrm>
                    <a:prstGeom prst="rect">
                      <a:avLst/>
                    </a:prstGeom>
                    <a:noFill/>
                  </pic:spPr>
                </pic:pic>
              </a:graphicData>
            </a:graphic>
          </wp:anchor>
        </w:drawing>
      </w:r>
    </w:p>
    <w:p>
      <w:pPr>
        <w:ind w:left="2780"/>
        <w:spacing w:after="0"/>
        <w:rPr>
          <w:sz w:val="20"/>
          <w:szCs w:val="20"/>
          <w:color w:val="auto"/>
        </w:rPr>
      </w:pPr>
      <w:r>
        <w:rPr>
          <w:rFonts w:ascii="Arial" w:cs="Arial" w:eastAsia="Arial" w:hAnsi="Arial"/>
          <w:sz w:val="14"/>
          <w:szCs w:val="14"/>
          <w:color w:val="00A1DE"/>
        </w:rPr>
        <w:t>Chair, President, and CEO</w:t>
      </w:r>
    </w:p>
    <w:p>
      <w:pPr>
        <w:spacing w:after="0" w:line="82" w:lineRule="exact"/>
        <w:rPr>
          <w:sz w:val="20"/>
          <w:szCs w:val="20"/>
          <w:color w:val="auto"/>
        </w:rPr>
      </w:pPr>
    </w:p>
    <w:p>
      <w:pPr>
        <w:ind w:left="2780" w:right="2260"/>
        <w:spacing w:after="0" w:line="276" w:lineRule="auto"/>
        <w:rPr>
          <w:sz w:val="20"/>
          <w:szCs w:val="20"/>
          <w:color w:val="auto"/>
        </w:rPr>
      </w:pPr>
      <w:r>
        <w:rPr>
          <w:rFonts w:ascii="Arial" w:cs="Arial" w:eastAsia="Arial" w:hAnsi="Arial"/>
          <w:sz w:val="14"/>
          <w:szCs w:val="14"/>
          <w:color w:val="auto"/>
        </w:rPr>
        <w:t>Mr. Ricks assumed the role of Chief Executive Officer in January 2017 and was elected chair of the company’s board of directors in June 2017. In 2024, Mr. Ricks led the company to deliver strong company performance for patients and for shareholders that resulted in above target payouts for incentive programs. See the “Compensation Results” section of the CD&amp;A for details.</w:t>
      </w:r>
    </w:p>
    <w:p>
      <w:pPr>
        <w:spacing w:after="0" w:line="15" w:lineRule="exact"/>
        <w:rPr>
          <w:sz w:val="20"/>
          <w:szCs w:val="20"/>
          <w:color w:val="auto"/>
        </w:rPr>
      </w:pPr>
    </w:p>
    <w:p>
      <w:pPr>
        <w:jc w:val="both"/>
        <w:ind w:left="2780" w:right="2520"/>
        <w:spacing w:after="0" w:line="273" w:lineRule="auto"/>
        <w:rPr>
          <w:sz w:val="20"/>
          <w:szCs w:val="20"/>
          <w:color w:val="auto"/>
        </w:rPr>
      </w:pPr>
      <w:r>
        <w:rPr>
          <w:rFonts w:ascii="Arial" w:cs="Arial" w:eastAsia="Arial" w:hAnsi="Arial"/>
          <w:sz w:val="14"/>
          <w:szCs w:val="14"/>
          <w:color w:val="auto"/>
        </w:rPr>
        <w:t>In 2024, under Mr. Ricks’ leadership, Lilly had patients in over 140 clinical trials (phase 1-4), launched five new medicines in up to 74 countries, and reached 58 million people around the world with our medicines. Additional highlights include:</w:t>
      </w:r>
    </w:p>
    <w:p>
      <w:pPr>
        <w:spacing w:after="0" w:line="18" w:lineRule="exact"/>
        <w:rPr>
          <w:sz w:val="20"/>
          <w:szCs w:val="20"/>
          <w:color w:val="auto"/>
        </w:rPr>
      </w:pPr>
    </w:p>
    <w:p>
      <w:pPr>
        <w:ind w:left="2940" w:right="2240" w:hanging="160"/>
        <w:spacing w:after="0" w:line="301" w:lineRule="auto"/>
        <w:tabs>
          <w:tab w:leader="none" w:pos="2936" w:val="left"/>
        </w:tabs>
        <w:numPr>
          <w:ilvl w:val="1"/>
          <w:numId w:val="113"/>
        </w:numPr>
        <w:rPr>
          <w:rFonts w:ascii="Arial" w:cs="Arial" w:eastAsia="Arial" w:hAnsi="Arial"/>
          <w:sz w:val="14"/>
          <w:szCs w:val="14"/>
          <w:color w:val="auto"/>
        </w:rPr>
      </w:pPr>
      <w:r>
        <w:rPr>
          <w:rFonts w:ascii="Arial" w:cs="Arial" w:eastAsia="Arial" w:hAnsi="Arial"/>
          <w:sz w:val="14"/>
          <w:szCs w:val="14"/>
          <w:color w:val="auto"/>
        </w:rPr>
        <w:t>Increased company revenue by 32% to $45 billion and non-GAAP earnings per share by 106% to $12.99.</w:t>
      </w:r>
    </w:p>
    <w:p>
      <w:pPr>
        <w:spacing w:after="0" w:line="1" w:lineRule="exact"/>
        <w:rPr>
          <w:rFonts w:ascii="Arial" w:cs="Arial" w:eastAsia="Arial" w:hAnsi="Arial"/>
          <w:sz w:val="14"/>
          <w:szCs w:val="14"/>
          <w:color w:val="auto"/>
        </w:rPr>
      </w:pPr>
    </w:p>
    <w:p>
      <w:pPr>
        <w:ind w:left="2940" w:right="2160" w:hanging="160"/>
        <w:spacing w:after="0" w:line="267" w:lineRule="auto"/>
        <w:tabs>
          <w:tab w:leader="none" w:pos="2936" w:val="left"/>
        </w:tabs>
        <w:numPr>
          <w:ilvl w:val="1"/>
          <w:numId w:val="113"/>
        </w:numPr>
        <w:rPr>
          <w:rFonts w:ascii="Arial" w:cs="Arial" w:eastAsia="Arial" w:hAnsi="Arial"/>
          <w:sz w:val="14"/>
          <w:szCs w:val="14"/>
          <w:color w:val="auto"/>
        </w:rPr>
      </w:pPr>
      <w:r>
        <w:rPr>
          <w:rFonts w:ascii="Arial" w:cs="Arial" w:eastAsia="Arial" w:hAnsi="Arial"/>
          <w:sz w:val="14"/>
          <w:szCs w:val="14"/>
          <w:color w:val="auto"/>
        </w:rPr>
        <w:t>Delivered US FDA approval of Kisunla for treatment of Alzheimer’s disease and Ebglyss for the treatment of moderate-to-severe atopic dermatitis; submitted mirikizumab in the US and EU for moderate-to-severe active Crohn’s disease; and received UK and EU approval of the multi-dose Kwikpen delivery device for Mounjaro, for type 2 diabetes and chronic weight management indications.</w:t>
      </w:r>
    </w:p>
    <w:p>
      <w:pPr>
        <w:spacing w:after="0" w:line="143" w:lineRule="exact"/>
        <w:rPr>
          <w:rFonts w:ascii="Arial" w:cs="Arial" w:eastAsia="Arial" w:hAnsi="Arial"/>
          <w:sz w:val="14"/>
          <w:szCs w:val="14"/>
          <w:color w:val="auto"/>
        </w:rPr>
      </w:pPr>
    </w:p>
    <w:p>
      <w:pPr>
        <w:ind w:left="180" w:right="2260" w:hanging="154"/>
        <w:spacing w:after="0" w:line="263" w:lineRule="auto"/>
        <w:tabs>
          <w:tab w:leader="none" w:pos="169" w:val="left"/>
        </w:tabs>
        <w:numPr>
          <w:ilvl w:val="0"/>
          <w:numId w:val="113"/>
        </w:numPr>
        <w:rPr>
          <w:rFonts w:ascii="Arial" w:cs="Arial" w:eastAsia="Arial" w:hAnsi="Arial"/>
          <w:sz w:val="16"/>
          <w:szCs w:val="16"/>
          <w:color w:val="auto"/>
        </w:rPr>
      </w:pPr>
      <w:r>
        <w:rPr>
          <w:rFonts w:ascii="Arial" w:cs="Arial" w:eastAsia="Arial" w:hAnsi="Arial"/>
          <w:sz w:val="14"/>
          <w:szCs w:val="14"/>
          <w:color w:val="auto"/>
        </w:rPr>
        <w:t>Oversaw positive data readouts, including: (i) QWINT-2 and QWINT-4 Phase 3 clinical trials for insulin efsitora alfa in adults with type 2 diabetes; (ii) SURMOUNT-1 176-week study of tirzepatide, showing 94% reduction in risk of developing type 2 diabetes in adults with pre-diabetes and obesity or overweight; (iii) SUMMIT Phase 3 trial showing tirzepatide significantly reduced the risk of worsening heart failure events in adults with heart failure with preserved ejection fraction and obesity; and (iv) AK-OTOF Gene Therapy Phase 1/2 interim study, which demonstrated pharmacologic hearing restoration.</w:t>
      </w:r>
    </w:p>
    <w:p>
      <w:pPr>
        <w:spacing w:after="0" w:line="37" w:lineRule="exact"/>
        <w:rPr>
          <w:rFonts w:ascii="Arial" w:cs="Arial" w:eastAsia="Arial" w:hAnsi="Arial"/>
          <w:sz w:val="16"/>
          <w:szCs w:val="16"/>
          <w:color w:val="auto"/>
        </w:rPr>
      </w:pPr>
    </w:p>
    <w:p>
      <w:pPr>
        <w:ind w:left="180" w:right="2200" w:hanging="154"/>
        <w:spacing w:after="0" w:line="270" w:lineRule="auto"/>
        <w:tabs>
          <w:tab w:leader="none" w:pos="169" w:val="left"/>
        </w:tabs>
        <w:numPr>
          <w:ilvl w:val="0"/>
          <w:numId w:val="113"/>
        </w:numPr>
        <w:rPr>
          <w:rFonts w:ascii="Arial" w:cs="Arial" w:eastAsia="Arial" w:hAnsi="Arial"/>
          <w:sz w:val="16"/>
          <w:szCs w:val="16"/>
          <w:color w:val="auto"/>
        </w:rPr>
      </w:pPr>
      <w:r>
        <w:rPr>
          <w:rFonts w:ascii="Arial" w:cs="Arial" w:eastAsia="Arial" w:hAnsi="Arial"/>
          <w:sz w:val="14"/>
          <w:szCs w:val="14"/>
          <w:color w:val="auto"/>
        </w:rPr>
        <w:t>Completed multiple strategic business development transactions, including the acquisition of Morphic Holding to expand Lilly’s immunology pipeline with oral integrin therapies for treatment of serious chronic diseases.</w:t>
      </w:r>
    </w:p>
    <w:p>
      <w:pPr>
        <w:spacing w:after="0" w:line="30" w:lineRule="exact"/>
        <w:rPr>
          <w:rFonts w:ascii="Arial" w:cs="Arial" w:eastAsia="Arial" w:hAnsi="Arial"/>
          <w:sz w:val="16"/>
          <w:szCs w:val="16"/>
          <w:color w:val="auto"/>
        </w:rPr>
      </w:pPr>
    </w:p>
    <w:p>
      <w:pPr>
        <w:ind w:left="180" w:right="2180" w:hanging="154"/>
        <w:spacing w:after="0" w:line="264" w:lineRule="auto"/>
        <w:tabs>
          <w:tab w:leader="none" w:pos="169" w:val="left"/>
        </w:tabs>
        <w:numPr>
          <w:ilvl w:val="0"/>
          <w:numId w:val="113"/>
        </w:numPr>
        <w:rPr>
          <w:rFonts w:ascii="Arial" w:cs="Arial" w:eastAsia="Arial" w:hAnsi="Arial"/>
          <w:sz w:val="16"/>
          <w:szCs w:val="16"/>
          <w:color w:val="auto"/>
        </w:rPr>
      </w:pPr>
      <w:r>
        <w:rPr>
          <w:rFonts w:ascii="Arial" w:cs="Arial" w:eastAsia="Arial" w:hAnsi="Arial"/>
          <w:sz w:val="14"/>
          <w:szCs w:val="14"/>
          <w:color w:val="auto"/>
        </w:rPr>
        <w:t>Invested in new R&amp;D facilities and manufacturing sites to accelerate product development and to quickly deliver life-improving medicines to patients. In addition, launched LillyDirect, a new digital healthcare experience offering disease management resources for patients, including access to independent healthcare providers, tailored support, and direct home delivery of select Lilly medicines.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5760720" cy="8255"/>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175" w:lineRule="exact"/>
        <w:rPr>
          <w:sz w:val="20"/>
          <w:szCs w:val="20"/>
          <w:color w:val="auto"/>
        </w:rPr>
      </w:pPr>
    </w:p>
    <w:p>
      <w:pPr>
        <w:ind w:left="1980"/>
        <w:spacing w:after="0"/>
        <w:rPr>
          <w:sz w:val="20"/>
          <w:szCs w:val="20"/>
          <w:color w:val="auto"/>
        </w:rPr>
      </w:pPr>
      <w:r>
        <w:rPr>
          <w:rFonts w:ascii="Arial" w:cs="Arial" w:eastAsia="Arial" w:hAnsi="Arial"/>
          <w:sz w:val="19"/>
          <w:szCs w:val="19"/>
          <w:b w:val="1"/>
          <w:bCs w:val="1"/>
          <w:color w:val="00A1DE"/>
        </w:rPr>
        <w:t>Lucas Montarce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-137795</wp:posOffset>
            </wp:positionV>
            <wp:extent cx="1062990" cy="1062990"/>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1062990" cy="1062990"/>
                    </a:xfrm>
                    <a:prstGeom prst="rect">
                      <a:avLst/>
                    </a:prstGeom>
                    <a:noFill/>
                  </pic:spPr>
                </pic:pic>
              </a:graphicData>
            </a:graphic>
          </wp:anchor>
        </w:drawing>
      </w:r>
    </w:p>
    <w:p>
      <w:pPr>
        <w:ind w:left="1980"/>
        <w:spacing w:after="0"/>
        <w:rPr>
          <w:sz w:val="20"/>
          <w:szCs w:val="20"/>
          <w:color w:val="auto"/>
        </w:rPr>
      </w:pPr>
      <w:r>
        <w:rPr>
          <w:rFonts w:ascii="Arial" w:cs="Arial" w:eastAsia="Arial" w:hAnsi="Arial"/>
          <w:sz w:val="14"/>
          <w:szCs w:val="14"/>
          <w:color w:val="00A1DE"/>
        </w:rPr>
        <w:t>Executive Vice President and Chief Financial Officer</w:t>
      </w:r>
    </w:p>
    <w:p>
      <w:pPr>
        <w:spacing w:after="0" w:line="136" w:lineRule="exact"/>
        <w:rPr>
          <w:sz w:val="20"/>
          <w:szCs w:val="20"/>
          <w:color w:val="auto"/>
        </w:rPr>
      </w:pPr>
    </w:p>
    <w:p>
      <w:pPr>
        <w:ind w:left="1980" w:right="2200"/>
        <w:spacing w:after="0" w:line="281" w:lineRule="auto"/>
        <w:rPr>
          <w:sz w:val="20"/>
          <w:szCs w:val="20"/>
          <w:color w:val="auto"/>
        </w:rPr>
      </w:pPr>
      <w:r>
        <w:rPr>
          <w:rFonts w:ascii="Arial" w:cs="Arial" w:eastAsia="Arial" w:hAnsi="Arial"/>
          <w:sz w:val="14"/>
          <w:szCs w:val="14"/>
          <w:color w:val="auto"/>
        </w:rPr>
        <w:t>Mr. Montarce was named Executive Vice President and Chief Financial Officer and member of the Lilly Executive Committee as of September 9, 2024. Since joining Lilly in 2001, Mr. Montarce has contributed to the company’s success through various leadership positions.</w:t>
      </w:r>
    </w:p>
    <w:p>
      <w:pPr>
        <w:spacing w:after="0" w:line="2" w:lineRule="exact"/>
        <w:rPr>
          <w:sz w:val="20"/>
          <w:szCs w:val="20"/>
          <w:color w:val="auto"/>
        </w:rPr>
      </w:pPr>
    </w:p>
    <w:p>
      <w:pPr>
        <w:ind w:left="1980" w:right="2600"/>
        <w:spacing w:after="0" w:line="264" w:lineRule="auto"/>
        <w:rPr>
          <w:sz w:val="20"/>
          <w:szCs w:val="20"/>
          <w:color w:val="auto"/>
        </w:rPr>
      </w:pPr>
      <w:r>
        <w:rPr>
          <w:rFonts w:ascii="Arial" w:cs="Arial" w:eastAsia="Arial" w:hAnsi="Arial"/>
          <w:sz w:val="14"/>
          <w:szCs w:val="14"/>
          <w:color w:val="auto"/>
        </w:rPr>
        <w:t>Since becoming the CFO, Mr. Montarce led the 2025 business planning process and began establishing connections with the investment community.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252730</wp:posOffset>
            </wp:positionV>
            <wp:extent cx="5760720" cy="8255"/>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ind w:left="1980"/>
        <w:spacing w:after="0"/>
        <w:rPr>
          <w:sz w:val="20"/>
          <w:szCs w:val="20"/>
          <w:color w:val="auto"/>
        </w:rPr>
      </w:pPr>
      <w:r>
        <w:rPr>
          <w:rFonts w:ascii="Arial" w:cs="Arial" w:eastAsia="Arial" w:hAnsi="Arial"/>
          <w:sz w:val="19"/>
          <w:szCs w:val="19"/>
          <w:b w:val="1"/>
          <w:bCs w:val="1"/>
          <w:color w:val="00A1DE"/>
        </w:rPr>
        <w:t>Dan Skovronsky,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6985</wp:posOffset>
            </wp:positionV>
            <wp:extent cx="1062990" cy="1062990"/>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1062990" cy="1062990"/>
                    </a:xfrm>
                    <a:prstGeom prst="rect">
                      <a:avLst/>
                    </a:prstGeom>
                    <a:noFill/>
                  </pic:spPr>
                </pic:pic>
              </a:graphicData>
            </a:graphic>
          </wp:anchor>
        </w:drawing>
      </w:r>
    </w:p>
    <w:p>
      <w:pPr>
        <w:ind w:left="1980" w:right="2820"/>
        <w:spacing w:after="0" w:line="231" w:lineRule="auto"/>
        <w:rPr>
          <w:sz w:val="20"/>
          <w:szCs w:val="20"/>
          <w:color w:val="auto"/>
        </w:rPr>
      </w:pPr>
      <w:r>
        <w:rPr>
          <w:rFonts w:ascii="Arial" w:cs="Arial" w:eastAsia="Arial" w:hAnsi="Arial"/>
          <w:sz w:val="14"/>
          <w:szCs w:val="14"/>
          <w:color w:val="00A1DE"/>
        </w:rPr>
        <w:t>Executive Vice President, Chief Scientific Officer and President, Lilly Research Laboratories and Lilly Immunology</w:t>
      </w:r>
    </w:p>
    <w:p>
      <w:pPr>
        <w:spacing w:after="0" w:line="135" w:lineRule="exact"/>
        <w:rPr>
          <w:sz w:val="20"/>
          <w:szCs w:val="20"/>
          <w:color w:val="auto"/>
        </w:rPr>
      </w:pPr>
    </w:p>
    <w:p>
      <w:pPr>
        <w:ind w:left="1980"/>
        <w:spacing w:after="0"/>
        <w:rPr>
          <w:sz w:val="20"/>
          <w:szCs w:val="20"/>
          <w:color w:val="auto"/>
        </w:rPr>
      </w:pPr>
      <w:r>
        <w:rPr>
          <w:rFonts w:ascii="Arial" w:cs="Arial" w:eastAsia="Arial" w:hAnsi="Arial"/>
          <w:sz w:val="14"/>
          <w:szCs w:val="14"/>
          <w:color w:val="auto"/>
        </w:rPr>
        <w:t>Dr. Skovronsky’s key 2024 highlights include:</w:t>
      </w:r>
    </w:p>
    <w:p>
      <w:pPr>
        <w:spacing w:after="0" w:line="69" w:lineRule="exact"/>
        <w:rPr>
          <w:sz w:val="20"/>
          <w:szCs w:val="20"/>
          <w:color w:val="auto"/>
        </w:rPr>
      </w:pPr>
    </w:p>
    <w:p>
      <w:pPr>
        <w:ind w:left="2140" w:right="2240" w:hanging="157"/>
        <w:spacing w:after="0" w:line="281" w:lineRule="auto"/>
        <w:tabs>
          <w:tab w:leader="none" w:pos="2136" w:val="left"/>
        </w:tabs>
        <w:numPr>
          <w:ilvl w:val="0"/>
          <w:numId w:val="114"/>
        </w:numPr>
        <w:rPr>
          <w:rFonts w:ascii="Arial" w:cs="Arial" w:eastAsia="Arial" w:hAnsi="Arial"/>
          <w:sz w:val="14"/>
          <w:szCs w:val="14"/>
          <w:color w:val="auto"/>
        </w:rPr>
      </w:pPr>
      <w:r>
        <w:rPr>
          <w:rFonts w:ascii="Arial" w:cs="Arial" w:eastAsia="Arial" w:hAnsi="Arial"/>
          <w:sz w:val="14"/>
          <w:szCs w:val="14"/>
          <w:color w:val="auto"/>
        </w:rPr>
        <w:t>Directed the performance of Lilly’s Research and Development organization, which continues to perform above industry peers for clinical development speed, success rate, and the quality of the pipeline as valued by the external market. Lilly’s clinical development is among the fastest in the industry.</w:t>
      </w:r>
    </w:p>
    <w:p>
      <w:pPr>
        <w:spacing w:after="0" w:line="1" w:lineRule="exact"/>
        <w:rPr>
          <w:rFonts w:ascii="Arial" w:cs="Arial" w:eastAsia="Arial" w:hAnsi="Arial"/>
          <w:sz w:val="14"/>
          <w:szCs w:val="14"/>
          <w:color w:val="auto"/>
        </w:rPr>
      </w:pPr>
    </w:p>
    <w:p>
      <w:pPr>
        <w:ind w:left="2140" w:right="2160" w:hanging="157"/>
        <w:spacing w:after="0" w:line="301" w:lineRule="auto"/>
        <w:tabs>
          <w:tab w:leader="none" w:pos="2136" w:val="left"/>
        </w:tabs>
        <w:numPr>
          <w:ilvl w:val="0"/>
          <w:numId w:val="114"/>
        </w:numPr>
        <w:rPr>
          <w:rFonts w:ascii="Arial" w:cs="Arial" w:eastAsia="Arial" w:hAnsi="Arial"/>
          <w:sz w:val="14"/>
          <w:szCs w:val="14"/>
          <w:color w:val="auto"/>
        </w:rPr>
      </w:pPr>
      <w:r>
        <w:rPr>
          <w:rFonts w:ascii="Arial" w:cs="Arial" w:eastAsia="Arial" w:hAnsi="Arial"/>
          <w:sz w:val="14"/>
          <w:szCs w:val="14"/>
          <w:color w:val="auto"/>
        </w:rPr>
        <w:t>Continued to expand Lilly’s pipeline with innovative medicines achieving significant data readouts throughout 2024, including FDA approval of Kisunla and the continued expansion of our incretin portfolio.</w:t>
      </w:r>
    </w:p>
    <w:p>
      <w:pPr>
        <w:spacing w:after="0" w:line="1" w:lineRule="exact"/>
        <w:rPr>
          <w:rFonts w:ascii="Arial" w:cs="Arial" w:eastAsia="Arial" w:hAnsi="Arial"/>
          <w:sz w:val="14"/>
          <w:szCs w:val="14"/>
          <w:color w:val="auto"/>
        </w:rPr>
      </w:pPr>
    </w:p>
    <w:p>
      <w:pPr>
        <w:ind w:left="2140" w:hanging="157"/>
        <w:spacing w:after="0"/>
        <w:tabs>
          <w:tab w:leader="none" w:pos="2140" w:val="left"/>
        </w:tabs>
        <w:numPr>
          <w:ilvl w:val="0"/>
          <w:numId w:val="114"/>
        </w:numPr>
        <w:rPr>
          <w:rFonts w:ascii="Arial" w:cs="Arial" w:eastAsia="Arial" w:hAnsi="Arial"/>
          <w:sz w:val="14"/>
          <w:szCs w:val="14"/>
          <w:color w:val="auto"/>
        </w:rPr>
      </w:pPr>
      <w:r>
        <w:rPr>
          <w:rFonts w:ascii="Arial" w:cs="Arial" w:eastAsia="Arial" w:hAnsi="Arial"/>
          <w:sz w:val="14"/>
          <w:szCs w:val="14"/>
          <w:color w:val="auto"/>
        </w:rPr>
        <w:t>Led the Immunology business unit with strong Omvoh launch performance and US approval for Ebglyss.</w:t>
      </w:r>
    </w:p>
    <w:p>
      <w:pPr>
        <w:spacing w:after="0" w:line="68" w:lineRule="exact"/>
        <w:rPr>
          <w:rFonts w:ascii="Arial" w:cs="Arial" w:eastAsia="Arial" w:hAnsi="Arial"/>
          <w:sz w:val="14"/>
          <w:szCs w:val="14"/>
          <w:color w:val="auto"/>
        </w:rPr>
      </w:pPr>
    </w:p>
    <w:p>
      <w:pPr>
        <w:ind w:left="2140" w:hanging="157"/>
        <w:spacing w:after="0"/>
        <w:tabs>
          <w:tab w:leader="none" w:pos="2140" w:val="left"/>
        </w:tabs>
        <w:numPr>
          <w:ilvl w:val="0"/>
          <w:numId w:val="114"/>
        </w:numPr>
        <w:rPr>
          <w:rFonts w:ascii="Arial" w:cs="Arial" w:eastAsia="Arial" w:hAnsi="Arial"/>
          <w:sz w:val="14"/>
          <w:szCs w:val="14"/>
          <w:color w:val="auto"/>
        </w:rPr>
      </w:pPr>
      <w:r>
        <w:rPr>
          <w:rFonts w:ascii="Arial" w:cs="Arial" w:eastAsia="Arial" w:hAnsi="Arial"/>
          <w:sz w:val="14"/>
          <w:szCs w:val="14"/>
          <w:color w:val="auto"/>
        </w:rPr>
        <w:t>Completed business development transactions that enrich our pipeline assets and research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5760720" cy="8890"/>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pacing w:after="0" w:line="152" w:lineRule="exact"/>
        <w:rPr>
          <w:sz w:val="20"/>
          <w:szCs w:val="20"/>
          <w:color w:val="auto"/>
        </w:rPr>
      </w:pPr>
    </w:p>
    <w:p>
      <w:pPr>
        <w:ind w:left="1980"/>
        <w:spacing w:after="0"/>
        <w:rPr>
          <w:sz w:val="20"/>
          <w:szCs w:val="20"/>
          <w:color w:val="auto"/>
        </w:rPr>
      </w:pPr>
      <w:r>
        <w:rPr>
          <w:rFonts w:ascii="Arial" w:cs="Arial" w:eastAsia="Arial" w:hAnsi="Arial"/>
          <w:sz w:val="19"/>
          <w:szCs w:val="19"/>
          <w:b w:val="1"/>
          <w:bCs w:val="1"/>
          <w:color w:val="00A1DE"/>
        </w:rPr>
        <w:t>Anat Hakim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-26670</wp:posOffset>
            </wp:positionV>
            <wp:extent cx="1062990" cy="1062990"/>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1062990" cy="1062990"/>
                    </a:xfrm>
                    <a:prstGeom prst="rect">
                      <a:avLst/>
                    </a:prstGeom>
                    <a:noFill/>
                  </pic:spPr>
                </pic:pic>
              </a:graphicData>
            </a:graphic>
          </wp:anchor>
        </w:drawing>
      </w:r>
    </w:p>
    <w:p>
      <w:pPr>
        <w:ind w:left="1980"/>
        <w:spacing w:after="0"/>
        <w:rPr>
          <w:sz w:val="20"/>
          <w:szCs w:val="20"/>
          <w:color w:val="auto"/>
        </w:rPr>
      </w:pPr>
      <w:r>
        <w:rPr>
          <w:rFonts w:ascii="Arial" w:cs="Arial" w:eastAsia="Arial" w:hAnsi="Arial"/>
          <w:sz w:val="14"/>
          <w:szCs w:val="14"/>
          <w:color w:val="00A1DE"/>
        </w:rPr>
        <w:t>Executive Vice President, General Counsel and Secretary</w:t>
      </w:r>
    </w:p>
    <w:p>
      <w:pPr>
        <w:spacing w:after="0" w:line="136" w:lineRule="exact"/>
        <w:rPr>
          <w:sz w:val="20"/>
          <w:szCs w:val="20"/>
          <w:color w:val="auto"/>
        </w:rPr>
      </w:pPr>
    </w:p>
    <w:p>
      <w:pPr>
        <w:ind w:left="1980"/>
        <w:spacing w:after="0"/>
        <w:rPr>
          <w:sz w:val="20"/>
          <w:szCs w:val="20"/>
          <w:color w:val="auto"/>
        </w:rPr>
      </w:pPr>
      <w:r>
        <w:rPr>
          <w:rFonts w:ascii="Arial" w:cs="Arial" w:eastAsia="Arial" w:hAnsi="Arial"/>
          <w:sz w:val="14"/>
          <w:szCs w:val="14"/>
          <w:color w:val="auto"/>
        </w:rPr>
        <w:t>Ms. Hakim’s key 2024 highlights include:</w:t>
      </w:r>
    </w:p>
    <w:p>
      <w:pPr>
        <w:spacing w:after="0" w:line="69" w:lineRule="exact"/>
        <w:rPr>
          <w:sz w:val="20"/>
          <w:szCs w:val="20"/>
          <w:color w:val="auto"/>
        </w:rPr>
      </w:pPr>
    </w:p>
    <w:p>
      <w:pPr>
        <w:ind w:left="2140" w:hanging="157"/>
        <w:spacing w:after="0"/>
        <w:tabs>
          <w:tab w:leader="none" w:pos="2140" w:val="left"/>
        </w:tabs>
        <w:numPr>
          <w:ilvl w:val="0"/>
          <w:numId w:val="115"/>
        </w:numPr>
        <w:rPr>
          <w:rFonts w:ascii="Arial" w:cs="Arial" w:eastAsia="Arial" w:hAnsi="Arial"/>
          <w:sz w:val="14"/>
          <w:szCs w:val="14"/>
          <w:color w:val="auto"/>
        </w:rPr>
      </w:pPr>
      <w:r>
        <w:rPr>
          <w:rFonts w:ascii="Arial" w:cs="Arial" w:eastAsia="Arial" w:hAnsi="Arial"/>
          <w:sz w:val="14"/>
          <w:szCs w:val="14"/>
          <w:color w:val="auto"/>
        </w:rPr>
        <w:t>Transformed Legal into a proactive, forward-thinking organization that helps shape the company agenda.</w:t>
      </w:r>
    </w:p>
    <w:p>
      <w:pPr>
        <w:spacing w:after="0" w:line="68" w:lineRule="exact"/>
        <w:rPr>
          <w:rFonts w:ascii="Arial" w:cs="Arial" w:eastAsia="Arial" w:hAnsi="Arial"/>
          <w:sz w:val="14"/>
          <w:szCs w:val="14"/>
          <w:color w:val="auto"/>
        </w:rPr>
      </w:pPr>
    </w:p>
    <w:p>
      <w:pPr>
        <w:ind w:left="2140" w:right="2940" w:hanging="157"/>
        <w:spacing w:after="0" w:line="301" w:lineRule="auto"/>
        <w:tabs>
          <w:tab w:leader="none" w:pos="2136" w:val="left"/>
        </w:tabs>
        <w:numPr>
          <w:ilvl w:val="0"/>
          <w:numId w:val="115"/>
        </w:numPr>
        <w:rPr>
          <w:rFonts w:ascii="Arial" w:cs="Arial" w:eastAsia="Arial" w:hAnsi="Arial"/>
          <w:sz w:val="14"/>
          <w:szCs w:val="14"/>
          <w:color w:val="auto"/>
        </w:rPr>
      </w:pPr>
      <w:r>
        <w:rPr>
          <w:rFonts w:ascii="Arial" w:cs="Arial" w:eastAsia="Arial" w:hAnsi="Arial"/>
          <w:sz w:val="14"/>
          <w:szCs w:val="14"/>
          <w:color w:val="auto"/>
        </w:rPr>
        <w:t>Actively partnered to develop a comprehensive strategy and approach to mitigate compounding, counterfeiting, and fraud associated with tirzepatide.</w:t>
      </w:r>
    </w:p>
    <w:p>
      <w:pPr>
        <w:spacing w:after="0" w:line="1" w:lineRule="exact"/>
        <w:rPr>
          <w:rFonts w:ascii="Arial" w:cs="Arial" w:eastAsia="Arial" w:hAnsi="Arial"/>
          <w:sz w:val="14"/>
          <w:szCs w:val="14"/>
          <w:color w:val="auto"/>
        </w:rPr>
      </w:pPr>
    </w:p>
    <w:p>
      <w:pPr>
        <w:ind w:left="2140" w:right="2300" w:hanging="157"/>
        <w:spacing w:after="0" w:line="285" w:lineRule="auto"/>
        <w:tabs>
          <w:tab w:leader="none" w:pos="2136" w:val="left"/>
        </w:tabs>
        <w:numPr>
          <w:ilvl w:val="0"/>
          <w:numId w:val="115"/>
        </w:numPr>
        <w:rPr>
          <w:rFonts w:ascii="Arial" w:cs="Arial" w:eastAsia="Arial" w:hAnsi="Arial"/>
          <w:sz w:val="14"/>
          <w:szCs w:val="14"/>
          <w:color w:val="auto"/>
        </w:rPr>
      </w:pPr>
      <w:r>
        <w:rPr>
          <w:rFonts w:ascii="Arial" w:cs="Arial" w:eastAsia="Arial" w:hAnsi="Arial"/>
          <w:sz w:val="14"/>
          <w:szCs w:val="14"/>
          <w:color w:val="auto"/>
        </w:rPr>
        <w:t>Assumed oversight of Lilly’s Global Public Policy group and the development and implementation of global policy strategies.</w:t>
      </w:r>
    </w:p>
    <w:p>
      <w:pPr>
        <w:spacing w:after="0" w:line="9" w:lineRule="exact"/>
        <w:rPr>
          <w:rFonts w:ascii="Arial" w:cs="Arial" w:eastAsia="Arial" w:hAnsi="Arial"/>
          <w:sz w:val="14"/>
          <w:szCs w:val="14"/>
          <w:color w:val="auto"/>
        </w:rPr>
      </w:pPr>
    </w:p>
    <w:p>
      <w:pPr>
        <w:ind w:left="2140" w:right="2200" w:hanging="157"/>
        <w:spacing w:after="0" w:line="305" w:lineRule="auto"/>
        <w:tabs>
          <w:tab w:leader="none" w:pos="2136" w:val="left"/>
        </w:tabs>
        <w:numPr>
          <w:ilvl w:val="0"/>
          <w:numId w:val="115"/>
        </w:numPr>
        <w:rPr>
          <w:rFonts w:ascii="Arial" w:cs="Arial" w:eastAsia="Arial" w:hAnsi="Arial"/>
          <w:sz w:val="14"/>
          <w:szCs w:val="14"/>
          <w:color w:val="auto"/>
        </w:rPr>
      </w:pPr>
      <w:r>
        <w:rPr>
          <w:rFonts w:ascii="Arial" w:cs="Arial" w:eastAsia="Arial" w:hAnsi="Arial"/>
          <w:sz w:val="14"/>
          <w:szCs w:val="14"/>
          <w:color w:val="auto"/>
        </w:rPr>
        <w:t>Led initiative to reshape our enterprise risk strategy and assumed oversight of Lilly’s Ethics and Compliance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5760720" cy="8255"/>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103505</wp:posOffset>
            </wp:positionV>
            <wp:extent cx="7157720" cy="42545"/>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type w:val="continuous"/>
        </w:sectPr>
      </w:pPr>
    </w:p>
    <w:bookmarkStart w:id="52" w:name="page53"/>
    <w:bookmarkEnd w:id="52"/>
    <w:p>
      <w:pPr>
        <w:ind w:left="1980"/>
        <w:spacing w:after="0"/>
        <w:rPr>
          <w:sz w:val="20"/>
          <w:szCs w:val="20"/>
          <w:color w:val="auto"/>
        </w:rPr>
      </w:pPr>
      <w:r>
        <w:rPr>
          <w:rFonts w:ascii="Arial" w:cs="Arial" w:eastAsia="Arial" w:hAnsi="Arial"/>
          <w:sz w:val="19"/>
          <w:szCs w:val="19"/>
          <w:b w:val="1"/>
          <w:bCs w:val="1"/>
          <w:color w:val="00A1DE"/>
        </w:rPr>
        <w:drawing>
          <wp:anchor simplePos="0" relativeHeight="251657728" behindDoc="1" locked="0" layoutInCell="0" allowOverlap="1">
            <wp:simplePos x="0" y="0"/>
            <wp:positionH relativeFrom="page">
              <wp:posOffset>208280</wp:posOffset>
            </wp:positionH>
            <wp:positionV relativeFrom="page">
              <wp:posOffset>586105</wp:posOffset>
            </wp:positionV>
            <wp:extent cx="5760720" cy="1105535"/>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5760720" cy="1105535"/>
                    </a:xfrm>
                    <a:prstGeom prst="rect">
                      <a:avLst/>
                    </a:prstGeom>
                    <a:noFill/>
                  </pic:spPr>
                </pic:pic>
              </a:graphicData>
            </a:graphic>
          </wp:anchor>
        </w:drawing>
        <w:t>Jake Van Naarden</w:t>
      </w:r>
    </w:p>
    <w:p>
      <w:pPr>
        <w:spacing w:after="0" w:line="16" w:lineRule="exact"/>
        <w:rPr>
          <w:sz w:val="20"/>
          <w:szCs w:val="20"/>
          <w:color w:val="auto"/>
        </w:rPr>
      </w:pPr>
    </w:p>
    <w:p>
      <w:pPr>
        <w:ind w:left="1980"/>
        <w:spacing w:after="0"/>
        <w:rPr>
          <w:sz w:val="20"/>
          <w:szCs w:val="20"/>
          <w:color w:val="auto"/>
        </w:rPr>
      </w:pPr>
      <w:r>
        <w:rPr>
          <w:rFonts w:ascii="Arial" w:cs="Arial" w:eastAsia="Arial" w:hAnsi="Arial"/>
          <w:sz w:val="14"/>
          <w:szCs w:val="14"/>
          <w:color w:val="00A1DE"/>
        </w:rPr>
        <w:t>Executive Vice President and President, Loxo@Lilly</w:t>
      </w:r>
    </w:p>
    <w:p>
      <w:pPr>
        <w:spacing w:after="0" w:line="136" w:lineRule="exact"/>
        <w:rPr>
          <w:sz w:val="20"/>
          <w:szCs w:val="20"/>
          <w:color w:val="auto"/>
        </w:rPr>
      </w:pPr>
    </w:p>
    <w:p>
      <w:pPr>
        <w:ind w:left="1980"/>
        <w:spacing w:after="0"/>
        <w:rPr>
          <w:sz w:val="20"/>
          <w:szCs w:val="20"/>
          <w:color w:val="auto"/>
        </w:rPr>
      </w:pPr>
      <w:r>
        <w:rPr>
          <w:rFonts w:ascii="Arial" w:cs="Arial" w:eastAsia="Arial" w:hAnsi="Arial"/>
          <w:sz w:val="14"/>
          <w:szCs w:val="14"/>
          <w:color w:val="auto"/>
        </w:rPr>
        <w:t>Mr. Van Naarden’s key 2024 highlights include:</w:t>
      </w:r>
    </w:p>
    <w:p>
      <w:pPr>
        <w:spacing w:after="0" w:line="69" w:lineRule="exact"/>
        <w:rPr>
          <w:sz w:val="20"/>
          <w:szCs w:val="20"/>
          <w:color w:val="auto"/>
        </w:rPr>
      </w:pPr>
    </w:p>
    <w:p>
      <w:pPr>
        <w:ind w:left="2140" w:right="2640" w:hanging="157"/>
        <w:spacing w:after="0" w:line="301" w:lineRule="auto"/>
        <w:tabs>
          <w:tab w:leader="none" w:pos="2136" w:val="left"/>
        </w:tabs>
        <w:numPr>
          <w:ilvl w:val="0"/>
          <w:numId w:val="116"/>
        </w:numPr>
        <w:rPr>
          <w:rFonts w:ascii="Arial" w:cs="Arial" w:eastAsia="Arial" w:hAnsi="Arial"/>
          <w:sz w:val="14"/>
          <w:szCs w:val="14"/>
          <w:color w:val="auto"/>
        </w:rPr>
      </w:pPr>
      <w:r>
        <w:rPr>
          <w:rFonts w:ascii="Arial" w:cs="Arial" w:eastAsia="Arial" w:hAnsi="Arial"/>
          <w:sz w:val="14"/>
          <w:szCs w:val="14"/>
          <w:color w:val="auto"/>
        </w:rPr>
        <w:t>Delivered robust financial performance, sustaining Verzenio’s growth and delivering a strong Jaypirca launch.</w:t>
      </w:r>
    </w:p>
    <w:p>
      <w:pPr>
        <w:spacing w:after="0" w:line="1" w:lineRule="exact"/>
        <w:rPr>
          <w:rFonts w:ascii="Arial" w:cs="Arial" w:eastAsia="Arial" w:hAnsi="Arial"/>
          <w:sz w:val="14"/>
          <w:szCs w:val="14"/>
          <w:color w:val="auto"/>
        </w:rPr>
      </w:pPr>
    </w:p>
    <w:p>
      <w:pPr>
        <w:ind w:left="2140" w:hanging="157"/>
        <w:spacing w:after="0"/>
        <w:tabs>
          <w:tab w:leader="none" w:pos="2140" w:val="left"/>
        </w:tabs>
        <w:numPr>
          <w:ilvl w:val="0"/>
          <w:numId w:val="116"/>
        </w:numPr>
        <w:rPr>
          <w:rFonts w:ascii="Arial" w:cs="Arial" w:eastAsia="Arial" w:hAnsi="Arial"/>
          <w:sz w:val="14"/>
          <w:szCs w:val="14"/>
          <w:color w:val="auto"/>
        </w:rPr>
      </w:pPr>
      <w:r>
        <w:rPr>
          <w:rFonts w:ascii="Arial" w:cs="Arial" w:eastAsia="Arial" w:hAnsi="Arial"/>
          <w:sz w:val="14"/>
          <w:szCs w:val="14"/>
          <w:color w:val="auto"/>
        </w:rPr>
        <w:t>Completed the POINT Biopharma integration, which added substrate to support radio oncology efforts.</w:t>
      </w:r>
    </w:p>
    <w:p>
      <w:pPr>
        <w:spacing w:after="0" w:line="68" w:lineRule="exact"/>
        <w:rPr>
          <w:rFonts w:ascii="Arial" w:cs="Arial" w:eastAsia="Arial" w:hAnsi="Arial"/>
          <w:sz w:val="14"/>
          <w:szCs w:val="14"/>
          <w:color w:val="auto"/>
        </w:rPr>
      </w:pPr>
    </w:p>
    <w:p>
      <w:pPr>
        <w:ind w:left="2140" w:right="2520" w:hanging="157"/>
        <w:spacing w:after="0" w:line="285" w:lineRule="auto"/>
        <w:tabs>
          <w:tab w:leader="none" w:pos="2136" w:val="left"/>
        </w:tabs>
        <w:numPr>
          <w:ilvl w:val="0"/>
          <w:numId w:val="116"/>
        </w:numPr>
        <w:rPr>
          <w:rFonts w:ascii="Arial" w:cs="Arial" w:eastAsia="Arial" w:hAnsi="Arial"/>
          <w:sz w:val="14"/>
          <w:szCs w:val="14"/>
          <w:color w:val="auto"/>
        </w:rPr>
      </w:pPr>
      <w:r>
        <w:rPr>
          <w:rFonts w:ascii="Arial" w:cs="Arial" w:eastAsia="Arial" w:hAnsi="Arial"/>
          <w:sz w:val="14"/>
          <w:szCs w:val="14"/>
          <w:color w:val="auto"/>
        </w:rPr>
        <w:t>Maintained key R&amp;D projects across the Oncology portfolio, including positive Phase 3 EMBER-3 study evaluating imlunestrant oral SERD in patients with second-line ER+, HER2- metastatic breast cancer.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5760720" cy="8255"/>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71" w:lineRule="exact"/>
        <w:rPr>
          <w:sz w:val="20"/>
          <w:szCs w:val="20"/>
          <w:color w:val="auto"/>
        </w:rPr>
      </w:pPr>
    </w:p>
    <w:p>
      <w:pPr>
        <w:spacing w:after="0"/>
        <w:rPr>
          <w:sz w:val="20"/>
          <w:szCs w:val="20"/>
          <w:color w:val="auto"/>
        </w:rPr>
      </w:pPr>
      <w:r>
        <w:rPr>
          <w:rFonts w:ascii="Arial" w:cs="Arial" w:eastAsia="Arial" w:hAnsi="Arial"/>
          <w:sz w:val="25"/>
          <w:szCs w:val="25"/>
          <w:b w:val="1"/>
          <w:bCs w:val="1"/>
          <w:color w:val="00A1DE"/>
        </w:rPr>
        <w:t>Our Philosophy on Compensation</w:t>
      </w:r>
    </w:p>
    <w:p>
      <w:pPr>
        <w:spacing w:after="0" w:line="69"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At Lilly, our purpose is to unite caring with discovery to create medicines that make life better for people around the world. To achieve this, we must attract, engage, and retain highly talented individuals from a variety of backgrounds and motivate them to create long-term shareholder value by achieving top-tier performance while embracing our core values of integrity, excellence, and respect for people. Our compensation programs are designed to help us achieve these goals while balancing the interests of our shareholders and customers.</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Objectives of Our Compensation Programs</w:t>
      </w:r>
    </w:p>
    <w:p>
      <w:pPr>
        <w:spacing w:after="0" w:line="49" w:lineRule="exact"/>
        <w:rPr>
          <w:sz w:val="20"/>
          <w:szCs w:val="20"/>
          <w:color w:val="auto"/>
        </w:rPr>
      </w:pPr>
    </w:p>
    <w:p>
      <w:pPr>
        <w:ind w:left="500" w:right="420" w:hanging="330"/>
        <w:spacing w:after="0" w:line="260" w:lineRule="auto"/>
        <w:tabs>
          <w:tab w:leader="none" w:pos="495" w:val="left"/>
        </w:tabs>
        <w:numPr>
          <w:ilvl w:val="0"/>
          <w:numId w:val="117"/>
        </w:numPr>
        <w:rPr>
          <w:rFonts w:ascii="Arial" w:cs="Arial" w:eastAsia="Arial" w:hAnsi="Arial"/>
          <w:sz w:val="22"/>
          <w:szCs w:val="22"/>
          <w:color w:val="auto"/>
        </w:rPr>
      </w:pPr>
      <w:r>
        <w:rPr>
          <w:rFonts w:ascii="Arial" w:cs="Arial" w:eastAsia="Arial" w:hAnsi="Arial"/>
          <w:sz w:val="20"/>
          <w:szCs w:val="20"/>
          <w:b w:val="1"/>
          <w:bCs w:val="1"/>
          <w:color w:val="D52B1E"/>
        </w:rPr>
        <w:t xml:space="preserve">Reflect Individual and Company Performance: </w:t>
      </w:r>
      <w:r>
        <w:rPr>
          <w:rFonts w:ascii="Arial" w:cs="Arial" w:eastAsia="Arial" w:hAnsi="Arial"/>
          <w:sz w:val="17"/>
          <w:szCs w:val="17"/>
          <w:color w:val="000000"/>
        </w:rPr>
        <w:t>We link pay with individual and company performance to reinforce a high-performance culture. As employees assume greater responsibilities, the proportion of total compensation based on company performance and shareholder returns increases. Annual reviews ensure our programs incentivize long-term, sustainable business results while discouraging excessive risk-taking or other adverse behaviors.</w:t>
      </w:r>
    </w:p>
    <w:p>
      <w:pPr>
        <w:spacing w:after="0" w:line="38" w:lineRule="exact"/>
        <w:rPr>
          <w:rFonts w:ascii="Arial" w:cs="Arial" w:eastAsia="Arial" w:hAnsi="Arial"/>
          <w:sz w:val="22"/>
          <w:szCs w:val="22"/>
          <w:color w:val="auto"/>
        </w:rPr>
      </w:pPr>
    </w:p>
    <w:p>
      <w:pPr>
        <w:ind w:left="500" w:right="400" w:hanging="330"/>
        <w:spacing w:after="0" w:line="235" w:lineRule="auto"/>
        <w:tabs>
          <w:tab w:leader="none" w:pos="495" w:val="left"/>
        </w:tabs>
        <w:numPr>
          <w:ilvl w:val="0"/>
          <w:numId w:val="117"/>
        </w:numPr>
        <w:rPr>
          <w:rFonts w:ascii="Arial" w:cs="Arial" w:eastAsia="Arial" w:hAnsi="Arial"/>
          <w:sz w:val="22"/>
          <w:szCs w:val="22"/>
          <w:color w:val="auto"/>
        </w:rPr>
      </w:pPr>
      <w:r>
        <w:rPr>
          <w:rFonts w:ascii="Arial" w:cs="Arial" w:eastAsia="Arial" w:hAnsi="Arial"/>
          <w:sz w:val="20"/>
          <w:szCs w:val="20"/>
          <w:b w:val="1"/>
          <w:bCs w:val="1"/>
          <w:color w:val="D52B1E"/>
        </w:rPr>
        <w:t xml:space="preserve">Attract and Retain Talented Employees: </w:t>
      </w:r>
      <w:r>
        <w:rPr>
          <w:rFonts w:ascii="Arial" w:cs="Arial" w:eastAsia="Arial" w:hAnsi="Arial"/>
          <w:sz w:val="17"/>
          <w:szCs w:val="17"/>
          <w:color w:val="000000"/>
        </w:rPr>
        <w:t>Our compensation opportunities are market-competitive and reflect job impact and</w:t>
      </w:r>
      <w:r>
        <w:rPr>
          <w:rFonts w:ascii="Arial" w:cs="Arial" w:eastAsia="Arial" w:hAnsi="Arial"/>
          <w:sz w:val="20"/>
          <w:szCs w:val="20"/>
          <w:b w:val="1"/>
          <w:bCs w:val="1"/>
          <w:color w:val="D52B1E"/>
        </w:rPr>
        <w:t xml:space="preserve"> </w:t>
      </w:r>
      <w:r>
        <w:rPr>
          <w:rFonts w:ascii="Arial" w:cs="Arial" w:eastAsia="Arial" w:hAnsi="Arial"/>
          <w:sz w:val="17"/>
          <w:szCs w:val="17"/>
          <w:color w:val="000000"/>
        </w:rPr>
        <w:t>responsibilities. Retention of talent is a key factor in designing our compensation and benefit programs.</w:t>
      </w:r>
    </w:p>
    <w:p>
      <w:pPr>
        <w:spacing w:after="0" w:line="80" w:lineRule="exact"/>
        <w:rPr>
          <w:rFonts w:ascii="Arial" w:cs="Arial" w:eastAsia="Arial" w:hAnsi="Arial"/>
          <w:sz w:val="22"/>
          <w:szCs w:val="22"/>
          <w:color w:val="auto"/>
        </w:rPr>
      </w:pPr>
    </w:p>
    <w:p>
      <w:pPr>
        <w:ind w:left="500" w:right="80" w:hanging="330"/>
        <w:spacing w:after="0" w:line="301" w:lineRule="auto"/>
        <w:tabs>
          <w:tab w:leader="none" w:pos="495" w:val="left"/>
        </w:tabs>
        <w:numPr>
          <w:ilvl w:val="0"/>
          <w:numId w:val="117"/>
        </w:numPr>
        <w:rPr>
          <w:rFonts w:ascii="Arial" w:cs="Arial" w:eastAsia="Arial" w:hAnsi="Arial"/>
          <w:sz w:val="22"/>
          <w:szCs w:val="22"/>
          <w:color w:val="auto"/>
        </w:rPr>
      </w:pPr>
      <w:r>
        <w:rPr>
          <w:rFonts w:ascii="Arial" w:cs="Arial" w:eastAsia="Arial" w:hAnsi="Arial"/>
          <w:sz w:val="20"/>
          <w:szCs w:val="20"/>
          <w:b w:val="1"/>
          <w:bCs w:val="1"/>
          <w:color w:val="D52B1E"/>
        </w:rPr>
        <w:t xml:space="preserve">Implement Broad-Based Programs: </w:t>
      </w:r>
      <w:r>
        <w:rPr>
          <w:rFonts w:ascii="Arial" w:cs="Arial" w:eastAsia="Arial" w:hAnsi="Arial"/>
          <w:sz w:val="17"/>
          <w:szCs w:val="17"/>
          <w:color w:val="000000"/>
        </w:rPr>
        <w:t>While compensation varies, the overall structure of our compensation and benefit programs</w:t>
      </w:r>
      <w:r>
        <w:rPr>
          <w:rFonts w:ascii="Arial" w:cs="Arial" w:eastAsia="Arial" w:hAnsi="Arial"/>
          <w:sz w:val="20"/>
          <w:szCs w:val="20"/>
          <w:b w:val="1"/>
          <w:bCs w:val="1"/>
          <w:color w:val="D52B1E"/>
        </w:rPr>
        <w:t xml:space="preserve"> </w:t>
      </w:r>
      <w:r>
        <w:rPr>
          <w:rFonts w:ascii="Arial" w:cs="Arial" w:eastAsia="Arial" w:hAnsi="Arial"/>
          <w:sz w:val="17"/>
          <w:szCs w:val="17"/>
          <w:color w:val="000000"/>
        </w:rPr>
        <w:t>is similar across the organization to align goals and encourage and reward all employees who contribute to our success.</w:t>
      </w:r>
    </w:p>
    <w:p>
      <w:pPr>
        <w:spacing w:after="0" w:line="18" w:lineRule="exact"/>
        <w:rPr>
          <w:rFonts w:ascii="Arial" w:cs="Arial" w:eastAsia="Arial" w:hAnsi="Arial"/>
          <w:sz w:val="22"/>
          <w:szCs w:val="22"/>
          <w:color w:val="auto"/>
        </w:rPr>
      </w:pPr>
    </w:p>
    <w:p>
      <w:pPr>
        <w:ind w:left="500" w:right="220" w:hanging="330"/>
        <w:spacing w:after="0" w:line="243" w:lineRule="auto"/>
        <w:tabs>
          <w:tab w:leader="none" w:pos="495" w:val="left"/>
        </w:tabs>
        <w:numPr>
          <w:ilvl w:val="0"/>
          <w:numId w:val="117"/>
        </w:numPr>
        <w:rPr>
          <w:rFonts w:ascii="Arial" w:cs="Arial" w:eastAsia="Arial" w:hAnsi="Arial"/>
          <w:sz w:val="22"/>
          <w:szCs w:val="22"/>
          <w:color w:val="auto"/>
        </w:rPr>
      </w:pPr>
      <w:r>
        <w:rPr>
          <w:rFonts w:ascii="Arial" w:cs="Arial" w:eastAsia="Arial" w:hAnsi="Arial"/>
          <w:sz w:val="20"/>
          <w:szCs w:val="20"/>
          <w:b w:val="1"/>
          <w:bCs w:val="1"/>
          <w:color w:val="D52B1E"/>
        </w:rPr>
        <w:t xml:space="preserve">Consider Shareholder Input: </w:t>
      </w:r>
      <w:r>
        <w:rPr>
          <w:rFonts w:ascii="Arial" w:cs="Arial" w:eastAsia="Arial" w:hAnsi="Arial"/>
          <w:sz w:val="17"/>
          <w:szCs w:val="17"/>
          <w:color w:val="000000"/>
        </w:rPr>
        <w:t>We consider the results of our annual say-on-pay vote and other sources of shareholder feedback</w:t>
      </w:r>
      <w:r>
        <w:rPr>
          <w:rFonts w:ascii="Arial" w:cs="Arial" w:eastAsia="Arial" w:hAnsi="Arial"/>
          <w:sz w:val="20"/>
          <w:szCs w:val="20"/>
          <w:b w:val="1"/>
          <w:bCs w:val="1"/>
          <w:color w:val="D52B1E"/>
        </w:rPr>
        <w:t xml:space="preserve"> </w:t>
      </w:r>
      <w:r>
        <w:rPr>
          <w:rFonts w:ascii="Arial" w:cs="Arial" w:eastAsia="Arial" w:hAnsi="Arial"/>
          <w:sz w:val="17"/>
          <w:szCs w:val="17"/>
          <w:color w:val="000000"/>
        </w:rPr>
        <w:t>when designing executive compensation and benefit programs.</w:t>
      </w:r>
    </w:p>
    <w:p>
      <w:pPr>
        <w:sectPr>
          <w:pgSz w:w="11900" w:h="16838" w:orient="portrait"/>
          <w:cols w:equalWidth="0" w:num="1">
            <w:col w:w="11220"/>
          </w:cols>
          <w:pgMar w:left="320" w:top="1004" w:right="359" w:bottom="1440" w:gutter="0" w:footer="0" w:header="0"/>
        </w:sectPr>
      </w:pP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Say-on-Pay Results</w:t>
      </w:r>
    </w:p>
    <w:p>
      <w:pPr>
        <w:spacing w:after="0" w:line="54" w:lineRule="exact"/>
        <w:rPr>
          <w:sz w:val="20"/>
          <w:szCs w:val="20"/>
          <w:color w:val="auto"/>
        </w:rPr>
      </w:pPr>
    </w:p>
    <w:p>
      <w:pPr>
        <w:ind w:left="20" w:right="80"/>
        <w:spacing w:after="0" w:line="268" w:lineRule="auto"/>
        <w:rPr>
          <w:sz w:val="20"/>
          <w:szCs w:val="20"/>
          <w:color w:val="auto"/>
        </w:rPr>
      </w:pPr>
      <w:r>
        <w:rPr>
          <w:rFonts w:ascii="Arial" w:cs="Arial" w:eastAsia="Arial" w:hAnsi="Arial"/>
          <w:sz w:val="18"/>
          <w:szCs w:val="18"/>
          <w:color w:val="auto"/>
        </w:rPr>
        <w:t>At our 2024 annual meeting, we were pleased that 95 percent of the votes cast were in favor of the company’s say-on-pay proposal. Management and the Committee view this vote as supportive of the company’s overall approach to executive compensation.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3" w:lineRule="exact"/>
        <w:rPr>
          <w:sz w:val="20"/>
          <w:szCs w:val="20"/>
          <w:color w:val="auto"/>
        </w:rPr>
      </w:pPr>
    </w:p>
    <w:p>
      <w:pPr>
        <w:jc w:val="center"/>
        <w:ind w:right="620"/>
        <w:spacing w:after="0"/>
        <w:rPr>
          <w:sz w:val="20"/>
          <w:szCs w:val="20"/>
          <w:color w:val="auto"/>
        </w:rPr>
      </w:pPr>
      <w:r>
        <w:rPr>
          <w:rFonts w:ascii="Arial" w:cs="Arial" w:eastAsia="Arial" w:hAnsi="Arial"/>
          <w:sz w:val="25"/>
          <w:szCs w:val="25"/>
          <w:b w:val="1"/>
          <w:bCs w:val="1"/>
          <w:color w:val="EE2724"/>
        </w:rPr>
        <w:t>95</w:t>
      </w:r>
      <w:r>
        <w:rPr>
          <w:rFonts w:ascii="Arial" w:cs="Arial" w:eastAsia="Arial" w:hAnsi="Arial"/>
          <w:sz w:val="25"/>
          <w:szCs w:val="25"/>
          <w:b w:val="1"/>
          <w:bCs w:val="1"/>
          <w:color w:val="D52B1E"/>
        </w:rPr>
        <w:t>%</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Support for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Say-On-Pay</w:t>
      </w:r>
    </w:p>
    <w:p>
      <w:pPr>
        <w:spacing w:after="0" w:line="200" w:lineRule="exact"/>
        <w:rPr>
          <w:sz w:val="20"/>
          <w:szCs w:val="20"/>
          <w:color w:val="auto"/>
        </w:rPr>
      </w:pPr>
    </w:p>
    <w:p>
      <w:pPr>
        <w:sectPr>
          <w:pgSz w:w="11900" w:h="16838" w:orient="portrait"/>
          <w:cols w:equalWidth="0" w:num="2">
            <w:col w:w="8860" w:space="720"/>
            <w:col w:w="1640"/>
          </w:cols>
          <w:pgMar w:left="320" w:top="1004" w:right="359" w:bottom="1440" w:gutter="0" w:footer="0" w:header="0"/>
          <w:type w:val="continuous"/>
        </w:sectPr>
      </w:pPr>
    </w:p>
    <w:p>
      <w:pPr>
        <w:spacing w:after="0" w:line="136" w:lineRule="exact"/>
        <w:rPr>
          <w:sz w:val="20"/>
          <w:szCs w:val="20"/>
          <w:color w:val="auto"/>
        </w:rPr>
      </w:pPr>
    </w:p>
    <w:p>
      <w:pPr>
        <w:spacing w:after="0"/>
        <w:rPr>
          <w:sz w:val="20"/>
          <w:szCs w:val="20"/>
          <w:color w:val="auto"/>
        </w:rPr>
      </w:pPr>
      <w:r>
        <w:rPr>
          <w:rFonts w:ascii="Arial" w:cs="Arial" w:eastAsia="Arial" w:hAnsi="Arial"/>
          <w:sz w:val="25"/>
          <w:szCs w:val="25"/>
          <w:b w:val="1"/>
          <w:bCs w:val="1"/>
          <w:color w:val="00A1DE"/>
        </w:rPr>
        <w:t>The Committee’s Processes and Analyses</w:t>
      </w:r>
    </w:p>
    <w:p>
      <w:pPr>
        <w:spacing w:after="0" w:line="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Setting Compensation</w:t>
      </w:r>
    </w:p>
    <w:p>
      <w:pPr>
        <w:spacing w:after="0" w:line="54"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Committee considers individual performance assessments, CEO recommendations (with respect to each of the other executive officers), company performance, peer group data, input from its independent compensation consultant, shareholder feedback, and its own judgment when determining executive compensation.</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D52B1E"/>
        </w:rPr>
        <w:t>Individual performance</w:t>
      </w:r>
    </w:p>
    <w:p>
      <w:pPr>
        <w:spacing w:after="0" w:line="78" w:lineRule="exact"/>
        <w:rPr>
          <w:sz w:val="20"/>
          <w:szCs w:val="20"/>
          <w:color w:val="auto"/>
        </w:rPr>
      </w:pPr>
    </w:p>
    <w:p>
      <w:pPr>
        <w:ind w:left="660" w:right="140" w:hanging="324"/>
        <w:spacing w:after="0" w:line="266" w:lineRule="auto"/>
        <w:rPr>
          <w:sz w:val="20"/>
          <w:szCs w:val="20"/>
          <w:color w:val="auto"/>
        </w:rPr>
      </w:pPr>
      <w:r>
        <w:rPr>
          <w:rFonts w:ascii="Arial" w:cs="Arial" w:eastAsia="Arial" w:hAnsi="Arial"/>
          <w:sz w:val="22"/>
          <w:szCs w:val="22"/>
          <w:color w:val="auto"/>
        </w:rPr>
        <w:t xml:space="preserve">– </w:t>
      </w:r>
      <w:r>
        <w:rPr>
          <w:rFonts w:ascii="Arial" w:cs="Arial" w:eastAsia="Arial" w:hAnsi="Arial"/>
          <w:sz w:val="17"/>
          <w:szCs w:val="17"/>
          <w:b w:val="1"/>
          <w:bCs w:val="1"/>
          <w:color w:val="00A1DE"/>
        </w:rPr>
        <w:t>CEO:</w:t>
      </w:r>
      <w:r>
        <w:rPr>
          <w:rFonts w:ascii="Arial" w:cs="Arial" w:eastAsia="Arial" w:hAnsi="Arial"/>
          <w:sz w:val="22"/>
          <w:szCs w:val="22"/>
          <w:color w:val="auto"/>
        </w:rPr>
        <w:t xml:space="preserve"> </w:t>
      </w:r>
      <w:r>
        <w:rPr>
          <w:rFonts w:ascii="Arial" w:cs="Arial" w:eastAsia="Arial" w:hAnsi="Arial"/>
          <w:sz w:val="17"/>
          <w:szCs w:val="17"/>
          <w:color w:val="auto"/>
        </w:rPr>
        <w:t>The independent directors, under the direction of the lead independent director, meet with the CEO at the beginning of each</w:t>
      </w:r>
      <w:r>
        <w:rPr>
          <w:rFonts w:ascii="Arial" w:cs="Arial" w:eastAsia="Arial" w:hAnsi="Arial"/>
          <w:sz w:val="22"/>
          <w:szCs w:val="22"/>
          <w:color w:val="auto"/>
        </w:rPr>
        <w:t xml:space="preserve"> </w:t>
      </w:r>
      <w:r>
        <w:rPr>
          <w:rFonts w:ascii="Arial" w:cs="Arial" w:eastAsia="Arial" w:hAnsi="Arial"/>
          <w:sz w:val="17"/>
          <w:szCs w:val="17"/>
          <w:color w:val="auto"/>
        </w:rPr>
        <w:t>year to establish the CEO’s performance objectives. At the end of the year, the independent directors meet to assess the CEO’s achievement of those objectives along with other factors, including contribution to the company’s performance, sustainability goals, ethics, and integrity. The results of this evaluation are used in setting the CEO’s total direct compensation target for the subsequent performance year.</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4" w:right="359" w:bottom="1440" w:gutter="0" w:footer="0" w:header="0"/>
          <w:type w:val="continuous"/>
        </w:sectPr>
      </w:pPr>
    </w:p>
    <w:bookmarkStart w:id="53" w:name="page54"/>
    <w:bookmarkEnd w:id="53"/>
    <w:p>
      <w:pPr>
        <w:ind w:left="660" w:hanging="324"/>
        <w:spacing w:after="0" w:line="266" w:lineRule="auto"/>
        <w:rPr>
          <w:sz w:val="20"/>
          <w:szCs w:val="20"/>
          <w:color w:val="auto"/>
        </w:rPr>
      </w:pPr>
      <w:r>
        <w:rPr>
          <w:rFonts w:ascii="Arial" w:cs="Arial" w:eastAsia="Arial" w:hAnsi="Arial"/>
          <w:sz w:val="22"/>
          <w:szCs w:val="22"/>
          <w:color w:val="auto"/>
        </w:rPr>
        <w:t xml:space="preserve">– </w:t>
      </w:r>
      <w:r>
        <w:rPr>
          <w:rFonts w:ascii="Arial" w:cs="Arial" w:eastAsia="Arial" w:hAnsi="Arial"/>
          <w:sz w:val="17"/>
          <w:szCs w:val="17"/>
          <w:b w:val="1"/>
          <w:bCs w:val="1"/>
          <w:color w:val="00A1DE"/>
        </w:rPr>
        <w:t>Other Executives:</w:t>
      </w:r>
      <w:r>
        <w:rPr>
          <w:rFonts w:ascii="Arial" w:cs="Arial" w:eastAsia="Arial" w:hAnsi="Arial"/>
          <w:sz w:val="22"/>
          <w:szCs w:val="22"/>
          <w:color w:val="auto"/>
        </w:rPr>
        <w:t xml:space="preserve"> </w:t>
      </w:r>
      <w:r>
        <w:rPr>
          <w:rFonts w:ascii="Arial" w:cs="Arial" w:eastAsia="Arial" w:hAnsi="Arial"/>
          <w:sz w:val="17"/>
          <w:szCs w:val="17"/>
          <w:color w:val="auto"/>
        </w:rPr>
        <w:t>The Committee receives performance assessments and target compensation recommendations from the CEO</w:t>
      </w:r>
      <w:r>
        <w:rPr>
          <w:rFonts w:ascii="Arial" w:cs="Arial" w:eastAsia="Arial" w:hAnsi="Arial"/>
          <w:sz w:val="22"/>
          <w:szCs w:val="22"/>
          <w:color w:val="auto"/>
        </w:rPr>
        <w:t xml:space="preserve"> </w:t>
      </w:r>
      <w:r>
        <w:rPr>
          <w:rFonts w:ascii="Arial" w:cs="Arial" w:eastAsia="Arial" w:hAnsi="Arial"/>
          <w:sz w:val="17"/>
          <w:szCs w:val="17"/>
          <w:color w:val="auto"/>
        </w:rPr>
        <w:t>for other executive officers. Each executive officer’s performance assessment is based on the achievement of objectives established at the start of the year, as well as other factors, including contribution to the company’s performance, sustainability goals, ethics, and integrity. The Committee considers these inputs, its knowledge of, and interactions with, each executive officer, and its judgment to develop a final individual performance assessment. For new executive officers, target compensation is set by the Committee at the time of appointment.</w:t>
      </w:r>
    </w:p>
    <w:p>
      <w:pPr>
        <w:spacing w:after="0" w:line="395" w:lineRule="exact"/>
        <w:rPr>
          <w:sz w:val="20"/>
          <w:szCs w:val="20"/>
          <w:color w:val="auto"/>
        </w:rPr>
      </w:pPr>
    </w:p>
    <w:p>
      <w:pPr>
        <w:spacing w:after="0"/>
        <w:rPr>
          <w:sz w:val="20"/>
          <w:szCs w:val="20"/>
          <w:color w:val="auto"/>
        </w:rPr>
      </w:pPr>
      <w:r>
        <w:rPr>
          <w:rFonts w:ascii="Arial" w:cs="Arial" w:eastAsia="Arial" w:hAnsi="Arial"/>
          <w:sz w:val="20"/>
          <w:szCs w:val="20"/>
          <w:b w:val="1"/>
          <w:bCs w:val="1"/>
          <w:color w:val="D52B1E"/>
        </w:rPr>
        <w:t>Company performance</w:t>
      </w:r>
    </w:p>
    <w:p>
      <w:pPr>
        <w:spacing w:after="0" w:line="7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Lilly performance is considered in multiple ways: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Prior year performance</w:t>
      </w:r>
      <w:r>
        <w:rPr>
          <w:rFonts w:ascii="Arial" w:cs="Arial" w:eastAsia="Arial" w:hAnsi="Arial"/>
          <w:sz w:val="18"/>
          <w:szCs w:val="18"/>
          <w:color w:val="auto"/>
        </w:rPr>
        <w:t xml:space="preserve"> influences target compensation for the upcoming year.</w:t>
      </w:r>
    </w:p>
    <w:p>
      <w:pPr>
        <w:spacing w:after="0" w:line="171" w:lineRule="exact"/>
        <w:rPr>
          <w:sz w:val="20"/>
          <w:szCs w:val="20"/>
          <w:color w:val="auto"/>
        </w:rPr>
      </w:pPr>
    </w:p>
    <w:p>
      <w:pPr>
        <w:ind w:left="660" w:right="160" w:hanging="324"/>
        <w:spacing w:after="0" w:line="287"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Annual performance goals</w:t>
      </w:r>
      <w:r>
        <w:rPr>
          <w:rFonts w:ascii="Arial" w:cs="Arial" w:eastAsia="Arial" w:hAnsi="Arial"/>
          <w:sz w:val="18"/>
          <w:szCs w:val="18"/>
          <w:color w:val="auto"/>
        </w:rPr>
        <w:t xml:space="preserve"> are established by the Committee at the beginning of each year and used to determine the short-term cash incentive payout.</w:t>
      </w:r>
    </w:p>
    <w:p>
      <w:pPr>
        <w:spacing w:after="0" w:line="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Multi-year performance goals</w:t>
      </w:r>
      <w:r>
        <w:rPr>
          <w:rFonts w:ascii="Arial" w:cs="Arial" w:eastAsia="Arial" w:hAnsi="Arial"/>
          <w:sz w:val="18"/>
          <w:szCs w:val="18"/>
          <w:color w:val="auto"/>
        </w:rPr>
        <w:t xml:space="preserve"> are set prior to the annual equity grant and used to determine long-term incentive equity payouts.</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b w:val="1"/>
          <w:bCs w:val="1"/>
          <w:color w:val="D52B1E"/>
        </w:rPr>
        <w:t>Peer group analysis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The Committee uses peer group data as an input for compensation decisions but does not solely rely on this data for setting compensation.</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b w:val="1"/>
          <w:bCs w:val="1"/>
          <w:color w:val="D52B1E"/>
        </w:rPr>
        <w:t>Independent compensation consultant input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The Committee considers advice from its independent compensation consultant, FW Cook, when setting executive officer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Competitive Pay Assessment</w:t>
      </w:r>
    </w:p>
    <w:p>
      <w:pPr>
        <w:spacing w:after="0" w:line="5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Lilly’s peer group is comprised of companies that compete with Lilly, use a similar business model, and employ people with the unique skills required to operate an established global pharmaceutical company. The Committee selects a peer group, the median market cap and revenue of which are comparable to Lilly’s. The Committee reviews and approves the peer group at least every three years, and the Chair and independent compensation consultant review the group annually. The Committee approved the following peer group for purposes of assessing competitive pay:</w:t>
      </w:r>
    </w:p>
    <w:p>
      <w:pPr>
        <w:spacing w:after="0" w:line="179" w:lineRule="exact"/>
        <w:rPr>
          <w:sz w:val="20"/>
          <w:szCs w:val="20"/>
          <w:color w:val="auto"/>
        </w:rPr>
      </w:pPr>
    </w:p>
    <w:tbl>
      <w:tblPr>
        <w:tblLayout w:type="fixed"/>
        <w:tblInd w:w="680" w:type="dxa"/>
        <w:tblCellMar>
          <w:top w:w="0" w:type="dxa"/>
          <w:left w:w="0" w:type="dxa"/>
          <w:bottom w:w="0" w:type="dxa"/>
          <w:right w:w="0" w:type="dxa"/>
        </w:tblCellMar>
      </w:tblPr>
      <w:tr>
        <w:trPr>
          <w:trHeight w:val="239"/>
        </w:trPr>
        <w:tc>
          <w:tcPr>
            <w:tcW w:w="1460" w:type="dxa"/>
            <w:vAlign w:val="bottom"/>
          </w:tcPr>
          <w:p>
            <w:pPr>
              <w:spacing w:after="0"/>
              <w:rPr>
                <w:sz w:val="20"/>
                <w:szCs w:val="20"/>
                <w:color w:val="auto"/>
              </w:rPr>
            </w:pPr>
            <w:r>
              <w:rPr>
                <w:rFonts w:ascii="Arial" w:cs="Arial" w:eastAsia="Arial" w:hAnsi="Arial"/>
                <w:sz w:val="18"/>
                <w:szCs w:val="18"/>
                <w:color w:val="auto"/>
              </w:rPr>
              <w:t>AbbVie</w:t>
            </w:r>
          </w:p>
        </w:tc>
        <w:tc>
          <w:tcPr>
            <w:tcW w:w="2460" w:type="dxa"/>
            <w:vAlign w:val="bottom"/>
          </w:tcPr>
          <w:p>
            <w:pPr>
              <w:ind w:left="460"/>
              <w:spacing w:after="0"/>
              <w:rPr>
                <w:sz w:val="20"/>
                <w:szCs w:val="20"/>
                <w:color w:val="auto"/>
              </w:rPr>
            </w:pPr>
            <w:r>
              <w:rPr>
                <w:rFonts w:ascii="Arial" w:cs="Arial" w:eastAsia="Arial" w:hAnsi="Arial"/>
                <w:sz w:val="18"/>
                <w:szCs w:val="18"/>
                <w:color w:val="auto"/>
              </w:rPr>
              <w:t>Bristol-Myers Squibb</w:t>
            </w:r>
          </w:p>
        </w:tc>
        <w:tc>
          <w:tcPr>
            <w:tcW w:w="1820" w:type="dxa"/>
            <w:vAlign w:val="bottom"/>
          </w:tcPr>
          <w:p>
            <w:pPr>
              <w:ind w:left="360"/>
              <w:spacing w:after="0"/>
              <w:rPr>
                <w:sz w:val="20"/>
                <w:szCs w:val="20"/>
                <w:color w:val="auto"/>
              </w:rPr>
            </w:pPr>
            <w:r>
              <w:rPr>
                <w:rFonts w:ascii="Arial" w:cs="Arial" w:eastAsia="Arial" w:hAnsi="Arial"/>
                <w:sz w:val="18"/>
                <w:szCs w:val="18"/>
                <w:color w:val="auto"/>
              </w:rPr>
              <w:t>Merck</w:t>
            </w:r>
          </w:p>
        </w:tc>
        <w:tc>
          <w:tcPr>
            <w:tcW w:w="940" w:type="dxa"/>
            <w:vAlign w:val="bottom"/>
          </w:tcPr>
          <w:p>
            <w:pPr>
              <w:ind w:left="360"/>
              <w:spacing w:after="0"/>
              <w:rPr>
                <w:sz w:val="20"/>
                <w:szCs w:val="20"/>
                <w:color w:val="auto"/>
              </w:rPr>
            </w:pPr>
            <w:r>
              <w:rPr>
                <w:rFonts w:ascii="Arial" w:cs="Arial" w:eastAsia="Arial" w:hAnsi="Arial"/>
                <w:sz w:val="18"/>
                <w:szCs w:val="18"/>
                <w:color w:val="auto"/>
              </w:rPr>
              <w:t>Roche</w:t>
            </w:r>
          </w:p>
        </w:tc>
      </w:tr>
      <w:tr>
        <w:trPr>
          <w:trHeight w:val="270"/>
        </w:trPr>
        <w:tc>
          <w:tcPr>
            <w:tcW w:w="1460" w:type="dxa"/>
            <w:vAlign w:val="bottom"/>
          </w:tcPr>
          <w:p>
            <w:pPr>
              <w:spacing w:after="0"/>
              <w:rPr>
                <w:sz w:val="20"/>
                <w:szCs w:val="20"/>
                <w:color w:val="auto"/>
              </w:rPr>
            </w:pPr>
            <w:r>
              <w:rPr>
                <w:rFonts w:ascii="Arial" w:cs="Arial" w:eastAsia="Arial" w:hAnsi="Arial"/>
                <w:sz w:val="18"/>
                <w:szCs w:val="18"/>
                <w:color w:val="auto"/>
              </w:rPr>
              <w:t>Amgen</w:t>
            </w:r>
          </w:p>
        </w:tc>
        <w:tc>
          <w:tcPr>
            <w:tcW w:w="2460" w:type="dxa"/>
            <w:vAlign w:val="bottom"/>
          </w:tcPr>
          <w:p>
            <w:pPr>
              <w:ind w:left="460"/>
              <w:spacing w:after="0"/>
              <w:rPr>
                <w:sz w:val="20"/>
                <w:szCs w:val="20"/>
                <w:color w:val="auto"/>
              </w:rPr>
            </w:pPr>
            <w:r>
              <w:rPr>
                <w:rFonts w:ascii="Arial" w:cs="Arial" w:eastAsia="Arial" w:hAnsi="Arial"/>
                <w:sz w:val="18"/>
                <w:szCs w:val="18"/>
                <w:color w:val="auto"/>
              </w:rPr>
              <w:t>Gilead</w:t>
            </w:r>
          </w:p>
        </w:tc>
        <w:tc>
          <w:tcPr>
            <w:tcW w:w="1820" w:type="dxa"/>
            <w:vAlign w:val="bottom"/>
          </w:tcPr>
          <w:p>
            <w:pPr>
              <w:ind w:left="360"/>
              <w:spacing w:after="0"/>
              <w:rPr>
                <w:sz w:val="20"/>
                <w:szCs w:val="20"/>
                <w:color w:val="auto"/>
              </w:rPr>
            </w:pPr>
            <w:r>
              <w:rPr>
                <w:rFonts w:ascii="Arial" w:cs="Arial" w:eastAsia="Arial" w:hAnsi="Arial"/>
                <w:sz w:val="18"/>
                <w:szCs w:val="18"/>
                <w:color w:val="auto"/>
              </w:rPr>
              <w:t>Novartis</w:t>
            </w:r>
          </w:p>
        </w:tc>
        <w:tc>
          <w:tcPr>
            <w:tcW w:w="940" w:type="dxa"/>
            <w:vAlign w:val="bottom"/>
          </w:tcPr>
          <w:p>
            <w:pPr>
              <w:ind w:left="360"/>
              <w:spacing w:after="0"/>
              <w:rPr>
                <w:sz w:val="20"/>
                <w:szCs w:val="20"/>
                <w:color w:val="auto"/>
              </w:rPr>
            </w:pPr>
            <w:r>
              <w:rPr>
                <w:rFonts w:ascii="Arial" w:cs="Arial" w:eastAsia="Arial" w:hAnsi="Arial"/>
                <w:sz w:val="18"/>
                <w:szCs w:val="18"/>
                <w:color w:val="auto"/>
              </w:rPr>
              <w:t>Sanofi</w:t>
            </w:r>
          </w:p>
        </w:tc>
      </w:tr>
      <w:tr>
        <w:trPr>
          <w:trHeight w:val="270"/>
        </w:trPr>
        <w:tc>
          <w:tcPr>
            <w:tcW w:w="1460" w:type="dxa"/>
            <w:vAlign w:val="bottom"/>
          </w:tcPr>
          <w:p>
            <w:pPr>
              <w:spacing w:after="0"/>
              <w:rPr>
                <w:sz w:val="20"/>
                <w:szCs w:val="20"/>
                <w:color w:val="auto"/>
              </w:rPr>
            </w:pPr>
            <w:r>
              <w:rPr>
                <w:rFonts w:ascii="Arial" w:cs="Arial" w:eastAsia="Arial" w:hAnsi="Arial"/>
                <w:sz w:val="18"/>
                <w:szCs w:val="18"/>
                <w:color w:val="auto"/>
              </w:rPr>
              <w:t>AstraZeneca</w:t>
            </w:r>
          </w:p>
        </w:tc>
        <w:tc>
          <w:tcPr>
            <w:tcW w:w="2460" w:type="dxa"/>
            <w:vAlign w:val="bottom"/>
          </w:tcPr>
          <w:p>
            <w:pPr>
              <w:ind w:left="460"/>
              <w:spacing w:after="0"/>
              <w:rPr>
                <w:sz w:val="20"/>
                <w:szCs w:val="20"/>
                <w:color w:val="auto"/>
              </w:rPr>
            </w:pPr>
            <w:r>
              <w:rPr>
                <w:rFonts w:ascii="Arial" w:cs="Arial" w:eastAsia="Arial" w:hAnsi="Arial"/>
                <w:sz w:val="18"/>
                <w:szCs w:val="18"/>
                <w:color w:val="auto"/>
              </w:rPr>
              <w:t>GlaxoSmithKline</w:t>
            </w:r>
          </w:p>
        </w:tc>
        <w:tc>
          <w:tcPr>
            <w:tcW w:w="1820" w:type="dxa"/>
            <w:vAlign w:val="bottom"/>
          </w:tcPr>
          <w:p>
            <w:pPr>
              <w:ind w:left="360"/>
              <w:spacing w:after="0"/>
              <w:rPr>
                <w:sz w:val="20"/>
                <w:szCs w:val="20"/>
                <w:color w:val="auto"/>
              </w:rPr>
            </w:pPr>
            <w:r>
              <w:rPr>
                <w:rFonts w:ascii="Arial" w:cs="Arial" w:eastAsia="Arial" w:hAnsi="Arial"/>
                <w:sz w:val="18"/>
                <w:szCs w:val="18"/>
                <w:color w:val="auto"/>
              </w:rPr>
              <w:t>Novo Nordisk</w:t>
            </w:r>
          </w:p>
        </w:tc>
        <w:tc>
          <w:tcPr>
            <w:tcW w:w="940" w:type="dxa"/>
            <w:vAlign w:val="bottom"/>
          </w:tcPr>
          <w:p>
            <w:pPr>
              <w:ind w:left="360"/>
              <w:spacing w:after="0"/>
              <w:rPr>
                <w:sz w:val="20"/>
                <w:szCs w:val="20"/>
                <w:color w:val="auto"/>
              </w:rPr>
            </w:pPr>
            <w:r>
              <w:rPr>
                <w:rFonts w:ascii="Arial" w:cs="Arial" w:eastAsia="Arial" w:hAnsi="Arial"/>
                <w:sz w:val="18"/>
                <w:szCs w:val="18"/>
                <w:color w:val="auto"/>
                <w:w w:val="93"/>
              </w:rPr>
              <w:t>Takeda</w:t>
            </w:r>
          </w:p>
        </w:tc>
      </w:tr>
      <w:tr>
        <w:trPr>
          <w:trHeight w:val="270"/>
        </w:trPr>
        <w:tc>
          <w:tcPr>
            <w:tcW w:w="1460" w:type="dxa"/>
            <w:vAlign w:val="bottom"/>
          </w:tcPr>
          <w:p>
            <w:pPr>
              <w:spacing w:after="0"/>
              <w:rPr>
                <w:sz w:val="20"/>
                <w:szCs w:val="20"/>
                <w:color w:val="auto"/>
              </w:rPr>
            </w:pPr>
            <w:r>
              <w:rPr>
                <w:rFonts w:ascii="Arial" w:cs="Arial" w:eastAsia="Arial" w:hAnsi="Arial"/>
                <w:sz w:val="18"/>
                <w:szCs w:val="18"/>
                <w:color w:val="auto"/>
              </w:rPr>
              <w:t>Biogen</w:t>
            </w:r>
          </w:p>
        </w:tc>
        <w:tc>
          <w:tcPr>
            <w:tcW w:w="2460" w:type="dxa"/>
            <w:vAlign w:val="bottom"/>
          </w:tcPr>
          <w:p>
            <w:pPr>
              <w:ind w:left="460"/>
              <w:spacing w:after="0"/>
              <w:rPr>
                <w:sz w:val="20"/>
                <w:szCs w:val="20"/>
                <w:color w:val="auto"/>
              </w:rPr>
            </w:pPr>
            <w:r>
              <w:rPr>
                <w:rFonts w:ascii="Arial" w:cs="Arial" w:eastAsia="Arial" w:hAnsi="Arial"/>
                <w:sz w:val="18"/>
                <w:szCs w:val="18"/>
                <w:color w:val="auto"/>
              </w:rPr>
              <w:t>Johnson &amp; Johnson</w:t>
            </w:r>
          </w:p>
        </w:tc>
        <w:tc>
          <w:tcPr>
            <w:tcW w:w="1820" w:type="dxa"/>
            <w:vAlign w:val="bottom"/>
          </w:tcPr>
          <w:p>
            <w:pPr>
              <w:ind w:left="360"/>
              <w:spacing w:after="0"/>
              <w:rPr>
                <w:sz w:val="20"/>
                <w:szCs w:val="20"/>
                <w:color w:val="auto"/>
              </w:rPr>
            </w:pPr>
            <w:r>
              <w:rPr>
                <w:rFonts w:ascii="Arial" w:cs="Arial" w:eastAsia="Arial" w:hAnsi="Arial"/>
                <w:sz w:val="18"/>
                <w:szCs w:val="18"/>
                <w:color w:val="auto"/>
              </w:rPr>
              <w:t>Pfizer</w:t>
            </w:r>
          </w:p>
        </w:tc>
        <w:tc>
          <w:tcPr>
            <w:tcW w:w="940" w:type="dxa"/>
            <w:vAlign w:val="bottom"/>
          </w:tcPr>
          <w:p>
            <w:pPr>
              <w:spacing w:after="0"/>
              <w:rPr>
                <w:sz w:val="23"/>
                <w:szCs w:val="23"/>
                <w:color w:val="auto"/>
              </w:rPr>
            </w:pPr>
          </w:p>
        </w:tc>
      </w:tr>
    </w:tbl>
    <w:p>
      <w:pPr>
        <w:spacing w:after="0" w:line="207"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At the time of the review, all peer companies were no greater than two times our revenue or market cap except Johnson &amp; Johnson and Roche. The Committee included those companies despite their relative size because they compete directly with Lilly, have similar business models, and seek to hire from the same pool of management and scientific talent.</w:t>
      </w:r>
    </w:p>
    <w:p>
      <w:pPr>
        <w:spacing w:after="0" w:line="11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When determining target compensation, the Committee considers an analysis of market competitive pay for each executive officer position, internal factors such as the performance and experience of each executive officer, and the CEO’s recommendations for executives other than himself. The independent compensation consultant provides a similar analysis when recommending pay levels for the CEO. The CEO analysis includes a comparison of our CEO’s actual total direct compensation in the prior year to company performance on an absolute and relative basis. The analysis also includes a comparison of current target total direct compensation for our CEO to recently available data on CEO target total direct compensation for our peer group with an emphasis on peers that are headquartered in the United States.</w:t>
      </w:r>
    </w:p>
    <w:p>
      <w:pPr>
        <w:spacing w:after="0" w:line="200" w:lineRule="exact"/>
        <w:rPr>
          <w:sz w:val="20"/>
          <w:szCs w:val="20"/>
          <w:color w:val="auto"/>
        </w:rPr>
      </w:pPr>
    </w:p>
    <w:p>
      <w:pPr>
        <w:spacing w:after="0" w:line="325" w:lineRule="exact"/>
        <w:rPr>
          <w:sz w:val="20"/>
          <w:szCs w:val="20"/>
          <w:color w:val="auto"/>
        </w:rPr>
      </w:pPr>
    </w:p>
    <w:p>
      <w:pPr>
        <w:jc w:val="center"/>
        <w:ind w:right="-79"/>
        <w:spacing w:after="0"/>
        <w:rPr>
          <w:sz w:val="20"/>
          <w:szCs w:val="20"/>
          <w:color w:val="auto"/>
        </w:rPr>
      </w:pPr>
      <w:r>
        <w:rPr>
          <w:rFonts w:ascii="Arial" w:cs="Arial" w:eastAsia="Arial" w:hAnsi="Arial"/>
          <w:sz w:val="19"/>
          <w:szCs w:val="19"/>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88900</wp:posOffset>
            </wp:positionV>
            <wp:extent cx="7157720" cy="42545"/>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75" w:right="399" w:bottom="1440" w:gutter="0" w:footer="0" w:header="0"/>
        </w:sectPr>
      </w:pPr>
    </w:p>
    <w:bookmarkStart w:id="54" w:name="page55"/>
    <w:bookmarkEnd w:id="54"/>
    <w:p>
      <w:pPr>
        <w:spacing w:after="0"/>
        <w:rPr>
          <w:sz w:val="20"/>
          <w:szCs w:val="20"/>
          <w:color w:val="auto"/>
        </w:rPr>
      </w:pPr>
      <w:r>
        <w:rPr>
          <w:rFonts w:ascii="Arial" w:cs="Arial" w:eastAsia="Arial" w:hAnsi="Arial"/>
          <w:sz w:val="25"/>
          <w:szCs w:val="25"/>
          <w:b w:val="1"/>
          <w:bCs w:val="1"/>
          <w:color w:val="00A1DE"/>
        </w:rPr>
        <w:t>Components of Our Compensation</w:t>
      </w:r>
    </w:p>
    <w:p>
      <w:pPr>
        <w:spacing w:after="0" w:line="69"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The Committee considered input from management and its independent compensation consultant when deciding on 2024 executive compensation. While the primary components remained similar to prior years, updates were made to incentive plan measures and award types as described in the compensation elements below.</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D52B1E"/>
        </w:rPr>
        <w:t>1. Base Salary</w:t>
      </w:r>
    </w:p>
    <w:p>
      <w:pPr>
        <w:spacing w:after="0" w:line="72"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Base salaries are reviewed annually and may be adjusted based on performance, a change in job responsibilities, or to maintain market competitiveness. If an executive officer’s salary is deemed competitive given his or her experience and performance, no salary increase is provided.</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D52B1E"/>
        </w:rPr>
        <w:t>2. Annual Cash Bonus (Bonus Plan)</w:t>
      </w:r>
    </w:p>
    <w:p>
      <w:pPr>
        <w:spacing w:after="0" w:line="7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Committee updated the Bonus Plan for 2024, which now equally weights product revenue, EPS, and pipeline progress. The revenue metric focuses on new products, and the pipeline metric enhances visibility on deliverables by therapeutic area. Goals and weightings are set annually based on the operating plan and pipeline objectives; however, disclosure of certain product-specific revenue goals and internal pipeline objectives could cause competitive harm to the company and are, therefore, not included. Here are the 2024 performance measures and weightings: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1599565</wp:posOffset>
            </wp:positionH>
            <wp:positionV relativeFrom="paragraph">
              <wp:posOffset>108585</wp:posOffset>
            </wp:positionV>
            <wp:extent cx="2391410" cy="8255"/>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line="205" w:lineRule="exact"/>
        <w:rPr>
          <w:sz w:val="20"/>
          <w:szCs w:val="20"/>
          <w:color w:val="auto"/>
        </w:rPr>
      </w:pPr>
    </w:p>
    <w:tbl>
      <w:tblPr>
        <w:tblLayout w:type="fixed"/>
        <w:tblInd w:w="2520" w:type="dxa"/>
        <w:tblCellMar>
          <w:top w:w="0" w:type="dxa"/>
          <w:left w:w="0" w:type="dxa"/>
          <w:bottom w:w="0" w:type="dxa"/>
          <w:right w:w="0" w:type="dxa"/>
        </w:tblCellMar>
      </w:tblPr>
      <w:tr>
        <w:trPr>
          <w:trHeight w:val="265"/>
        </w:trPr>
        <w:tc>
          <w:tcPr>
            <w:tcW w:w="2080" w:type="dxa"/>
            <w:vAlign w:val="bottom"/>
            <w:tcBorders>
              <w:bottom w:val="single" w:sz="8" w:color="6D6D6D"/>
            </w:tcBorders>
          </w:tcPr>
          <w:p>
            <w:pPr>
              <w:ind w:left="20"/>
              <w:spacing w:after="0"/>
              <w:rPr>
                <w:sz w:val="20"/>
                <w:szCs w:val="20"/>
                <w:color w:val="auto"/>
              </w:rPr>
            </w:pPr>
            <w:r>
              <w:rPr>
                <w:rFonts w:ascii="Arial" w:cs="Arial" w:eastAsia="Arial" w:hAnsi="Arial"/>
                <w:sz w:val="19"/>
                <w:szCs w:val="19"/>
                <w:b w:val="1"/>
                <w:bCs w:val="1"/>
                <w:color w:val="auto"/>
              </w:rPr>
              <w:t>Lilly 2024 Goals</w:t>
            </w:r>
          </w:p>
        </w:tc>
        <w:tc>
          <w:tcPr>
            <w:tcW w:w="1680" w:type="dxa"/>
            <w:vAlign w:val="bottom"/>
            <w:tcBorders>
              <w:bottom w:val="single" w:sz="8" w:color="6D6D6D"/>
            </w:tcBorders>
          </w:tcPr>
          <w:p>
            <w:pPr>
              <w:ind w:left="440"/>
              <w:spacing w:after="0"/>
              <w:rPr>
                <w:sz w:val="20"/>
                <w:szCs w:val="20"/>
                <w:color w:val="auto"/>
              </w:rPr>
            </w:pPr>
            <w:r>
              <w:rPr>
                <w:rFonts w:ascii="Arial" w:cs="Arial" w:eastAsia="Arial" w:hAnsi="Arial"/>
                <w:sz w:val="19"/>
                <w:szCs w:val="19"/>
                <w:b w:val="1"/>
                <w:bCs w:val="1"/>
                <w:color w:val="auto"/>
              </w:rPr>
              <w:t>Weighting</w:t>
            </w:r>
          </w:p>
        </w:tc>
      </w:tr>
      <w:tr>
        <w:trPr>
          <w:trHeight w:val="246"/>
        </w:trPr>
        <w:tc>
          <w:tcPr>
            <w:tcW w:w="2080" w:type="dxa"/>
            <w:vAlign w:val="bottom"/>
          </w:tcPr>
          <w:p>
            <w:pPr>
              <w:ind w:left="20"/>
              <w:spacing w:after="0"/>
              <w:rPr>
                <w:sz w:val="20"/>
                <w:szCs w:val="20"/>
                <w:color w:val="auto"/>
              </w:rPr>
            </w:pPr>
            <w:r>
              <w:rPr>
                <w:rFonts w:ascii="Arial" w:cs="Arial" w:eastAsia="Arial" w:hAnsi="Arial"/>
                <w:sz w:val="18"/>
                <w:szCs w:val="18"/>
                <w:color w:val="auto"/>
              </w:rPr>
              <w:t>Product revenue</w:t>
            </w:r>
          </w:p>
        </w:tc>
        <w:tc>
          <w:tcPr>
            <w:tcW w:w="1680" w:type="dxa"/>
            <w:vAlign w:val="bottom"/>
          </w:tcPr>
          <w:p>
            <w:pPr>
              <w:jc w:val="center"/>
              <w:ind w:left="9"/>
              <w:spacing w:after="0"/>
              <w:rPr>
                <w:sz w:val="20"/>
                <w:szCs w:val="20"/>
                <w:color w:val="auto"/>
              </w:rPr>
            </w:pPr>
            <w:r>
              <w:rPr>
                <w:rFonts w:ascii="Arial" w:cs="Arial" w:eastAsia="Arial" w:hAnsi="Arial"/>
                <w:sz w:val="18"/>
                <w:szCs w:val="18"/>
                <w:color w:val="auto"/>
                <w:w w:val="97"/>
              </w:rPr>
              <w:t>33.3%</w:t>
            </w:r>
          </w:p>
        </w:tc>
      </w:tr>
      <w:tr>
        <w:trPr>
          <w:trHeight w:val="270"/>
        </w:trPr>
        <w:tc>
          <w:tcPr>
            <w:tcW w:w="2080" w:type="dxa"/>
            <w:vAlign w:val="bottom"/>
          </w:tcPr>
          <w:p>
            <w:pPr>
              <w:ind w:left="20"/>
              <w:spacing w:after="0"/>
              <w:rPr>
                <w:sz w:val="20"/>
                <w:szCs w:val="20"/>
                <w:color w:val="auto"/>
              </w:rPr>
            </w:pPr>
            <w:r>
              <w:rPr>
                <w:rFonts w:ascii="Arial" w:cs="Arial" w:eastAsia="Arial" w:hAnsi="Arial"/>
                <w:sz w:val="18"/>
                <w:szCs w:val="18"/>
                <w:color w:val="auto"/>
              </w:rPr>
              <w:t>EPS performance</w:t>
            </w:r>
          </w:p>
        </w:tc>
        <w:tc>
          <w:tcPr>
            <w:tcW w:w="1680" w:type="dxa"/>
            <w:vAlign w:val="bottom"/>
          </w:tcPr>
          <w:p>
            <w:pPr>
              <w:jc w:val="center"/>
              <w:ind w:left="9"/>
              <w:spacing w:after="0"/>
              <w:rPr>
                <w:sz w:val="20"/>
                <w:szCs w:val="20"/>
                <w:color w:val="auto"/>
              </w:rPr>
            </w:pPr>
            <w:r>
              <w:rPr>
                <w:rFonts w:ascii="Arial" w:cs="Arial" w:eastAsia="Arial" w:hAnsi="Arial"/>
                <w:sz w:val="18"/>
                <w:szCs w:val="18"/>
                <w:color w:val="auto"/>
                <w:w w:val="97"/>
              </w:rPr>
              <w:t>33.3%</w:t>
            </w:r>
          </w:p>
        </w:tc>
      </w:tr>
      <w:tr>
        <w:trPr>
          <w:trHeight w:val="270"/>
        </w:trPr>
        <w:tc>
          <w:tcPr>
            <w:tcW w:w="2080" w:type="dxa"/>
            <w:vAlign w:val="bottom"/>
          </w:tcPr>
          <w:p>
            <w:pPr>
              <w:ind w:left="20"/>
              <w:spacing w:after="0"/>
              <w:rPr>
                <w:sz w:val="20"/>
                <w:szCs w:val="20"/>
                <w:color w:val="auto"/>
              </w:rPr>
            </w:pPr>
            <w:r>
              <w:rPr>
                <w:rFonts w:ascii="Arial" w:cs="Arial" w:eastAsia="Arial" w:hAnsi="Arial"/>
                <w:sz w:val="18"/>
                <w:szCs w:val="18"/>
                <w:color w:val="auto"/>
              </w:rPr>
              <w:t>Pipeline progression</w:t>
            </w:r>
          </w:p>
        </w:tc>
        <w:tc>
          <w:tcPr>
            <w:tcW w:w="1680" w:type="dxa"/>
            <w:vAlign w:val="bottom"/>
          </w:tcPr>
          <w:p>
            <w:pPr>
              <w:jc w:val="center"/>
              <w:ind w:left="9"/>
              <w:spacing w:after="0"/>
              <w:rPr>
                <w:sz w:val="20"/>
                <w:szCs w:val="20"/>
                <w:color w:val="auto"/>
              </w:rPr>
            </w:pPr>
            <w:r>
              <w:rPr>
                <w:rFonts w:ascii="Arial" w:cs="Arial" w:eastAsia="Arial" w:hAnsi="Arial"/>
                <w:sz w:val="18"/>
                <w:szCs w:val="18"/>
                <w:color w:val="auto"/>
                <w:w w:val="97"/>
              </w:rPr>
              <w:t>33.3%</w:t>
            </w:r>
          </w:p>
        </w:tc>
      </w:tr>
      <w:tr>
        <w:trPr>
          <w:trHeight w:val="23"/>
        </w:trPr>
        <w:tc>
          <w:tcPr>
            <w:tcW w:w="2080" w:type="dxa"/>
            <w:vAlign w:val="bottom"/>
            <w:tcBorders>
              <w:bottom w:val="single" w:sz="8" w:color="6D6D6D"/>
            </w:tcBorders>
          </w:tcPr>
          <w:p>
            <w:pPr>
              <w:spacing w:after="0"/>
              <w:rPr>
                <w:sz w:val="2"/>
                <w:szCs w:val="2"/>
                <w:color w:val="auto"/>
              </w:rPr>
            </w:pPr>
          </w:p>
        </w:tc>
        <w:tc>
          <w:tcPr>
            <w:tcW w:w="1680" w:type="dxa"/>
            <w:vAlign w:val="bottom"/>
            <w:tcBorders>
              <w:bottom w:val="single" w:sz="8" w:color="6D6D6D"/>
            </w:tcBorders>
          </w:tcPr>
          <w:p>
            <w:pPr>
              <w:spacing w:after="0"/>
              <w:rPr>
                <w:sz w:val="2"/>
                <w:szCs w:val="2"/>
                <w:color w:val="auto"/>
              </w:rPr>
            </w:pPr>
          </w:p>
        </w:tc>
      </w:tr>
      <w:tr>
        <w:trPr>
          <w:trHeight w:val="241"/>
        </w:trPr>
        <w:tc>
          <w:tcPr>
            <w:tcW w:w="2080" w:type="dxa"/>
            <w:vAlign w:val="bottom"/>
          </w:tcPr>
          <w:p>
            <w:pPr>
              <w:ind w:left="20"/>
              <w:spacing w:after="0"/>
              <w:rPr>
                <w:sz w:val="20"/>
                <w:szCs w:val="20"/>
                <w:color w:val="auto"/>
              </w:rPr>
            </w:pPr>
            <w:r>
              <w:rPr>
                <w:rFonts w:ascii="Arial" w:cs="Arial" w:eastAsia="Arial" w:hAnsi="Arial"/>
                <w:sz w:val="18"/>
                <w:szCs w:val="18"/>
                <w:color w:val="auto"/>
              </w:rPr>
              <w:t>Bonus multiple</w:t>
            </w:r>
          </w:p>
        </w:tc>
        <w:tc>
          <w:tcPr>
            <w:tcW w:w="1680" w:type="dxa"/>
            <w:vAlign w:val="bottom"/>
          </w:tcPr>
          <w:p>
            <w:pPr>
              <w:jc w:val="center"/>
              <w:ind w:left="9"/>
              <w:spacing w:after="0"/>
              <w:rPr>
                <w:sz w:val="20"/>
                <w:szCs w:val="20"/>
                <w:color w:val="auto"/>
              </w:rPr>
            </w:pPr>
            <w:r>
              <w:rPr>
                <w:rFonts w:ascii="Arial" w:cs="Arial" w:eastAsia="Arial" w:hAnsi="Arial"/>
                <w:sz w:val="18"/>
                <w:szCs w:val="18"/>
                <w:color w:val="auto"/>
                <w:w w:val="99"/>
              </w:rPr>
              <w:t>100%</w:t>
            </w:r>
          </w:p>
        </w:tc>
      </w:tr>
      <w:tr>
        <w:trPr>
          <w:trHeight w:val="23"/>
        </w:trPr>
        <w:tc>
          <w:tcPr>
            <w:tcW w:w="2080" w:type="dxa"/>
            <w:vAlign w:val="bottom"/>
            <w:tcBorders>
              <w:bottom w:val="single" w:sz="8" w:color="6D6D6D"/>
            </w:tcBorders>
          </w:tcPr>
          <w:p>
            <w:pPr>
              <w:spacing w:after="0"/>
              <w:rPr>
                <w:sz w:val="2"/>
                <w:szCs w:val="2"/>
                <w:color w:val="auto"/>
              </w:rPr>
            </w:pPr>
          </w:p>
        </w:tc>
        <w:tc>
          <w:tcPr>
            <w:tcW w:w="1680" w:type="dxa"/>
            <w:vAlign w:val="bottom"/>
            <w:tcBorders>
              <w:bottom w:val="single" w:sz="8" w:color="6D6D6D"/>
            </w:tcBorders>
          </w:tcPr>
          <w:p>
            <w:pPr>
              <w:spacing w:after="0"/>
              <w:rPr>
                <w:sz w:val="2"/>
                <w:szCs w:val="2"/>
                <w:color w:val="auto"/>
              </w:rPr>
            </w:pPr>
          </w:p>
        </w:tc>
      </w:tr>
    </w:tbl>
    <w:p>
      <w:pPr>
        <w:spacing w:after="0" w:line="224"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shift to specific product revenue was intended to incentivize swift delivery of breakthrough medicines to patients. For 2024, the product revenues used in the bonus multiple were Kinsula, Ebglys, Omvoh, Jaypirca, Verzenio, Mounjaro, and Zepbound. Together, these new products represent significant outcomes for patients and support our continued long-term performance.</w:t>
      </w:r>
    </w:p>
    <w:p>
      <w:pPr>
        <w:spacing w:after="0" w:line="117"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color w:val="auto"/>
        </w:rPr>
        <w:t>The updates to the pipeline scorecard provide employees greater line of sight to how their work impacts the pipeline bonus multiple. For 2024, the scorecard measures progress across the following categories:</w:t>
      </w:r>
    </w:p>
    <w:p>
      <w:pPr>
        <w:spacing w:after="0" w:line="99" w:lineRule="exact"/>
        <w:rPr>
          <w:sz w:val="20"/>
          <w:szCs w:val="20"/>
          <w:color w:val="auto"/>
        </w:rPr>
      </w:pPr>
    </w:p>
    <w:p>
      <w:pPr>
        <w:ind w:left="660" w:right="20" w:hanging="328"/>
        <w:spacing w:after="0" w:line="287" w:lineRule="auto"/>
        <w:tabs>
          <w:tab w:leader="none" w:pos="649" w:val="left"/>
        </w:tabs>
        <w:numPr>
          <w:ilvl w:val="0"/>
          <w:numId w:val="121"/>
        </w:numPr>
        <w:rPr>
          <w:rFonts w:ascii="Arial" w:cs="Arial" w:eastAsia="Arial" w:hAnsi="Arial"/>
          <w:sz w:val="16"/>
          <w:szCs w:val="16"/>
          <w:color w:val="auto"/>
        </w:rPr>
      </w:pPr>
      <w:r>
        <w:rPr>
          <w:rFonts w:ascii="Arial" w:cs="Arial" w:eastAsia="Arial" w:hAnsi="Arial"/>
          <w:sz w:val="18"/>
          <w:szCs w:val="18"/>
          <w:b w:val="1"/>
          <w:bCs w:val="1"/>
          <w:i w:val="1"/>
          <w:iCs w:val="1"/>
          <w:color w:val="auto"/>
        </w:rPr>
        <w:t>Discovery and Early Development</w:t>
      </w:r>
      <w:r>
        <w:rPr>
          <w:rFonts w:ascii="Arial" w:cs="Arial" w:eastAsia="Arial" w:hAnsi="Arial"/>
          <w:sz w:val="18"/>
          <w:szCs w:val="18"/>
          <w:color w:val="auto"/>
        </w:rPr>
        <w:t>: Output from Discovery, entries into clinical development, and early phase clinical readouts (e.g.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Proof of Concept)</w:t>
      </w:r>
    </w:p>
    <w:p>
      <w:pPr>
        <w:spacing w:after="0" w:line="98" w:lineRule="exact"/>
        <w:rPr>
          <w:rFonts w:ascii="Arial" w:cs="Arial" w:eastAsia="Arial" w:hAnsi="Arial"/>
          <w:sz w:val="16"/>
          <w:szCs w:val="16"/>
          <w:color w:val="auto"/>
        </w:rPr>
      </w:pPr>
    </w:p>
    <w:p>
      <w:pPr>
        <w:ind w:left="640" w:hanging="308"/>
        <w:spacing w:after="0"/>
        <w:tabs>
          <w:tab w:leader="none" w:pos="640" w:val="left"/>
        </w:tabs>
        <w:numPr>
          <w:ilvl w:val="0"/>
          <w:numId w:val="121"/>
        </w:numPr>
        <w:rPr>
          <w:rFonts w:ascii="Arial" w:cs="Arial" w:eastAsia="Arial" w:hAnsi="Arial"/>
          <w:sz w:val="16"/>
          <w:szCs w:val="16"/>
          <w:color w:val="auto"/>
        </w:rPr>
      </w:pPr>
      <w:r>
        <w:rPr>
          <w:rFonts w:ascii="Arial" w:cs="Arial" w:eastAsia="Arial" w:hAnsi="Arial"/>
          <w:sz w:val="18"/>
          <w:szCs w:val="18"/>
          <w:b w:val="1"/>
          <w:bCs w:val="1"/>
          <w:i w:val="1"/>
          <w:iCs w:val="1"/>
          <w:color w:val="auto"/>
        </w:rPr>
        <w:t>Late Development and Regulatory</w:t>
      </w:r>
      <w:r>
        <w:rPr>
          <w:rFonts w:ascii="Arial" w:cs="Arial" w:eastAsia="Arial" w:hAnsi="Arial"/>
          <w:sz w:val="18"/>
          <w:szCs w:val="18"/>
          <w:color w:val="auto"/>
        </w:rPr>
        <w:t>: Entries into registrational studies, Phase 3 readouts, and regulatory outcomes</w:t>
      </w:r>
    </w:p>
    <w:p>
      <w:pPr>
        <w:spacing w:after="0" w:line="171" w:lineRule="exact"/>
        <w:rPr>
          <w:rFonts w:ascii="Arial" w:cs="Arial" w:eastAsia="Arial" w:hAnsi="Arial"/>
          <w:sz w:val="16"/>
          <w:szCs w:val="16"/>
          <w:color w:val="auto"/>
        </w:rPr>
      </w:pPr>
    </w:p>
    <w:p>
      <w:pPr>
        <w:ind w:left="660" w:right="440" w:hanging="328"/>
        <w:spacing w:after="0" w:line="287" w:lineRule="auto"/>
        <w:tabs>
          <w:tab w:leader="none" w:pos="649" w:val="left"/>
        </w:tabs>
        <w:numPr>
          <w:ilvl w:val="0"/>
          <w:numId w:val="121"/>
        </w:numPr>
        <w:rPr>
          <w:rFonts w:ascii="Arial" w:cs="Arial" w:eastAsia="Arial" w:hAnsi="Arial"/>
          <w:sz w:val="16"/>
          <w:szCs w:val="16"/>
          <w:color w:val="auto"/>
        </w:rPr>
      </w:pPr>
      <w:r>
        <w:rPr>
          <w:rFonts w:ascii="Arial" w:cs="Arial" w:eastAsia="Arial" w:hAnsi="Arial"/>
          <w:sz w:val="18"/>
          <w:szCs w:val="18"/>
          <w:b w:val="1"/>
          <w:bCs w:val="1"/>
          <w:i w:val="1"/>
          <w:iCs w:val="1"/>
          <w:color w:val="auto"/>
        </w:rPr>
        <w:t>Business Development / Strategic Initiatives</w:t>
      </w:r>
      <w:r>
        <w:rPr>
          <w:rFonts w:ascii="Arial" w:cs="Arial" w:eastAsia="Arial" w:hAnsi="Arial"/>
          <w:sz w:val="18"/>
          <w:szCs w:val="18"/>
          <w:color w:val="auto"/>
        </w:rPr>
        <w:t>: Entries into Lilly R&amp;D portfolio from business development and achievement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strategic priorities identified at the beginning of the year</w:t>
      </w:r>
    </w:p>
    <w:p>
      <w:pPr>
        <w:spacing w:after="0" w:line="98" w:lineRule="exact"/>
        <w:rPr>
          <w:rFonts w:ascii="Arial" w:cs="Arial" w:eastAsia="Arial" w:hAnsi="Arial"/>
          <w:sz w:val="16"/>
          <w:szCs w:val="16"/>
          <w:color w:val="auto"/>
        </w:rPr>
      </w:pPr>
    </w:p>
    <w:p>
      <w:pPr>
        <w:ind w:left="660" w:right="340" w:hanging="328"/>
        <w:spacing w:after="0" w:line="287" w:lineRule="auto"/>
        <w:tabs>
          <w:tab w:leader="none" w:pos="649" w:val="left"/>
        </w:tabs>
        <w:numPr>
          <w:ilvl w:val="0"/>
          <w:numId w:val="121"/>
        </w:numPr>
        <w:rPr>
          <w:rFonts w:ascii="Arial" w:cs="Arial" w:eastAsia="Arial" w:hAnsi="Arial"/>
          <w:sz w:val="16"/>
          <w:szCs w:val="16"/>
          <w:color w:val="auto"/>
        </w:rPr>
      </w:pPr>
      <w:r>
        <w:rPr>
          <w:rFonts w:ascii="Arial" w:cs="Arial" w:eastAsia="Arial" w:hAnsi="Arial"/>
          <w:sz w:val="18"/>
          <w:szCs w:val="18"/>
          <w:b w:val="1"/>
          <w:bCs w:val="1"/>
          <w:i w:val="1"/>
          <w:iCs w:val="1"/>
          <w:color w:val="auto"/>
        </w:rPr>
        <w:t>Game Changer Events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Study readouts (“events”) that achieve significant scientific advances and generate substantial value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Lilly and patients</w:t>
      </w:r>
    </w:p>
    <w:p>
      <w:pPr>
        <w:spacing w:after="0" w:line="99"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Lastly, the Committee raised the maximum bonus payout from 200 percent to 250 percent of an individual’s target to encourage achieving company goals and remain competitive in the market. Bonus targets are approved by the Committee for each executive officer at the start of the year. All named executive officers participated in the Bonus Plan in 2024. The cash bonus payout is calculated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5597525" cy="266065"/>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5597525" cy="266065"/>
                    </a:xfrm>
                    <a:prstGeom prst="rect">
                      <a:avLst/>
                    </a:prstGeom>
                    <a:noFill/>
                  </pic:spPr>
                </pic:pic>
              </a:graphicData>
            </a:graphic>
          </wp:anchor>
        </w:drawing>
      </w:r>
    </w:p>
    <w:p>
      <w:pPr>
        <w:spacing w:after="0" w:line="169" w:lineRule="exact"/>
        <w:rPr>
          <w:sz w:val="20"/>
          <w:szCs w:val="20"/>
          <w:color w:val="auto"/>
        </w:rPr>
      </w:pPr>
    </w:p>
    <w:p>
      <w:pPr>
        <w:ind w:left="800"/>
        <w:spacing w:after="0"/>
        <w:rPr>
          <w:sz w:val="20"/>
          <w:szCs w:val="20"/>
          <w:color w:val="auto"/>
        </w:rPr>
      </w:pPr>
      <w:r>
        <w:rPr>
          <w:rFonts w:ascii="Arial" w:cs="Arial" w:eastAsia="Arial" w:hAnsi="Arial"/>
          <w:sz w:val="19"/>
          <w:szCs w:val="19"/>
          <w:b w:val="1"/>
          <w:bCs w:val="1"/>
          <w:color w:val="FFFFFF"/>
        </w:rPr>
        <w:t xml:space="preserve">base salary        </w:t>
      </w:r>
      <w:r>
        <w:rPr>
          <w:sz w:val="1"/>
          <w:szCs w:val="1"/>
          <w:color w:val="auto"/>
        </w:rPr>
        <w:drawing>
          <wp:inline distT="0" distB="0" distL="0" distR="0">
            <wp:extent cx="171450" cy="171450"/>
            <wp:effectExtent l="0" t="0" r="0" b="0"/>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171450" cy="171450"/>
                    </a:xfrm>
                    <a:prstGeom prst="rect">
                      <a:avLst/>
                    </a:prstGeom>
                    <a:noFill/>
                    <a:ln>
                      <a:noFill/>
                    </a:ln>
                  </pic:spPr>
                </pic:pic>
              </a:graphicData>
            </a:graphic>
          </wp:inline>
        </w:drawing>
      </w:r>
      <w:r>
        <w:rPr>
          <w:rFonts w:ascii="Arial" w:cs="Arial" w:eastAsia="Arial" w:hAnsi="Arial"/>
          <w:sz w:val="19"/>
          <w:szCs w:val="19"/>
          <w:b w:val="1"/>
          <w:bCs w:val="1"/>
          <w:color w:val="auto"/>
        </w:rPr>
        <w:t xml:space="preserve">    individual bonus target    </w:t>
      </w:r>
      <w:r>
        <w:rPr>
          <w:sz w:val="1"/>
          <w:szCs w:val="1"/>
          <w:color w:val="auto"/>
        </w:rPr>
        <w:drawing>
          <wp:inline distT="0" distB="0" distL="0" distR="0">
            <wp:extent cx="171450" cy="171450"/>
            <wp:effectExtent l="0" t="0" r="0" b="0"/>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171450" cy="171450"/>
                    </a:xfrm>
                    <a:prstGeom prst="rect">
                      <a:avLst/>
                    </a:prstGeom>
                    <a:noFill/>
                    <a:ln>
                      <a:noFill/>
                    </a:ln>
                  </pic:spPr>
                </pic:pic>
              </a:graphicData>
            </a:graphic>
          </wp:inline>
        </w:drawing>
      </w:r>
      <w:r>
        <w:rPr>
          <w:rFonts w:ascii="Arial" w:cs="Arial" w:eastAsia="Arial" w:hAnsi="Arial"/>
          <w:sz w:val="19"/>
          <w:szCs w:val="19"/>
          <w:b w:val="1"/>
          <w:bCs w:val="1"/>
          <w:color w:val="FFFFFF"/>
        </w:rPr>
        <w:t xml:space="preserve">       bonus multiple</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Further details regarding Lilly’s performance against pre-established targets are detailed under “Compensation Results.”</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b w:val="1"/>
          <w:bCs w:val="1"/>
          <w:color w:val="D52B1E"/>
        </w:rPr>
        <w:t>3. Equity Incentives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The company grants two types of equity incentives to its named executive officers.</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25" w:right="35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00A1DE"/>
        </w:rPr>
        <w:t>Shareholder Value Awards (SVA)</w:t>
      </w:r>
    </w:p>
    <w:p>
      <w:pPr>
        <w:spacing w:after="0" w:line="11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Shareholder value awards are earned based on Lilly’s share price performance and paid out based on how well Lilly’s stock performs relative to its cost of capital. Shareholder value awards have a three-year performance period, and any shares paid are subject to a one-year post-vesting holding requirement. No dividends are accrued during the performance period. Possible share payouts range from 0 to 200 percent of the target.</w:t>
      </w:r>
    </w:p>
    <w:p>
      <w:pPr>
        <w:spacing w:after="0" w:line="12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To establish the stock price target for the shareholder value award, a starting stock price was set at $587.42 per share, which was the average closing stock price for all trading days in November and December 2023. The target share price was determined by growing the starting stock price by Lilly’s compounded cost of capital, calculated with a capital asset pricing model (8.12 percent), less an assumed Lilly dividend yield (0.89 percent). The payout will be based on the ending price, which is the average closing price of Lilly stock for all trading days in November and December 2026. Possible payouts based on final average share price are illustrated in the graphic below.</w:t>
      </w:r>
    </w:p>
    <w:p>
      <w:pPr>
        <w:spacing w:after="0" w:line="129" w:lineRule="exact"/>
        <w:rPr>
          <w:sz w:val="20"/>
          <w:szCs w:val="20"/>
          <w:color w:val="auto"/>
        </w:rPr>
      </w:pPr>
    </w:p>
    <w:p>
      <w:pPr>
        <w:ind w:left="2680"/>
        <w:spacing w:after="0"/>
        <w:rPr>
          <w:sz w:val="20"/>
          <w:szCs w:val="20"/>
          <w:color w:val="auto"/>
        </w:rPr>
      </w:pPr>
      <w:r>
        <w:rPr>
          <w:rFonts w:ascii="Arial" w:cs="Arial" w:eastAsia="Arial" w:hAnsi="Arial"/>
          <w:sz w:val="22"/>
          <w:szCs w:val="22"/>
          <w:b w:val="1"/>
          <w:bCs w:val="1"/>
          <w:color w:val="auto"/>
        </w:rPr>
        <w:t>2024-2026 Shareholder Value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226060</wp:posOffset>
            </wp:positionV>
            <wp:extent cx="5760720" cy="763270"/>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5760720" cy="763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00A1DE"/>
        </w:rPr>
        <w:t>Relative Value Awards (RVA)</w:t>
      </w:r>
    </w:p>
    <w:p>
      <w:pPr>
        <w:spacing w:after="0" w:line="117"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Relative value awards are earned based on Lilly’s three-year TSR performance relative to our industry peer group. The minimum performance to achieve a target payout is the median three-year TSR performance for the peer group. Any shares paid are subject to a one-year post-vesting holding requirement. No dividends are accrued during the performance period. Possible share payouts range from 0 to 200 percent of the target.</w:t>
      </w:r>
    </w:p>
    <w:p>
      <w:pPr>
        <w:spacing w:after="0" w:line="12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To determine payout, the TSR performance is calculated for both Lilly and its peers. The average closing price of each company’s stock for all trading days in November and December 2023 is compared to the average closing price of each company’s stock for all trading days in November and December 2026, assuming reinvestment of dividends. The median TSR for the peer companies is then subtracted from Lilly’s TSR to determine the earned payout. For example, if Lilly’s TSR was 55 percent over the three-year period and the median peer company TSR was 40 percent, Lilly would have outperformed by 15 percentage points (55 percent minus 40 percent). This outperformance would result in a 150 percent payout based on the payout graphic below.</w:t>
      </w:r>
    </w:p>
    <w:p>
      <w:pPr>
        <w:spacing w:after="0" w:line="132" w:lineRule="exact"/>
        <w:rPr>
          <w:sz w:val="20"/>
          <w:szCs w:val="20"/>
          <w:color w:val="auto"/>
        </w:rPr>
      </w:pPr>
    </w:p>
    <w:p>
      <w:pPr>
        <w:ind w:left="2920"/>
        <w:spacing w:after="0"/>
        <w:rPr>
          <w:sz w:val="20"/>
          <w:szCs w:val="20"/>
          <w:color w:val="auto"/>
        </w:rPr>
      </w:pPr>
      <w:r>
        <w:rPr>
          <w:rFonts w:ascii="Arial" w:cs="Arial" w:eastAsia="Arial" w:hAnsi="Arial"/>
          <w:sz w:val="22"/>
          <w:szCs w:val="22"/>
          <w:b w:val="1"/>
          <w:bCs w:val="1"/>
          <w:color w:val="auto"/>
        </w:rPr>
        <w:t>2024-2026 Relative Value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88900</wp:posOffset>
            </wp:positionV>
            <wp:extent cx="5015230" cy="1122680"/>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5015230" cy="1122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140"/>
        <w:spacing w:after="0" w:line="318" w:lineRule="auto"/>
        <w:rPr>
          <w:sz w:val="20"/>
          <w:szCs w:val="20"/>
          <w:color w:val="auto"/>
        </w:rPr>
      </w:pPr>
      <w:r>
        <w:rPr>
          <w:rFonts w:ascii="Arial" w:cs="Arial" w:eastAsia="Arial" w:hAnsi="Arial"/>
          <w:sz w:val="18"/>
          <w:szCs w:val="18"/>
          <w:color w:val="auto"/>
        </w:rPr>
        <w:t>The Committee grants our equity incentive awards on pre-established dates and we do not take material nonpublic information into account when determining the timing or terms of awards.</w:t>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Pay for Performance</w:t>
      </w:r>
    </w:p>
    <w:p>
      <w:pPr>
        <w:spacing w:after="0" w:line="54"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A substantial portion of executive compensation is performance-based, linking pay with individual and company performance. The chart depicts the annualized mix of target compensation for Lilly’s CEO and the annualized average for Mr. Montarce, Dr. Skovronsky, Ms. Hakim, and Mr. Van Naarden.</w:t>
      </w: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88900</wp:posOffset>
            </wp:positionV>
            <wp:extent cx="7157720" cy="42545"/>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56" w:name="page57"/>
    <w:bookmarkEnd w:id="5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1433830</wp:posOffset>
            </wp:positionH>
            <wp:positionV relativeFrom="page">
              <wp:posOffset>500380</wp:posOffset>
            </wp:positionV>
            <wp:extent cx="4688840" cy="2425700"/>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clrChange>
                        <a:clrFrom>
                          <a:srgbClr val="FFFFFF"/>
                        </a:clrFrom>
                        <a:clrTo>
                          <a:srgbClr val="FFFFFF">
                            <a:alpha val="0"/>
                          </a:srgbClr>
                        </a:clrTo>
                      </a:clrChange>
                      <a:extLst>
                        <a:ext uri="{28A0092B-C50C-407E-A947-70E740481C1C}"/>
                      </a:extLst>
                    </a:blip>
                    <a:srcRect/>
                    <a:stretch>
                      <a:fillRect/>
                    </a:stretch>
                  </pic:blipFill>
                  <pic:spPr bwMode="auto">
                    <a:xfrm>
                      <a:off x="0" y="0"/>
                      <a:ext cx="4688840" cy="2425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5"/>
          <w:szCs w:val="25"/>
          <w:b w:val="1"/>
          <w:bCs w:val="1"/>
          <w:color w:val="00A1DE"/>
        </w:rPr>
        <w:t>Target Compensation</w:t>
      </w:r>
    </w:p>
    <w:p>
      <w:pPr>
        <w:spacing w:after="0" w:line="69" w:lineRule="exact"/>
        <w:rPr>
          <w:sz w:val="20"/>
          <w:szCs w:val="20"/>
          <w:color w:val="auto"/>
        </w:rPr>
      </w:pPr>
    </w:p>
    <w:p>
      <w:pPr>
        <w:jc w:val="both"/>
        <w:ind w:right="60"/>
        <w:spacing w:after="0" w:line="268" w:lineRule="auto"/>
        <w:rPr>
          <w:sz w:val="20"/>
          <w:szCs w:val="20"/>
          <w:color w:val="auto"/>
        </w:rPr>
      </w:pPr>
      <w:r>
        <w:rPr>
          <w:rFonts w:ascii="Arial" w:cs="Arial" w:eastAsia="Arial" w:hAnsi="Arial"/>
          <w:sz w:val="18"/>
          <w:szCs w:val="18"/>
          <w:color w:val="auto"/>
        </w:rPr>
        <w:t>The Committee considered individual contributions, company performance, internal relativity, peer group data, and CEO recommendations (for executives other than himself) when setting target compensation. The Committee also considered research and recommendations from its independent compensation consultant for setting target compensation for the CEO.</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D52B1E"/>
        </w:rPr>
        <w:t>Base Salary</w:t>
      </w:r>
    </w:p>
    <w:p>
      <w:pPr>
        <w:spacing w:after="0" w:line="72"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The table below depicts the approved annual salary for each named executive officer. Base pay adjustments were made to align with experience, internal relativity, peer group market data, and individual performance. The base salary shown for Mr. Montarce is the annual amount approved by the Committee when he assumed the role of Chief Financial Officer. Actual base salaries earned in 2024 are shown in the Summary Compensation Table (SCT) in the “Executive Compensation”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3240405" cy="8255"/>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80" w:type="dxa"/>
            <w:vAlign w:val="bottom"/>
          </w:tcPr>
          <w:p>
            <w:pPr>
              <w:spacing w:after="0"/>
              <w:rPr>
                <w:sz w:val="14"/>
                <w:szCs w:val="14"/>
                <w:color w:val="auto"/>
              </w:rPr>
            </w:pPr>
          </w:p>
        </w:tc>
        <w:tc>
          <w:tcPr>
            <w:tcW w:w="2860" w:type="dxa"/>
            <w:vAlign w:val="bottom"/>
            <w:gridSpan w:val="2"/>
          </w:tcPr>
          <w:p>
            <w:pPr>
              <w:jc w:val="right"/>
              <w:ind w:right="68"/>
              <w:spacing w:after="0"/>
              <w:rPr>
                <w:sz w:val="20"/>
                <w:szCs w:val="20"/>
                <w:color w:val="auto"/>
              </w:rPr>
            </w:pPr>
            <w:r>
              <w:rPr>
                <w:rFonts w:ascii="Arial" w:cs="Arial" w:eastAsia="Arial" w:hAnsi="Arial"/>
                <w:sz w:val="14"/>
                <w:szCs w:val="14"/>
                <w:b w:val="1"/>
                <w:bCs w:val="1"/>
                <w:color w:val="auto"/>
              </w:rPr>
              <w:t>2023 Annual Base 2024 Annual Base</w:t>
            </w:r>
          </w:p>
        </w:tc>
        <w:tc>
          <w:tcPr>
            <w:tcW w:w="980" w:type="dxa"/>
            <w:vAlign w:val="bottom"/>
          </w:tcPr>
          <w:p>
            <w:pPr>
              <w:spacing w:after="0"/>
              <w:rPr>
                <w:sz w:val="14"/>
                <w:szCs w:val="14"/>
                <w:color w:val="auto"/>
              </w:rPr>
            </w:pPr>
          </w:p>
        </w:tc>
      </w:tr>
      <w:tr>
        <w:trPr>
          <w:trHeight w:val="219"/>
        </w:trPr>
        <w:tc>
          <w:tcPr>
            <w:tcW w:w="1280" w:type="dxa"/>
            <w:vAlign w:val="bottom"/>
            <w:tcBorders>
              <w:bottom w:val="single" w:sz="8" w:color="6D6D6D"/>
            </w:tcBorders>
          </w:tcPr>
          <w:p>
            <w:pPr>
              <w:ind w:left="20"/>
              <w:spacing w:after="0"/>
              <w:rPr>
                <w:sz w:val="20"/>
                <w:szCs w:val="20"/>
                <w:color w:val="auto"/>
              </w:rPr>
            </w:pPr>
            <w:r>
              <w:rPr>
                <w:rFonts w:ascii="Arial" w:cs="Arial" w:eastAsia="Arial" w:hAnsi="Arial"/>
                <w:sz w:val="14"/>
                <w:szCs w:val="14"/>
                <w:b w:val="1"/>
                <w:bCs w:val="1"/>
                <w:color w:val="auto"/>
              </w:rPr>
              <w:t>Name</w:t>
            </w:r>
          </w:p>
        </w:tc>
        <w:tc>
          <w:tcPr>
            <w:tcW w:w="1500" w:type="dxa"/>
            <w:vAlign w:val="bottom"/>
            <w:tcBorders>
              <w:bottom w:val="single" w:sz="8" w:color="6D6D6D"/>
            </w:tcBorders>
          </w:tcPr>
          <w:p>
            <w:pPr>
              <w:jc w:val="right"/>
              <w:ind w:right="408"/>
              <w:spacing w:after="0"/>
              <w:rPr>
                <w:sz w:val="20"/>
                <w:szCs w:val="20"/>
                <w:color w:val="auto"/>
              </w:rPr>
            </w:pPr>
            <w:r>
              <w:rPr>
                <w:rFonts w:ascii="Arial" w:cs="Arial" w:eastAsia="Arial" w:hAnsi="Arial"/>
                <w:sz w:val="14"/>
                <w:szCs w:val="14"/>
                <w:b w:val="1"/>
                <w:bCs w:val="1"/>
                <w:color w:val="auto"/>
              </w:rPr>
              <w:t>Salary</w:t>
            </w:r>
          </w:p>
        </w:tc>
        <w:tc>
          <w:tcPr>
            <w:tcW w:w="1360" w:type="dxa"/>
            <w:vAlign w:val="bottom"/>
            <w:tcBorders>
              <w:bottom w:val="single" w:sz="8" w:color="6D6D6D"/>
            </w:tcBorders>
          </w:tcPr>
          <w:p>
            <w:pPr>
              <w:jc w:val="right"/>
              <w:ind w:right="468"/>
              <w:spacing w:after="0"/>
              <w:rPr>
                <w:sz w:val="20"/>
                <w:szCs w:val="20"/>
                <w:color w:val="auto"/>
              </w:rPr>
            </w:pPr>
            <w:r>
              <w:rPr>
                <w:rFonts w:ascii="Arial" w:cs="Arial" w:eastAsia="Arial" w:hAnsi="Arial"/>
                <w:sz w:val="14"/>
                <w:szCs w:val="14"/>
                <w:b w:val="1"/>
                <w:bCs w:val="1"/>
                <w:color w:val="auto"/>
              </w:rPr>
              <w:t>Salary</w:t>
            </w:r>
          </w:p>
        </w:tc>
        <w:tc>
          <w:tcPr>
            <w:tcW w:w="980" w:type="dxa"/>
            <w:vAlign w:val="bottom"/>
            <w:tcBorders>
              <w:bottom w:val="single" w:sz="8" w:color="6D6D6D"/>
            </w:tcBorders>
          </w:tcPr>
          <w:p>
            <w:pPr>
              <w:jc w:val="right"/>
              <w:ind w:right="168"/>
              <w:spacing w:after="0"/>
              <w:rPr>
                <w:sz w:val="20"/>
                <w:szCs w:val="20"/>
                <w:color w:val="auto"/>
              </w:rPr>
            </w:pPr>
            <w:r>
              <w:rPr>
                <w:rFonts w:ascii="Arial" w:cs="Arial" w:eastAsia="Arial" w:hAnsi="Arial"/>
                <w:sz w:val="14"/>
                <w:szCs w:val="14"/>
                <w:b w:val="1"/>
                <w:bCs w:val="1"/>
                <w:color w:val="auto"/>
              </w:rPr>
              <w:t>Increase</w:t>
            </w:r>
          </w:p>
        </w:tc>
      </w:tr>
      <w:tr>
        <w:trPr>
          <w:trHeight w:val="210"/>
        </w:trPr>
        <w:tc>
          <w:tcPr>
            <w:tcW w:w="128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4"/>
                <w:szCs w:val="14"/>
                <w:color w:val="auto"/>
              </w:rPr>
              <w:t>Mr. Ricks</w:t>
            </w:r>
          </w:p>
        </w:tc>
        <w:tc>
          <w:tcPr>
            <w:tcW w:w="1500" w:type="dxa"/>
            <w:vAlign w:val="bottom"/>
            <w:tcBorders>
              <w:bottom w:val="single" w:sz="8" w:color="F2F2F2"/>
            </w:tcBorders>
            <w:shd w:val="clear" w:color="auto" w:fill="F2F2F2"/>
          </w:tcPr>
          <w:p>
            <w:pPr>
              <w:jc w:val="right"/>
              <w:ind w:right="248"/>
              <w:spacing w:after="0"/>
              <w:rPr>
                <w:sz w:val="20"/>
                <w:szCs w:val="20"/>
                <w:color w:val="auto"/>
              </w:rPr>
            </w:pPr>
            <w:r>
              <w:rPr>
                <w:rFonts w:ascii="Arial" w:cs="Arial" w:eastAsia="Arial" w:hAnsi="Arial"/>
                <w:sz w:val="14"/>
                <w:szCs w:val="14"/>
                <w:color w:val="auto"/>
              </w:rPr>
              <w:t>$1,650,000</w:t>
            </w:r>
          </w:p>
        </w:tc>
        <w:tc>
          <w:tcPr>
            <w:tcW w:w="1360" w:type="dxa"/>
            <w:vAlign w:val="bottom"/>
            <w:tcBorders>
              <w:bottom w:val="single" w:sz="8" w:color="F2F2F2"/>
            </w:tcBorders>
            <w:shd w:val="clear" w:color="auto" w:fill="F2F2F2"/>
          </w:tcPr>
          <w:p>
            <w:pPr>
              <w:jc w:val="right"/>
              <w:ind w:right="248"/>
              <w:spacing w:after="0"/>
              <w:rPr>
                <w:sz w:val="20"/>
                <w:szCs w:val="20"/>
                <w:color w:val="auto"/>
              </w:rPr>
            </w:pPr>
            <w:r>
              <w:rPr>
                <w:rFonts w:ascii="Arial" w:cs="Arial" w:eastAsia="Arial" w:hAnsi="Arial"/>
                <w:sz w:val="14"/>
                <w:szCs w:val="14"/>
                <w:color w:val="auto"/>
              </w:rPr>
              <w:t>$1,700,000</w:t>
            </w:r>
          </w:p>
        </w:tc>
        <w:tc>
          <w:tcPr>
            <w:tcW w:w="980" w:type="dxa"/>
            <w:vAlign w:val="bottom"/>
            <w:tcBorders>
              <w:bottom w:val="single" w:sz="8" w:color="F2F2F2"/>
            </w:tcBorders>
            <w:shd w:val="clear" w:color="auto" w:fill="F2F2F2"/>
          </w:tcPr>
          <w:p>
            <w:pPr>
              <w:jc w:val="right"/>
              <w:ind w:right="328"/>
              <w:spacing w:after="0"/>
              <w:rPr>
                <w:sz w:val="20"/>
                <w:szCs w:val="20"/>
                <w:color w:val="auto"/>
              </w:rPr>
            </w:pPr>
            <w:r>
              <w:rPr>
                <w:rFonts w:ascii="Arial" w:cs="Arial" w:eastAsia="Arial" w:hAnsi="Arial"/>
                <w:sz w:val="14"/>
                <w:szCs w:val="14"/>
                <w:color w:val="auto"/>
              </w:rPr>
              <w:t>3.0%</w:t>
            </w:r>
          </w:p>
        </w:tc>
      </w:tr>
      <w:tr>
        <w:trPr>
          <w:trHeight w:val="229"/>
        </w:trPr>
        <w:tc>
          <w:tcPr>
            <w:tcW w:w="1280" w:type="dxa"/>
            <w:vAlign w:val="bottom"/>
          </w:tcPr>
          <w:p>
            <w:pPr>
              <w:ind w:left="20"/>
              <w:spacing w:after="0"/>
              <w:rPr>
                <w:sz w:val="20"/>
                <w:szCs w:val="20"/>
                <w:color w:val="auto"/>
              </w:rPr>
            </w:pPr>
            <w:r>
              <w:rPr>
                <w:rFonts w:ascii="Arial" w:cs="Arial" w:eastAsia="Arial" w:hAnsi="Arial"/>
                <w:sz w:val="14"/>
                <w:szCs w:val="14"/>
                <w:color w:val="auto"/>
              </w:rPr>
              <w:t>Mr. Montarce</w:t>
            </w:r>
            <w:r>
              <w:rPr>
                <w:rFonts w:ascii="Arial" w:cs="Arial" w:eastAsia="Arial" w:hAnsi="Arial"/>
                <w:sz w:val="18"/>
                <w:szCs w:val="18"/>
                <w:color w:val="auto"/>
                <w:vertAlign w:val="superscript"/>
              </w:rPr>
              <w:t>1</w:t>
            </w:r>
          </w:p>
        </w:tc>
        <w:tc>
          <w:tcPr>
            <w:tcW w:w="1500" w:type="dxa"/>
            <w:vAlign w:val="bottom"/>
          </w:tcPr>
          <w:p>
            <w:pPr>
              <w:jc w:val="right"/>
              <w:ind w:right="248"/>
              <w:spacing w:after="0"/>
              <w:rPr>
                <w:sz w:val="20"/>
                <w:szCs w:val="20"/>
                <w:color w:val="auto"/>
              </w:rPr>
            </w:pPr>
            <w:r>
              <w:rPr>
                <w:rFonts w:ascii="Arial" w:cs="Arial" w:eastAsia="Arial" w:hAnsi="Arial"/>
                <w:sz w:val="14"/>
                <w:szCs w:val="14"/>
                <w:color w:val="auto"/>
              </w:rPr>
              <w:t>N/A</w:t>
            </w:r>
          </w:p>
        </w:tc>
        <w:tc>
          <w:tcPr>
            <w:tcW w:w="1360" w:type="dxa"/>
            <w:vAlign w:val="bottom"/>
          </w:tcPr>
          <w:p>
            <w:pPr>
              <w:jc w:val="right"/>
              <w:ind w:right="248"/>
              <w:spacing w:after="0"/>
              <w:rPr>
                <w:sz w:val="20"/>
                <w:szCs w:val="20"/>
                <w:color w:val="auto"/>
              </w:rPr>
            </w:pPr>
            <w:r>
              <w:rPr>
                <w:rFonts w:ascii="Arial" w:cs="Arial" w:eastAsia="Arial" w:hAnsi="Arial"/>
                <w:sz w:val="14"/>
                <w:szCs w:val="14"/>
                <w:color w:val="auto"/>
              </w:rPr>
              <w:t>$1,000,000</w:t>
            </w:r>
          </w:p>
        </w:tc>
        <w:tc>
          <w:tcPr>
            <w:tcW w:w="980" w:type="dxa"/>
            <w:vAlign w:val="bottom"/>
          </w:tcPr>
          <w:p>
            <w:pPr>
              <w:jc w:val="right"/>
              <w:ind w:right="328"/>
              <w:spacing w:after="0"/>
              <w:rPr>
                <w:sz w:val="20"/>
                <w:szCs w:val="20"/>
                <w:color w:val="auto"/>
              </w:rPr>
            </w:pPr>
            <w:r>
              <w:rPr>
                <w:rFonts w:ascii="Arial" w:cs="Arial" w:eastAsia="Arial" w:hAnsi="Arial"/>
                <w:sz w:val="14"/>
                <w:szCs w:val="14"/>
                <w:color w:val="auto"/>
              </w:rPr>
              <w:t>N/A</w:t>
            </w:r>
          </w:p>
        </w:tc>
      </w:tr>
      <w:tr>
        <w:trPr>
          <w:trHeight w:val="210"/>
        </w:trPr>
        <w:tc>
          <w:tcPr>
            <w:tcW w:w="128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4"/>
                <w:szCs w:val="14"/>
                <w:color w:val="auto"/>
              </w:rPr>
              <w:t>Dr. Skovronsky</w:t>
            </w:r>
          </w:p>
        </w:tc>
        <w:tc>
          <w:tcPr>
            <w:tcW w:w="1500" w:type="dxa"/>
            <w:vAlign w:val="bottom"/>
            <w:tcBorders>
              <w:bottom w:val="single" w:sz="8" w:color="F2F2F2"/>
            </w:tcBorders>
            <w:shd w:val="clear" w:color="auto" w:fill="F2F2F2"/>
          </w:tcPr>
          <w:p>
            <w:pPr>
              <w:jc w:val="right"/>
              <w:ind w:right="248"/>
              <w:spacing w:after="0"/>
              <w:rPr>
                <w:sz w:val="20"/>
                <w:szCs w:val="20"/>
                <w:color w:val="auto"/>
              </w:rPr>
            </w:pPr>
            <w:r>
              <w:rPr>
                <w:rFonts w:ascii="Arial" w:cs="Arial" w:eastAsia="Arial" w:hAnsi="Arial"/>
                <w:sz w:val="14"/>
                <w:szCs w:val="14"/>
                <w:color w:val="auto"/>
              </w:rPr>
              <w:t>$1,350,000</w:t>
            </w:r>
          </w:p>
        </w:tc>
        <w:tc>
          <w:tcPr>
            <w:tcW w:w="1360" w:type="dxa"/>
            <w:vAlign w:val="bottom"/>
            <w:tcBorders>
              <w:bottom w:val="single" w:sz="8" w:color="F2F2F2"/>
            </w:tcBorders>
            <w:shd w:val="clear" w:color="auto" w:fill="F2F2F2"/>
          </w:tcPr>
          <w:p>
            <w:pPr>
              <w:jc w:val="right"/>
              <w:ind w:right="248"/>
              <w:spacing w:after="0"/>
              <w:rPr>
                <w:sz w:val="20"/>
                <w:szCs w:val="20"/>
                <w:color w:val="auto"/>
              </w:rPr>
            </w:pPr>
            <w:r>
              <w:rPr>
                <w:rFonts w:ascii="Arial" w:cs="Arial" w:eastAsia="Arial" w:hAnsi="Arial"/>
                <w:sz w:val="14"/>
                <w:szCs w:val="14"/>
                <w:color w:val="auto"/>
              </w:rPr>
              <w:t>$1,450,000</w:t>
            </w:r>
          </w:p>
        </w:tc>
        <w:tc>
          <w:tcPr>
            <w:tcW w:w="980" w:type="dxa"/>
            <w:vAlign w:val="bottom"/>
            <w:tcBorders>
              <w:bottom w:val="single" w:sz="8" w:color="F2F2F2"/>
            </w:tcBorders>
            <w:shd w:val="clear" w:color="auto" w:fill="F2F2F2"/>
          </w:tcPr>
          <w:p>
            <w:pPr>
              <w:jc w:val="right"/>
              <w:ind w:right="328"/>
              <w:spacing w:after="0"/>
              <w:rPr>
                <w:sz w:val="20"/>
                <w:szCs w:val="20"/>
                <w:color w:val="auto"/>
              </w:rPr>
            </w:pPr>
            <w:r>
              <w:rPr>
                <w:rFonts w:ascii="Arial" w:cs="Arial" w:eastAsia="Arial" w:hAnsi="Arial"/>
                <w:sz w:val="14"/>
                <w:szCs w:val="14"/>
                <w:color w:val="auto"/>
              </w:rPr>
              <w:t>7.4%</w:t>
            </w:r>
          </w:p>
        </w:tc>
      </w:tr>
      <w:tr>
        <w:trPr>
          <w:trHeight w:val="208"/>
        </w:trPr>
        <w:tc>
          <w:tcPr>
            <w:tcW w:w="1280" w:type="dxa"/>
            <w:vAlign w:val="bottom"/>
          </w:tcPr>
          <w:p>
            <w:pPr>
              <w:ind w:left="20"/>
              <w:spacing w:after="0"/>
              <w:rPr>
                <w:sz w:val="20"/>
                <w:szCs w:val="20"/>
                <w:color w:val="auto"/>
              </w:rPr>
            </w:pPr>
            <w:r>
              <w:rPr>
                <w:rFonts w:ascii="Arial" w:cs="Arial" w:eastAsia="Arial" w:hAnsi="Arial"/>
                <w:sz w:val="14"/>
                <w:szCs w:val="14"/>
                <w:color w:val="auto"/>
              </w:rPr>
              <w:t>Ms. Hakim</w:t>
            </w:r>
          </w:p>
        </w:tc>
        <w:tc>
          <w:tcPr>
            <w:tcW w:w="1500" w:type="dxa"/>
            <w:vAlign w:val="bottom"/>
          </w:tcPr>
          <w:p>
            <w:pPr>
              <w:jc w:val="right"/>
              <w:ind w:right="248"/>
              <w:spacing w:after="0"/>
              <w:rPr>
                <w:sz w:val="20"/>
                <w:szCs w:val="20"/>
                <w:color w:val="auto"/>
              </w:rPr>
            </w:pPr>
            <w:r>
              <w:rPr>
                <w:rFonts w:ascii="Arial" w:cs="Arial" w:eastAsia="Arial" w:hAnsi="Arial"/>
                <w:sz w:val="14"/>
                <w:szCs w:val="14"/>
                <w:color w:val="auto"/>
              </w:rPr>
              <w:t>$1,000,000</w:t>
            </w:r>
          </w:p>
        </w:tc>
        <w:tc>
          <w:tcPr>
            <w:tcW w:w="1360" w:type="dxa"/>
            <w:vAlign w:val="bottom"/>
          </w:tcPr>
          <w:p>
            <w:pPr>
              <w:jc w:val="right"/>
              <w:ind w:right="248"/>
              <w:spacing w:after="0"/>
              <w:rPr>
                <w:sz w:val="20"/>
                <w:szCs w:val="20"/>
                <w:color w:val="auto"/>
              </w:rPr>
            </w:pPr>
            <w:r>
              <w:rPr>
                <w:rFonts w:ascii="Arial" w:cs="Arial" w:eastAsia="Arial" w:hAnsi="Arial"/>
                <w:sz w:val="14"/>
                <w:szCs w:val="14"/>
                <w:color w:val="auto"/>
              </w:rPr>
              <w:t>$1,000,000</w:t>
            </w:r>
          </w:p>
        </w:tc>
        <w:tc>
          <w:tcPr>
            <w:tcW w:w="980" w:type="dxa"/>
            <w:vAlign w:val="bottom"/>
          </w:tcPr>
          <w:p>
            <w:pPr>
              <w:jc w:val="right"/>
              <w:ind w:right="328"/>
              <w:spacing w:after="0"/>
              <w:rPr>
                <w:sz w:val="20"/>
                <w:szCs w:val="20"/>
                <w:color w:val="auto"/>
              </w:rPr>
            </w:pPr>
            <w:r>
              <w:rPr>
                <w:rFonts w:ascii="Arial" w:cs="Arial" w:eastAsia="Arial" w:hAnsi="Arial"/>
                <w:sz w:val="14"/>
                <w:szCs w:val="14"/>
                <w:color w:val="auto"/>
              </w:rPr>
              <w:t>0.0%</w:t>
            </w:r>
          </w:p>
        </w:tc>
      </w:tr>
      <w:tr>
        <w:trPr>
          <w:trHeight w:val="22"/>
        </w:trPr>
        <w:tc>
          <w:tcPr>
            <w:tcW w:w="12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36"/>
        </w:trPr>
        <w:tc>
          <w:tcPr>
            <w:tcW w:w="128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4"/>
                <w:szCs w:val="14"/>
                <w:color w:val="auto"/>
              </w:rPr>
              <w:t>Mr. Van Naarden</w:t>
            </w:r>
          </w:p>
        </w:tc>
        <w:tc>
          <w:tcPr>
            <w:tcW w:w="1500" w:type="dxa"/>
            <w:vAlign w:val="bottom"/>
            <w:tcBorders>
              <w:bottom w:val="single" w:sz="8" w:color="F2F2F2"/>
            </w:tcBorders>
            <w:shd w:val="clear" w:color="auto" w:fill="F2F2F2"/>
          </w:tcPr>
          <w:p>
            <w:pPr>
              <w:jc w:val="right"/>
              <w:ind w:right="248"/>
              <w:spacing w:after="0"/>
              <w:rPr>
                <w:sz w:val="20"/>
                <w:szCs w:val="20"/>
                <w:color w:val="auto"/>
              </w:rPr>
            </w:pPr>
            <w:r>
              <w:rPr>
                <w:rFonts w:ascii="Arial" w:cs="Arial" w:eastAsia="Arial" w:hAnsi="Arial"/>
                <w:sz w:val="14"/>
                <w:szCs w:val="14"/>
                <w:color w:val="auto"/>
              </w:rPr>
              <w:t>$850,000</w:t>
            </w:r>
          </w:p>
        </w:tc>
        <w:tc>
          <w:tcPr>
            <w:tcW w:w="1360" w:type="dxa"/>
            <w:vAlign w:val="bottom"/>
            <w:tcBorders>
              <w:bottom w:val="single" w:sz="8" w:color="F2F2F2"/>
            </w:tcBorders>
            <w:shd w:val="clear" w:color="auto" w:fill="F2F2F2"/>
          </w:tcPr>
          <w:p>
            <w:pPr>
              <w:jc w:val="right"/>
              <w:ind w:right="248"/>
              <w:spacing w:after="0"/>
              <w:rPr>
                <w:sz w:val="20"/>
                <w:szCs w:val="20"/>
                <w:color w:val="auto"/>
              </w:rPr>
            </w:pPr>
            <w:r>
              <w:rPr>
                <w:rFonts w:ascii="Arial" w:cs="Arial" w:eastAsia="Arial" w:hAnsi="Arial"/>
                <w:sz w:val="14"/>
                <w:szCs w:val="14"/>
                <w:color w:val="auto"/>
              </w:rPr>
              <w:t>$900,000</w:t>
            </w:r>
          </w:p>
        </w:tc>
        <w:tc>
          <w:tcPr>
            <w:tcW w:w="980" w:type="dxa"/>
            <w:vAlign w:val="bottom"/>
            <w:tcBorders>
              <w:bottom w:val="single" w:sz="8" w:color="F2F2F2"/>
            </w:tcBorders>
            <w:shd w:val="clear" w:color="auto" w:fill="F2F2F2"/>
          </w:tcPr>
          <w:p>
            <w:pPr>
              <w:jc w:val="right"/>
              <w:ind w:right="328"/>
              <w:spacing w:after="0"/>
              <w:rPr>
                <w:sz w:val="20"/>
                <w:szCs w:val="20"/>
                <w:color w:val="auto"/>
              </w:rPr>
            </w:pPr>
            <w:r>
              <w:rPr>
                <w:rFonts w:ascii="Arial" w:cs="Arial" w:eastAsia="Arial" w:hAnsi="Arial"/>
                <w:sz w:val="14"/>
                <w:szCs w:val="14"/>
                <w:color w:val="auto"/>
              </w:rPr>
              <w:t>5.9%</w:t>
            </w:r>
          </w:p>
        </w:tc>
      </w:tr>
      <w:tr>
        <w:trPr>
          <w:trHeight w:val="257"/>
        </w:trPr>
        <w:tc>
          <w:tcPr>
            <w:tcW w:w="1280" w:type="dxa"/>
            <w:vAlign w:val="bottom"/>
          </w:tcPr>
          <w:p>
            <w:pPr>
              <w:ind w:left="20"/>
              <w:spacing w:after="0"/>
              <w:rPr>
                <w:sz w:val="20"/>
                <w:szCs w:val="20"/>
                <w:color w:val="auto"/>
              </w:rPr>
            </w:pPr>
            <w:r>
              <w:rPr>
                <w:rFonts w:ascii="Arial" w:cs="Arial" w:eastAsia="Arial" w:hAnsi="Arial"/>
                <w:sz w:val="14"/>
                <w:szCs w:val="14"/>
                <w:color w:val="auto"/>
              </w:rPr>
              <w:t>Mr. Brooks</w:t>
            </w:r>
            <w:r>
              <w:rPr>
                <w:rFonts w:ascii="Arial" w:cs="Arial" w:eastAsia="Arial" w:hAnsi="Arial"/>
                <w:sz w:val="18"/>
                <w:szCs w:val="18"/>
                <w:color w:val="auto"/>
                <w:vertAlign w:val="superscript"/>
              </w:rPr>
              <w:t>2</w:t>
            </w:r>
          </w:p>
        </w:tc>
        <w:tc>
          <w:tcPr>
            <w:tcW w:w="1500" w:type="dxa"/>
            <w:vAlign w:val="bottom"/>
          </w:tcPr>
          <w:p>
            <w:pPr>
              <w:jc w:val="right"/>
              <w:ind w:right="248"/>
              <w:spacing w:after="0"/>
              <w:rPr>
                <w:sz w:val="20"/>
                <w:szCs w:val="20"/>
                <w:color w:val="auto"/>
              </w:rPr>
            </w:pPr>
            <w:r>
              <w:rPr>
                <w:rFonts w:ascii="Arial" w:cs="Arial" w:eastAsia="Arial" w:hAnsi="Arial"/>
                <w:sz w:val="14"/>
                <w:szCs w:val="14"/>
                <w:color w:val="auto"/>
              </w:rPr>
              <w:t>N/A</w:t>
            </w:r>
          </w:p>
        </w:tc>
        <w:tc>
          <w:tcPr>
            <w:tcW w:w="1360" w:type="dxa"/>
            <w:vAlign w:val="bottom"/>
          </w:tcPr>
          <w:p>
            <w:pPr>
              <w:jc w:val="right"/>
              <w:ind w:right="248"/>
              <w:spacing w:after="0"/>
              <w:rPr>
                <w:sz w:val="20"/>
                <w:szCs w:val="20"/>
                <w:color w:val="auto"/>
              </w:rPr>
            </w:pPr>
            <w:r>
              <w:rPr>
                <w:rFonts w:ascii="Arial" w:cs="Arial" w:eastAsia="Arial" w:hAnsi="Arial"/>
                <w:sz w:val="14"/>
                <w:szCs w:val="14"/>
                <w:color w:val="auto"/>
              </w:rPr>
              <w:t>$563,419</w:t>
            </w:r>
          </w:p>
        </w:tc>
        <w:tc>
          <w:tcPr>
            <w:tcW w:w="980" w:type="dxa"/>
            <w:vAlign w:val="bottom"/>
          </w:tcPr>
          <w:p>
            <w:pPr>
              <w:jc w:val="right"/>
              <w:ind w:right="328"/>
              <w:spacing w:after="0"/>
              <w:rPr>
                <w:sz w:val="20"/>
                <w:szCs w:val="20"/>
                <w:color w:val="auto"/>
              </w:rPr>
            </w:pPr>
            <w:r>
              <w:rPr>
                <w:rFonts w:ascii="Arial" w:cs="Arial" w:eastAsia="Arial" w:hAnsi="Arial"/>
                <w:sz w:val="14"/>
                <w:szCs w:val="14"/>
                <w:color w:val="auto"/>
              </w:rPr>
              <w:t>N/A</w:t>
            </w:r>
          </w:p>
        </w:tc>
      </w:tr>
      <w:tr>
        <w:trPr>
          <w:trHeight w:val="277"/>
        </w:trPr>
        <w:tc>
          <w:tcPr>
            <w:tcW w:w="1280" w:type="dxa"/>
            <w:vAlign w:val="bottom"/>
            <w:tcBorders>
              <w:bottom w:val="single" w:sz="8" w:color="6D6D6D"/>
            </w:tcBorders>
            <w:shd w:val="clear" w:color="auto" w:fill="F2F2F2"/>
          </w:tcPr>
          <w:p>
            <w:pPr>
              <w:ind w:left="20"/>
              <w:spacing w:after="0"/>
              <w:rPr>
                <w:sz w:val="20"/>
                <w:szCs w:val="20"/>
                <w:color w:val="auto"/>
              </w:rPr>
            </w:pPr>
            <w:r>
              <w:rPr>
                <w:rFonts w:ascii="Arial" w:cs="Arial" w:eastAsia="Arial" w:hAnsi="Arial"/>
                <w:sz w:val="14"/>
                <w:szCs w:val="14"/>
                <w:color w:val="auto"/>
              </w:rPr>
              <w:t>Ms. Ashkenazi</w:t>
            </w:r>
            <w:r>
              <w:rPr>
                <w:rFonts w:ascii="Arial" w:cs="Arial" w:eastAsia="Arial" w:hAnsi="Arial"/>
                <w:sz w:val="18"/>
                <w:szCs w:val="18"/>
                <w:color w:val="auto"/>
                <w:vertAlign w:val="superscript"/>
              </w:rPr>
              <w:t>3</w:t>
            </w:r>
          </w:p>
        </w:tc>
        <w:tc>
          <w:tcPr>
            <w:tcW w:w="1500" w:type="dxa"/>
            <w:vAlign w:val="bottom"/>
            <w:tcBorders>
              <w:bottom w:val="single" w:sz="8" w:color="6D6D6D"/>
            </w:tcBorders>
            <w:shd w:val="clear" w:color="auto" w:fill="F2F2F2"/>
          </w:tcPr>
          <w:p>
            <w:pPr>
              <w:jc w:val="right"/>
              <w:ind w:right="248"/>
              <w:spacing w:after="0"/>
              <w:rPr>
                <w:sz w:val="20"/>
                <w:szCs w:val="20"/>
                <w:color w:val="auto"/>
              </w:rPr>
            </w:pPr>
            <w:r>
              <w:rPr>
                <w:rFonts w:ascii="Arial" w:cs="Arial" w:eastAsia="Arial" w:hAnsi="Arial"/>
                <w:sz w:val="14"/>
                <w:szCs w:val="14"/>
                <w:color w:val="auto"/>
              </w:rPr>
              <w:t>$1,050,000</w:t>
            </w:r>
          </w:p>
        </w:tc>
        <w:tc>
          <w:tcPr>
            <w:tcW w:w="1360" w:type="dxa"/>
            <w:vAlign w:val="bottom"/>
            <w:tcBorders>
              <w:bottom w:val="single" w:sz="8" w:color="6D6D6D"/>
            </w:tcBorders>
            <w:shd w:val="clear" w:color="auto" w:fill="F2F2F2"/>
          </w:tcPr>
          <w:p>
            <w:pPr>
              <w:jc w:val="right"/>
              <w:ind w:right="248"/>
              <w:spacing w:after="0"/>
              <w:rPr>
                <w:sz w:val="20"/>
                <w:szCs w:val="20"/>
                <w:color w:val="auto"/>
              </w:rPr>
            </w:pPr>
            <w:r>
              <w:rPr>
                <w:rFonts w:ascii="Arial" w:cs="Arial" w:eastAsia="Arial" w:hAnsi="Arial"/>
                <w:sz w:val="14"/>
                <w:szCs w:val="14"/>
                <w:color w:val="auto"/>
              </w:rPr>
              <w:t>$1,050,000</w:t>
            </w:r>
          </w:p>
        </w:tc>
        <w:tc>
          <w:tcPr>
            <w:tcW w:w="980" w:type="dxa"/>
            <w:vAlign w:val="bottom"/>
            <w:tcBorders>
              <w:bottom w:val="single" w:sz="8" w:color="6D6D6D"/>
            </w:tcBorders>
            <w:shd w:val="clear" w:color="auto" w:fill="F2F2F2"/>
          </w:tcPr>
          <w:p>
            <w:pPr>
              <w:jc w:val="right"/>
              <w:ind w:right="328"/>
              <w:spacing w:after="0"/>
              <w:rPr>
                <w:sz w:val="20"/>
                <w:szCs w:val="20"/>
                <w:color w:val="auto"/>
              </w:rPr>
            </w:pPr>
            <w:r>
              <w:rPr>
                <w:rFonts w:ascii="Arial" w:cs="Arial" w:eastAsia="Arial" w:hAnsi="Arial"/>
                <w:sz w:val="14"/>
                <w:szCs w:val="14"/>
                <w:color w:val="auto"/>
              </w:rPr>
              <w:t>0.0%</w:t>
            </w:r>
          </w:p>
        </w:tc>
      </w:tr>
    </w:tbl>
    <w:p>
      <w:pPr>
        <w:spacing w:after="0" w:line="126" w:lineRule="exact"/>
        <w:rPr>
          <w:sz w:val="20"/>
          <w:szCs w:val="20"/>
          <w:color w:val="auto"/>
        </w:rPr>
      </w:pPr>
    </w:p>
    <w:p>
      <w:pPr>
        <w:ind w:left="160" w:hanging="152"/>
        <w:spacing w:after="0"/>
        <w:tabs>
          <w:tab w:leader="none" w:pos="160" w:val="left"/>
        </w:tabs>
        <w:numPr>
          <w:ilvl w:val="0"/>
          <w:numId w:val="122"/>
        </w:numPr>
        <w:rPr>
          <w:rFonts w:ascii="Arial" w:cs="Arial" w:eastAsia="Arial" w:hAnsi="Arial"/>
          <w:sz w:val="9"/>
          <w:szCs w:val="9"/>
          <w:color w:val="auto"/>
        </w:rPr>
      </w:pPr>
      <w:r>
        <w:rPr>
          <w:rFonts w:ascii="Arial" w:cs="Arial" w:eastAsia="Arial" w:hAnsi="Arial"/>
          <w:sz w:val="14"/>
          <w:szCs w:val="14"/>
          <w:color w:val="auto"/>
        </w:rPr>
        <w:t>Mr. Montarce was not an executive officer in 2023.</w:t>
      </w:r>
    </w:p>
    <w:p>
      <w:pPr>
        <w:spacing w:after="0" w:line="40" w:lineRule="exact"/>
        <w:rPr>
          <w:sz w:val="20"/>
          <w:szCs w:val="20"/>
          <w:color w:val="auto"/>
        </w:rPr>
      </w:pPr>
    </w:p>
    <w:p>
      <w:pPr>
        <w:ind w:left="160" w:hanging="152"/>
        <w:spacing w:after="0"/>
        <w:tabs>
          <w:tab w:leader="none" w:pos="160" w:val="left"/>
        </w:tabs>
        <w:numPr>
          <w:ilvl w:val="0"/>
          <w:numId w:val="123"/>
        </w:numPr>
        <w:rPr>
          <w:rFonts w:ascii="Arial" w:cs="Arial" w:eastAsia="Arial" w:hAnsi="Arial"/>
          <w:sz w:val="19"/>
          <w:szCs w:val="19"/>
          <w:color w:val="auto"/>
          <w:vertAlign w:val="superscript"/>
        </w:rPr>
      </w:pPr>
      <w:r>
        <w:rPr>
          <w:rFonts w:ascii="Arial" w:cs="Arial" w:eastAsia="Arial" w:hAnsi="Arial"/>
          <w:sz w:val="14"/>
          <w:szCs w:val="14"/>
          <w:color w:val="auto"/>
        </w:rPr>
        <w:t>Mr. Brooks’ base salary was not adjusted during the time he was serving as interim Chief Financial Officer.</w:t>
      </w:r>
    </w:p>
    <w:p>
      <w:pPr>
        <w:spacing w:after="0" w:line="53" w:lineRule="exact"/>
        <w:rPr>
          <w:rFonts w:ascii="Arial" w:cs="Arial" w:eastAsia="Arial" w:hAnsi="Arial"/>
          <w:sz w:val="19"/>
          <w:szCs w:val="19"/>
          <w:color w:val="auto"/>
          <w:vertAlign w:val="superscript"/>
        </w:rPr>
      </w:pPr>
    </w:p>
    <w:p>
      <w:pPr>
        <w:spacing w:after="0"/>
        <w:rPr>
          <w:rFonts w:ascii="Arial" w:cs="Arial" w:eastAsia="Arial" w:hAnsi="Arial"/>
          <w:sz w:val="19"/>
          <w:szCs w:val="19"/>
          <w:color w:val="auto"/>
          <w:vertAlign w:val="superscript"/>
        </w:rPr>
      </w:pPr>
      <w:r>
        <w:rPr>
          <w:rFonts w:ascii="Arial" w:cs="Arial" w:eastAsia="Arial" w:hAnsi="Arial"/>
          <w:sz w:val="18"/>
          <w:szCs w:val="18"/>
          <w:color w:val="auto"/>
          <w:vertAlign w:val="superscript"/>
        </w:rPr>
        <w:t>3</w:t>
      </w:r>
      <w:r>
        <w:rPr>
          <w:rFonts w:ascii="Arial" w:cs="Arial" w:eastAsia="Arial" w:hAnsi="Arial"/>
          <w:sz w:val="14"/>
          <w:szCs w:val="14"/>
          <w:color w:val="auto"/>
        </w:rPr>
        <w:t xml:space="preserve">  Ms. Ashkenazi’s base salary was in effect for service between January 1, 2024 and July 30, 2024.</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color w:val="D52B1E"/>
        </w:rPr>
        <w:t>Annual Cash Bonus Targets</w:t>
      </w:r>
    </w:p>
    <w:p>
      <w:pPr>
        <w:spacing w:after="0" w:line="58"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After reviewing internal relativity, peer group market data, and individual performance, the Committee decided to maintain the same percent-of-salary bonus targets for 2024 as in 2023 for Mr. Ricks, Dr. Skovronsky, Ms. Hakim, and Mr. Van Naarden. Mr. Montarce’s 2024 Bonus Target was approved by the Committee when he assumed the role of Chief Financial Officer. Actual bonuses for 2024 are shown in the Summary Compensation Table (SCT) in the “Executive Compensation” section.</w:t>
      </w:r>
    </w:p>
    <w:p>
      <w:pPr>
        <w:spacing w:after="0" w:line="200" w:lineRule="exact"/>
        <w:rPr>
          <w:sz w:val="20"/>
          <w:szCs w:val="20"/>
          <w:color w:val="auto"/>
        </w:rPr>
      </w:pPr>
    </w:p>
    <w:p>
      <w:pPr>
        <w:spacing w:after="0" w:line="332" w:lineRule="exact"/>
        <w:rPr>
          <w:sz w:val="20"/>
          <w:szCs w:val="20"/>
          <w:color w:val="auto"/>
        </w:rPr>
      </w:pPr>
    </w:p>
    <w:p>
      <w:pPr>
        <w:jc w:val="center"/>
        <w:ind w:right="-99"/>
        <w:spacing w:after="0"/>
        <w:rPr>
          <w:sz w:val="20"/>
          <w:szCs w:val="20"/>
          <w:color w:val="auto"/>
        </w:rPr>
      </w:pPr>
      <w:r>
        <w:rPr>
          <w:rFonts w:ascii="Arial" w:cs="Arial" w:eastAsia="Arial" w:hAnsi="Arial"/>
          <w:sz w:val="19"/>
          <w:szCs w:val="19"/>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05"/>
        </w:trPr>
        <w:tc>
          <w:tcPr>
            <w:tcW w:w="13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1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2023 Bonus Target</w:t>
            </w:r>
          </w:p>
        </w:tc>
        <w:tc>
          <w:tcPr>
            <w:tcW w:w="14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2024 Bonus Target</w:t>
            </w:r>
          </w:p>
        </w:tc>
      </w:tr>
      <w:tr>
        <w:trPr>
          <w:trHeight w:val="210"/>
        </w:trPr>
        <w:tc>
          <w:tcPr>
            <w:tcW w:w="136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4"/>
                <w:szCs w:val="14"/>
                <w:color w:val="auto"/>
              </w:rPr>
              <w:t>Mr. Ricks</w:t>
            </w:r>
          </w:p>
        </w:tc>
        <w:tc>
          <w:tcPr>
            <w:tcW w:w="1660" w:type="dxa"/>
            <w:vAlign w:val="bottom"/>
            <w:tcBorders>
              <w:bottom w:val="single" w:sz="8" w:color="F2F2F2"/>
            </w:tcBorders>
            <w:shd w:val="clear" w:color="auto" w:fill="F2F2F2"/>
          </w:tcPr>
          <w:p>
            <w:pPr>
              <w:jc w:val="right"/>
              <w:ind w:right="348"/>
              <w:spacing w:after="0"/>
              <w:rPr>
                <w:sz w:val="20"/>
                <w:szCs w:val="20"/>
                <w:color w:val="auto"/>
              </w:rPr>
            </w:pPr>
            <w:r>
              <w:rPr>
                <w:rFonts w:ascii="Arial" w:cs="Arial" w:eastAsia="Arial" w:hAnsi="Arial"/>
                <w:sz w:val="14"/>
                <w:szCs w:val="14"/>
                <w:color w:val="auto"/>
              </w:rPr>
              <w:t>150 %</w:t>
            </w:r>
          </w:p>
        </w:tc>
        <w:tc>
          <w:tcPr>
            <w:tcW w:w="1480" w:type="dxa"/>
            <w:vAlign w:val="bottom"/>
            <w:tcBorders>
              <w:bottom w:val="single" w:sz="8" w:color="F2F2F2"/>
            </w:tcBorders>
            <w:shd w:val="clear" w:color="auto" w:fill="F2F2F2"/>
          </w:tcPr>
          <w:p>
            <w:pPr>
              <w:jc w:val="right"/>
              <w:ind w:right="328"/>
              <w:spacing w:after="0"/>
              <w:rPr>
                <w:sz w:val="20"/>
                <w:szCs w:val="20"/>
                <w:color w:val="auto"/>
              </w:rPr>
            </w:pPr>
            <w:r>
              <w:rPr>
                <w:rFonts w:ascii="Arial" w:cs="Arial" w:eastAsia="Arial" w:hAnsi="Arial"/>
                <w:sz w:val="14"/>
                <w:szCs w:val="14"/>
                <w:color w:val="auto"/>
              </w:rPr>
              <w:t>150 %</w:t>
            </w:r>
          </w:p>
        </w:tc>
      </w:tr>
      <w:tr>
        <w:trPr>
          <w:trHeight w:val="229"/>
        </w:trPr>
        <w:tc>
          <w:tcPr>
            <w:tcW w:w="1360" w:type="dxa"/>
            <w:vAlign w:val="bottom"/>
          </w:tcPr>
          <w:p>
            <w:pPr>
              <w:ind w:left="20"/>
              <w:spacing w:after="0"/>
              <w:rPr>
                <w:sz w:val="20"/>
                <w:szCs w:val="20"/>
                <w:color w:val="auto"/>
              </w:rPr>
            </w:pPr>
            <w:r>
              <w:rPr>
                <w:rFonts w:ascii="Arial" w:cs="Arial" w:eastAsia="Arial" w:hAnsi="Arial"/>
                <w:sz w:val="14"/>
                <w:szCs w:val="14"/>
                <w:color w:val="auto"/>
              </w:rPr>
              <w:t>Mr. Montarce</w:t>
            </w:r>
            <w:r>
              <w:rPr>
                <w:rFonts w:ascii="Arial" w:cs="Arial" w:eastAsia="Arial" w:hAnsi="Arial"/>
                <w:sz w:val="18"/>
                <w:szCs w:val="18"/>
                <w:color w:val="auto"/>
                <w:vertAlign w:val="superscript"/>
              </w:rPr>
              <w:t>1</w:t>
            </w:r>
          </w:p>
        </w:tc>
        <w:tc>
          <w:tcPr>
            <w:tcW w:w="1660" w:type="dxa"/>
            <w:vAlign w:val="bottom"/>
          </w:tcPr>
          <w:p>
            <w:pPr>
              <w:jc w:val="right"/>
              <w:ind w:right="348"/>
              <w:spacing w:after="0"/>
              <w:rPr>
                <w:sz w:val="20"/>
                <w:szCs w:val="20"/>
                <w:color w:val="auto"/>
              </w:rPr>
            </w:pPr>
            <w:r>
              <w:rPr>
                <w:rFonts w:ascii="Arial" w:cs="Arial" w:eastAsia="Arial" w:hAnsi="Arial"/>
                <w:sz w:val="14"/>
                <w:szCs w:val="14"/>
                <w:color w:val="auto"/>
              </w:rPr>
              <w:t>N/A</w:t>
            </w:r>
          </w:p>
        </w:tc>
        <w:tc>
          <w:tcPr>
            <w:tcW w:w="1480" w:type="dxa"/>
            <w:vAlign w:val="bottom"/>
          </w:tcPr>
          <w:p>
            <w:pPr>
              <w:jc w:val="right"/>
              <w:ind w:right="328"/>
              <w:spacing w:after="0"/>
              <w:rPr>
                <w:sz w:val="20"/>
                <w:szCs w:val="20"/>
                <w:color w:val="auto"/>
              </w:rPr>
            </w:pPr>
            <w:r>
              <w:rPr>
                <w:rFonts w:ascii="Arial" w:cs="Arial" w:eastAsia="Arial" w:hAnsi="Arial"/>
                <w:sz w:val="14"/>
                <w:szCs w:val="14"/>
                <w:color w:val="auto"/>
              </w:rPr>
              <w:t>100 %</w:t>
            </w:r>
          </w:p>
        </w:tc>
      </w:tr>
      <w:tr>
        <w:trPr>
          <w:trHeight w:val="209"/>
        </w:trPr>
        <w:tc>
          <w:tcPr>
            <w:tcW w:w="136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4"/>
                <w:szCs w:val="14"/>
                <w:color w:val="auto"/>
              </w:rPr>
              <w:t>Dr. Skovronsky</w:t>
            </w:r>
          </w:p>
        </w:tc>
        <w:tc>
          <w:tcPr>
            <w:tcW w:w="1660" w:type="dxa"/>
            <w:vAlign w:val="bottom"/>
            <w:tcBorders>
              <w:bottom w:val="single" w:sz="8" w:color="F2F2F2"/>
            </w:tcBorders>
            <w:shd w:val="clear" w:color="auto" w:fill="F2F2F2"/>
          </w:tcPr>
          <w:p>
            <w:pPr>
              <w:jc w:val="right"/>
              <w:ind w:right="348"/>
              <w:spacing w:after="0"/>
              <w:rPr>
                <w:sz w:val="20"/>
                <w:szCs w:val="20"/>
                <w:color w:val="auto"/>
              </w:rPr>
            </w:pPr>
            <w:r>
              <w:rPr>
                <w:rFonts w:ascii="Arial" w:cs="Arial" w:eastAsia="Arial" w:hAnsi="Arial"/>
                <w:sz w:val="14"/>
                <w:szCs w:val="14"/>
                <w:color w:val="auto"/>
              </w:rPr>
              <w:t>100 %</w:t>
            </w:r>
          </w:p>
        </w:tc>
        <w:tc>
          <w:tcPr>
            <w:tcW w:w="1480" w:type="dxa"/>
            <w:vAlign w:val="bottom"/>
            <w:tcBorders>
              <w:bottom w:val="single" w:sz="8" w:color="F2F2F2"/>
            </w:tcBorders>
            <w:shd w:val="clear" w:color="auto" w:fill="F2F2F2"/>
          </w:tcPr>
          <w:p>
            <w:pPr>
              <w:jc w:val="right"/>
              <w:ind w:right="328"/>
              <w:spacing w:after="0"/>
              <w:rPr>
                <w:sz w:val="20"/>
                <w:szCs w:val="20"/>
                <w:color w:val="auto"/>
              </w:rPr>
            </w:pPr>
            <w:r>
              <w:rPr>
                <w:rFonts w:ascii="Arial" w:cs="Arial" w:eastAsia="Arial" w:hAnsi="Arial"/>
                <w:sz w:val="14"/>
                <w:szCs w:val="14"/>
                <w:color w:val="auto"/>
              </w:rPr>
              <w:t>100 %</w:t>
            </w:r>
          </w:p>
        </w:tc>
      </w:tr>
      <w:tr>
        <w:trPr>
          <w:trHeight w:val="208"/>
        </w:trPr>
        <w:tc>
          <w:tcPr>
            <w:tcW w:w="1360" w:type="dxa"/>
            <w:vAlign w:val="bottom"/>
          </w:tcPr>
          <w:p>
            <w:pPr>
              <w:ind w:left="20"/>
              <w:spacing w:after="0"/>
              <w:rPr>
                <w:sz w:val="20"/>
                <w:szCs w:val="20"/>
                <w:color w:val="auto"/>
              </w:rPr>
            </w:pPr>
            <w:r>
              <w:rPr>
                <w:rFonts w:ascii="Arial" w:cs="Arial" w:eastAsia="Arial" w:hAnsi="Arial"/>
                <w:sz w:val="14"/>
                <w:szCs w:val="14"/>
                <w:color w:val="auto"/>
              </w:rPr>
              <w:t>Ms. Hakim</w:t>
            </w:r>
          </w:p>
        </w:tc>
        <w:tc>
          <w:tcPr>
            <w:tcW w:w="1660" w:type="dxa"/>
            <w:vAlign w:val="bottom"/>
          </w:tcPr>
          <w:p>
            <w:pPr>
              <w:jc w:val="right"/>
              <w:ind w:right="348"/>
              <w:spacing w:after="0"/>
              <w:rPr>
                <w:sz w:val="20"/>
                <w:szCs w:val="20"/>
                <w:color w:val="auto"/>
              </w:rPr>
            </w:pPr>
            <w:r>
              <w:rPr>
                <w:rFonts w:ascii="Arial" w:cs="Arial" w:eastAsia="Arial" w:hAnsi="Arial"/>
                <w:sz w:val="14"/>
                <w:szCs w:val="14"/>
                <w:color w:val="auto"/>
              </w:rPr>
              <w:t>100 %</w:t>
            </w:r>
          </w:p>
        </w:tc>
        <w:tc>
          <w:tcPr>
            <w:tcW w:w="1480" w:type="dxa"/>
            <w:vAlign w:val="bottom"/>
          </w:tcPr>
          <w:p>
            <w:pPr>
              <w:jc w:val="right"/>
              <w:ind w:right="328"/>
              <w:spacing w:after="0"/>
              <w:rPr>
                <w:sz w:val="20"/>
                <w:szCs w:val="20"/>
                <w:color w:val="auto"/>
              </w:rPr>
            </w:pPr>
            <w:r>
              <w:rPr>
                <w:rFonts w:ascii="Arial" w:cs="Arial" w:eastAsia="Arial" w:hAnsi="Arial"/>
                <w:sz w:val="14"/>
                <w:szCs w:val="14"/>
                <w:color w:val="auto"/>
              </w:rPr>
              <w:t>100 %</w:t>
            </w:r>
          </w:p>
        </w:tc>
      </w:tr>
      <w:tr>
        <w:trPr>
          <w:trHeight w:val="22"/>
        </w:trPr>
        <w:tc>
          <w:tcPr>
            <w:tcW w:w="13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09"/>
        </w:trPr>
        <w:tc>
          <w:tcPr>
            <w:tcW w:w="136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4"/>
                <w:szCs w:val="14"/>
                <w:color w:val="auto"/>
              </w:rPr>
              <w:t>Mr. Van Naarden</w:t>
            </w:r>
          </w:p>
        </w:tc>
        <w:tc>
          <w:tcPr>
            <w:tcW w:w="1660" w:type="dxa"/>
            <w:vAlign w:val="bottom"/>
            <w:tcBorders>
              <w:bottom w:val="single" w:sz="8" w:color="F2F2F2"/>
            </w:tcBorders>
            <w:shd w:val="clear" w:color="auto" w:fill="F2F2F2"/>
          </w:tcPr>
          <w:p>
            <w:pPr>
              <w:jc w:val="right"/>
              <w:ind w:right="348"/>
              <w:spacing w:after="0"/>
              <w:rPr>
                <w:sz w:val="20"/>
                <w:szCs w:val="20"/>
                <w:color w:val="auto"/>
              </w:rPr>
            </w:pPr>
            <w:r>
              <w:rPr>
                <w:rFonts w:ascii="Arial" w:cs="Arial" w:eastAsia="Arial" w:hAnsi="Arial"/>
                <w:sz w:val="14"/>
                <w:szCs w:val="14"/>
                <w:color w:val="auto"/>
              </w:rPr>
              <w:t>100 %</w:t>
            </w:r>
          </w:p>
        </w:tc>
        <w:tc>
          <w:tcPr>
            <w:tcW w:w="1480" w:type="dxa"/>
            <w:vAlign w:val="bottom"/>
            <w:tcBorders>
              <w:bottom w:val="single" w:sz="8" w:color="F2F2F2"/>
            </w:tcBorders>
            <w:shd w:val="clear" w:color="auto" w:fill="F2F2F2"/>
          </w:tcPr>
          <w:p>
            <w:pPr>
              <w:jc w:val="right"/>
              <w:ind w:right="328"/>
              <w:spacing w:after="0"/>
              <w:rPr>
                <w:sz w:val="20"/>
                <w:szCs w:val="20"/>
                <w:color w:val="auto"/>
              </w:rPr>
            </w:pPr>
            <w:r>
              <w:rPr>
                <w:rFonts w:ascii="Arial" w:cs="Arial" w:eastAsia="Arial" w:hAnsi="Arial"/>
                <w:sz w:val="14"/>
                <w:szCs w:val="14"/>
                <w:color w:val="auto"/>
              </w:rPr>
              <w:t>100 %</w:t>
            </w:r>
          </w:p>
        </w:tc>
      </w:tr>
      <w:tr>
        <w:trPr>
          <w:trHeight w:val="230"/>
        </w:trPr>
        <w:tc>
          <w:tcPr>
            <w:tcW w:w="1360" w:type="dxa"/>
            <w:vAlign w:val="bottom"/>
          </w:tcPr>
          <w:p>
            <w:pPr>
              <w:ind w:left="20"/>
              <w:spacing w:after="0"/>
              <w:rPr>
                <w:sz w:val="20"/>
                <w:szCs w:val="20"/>
                <w:color w:val="auto"/>
              </w:rPr>
            </w:pPr>
            <w:r>
              <w:rPr>
                <w:rFonts w:ascii="Arial" w:cs="Arial" w:eastAsia="Arial" w:hAnsi="Arial"/>
                <w:sz w:val="14"/>
                <w:szCs w:val="14"/>
                <w:color w:val="auto"/>
              </w:rPr>
              <w:t>Mr. Brooks</w:t>
            </w:r>
            <w:r>
              <w:rPr>
                <w:rFonts w:ascii="Arial" w:cs="Arial" w:eastAsia="Arial" w:hAnsi="Arial"/>
                <w:sz w:val="18"/>
                <w:szCs w:val="18"/>
                <w:color w:val="auto"/>
                <w:vertAlign w:val="superscript"/>
              </w:rPr>
              <w:t>2</w:t>
            </w:r>
          </w:p>
        </w:tc>
        <w:tc>
          <w:tcPr>
            <w:tcW w:w="1660" w:type="dxa"/>
            <w:vAlign w:val="bottom"/>
          </w:tcPr>
          <w:p>
            <w:pPr>
              <w:jc w:val="right"/>
              <w:ind w:right="348"/>
              <w:spacing w:after="0"/>
              <w:rPr>
                <w:sz w:val="20"/>
                <w:szCs w:val="20"/>
                <w:color w:val="auto"/>
              </w:rPr>
            </w:pPr>
            <w:r>
              <w:rPr>
                <w:rFonts w:ascii="Arial" w:cs="Arial" w:eastAsia="Arial" w:hAnsi="Arial"/>
                <w:sz w:val="14"/>
                <w:szCs w:val="14"/>
                <w:color w:val="auto"/>
              </w:rPr>
              <w:t>N/A</w:t>
            </w:r>
          </w:p>
        </w:tc>
        <w:tc>
          <w:tcPr>
            <w:tcW w:w="1480" w:type="dxa"/>
            <w:vAlign w:val="bottom"/>
          </w:tcPr>
          <w:p>
            <w:pPr>
              <w:jc w:val="right"/>
              <w:ind w:right="328"/>
              <w:spacing w:after="0"/>
              <w:rPr>
                <w:sz w:val="20"/>
                <w:szCs w:val="20"/>
                <w:color w:val="auto"/>
              </w:rPr>
            </w:pPr>
            <w:r>
              <w:rPr>
                <w:rFonts w:ascii="Arial" w:cs="Arial" w:eastAsia="Arial" w:hAnsi="Arial"/>
                <w:sz w:val="14"/>
                <w:szCs w:val="14"/>
                <w:color w:val="auto"/>
              </w:rPr>
              <w:t>55 %</w:t>
            </w:r>
          </w:p>
        </w:tc>
      </w:tr>
      <w:tr>
        <w:trPr>
          <w:trHeight w:val="229"/>
        </w:trPr>
        <w:tc>
          <w:tcPr>
            <w:tcW w:w="1360" w:type="dxa"/>
            <w:vAlign w:val="bottom"/>
            <w:tcBorders>
              <w:bottom w:val="single" w:sz="8" w:color="auto"/>
            </w:tcBorders>
            <w:shd w:val="clear" w:color="auto" w:fill="F2F2F2"/>
          </w:tcPr>
          <w:p>
            <w:pPr>
              <w:ind w:left="20"/>
              <w:spacing w:after="0"/>
              <w:rPr>
                <w:sz w:val="20"/>
                <w:szCs w:val="20"/>
                <w:color w:val="auto"/>
              </w:rPr>
            </w:pPr>
            <w:r>
              <w:rPr>
                <w:rFonts w:ascii="Arial" w:cs="Arial" w:eastAsia="Arial" w:hAnsi="Arial"/>
                <w:sz w:val="14"/>
                <w:szCs w:val="14"/>
                <w:color w:val="auto"/>
              </w:rPr>
              <w:t>Ms. Ashkenazi</w:t>
            </w:r>
            <w:r>
              <w:rPr>
                <w:rFonts w:ascii="Arial" w:cs="Arial" w:eastAsia="Arial" w:hAnsi="Arial"/>
                <w:sz w:val="18"/>
                <w:szCs w:val="18"/>
                <w:color w:val="auto"/>
                <w:vertAlign w:val="superscript"/>
              </w:rPr>
              <w:t>3</w:t>
            </w:r>
          </w:p>
        </w:tc>
        <w:tc>
          <w:tcPr>
            <w:tcW w:w="1660" w:type="dxa"/>
            <w:vAlign w:val="bottom"/>
            <w:tcBorders>
              <w:bottom w:val="single" w:sz="8" w:color="auto"/>
            </w:tcBorders>
            <w:shd w:val="clear" w:color="auto" w:fill="F2F2F2"/>
          </w:tcPr>
          <w:p>
            <w:pPr>
              <w:jc w:val="right"/>
              <w:ind w:right="348"/>
              <w:spacing w:after="0"/>
              <w:rPr>
                <w:sz w:val="20"/>
                <w:szCs w:val="20"/>
                <w:color w:val="auto"/>
              </w:rPr>
            </w:pPr>
            <w:r>
              <w:rPr>
                <w:rFonts w:ascii="Arial" w:cs="Arial" w:eastAsia="Arial" w:hAnsi="Arial"/>
                <w:sz w:val="14"/>
                <w:szCs w:val="14"/>
                <w:color w:val="auto"/>
              </w:rPr>
              <w:t>100 %</w:t>
            </w:r>
          </w:p>
        </w:tc>
        <w:tc>
          <w:tcPr>
            <w:tcW w:w="1480" w:type="dxa"/>
            <w:vAlign w:val="bottom"/>
            <w:tcBorders>
              <w:bottom w:val="single" w:sz="8" w:color="auto"/>
            </w:tcBorders>
            <w:shd w:val="clear" w:color="auto" w:fill="F2F2F2"/>
          </w:tcPr>
          <w:p>
            <w:pPr>
              <w:jc w:val="right"/>
              <w:ind w:right="328"/>
              <w:spacing w:after="0"/>
              <w:rPr>
                <w:sz w:val="20"/>
                <w:szCs w:val="20"/>
                <w:color w:val="auto"/>
              </w:rPr>
            </w:pPr>
            <w:r>
              <w:rPr>
                <w:rFonts w:ascii="Arial" w:cs="Arial" w:eastAsia="Arial" w:hAnsi="Arial"/>
                <w:sz w:val="14"/>
                <w:szCs w:val="14"/>
                <w:color w:val="auto"/>
              </w:rPr>
              <w:t>100 %</w:t>
            </w:r>
          </w:p>
        </w:tc>
      </w:tr>
    </w:tbl>
    <w:p>
      <w:pPr>
        <w:spacing w:after="0" w:line="1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2854325" cy="8255"/>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ind w:left="160" w:hanging="152"/>
        <w:spacing w:after="0"/>
        <w:tabs>
          <w:tab w:leader="none" w:pos="160" w:val="left"/>
        </w:tabs>
        <w:numPr>
          <w:ilvl w:val="0"/>
          <w:numId w:val="124"/>
        </w:numPr>
        <w:rPr>
          <w:rFonts w:ascii="Arial" w:cs="Arial" w:eastAsia="Arial" w:hAnsi="Arial"/>
          <w:sz w:val="19"/>
          <w:szCs w:val="19"/>
          <w:color w:val="auto"/>
          <w:vertAlign w:val="superscript"/>
        </w:rPr>
      </w:pPr>
      <w:r>
        <w:rPr>
          <w:rFonts w:ascii="Arial" w:cs="Arial" w:eastAsia="Arial" w:hAnsi="Arial"/>
          <w:sz w:val="14"/>
          <w:szCs w:val="14"/>
          <w:color w:val="auto"/>
        </w:rPr>
        <w:t>Mr. Montarce was not an executive officer in 2023.</w:t>
      </w:r>
    </w:p>
    <w:p>
      <w:pPr>
        <w:spacing w:after="0" w:line="40" w:lineRule="exact"/>
        <w:rPr>
          <w:sz w:val="20"/>
          <w:szCs w:val="20"/>
          <w:color w:val="auto"/>
        </w:rPr>
      </w:pPr>
    </w:p>
    <w:p>
      <w:pPr>
        <w:ind w:left="160" w:hanging="152"/>
        <w:spacing w:after="0"/>
        <w:tabs>
          <w:tab w:leader="none" w:pos="160" w:val="left"/>
        </w:tabs>
        <w:numPr>
          <w:ilvl w:val="0"/>
          <w:numId w:val="125"/>
        </w:numPr>
        <w:rPr>
          <w:rFonts w:ascii="Arial" w:cs="Arial" w:eastAsia="Arial" w:hAnsi="Arial"/>
          <w:sz w:val="9"/>
          <w:szCs w:val="9"/>
          <w:color w:val="auto"/>
        </w:rPr>
      </w:pPr>
      <w:r>
        <w:rPr>
          <w:rFonts w:ascii="Arial" w:cs="Arial" w:eastAsia="Arial" w:hAnsi="Arial"/>
          <w:sz w:val="14"/>
          <w:szCs w:val="14"/>
          <w:color w:val="auto"/>
        </w:rPr>
        <w:t>Mr. Brooks’ bonus target was not adjusted during the time he was serving as interim Chief Financial Officer.</w:t>
      </w:r>
    </w:p>
    <w:p>
      <w:pPr>
        <w:spacing w:after="0" w:line="54" w:lineRule="exact"/>
        <w:rPr>
          <w:rFonts w:ascii="Arial" w:cs="Arial" w:eastAsia="Arial" w:hAnsi="Arial"/>
          <w:sz w:val="9"/>
          <w:szCs w:val="9"/>
          <w:color w:val="auto"/>
        </w:rPr>
      </w:pPr>
    </w:p>
    <w:p>
      <w:pPr>
        <w:spacing w:after="0"/>
        <w:rPr>
          <w:rFonts w:ascii="Arial" w:cs="Arial" w:eastAsia="Arial" w:hAnsi="Arial"/>
          <w:sz w:val="9"/>
          <w:szCs w:val="9"/>
          <w:color w:val="auto"/>
        </w:rPr>
      </w:pPr>
      <w:r>
        <w:rPr>
          <w:rFonts w:ascii="Arial" w:cs="Arial" w:eastAsia="Arial" w:hAnsi="Arial"/>
          <w:sz w:val="9"/>
          <w:szCs w:val="9"/>
          <w:color w:val="auto"/>
        </w:rPr>
        <w:t xml:space="preserve">3  </w:t>
      </w:r>
      <w:r>
        <w:rPr>
          <w:rFonts w:ascii="Arial" w:cs="Arial" w:eastAsia="Arial" w:hAnsi="Arial"/>
          <w:sz w:val="14"/>
          <w:szCs w:val="14"/>
          <w:color w:val="auto"/>
        </w:rPr>
        <w:t>Ms. Ashkenazi forfeited her 2024 bonus upon her exit from the company on July 30, 2024.</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D52B1E"/>
        </w:rPr>
        <w:t>Equity Incentives — Target Grant Values</w:t>
      </w:r>
    </w:p>
    <w:p>
      <w:pPr>
        <w:spacing w:after="0" w:line="72"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For 2024 equity grants, the Committee set the target values for named executive officers based on criteria such as internal relativity, peer group market data, and individual performance. Unless otherwise noted, each named executive officer’s equity target is divided equally, with 50 percent allocated to shareholder value awards and 50 percent allocated to relative value awards. The target values for the 2023 and 2024 equity grants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3265805" cy="8890"/>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3265805" cy="8890"/>
                    </a:xfrm>
                    <a:prstGeom prst="rect">
                      <a:avLst/>
                    </a:prstGeom>
                    <a:noFill/>
                  </pic:spPr>
                </pic:pic>
              </a:graphicData>
            </a:graphic>
          </wp:anchor>
        </w:drawing>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80" w:type="dxa"/>
            <w:vAlign w:val="bottom"/>
          </w:tcPr>
          <w:p>
            <w:pPr>
              <w:spacing w:after="0"/>
              <w:rPr>
                <w:sz w:val="14"/>
                <w:szCs w:val="14"/>
                <w:color w:val="auto"/>
              </w:rPr>
            </w:pPr>
          </w:p>
        </w:tc>
        <w:tc>
          <w:tcPr>
            <w:tcW w:w="1920" w:type="dxa"/>
            <w:vAlign w:val="bottom"/>
          </w:tcPr>
          <w:p>
            <w:pPr>
              <w:jc w:val="right"/>
              <w:ind w:right="148"/>
              <w:spacing w:after="0"/>
              <w:rPr>
                <w:sz w:val="20"/>
                <w:szCs w:val="20"/>
                <w:color w:val="auto"/>
              </w:rPr>
            </w:pPr>
            <w:r>
              <w:rPr>
                <w:rFonts w:ascii="Arial" w:cs="Arial" w:eastAsia="Arial" w:hAnsi="Arial"/>
                <w:sz w:val="14"/>
                <w:szCs w:val="14"/>
                <w:b w:val="1"/>
                <w:bCs w:val="1"/>
                <w:color w:val="auto"/>
              </w:rPr>
              <w:t>2023 Annual Equity</w:t>
            </w:r>
          </w:p>
        </w:tc>
        <w:tc>
          <w:tcPr>
            <w:tcW w:w="1760" w:type="dxa"/>
            <w:vAlign w:val="bottom"/>
          </w:tcPr>
          <w:p>
            <w:pPr>
              <w:jc w:val="right"/>
              <w:ind w:right="148"/>
              <w:spacing w:after="0"/>
              <w:rPr>
                <w:sz w:val="20"/>
                <w:szCs w:val="20"/>
                <w:color w:val="auto"/>
              </w:rPr>
            </w:pPr>
            <w:r>
              <w:rPr>
                <w:rFonts w:ascii="Arial" w:cs="Arial" w:eastAsia="Arial" w:hAnsi="Arial"/>
                <w:sz w:val="14"/>
                <w:szCs w:val="14"/>
                <w:b w:val="1"/>
                <w:bCs w:val="1"/>
                <w:color w:val="auto"/>
              </w:rPr>
              <w:t>2024 Annual Equity</w:t>
            </w:r>
          </w:p>
        </w:tc>
      </w:tr>
      <w:tr>
        <w:trPr>
          <w:trHeight w:val="219"/>
        </w:trPr>
        <w:tc>
          <w:tcPr>
            <w:tcW w:w="14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192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Grant</w:t>
            </w:r>
          </w:p>
        </w:tc>
        <w:tc>
          <w:tcPr>
            <w:tcW w:w="176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Grant</w:t>
            </w:r>
          </w:p>
        </w:tc>
      </w:tr>
      <w:tr>
        <w:trPr>
          <w:trHeight w:val="223"/>
        </w:trPr>
        <w:tc>
          <w:tcPr>
            <w:tcW w:w="148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4"/>
                <w:szCs w:val="14"/>
                <w:color w:val="auto"/>
              </w:rPr>
              <w:t>Mr. Ricks</w:t>
            </w:r>
          </w:p>
        </w:tc>
        <w:tc>
          <w:tcPr>
            <w:tcW w:w="1920" w:type="dxa"/>
            <w:vAlign w:val="bottom"/>
            <w:tcBorders>
              <w:bottom w:val="single" w:sz="8" w:color="F2F2F2"/>
            </w:tcBorders>
            <w:shd w:val="clear" w:color="auto" w:fill="F2F2F2"/>
          </w:tcPr>
          <w:p>
            <w:pPr>
              <w:jc w:val="right"/>
              <w:ind w:right="348"/>
              <w:spacing w:after="0"/>
              <w:rPr>
                <w:sz w:val="20"/>
                <w:szCs w:val="20"/>
                <w:color w:val="auto"/>
              </w:rPr>
            </w:pPr>
            <w:r>
              <w:rPr>
                <w:rFonts w:ascii="Arial" w:cs="Arial" w:eastAsia="Arial" w:hAnsi="Arial"/>
                <w:sz w:val="14"/>
                <w:szCs w:val="14"/>
                <w:color w:val="auto"/>
              </w:rPr>
              <w:t>$17,875,000</w:t>
            </w:r>
          </w:p>
        </w:tc>
        <w:tc>
          <w:tcPr>
            <w:tcW w:w="1760" w:type="dxa"/>
            <w:vAlign w:val="bottom"/>
            <w:tcBorders>
              <w:bottom w:val="single" w:sz="8" w:color="F2F2F2"/>
            </w:tcBorders>
            <w:shd w:val="clear" w:color="auto" w:fill="F2F2F2"/>
          </w:tcPr>
          <w:p>
            <w:pPr>
              <w:jc w:val="right"/>
              <w:ind w:right="368"/>
              <w:spacing w:after="0"/>
              <w:rPr>
                <w:sz w:val="20"/>
                <w:szCs w:val="20"/>
                <w:color w:val="auto"/>
              </w:rPr>
            </w:pPr>
            <w:r>
              <w:rPr>
                <w:rFonts w:ascii="Arial" w:cs="Arial" w:eastAsia="Arial" w:hAnsi="Arial"/>
                <w:sz w:val="14"/>
                <w:szCs w:val="14"/>
                <w:color w:val="auto"/>
              </w:rPr>
              <w:t>$19,750,000</w:t>
            </w:r>
          </w:p>
        </w:tc>
      </w:tr>
      <w:tr>
        <w:trPr>
          <w:trHeight w:val="254"/>
        </w:trPr>
        <w:tc>
          <w:tcPr>
            <w:tcW w:w="1480" w:type="dxa"/>
            <w:vAlign w:val="bottom"/>
          </w:tcPr>
          <w:p>
            <w:pPr>
              <w:ind w:left="20"/>
              <w:spacing w:after="0"/>
              <w:rPr>
                <w:sz w:val="20"/>
                <w:szCs w:val="20"/>
                <w:color w:val="auto"/>
              </w:rPr>
            </w:pPr>
            <w:r>
              <w:rPr>
                <w:rFonts w:ascii="Arial" w:cs="Arial" w:eastAsia="Arial" w:hAnsi="Arial"/>
                <w:sz w:val="14"/>
                <w:szCs w:val="14"/>
                <w:color w:val="auto"/>
              </w:rPr>
              <w:t>Mr. Montarce</w:t>
            </w:r>
            <w:r>
              <w:rPr>
                <w:rFonts w:ascii="Arial" w:cs="Arial" w:eastAsia="Arial" w:hAnsi="Arial"/>
                <w:sz w:val="18"/>
                <w:szCs w:val="18"/>
                <w:color w:val="auto"/>
                <w:vertAlign w:val="superscript"/>
              </w:rPr>
              <w:t>1</w:t>
            </w:r>
          </w:p>
        </w:tc>
        <w:tc>
          <w:tcPr>
            <w:tcW w:w="1920" w:type="dxa"/>
            <w:vAlign w:val="bottom"/>
          </w:tcPr>
          <w:p>
            <w:pPr>
              <w:jc w:val="right"/>
              <w:ind w:right="348"/>
              <w:spacing w:after="0"/>
              <w:rPr>
                <w:sz w:val="20"/>
                <w:szCs w:val="20"/>
                <w:color w:val="auto"/>
              </w:rPr>
            </w:pPr>
            <w:r>
              <w:rPr>
                <w:rFonts w:ascii="Arial" w:cs="Arial" w:eastAsia="Arial" w:hAnsi="Arial"/>
                <w:sz w:val="14"/>
                <w:szCs w:val="14"/>
                <w:color w:val="auto"/>
              </w:rPr>
              <w:t>N/A</w:t>
            </w:r>
          </w:p>
        </w:tc>
        <w:tc>
          <w:tcPr>
            <w:tcW w:w="1760" w:type="dxa"/>
            <w:vAlign w:val="bottom"/>
          </w:tcPr>
          <w:p>
            <w:pPr>
              <w:jc w:val="right"/>
              <w:ind w:right="368"/>
              <w:spacing w:after="0"/>
              <w:rPr>
                <w:sz w:val="20"/>
                <w:szCs w:val="20"/>
                <w:color w:val="auto"/>
              </w:rPr>
            </w:pPr>
            <w:r>
              <w:rPr>
                <w:rFonts w:ascii="Arial" w:cs="Arial" w:eastAsia="Arial" w:hAnsi="Arial"/>
                <w:sz w:val="14"/>
                <w:szCs w:val="14"/>
                <w:color w:val="auto"/>
              </w:rPr>
              <w:t>$800,000</w:t>
            </w:r>
          </w:p>
        </w:tc>
      </w:tr>
      <w:tr>
        <w:trPr>
          <w:trHeight w:val="197"/>
        </w:trPr>
        <w:tc>
          <w:tcPr>
            <w:tcW w:w="1480" w:type="dxa"/>
            <w:vAlign w:val="bottom"/>
            <w:shd w:val="clear" w:color="auto" w:fill="F2F2F2"/>
          </w:tcPr>
          <w:p>
            <w:pPr>
              <w:ind w:left="20"/>
              <w:spacing w:after="0"/>
              <w:rPr>
                <w:sz w:val="20"/>
                <w:szCs w:val="20"/>
                <w:color w:val="auto"/>
              </w:rPr>
            </w:pPr>
            <w:r>
              <w:rPr>
                <w:rFonts w:ascii="Arial" w:cs="Arial" w:eastAsia="Arial" w:hAnsi="Arial"/>
                <w:sz w:val="14"/>
                <w:szCs w:val="14"/>
                <w:color w:val="auto"/>
              </w:rPr>
              <w:t>Dr. Skovronsky</w:t>
            </w:r>
          </w:p>
        </w:tc>
        <w:tc>
          <w:tcPr>
            <w:tcW w:w="1920" w:type="dxa"/>
            <w:vAlign w:val="bottom"/>
            <w:shd w:val="clear" w:color="auto" w:fill="F2F2F2"/>
          </w:tcPr>
          <w:p>
            <w:pPr>
              <w:jc w:val="right"/>
              <w:ind w:right="348"/>
              <w:spacing w:after="0"/>
              <w:rPr>
                <w:sz w:val="20"/>
                <w:szCs w:val="20"/>
                <w:color w:val="auto"/>
              </w:rPr>
            </w:pPr>
            <w:r>
              <w:rPr>
                <w:rFonts w:ascii="Arial" w:cs="Arial" w:eastAsia="Arial" w:hAnsi="Arial"/>
                <w:sz w:val="14"/>
                <w:szCs w:val="14"/>
                <w:color w:val="auto"/>
              </w:rPr>
              <w:t>$7,100,000</w:t>
            </w:r>
          </w:p>
        </w:tc>
        <w:tc>
          <w:tcPr>
            <w:tcW w:w="1760" w:type="dxa"/>
            <w:vAlign w:val="bottom"/>
            <w:shd w:val="clear" w:color="auto" w:fill="F2F2F2"/>
          </w:tcPr>
          <w:p>
            <w:pPr>
              <w:jc w:val="right"/>
              <w:ind w:right="368"/>
              <w:spacing w:after="0"/>
              <w:rPr>
                <w:sz w:val="20"/>
                <w:szCs w:val="20"/>
                <w:color w:val="auto"/>
              </w:rPr>
            </w:pPr>
            <w:r>
              <w:rPr>
                <w:rFonts w:ascii="Arial" w:cs="Arial" w:eastAsia="Arial" w:hAnsi="Arial"/>
                <w:sz w:val="14"/>
                <w:szCs w:val="14"/>
                <w:color w:val="auto"/>
              </w:rPr>
              <w:t>$7,500,000</w:t>
            </w:r>
          </w:p>
        </w:tc>
      </w:tr>
      <w:tr>
        <w:trPr>
          <w:trHeight w:val="62"/>
        </w:trPr>
        <w:tc>
          <w:tcPr>
            <w:tcW w:w="1480" w:type="dxa"/>
            <w:vAlign w:val="bottom"/>
            <w:shd w:val="clear" w:color="auto" w:fill="F2F2F2"/>
          </w:tcPr>
          <w:p>
            <w:pPr>
              <w:spacing w:after="0"/>
              <w:rPr>
                <w:sz w:val="5"/>
                <w:szCs w:val="5"/>
                <w:color w:val="auto"/>
              </w:rPr>
            </w:pPr>
          </w:p>
        </w:tc>
        <w:tc>
          <w:tcPr>
            <w:tcW w:w="1920" w:type="dxa"/>
            <w:vAlign w:val="bottom"/>
            <w:shd w:val="clear" w:color="auto" w:fill="F2F2F2"/>
          </w:tcPr>
          <w:p>
            <w:pPr>
              <w:spacing w:after="0"/>
              <w:rPr>
                <w:sz w:val="5"/>
                <w:szCs w:val="5"/>
                <w:color w:val="auto"/>
              </w:rPr>
            </w:pPr>
          </w:p>
        </w:tc>
        <w:tc>
          <w:tcPr>
            <w:tcW w:w="1760" w:type="dxa"/>
            <w:vAlign w:val="bottom"/>
            <w:shd w:val="clear" w:color="auto" w:fill="F2F2F2"/>
          </w:tcPr>
          <w:p>
            <w:pPr>
              <w:spacing w:after="0"/>
              <w:rPr>
                <w:sz w:val="5"/>
                <w:szCs w:val="5"/>
                <w:color w:val="auto"/>
              </w:rPr>
            </w:pPr>
          </w:p>
        </w:tc>
      </w:tr>
      <w:tr>
        <w:trPr>
          <w:trHeight w:val="194"/>
        </w:trPr>
        <w:tc>
          <w:tcPr>
            <w:tcW w:w="1480" w:type="dxa"/>
            <w:vAlign w:val="bottom"/>
          </w:tcPr>
          <w:p>
            <w:pPr>
              <w:ind w:left="20"/>
              <w:spacing w:after="0"/>
              <w:rPr>
                <w:sz w:val="20"/>
                <w:szCs w:val="20"/>
                <w:color w:val="auto"/>
              </w:rPr>
            </w:pPr>
            <w:r>
              <w:rPr>
                <w:rFonts w:ascii="Arial" w:cs="Arial" w:eastAsia="Arial" w:hAnsi="Arial"/>
                <w:sz w:val="14"/>
                <w:szCs w:val="14"/>
                <w:color w:val="auto"/>
              </w:rPr>
              <w:t>Ms. Hakim</w:t>
            </w:r>
          </w:p>
        </w:tc>
        <w:tc>
          <w:tcPr>
            <w:tcW w:w="1920" w:type="dxa"/>
            <w:vAlign w:val="bottom"/>
          </w:tcPr>
          <w:p>
            <w:pPr>
              <w:jc w:val="right"/>
              <w:ind w:right="348"/>
              <w:spacing w:after="0"/>
              <w:rPr>
                <w:sz w:val="20"/>
                <w:szCs w:val="20"/>
                <w:color w:val="auto"/>
              </w:rPr>
            </w:pPr>
            <w:r>
              <w:rPr>
                <w:rFonts w:ascii="Arial" w:cs="Arial" w:eastAsia="Arial" w:hAnsi="Arial"/>
                <w:sz w:val="14"/>
                <w:szCs w:val="14"/>
                <w:color w:val="auto"/>
              </w:rPr>
              <w:t>$3,750,000</w:t>
            </w:r>
          </w:p>
        </w:tc>
        <w:tc>
          <w:tcPr>
            <w:tcW w:w="1760" w:type="dxa"/>
            <w:vAlign w:val="bottom"/>
          </w:tcPr>
          <w:p>
            <w:pPr>
              <w:jc w:val="right"/>
              <w:ind w:right="368"/>
              <w:spacing w:after="0"/>
              <w:rPr>
                <w:sz w:val="20"/>
                <w:szCs w:val="20"/>
                <w:color w:val="auto"/>
              </w:rPr>
            </w:pPr>
            <w:r>
              <w:rPr>
                <w:rFonts w:ascii="Arial" w:cs="Arial" w:eastAsia="Arial" w:hAnsi="Arial"/>
                <w:sz w:val="14"/>
                <w:szCs w:val="14"/>
                <w:color w:val="auto"/>
              </w:rPr>
              <w:t>$3,950,000</w:t>
            </w:r>
          </w:p>
        </w:tc>
      </w:tr>
      <w:tr>
        <w:trPr>
          <w:trHeight w:val="62"/>
        </w:trPr>
        <w:tc>
          <w:tcPr>
            <w:tcW w:w="1480" w:type="dxa"/>
            <w:vAlign w:val="bottom"/>
          </w:tcPr>
          <w:p>
            <w:pPr>
              <w:spacing w:after="0"/>
              <w:rPr>
                <w:sz w:val="5"/>
                <w:szCs w:val="5"/>
                <w:color w:val="auto"/>
              </w:rPr>
            </w:pPr>
          </w:p>
        </w:tc>
        <w:tc>
          <w:tcPr>
            <w:tcW w:w="1920" w:type="dxa"/>
            <w:vAlign w:val="bottom"/>
          </w:tcPr>
          <w:p>
            <w:pPr>
              <w:spacing w:after="0"/>
              <w:rPr>
                <w:sz w:val="5"/>
                <w:szCs w:val="5"/>
                <w:color w:val="auto"/>
              </w:rPr>
            </w:pPr>
          </w:p>
        </w:tc>
        <w:tc>
          <w:tcPr>
            <w:tcW w:w="1760" w:type="dxa"/>
            <w:vAlign w:val="bottom"/>
          </w:tcPr>
          <w:p>
            <w:pPr>
              <w:spacing w:after="0"/>
              <w:rPr>
                <w:sz w:val="5"/>
                <w:szCs w:val="5"/>
                <w:color w:val="auto"/>
              </w:rPr>
            </w:pPr>
          </w:p>
        </w:tc>
      </w:tr>
      <w:tr>
        <w:trPr>
          <w:trHeight w:val="194"/>
        </w:trPr>
        <w:tc>
          <w:tcPr>
            <w:tcW w:w="1480" w:type="dxa"/>
            <w:vAlign w:val="bottom"/>
            <w:shd w:val="clear" w:color="auto" w:fill="F2F2F2"/>
          </w:tcPr>
          <w:p>
            <w:pPr>
              <w:ind w:left="20"/>
              <w:spacing w:after="0"/>
              <w:rPr>
                <w:sz w:val="20"/>
                <w:szCs w:val="20"/>
                <w:color w:val="auto"/>
              </w:rPr>
            </w:pPr>
            <w:r>
              <w:rPr>
                <w:rFonts w:ascii="Arial" w:cs="Arial" w:eastAsia="Arial" w:hAnsi="Arial"/>
                <w:sz w:val="14"/>
                <w:szCs w:val="14"/>
                <w:color w:val="auto"/>
              </w:rPr>
              <w:t>Mr. Van Naarden</w:t>
            </w:r>
          </w:p>
        </w:tc>
        <w:tc>
          <w:tcPr>
            <w:tcW w:w="1920" w:type="dxa"/>
            <w:vAlign w:val="bottom"/>
            <w:shd w:val="clear" w:color="auto" w:fill="F2F2F2"/>
          </w:tcPr>
          <w:p>
            <w:pPr>
              <w:jc w:val="right"/>
              <w:ind w:right="348"/>
              <w:spacing w:after="0"/>
              <w:rPr>
                <w:sz w:val="20"/>
                <w:szCs w:val="20"/>
                <w:color w:val="auto"/>
              </w:rPr>
            </w:pPr>
            <w:r>
              <w:rPr>
                <w:rFonts w:ascii="Arial" w:cs="Arial" w:eastAsia="Arial" w:hAnsi="Arial"/>
                <w:sz w:val="14"/>
                <w:szCs w:val="14"/>
                <w:color w:val="auto"/>
              </w:rPr>
              <w:t>$2,300,000</w:t>
            </w:r>
          </w:p>
        </w:tc>
        <w:tc>
          <w:tcPr>
            <w:tcW w:w="1760" w:type="dxa"/>
            <w:vAlign w:val="bottom"/>
            <w:shd w:val="clear" w:color="auto" w:fill="F2F2F2"/>
          </w:tcPr>
          <w:p>
            <w:pPr>
              <w:jc w:val="right"/>
              <w:ind w:right="368"/>
              <w:spacing w:after="0"/>
              <w:rPr>
                <w:sz w:val="20"/>
                <w:szCs w:val="20"/>
                <w:color w:val="auto"/>
              </w:rPr>
            </w:pPr>
            <w:r>
              <w:rPr>
                <w:rFonts w:ascii="Arial" w:cs="Arial" w:eastAsia="Arial" w:hAnsi="Arial"/>
                <w:sz w:val="14"/>
                <w:szCs w:val="14"/>
                <w:color w:val="auto"/>
              </w:rPr>
              <w:t>$2,700,000</w:t>
            </w:r>
          </w:p>
        </w:tc>
      </w:tr>
      <w:tr>
        <w:trPr>
          <w:trHeight w:val="62"/>
        </w:trPr>
        <w:tc>
          <w:tcPr>
            <w:tcW w:w="1480" w:type="dxa"/>
            <w:vAlign w:val="bottom"/>
            <w:shd w:val="clear" w:color="auto" w:fill="F2F2F2"/>
          </w:tcPr>
          <w:p>
            <w:pPr>
              <w:spacing w:after="0"/>
              <w:rPr>
                <w:sz w:val="5"/>
                <w:szCs w:val="5"/>
                <w:color w:val="auto"/>
              </w:rPr>
            </w:pPr>
          </w:p>
        </w:tc>
        <w:tc>
          <w:tcPr>
            <w:tcW w:w="1920" w:type="dxa"/>
            <w:vAlign w:val="bottom"/>
            <w:shd w:val="clear" w:color="auto" w:fill="F2F2F2"/>
          </w:tcPr>
          <w:p>
            <w:pPr>
              <w:spacing w:after="0"/>
              <w:rPr>
                <w:sz w:val="5"/>
                <w:szCs w:val="5"/>
                <w:color w:val="auto"/>
              </w:rPr>
            </w:pPr>
          </w:p>
        </w:tc>
        <w:tc>
          <w:tcPr>
            <w:tcW w:w="1760" w:type="dxa"/>
            <w:vAlign w:val="bottom"/>
            <w:shd w:val="clear" w:color="auto" w:fill="F2F2F2"/>
          </w:tcPr>
          <w:p>
            <w:pPr>
              <w:spacing w:after="0"/>
              <w:rPr>
                <w:sz w:val="5"/>
                <w:szCs w:val="5"/>
                <w:color w:val="auto"/>
              </w:rPr>
            </w:pPr>
          </w:p>
        </w:tc>
      </w:tr>
      <w:tr>
        <w:trPr>
          <w:trHeight w:val="257"/>
        </w:trPr>
        <w:tc>
          <w:tcPr>
            <w:tcW w:w="1480" w:type="dxa"/>
            <w:vAlign w:val="bottom"/>
          </w:tcPr>
          <w:p>
            <w:pPr>
              <w:ind w:left="20"/>
              <w:spacing w:after="0"/>
              <w:rPr>
                <w:sz w:val="20"/>
                <w:szCs w:val="20"/>
                <w:color w:val="auto"/>
              </w:rPr>
            </w:pPr>
            <w:r>
              <w:rPr>
                <w:rFonts w:ascii="Arial" w:cs="Arial" w:eastAsia="Arial" w:hAnsi="Arial"/>
                <w:sz w:val="14"/>
                <w:szCs w:val="14"/>
                <w:color w:val="auto"/>
              </w:rPr>
              <w:t>Mr. Brooks</w:t>
            </w:r>
            <w:r>
              <w:rPr>
                <w:rFonts w:ascii="Arial" w:cs="Arial" w:eastAsia="Arial" w:hAnsi="Arial"/>
                <w:sz w:val="18"/>
                <w:szCs w:val="18"/>
                <w:color w:val="auto"/>
                <w:vertAlign w:val="superscript"/>
              </w:rPr>
              <w:t>2</w:t>
            </w:r>
          </w:p>
        </w:tc>
        <w:tc>
          <w:tcPr>
            <w:tcW w:w="1920" w:type="dxa"/>
            <w:vAlign w:val="bottom"/>
          </w:tcPr>
          <w:p>
            <w:pPr>
              <w:jc w:val="right"/>
              <w:ind w:right="348"/>
              <w:spacing w:after="0"/>
              <w:rPr>
                <w:sz w:val="20"/>
                <w:szCs w:val="20"/>
                <w:color w:val="auto"/>
              </w:rPr>
            </w:pPr>
            <w:r>
              <w:rPr>
                <w:rFonts w:ascii="Arial" w:cs="Arial" w:eastAsia="Arial" w:hAnsi="Arial"/>
                <w:sz w:val="14"/>
                <w:szCs w:val="14"/>
                <w:color w:val="auto"/>
              </w:rPr>
              <w:t>N/A</w:t>
            </w:r>
          </w:p>
        </w:tc>
        <w:tc>
          <w:tcPr>
            <w:tcW w:w="1760" w:type="dxa"/>
            <w:vAlign w:val="bottom"/>
          </w:tcPr>
          <w:p>
            <w:pPr>
              <w:jc w:val="right"/>
              <w:ind w:right="368"/>
              <w:spacing w:after="0"/>
              <w:rPr>
                <w:sz w:val="20"/>
                <w:szCs w:val="20"/>
                <w:color w:val="auto"/>
              </w:rPr>
            </w:pPr>
            <w:r>
              <w:rPr>
                <w:rFonts w:ascii="Arial" w:cs="Arial" w:eastAsia="Arial" w:hAnsi="Arial"/>
                <w:sz w:val="14"/>
                <w:szCs w:val="14"/>
                <w:color w:val="auto"/>
              </w:rPr>
              <w:t>$600,000</w:t>
            </w:r>
          </w:p>
        </w:tc>
      </w:tr>
      <w:tr>
        <w:trPr>
          <w:trHeight w:val="256"/>
        </w:trPr>
        <w:tc>
          <w:tcPr>
            <w:tcW w:w="1480" w:type="dxa"/>
            <w:vAlign w:val="bottom"/>
            <w:tcBorders>
              <w:bottom w:val="single" w:sz="8" w:color="auto"/>
            </w:tcBorders>
            <w:shd w:val="clear" w:color="auto" w:fill="F2F2F2"/>
          </w:tcPr>
          <w:p>
            <w:pPr>
              <w:ind w:left="20"/>
              <w:spacing w:after="0"/>
              <w:rPr>
                <w:sz w:val="20"/>
                <w:szCs w:val="20"/>
                <w:color w:val="auto"/>
              </w:rPr>
            </w:pPr>
            <w:r>
              <w:rPr>
                <w:rFonts w:ascii="Arial" w:cs="Arial" w:eastAsia="Arial" w:hAnsi="Arial"/>
                <w:sz w:val="14"/>
                <w:szCs w:val="14"/>
                <w:color w:val="auto"/>
              </w:rPr>
              <w:t>Ms. Ashkenazi</w:t>
            </w:r>
            <w:r>
              <w:rPr>
                <w:rFonts w:ascii="Arial" w:cs="Arial" w:eastAsia="Arial" w:hAnsi="Arial"/>
                <w:sz w:val="18"/>
                <w:szCs w:val="18"/>
                <w:color w:val="auto"/>
                <w:vertAlign w:val="superscript"/>
              </w:rPr>
              <w:t>3</w:t>
            </w:r>
          </w:p>
        </w:tc>
        <w:tc>
          <w:tcPr>
            <w:tcW w:w="1920" w:type="dxa"/>
            <w:vAlign w:val="bottom"/>
            <w:tcBorders>
              <w:bottom w:val="single" w:sz="8" w:color="auto"/>
            </w:tcBorders>
            <w:shd w:val="clear" w:color="auto" w:fill="F2F2F2"/>
          </w:tcPr>
          <w:p>
            <w:pPr>
              <w:jc w:val="right"/>
              <w:ind w:right="348"/>
              <w:spacing w:after="0"/>
              <w:rPr>
                <w:sz w:val="20"/>
                <w:szCs w:val="20"/>
                <w:color w:val="auto"/>
              </w:rPr>
            </w:pPr>
            <w:r>
              <w:rPr>
                <w:rFonts w:ascii="Arial" w:cs="Arial" w:eastAsia="Arial" w:hAnsi="Arial"/>
                <w:sz w:val="14"/>
                <w:szCs w:val="14"/>
                <w:color w:val="auto"/>
              </w:rPr>
              <w:t>$3,500,000</w:t>
            </w:r>
          </w:p>
        </w:tc>
        <w:tc>
          <w:tcPr>
            <w:tcW w:w="1760" w:type="dxa"/>
            <w:vAlign w:val="bottom"/>
            <w:tcBorders>
              <w:bottom w:val="single" w:sz="8" w:color="auto"/>
            </w:tcBorders>
            <w:shd w:val="clear" w:color="auto" w:fill="F2F2F2"/>
          </w:tcPr>
          <w:p>
            <w:pPr>
              <w:jc w:val="right"/>
              <w:ind w:right="368"/>
              <w:spacing w:after="0"/>
              <w:rPr>
                <w:sz w:val="20"/>
                <w:szCs w:val="20"/>
                <w:color w:val="auto"/>
              </w:rPr>
            </w:pPr>
            <w:r>
              <w:rPr>
                <w:rFonts w:ascii="Arial" w:cs="Arial" w:eastAsia="Arial" w:hAnsi="Arial"/>
                <w:sz w:val="14"/>
                <w:szCs w:val="14"/>
                <w:color w:val="auto"/>
              </w:rPr>
              <w:t>$3,750,000</w:t>
            </w:r>
          </w:p>
        </w:tc>
      </w:tr>
    </w:tbl>
    <w:p>
      <w:pPr>
        <w:spacing w:after="0" w:line="126" w:lineRule="exact"/>
        <w:rPr>
          <w:sz w:val="20"/>
          <w:szCs w:val="20"/>
          <w:color w:val="auto"/>
        </w:rPr>
      </w:pPr>
    </w:p>
    <w:p>
      <w:pPr>
        <w:ind w:left="180" w:right="240" w:hanging="172"/>
        <w:spacing w:after="0" w:line="300" w:lineRule="auto"/>
        <w:tabs>
          <w:tab w:leader="none" w:pos="174" w:val="left"/>
        </w:tabs>
        <w:numPr>
          <w:ilvl w:val="0"/>
          <w:numId w:val="126"/>
        </w:numPr>
        <w:rPr>
          <w:rFonts w:ascii="Arial" w:cs="Arial" w:eastAsia="Arial" w:hAnsi="Arial"/>
          <w:sz w:val="9"/>
          <w:szCs w:val="9"/>
          <w:color w:val="auto"/>
        </w:rPr>
      </w:pPr>
      <w:r>
        <w:rPr>
          <w:rFonts w:ascii="Arial" w:cs="Arial" w:eastAsia="Arial" w:hAnsi="Arial"/>
          <w:sz w:val="14"/>
          <w:szCs w:val="14"/>
          <w:color w:val="auto"/>
        </w:rPr>
        <w:t>Mr. Montarce’s 2024 annual equity grant aligns with his role prior to becoming the company’s Chief Financial Officer. Mr. Montarce’s grant was divided equally, with 33.3% allocated to shareholder value awards, 33.3% to relative value awards, and 33.3% to restricted stock units.</w:t>
      </w:r>
    </w:p>
    <w:p>
      <w:pPr>
        <w:spacing w:after="0" w:line="3" w:lineRule="exact"/>
        <w:rPr>
          <w:sz w:val="20"/>
          <w:szCs w:val="20"/>
          <w:color w:val="auto"/>
        </w:rPr>
      </w:pPr>
    </w:p>
    <w:p>
      <w:pPr>
        <w:ind w:left="180" w:right="160" w:hanging="172"/>
        <w:spacing w:after="0" w:line="231" w:lineRule="auto"/>
        <w:tabs>
          <w:tab w:leader="none" w:pos="174" w:val="left"/>
        </w:tabs>
        <w:numPr>
          <w:ilvl w:val="0"/>
          <w:numId w:val="127"/>
        </w:numPr>
        <w:rPr>
          <w:rFonts w:ascii="Arial" w:cs="Arial" w:eastAsia="Arial" w:hAnsi="Arial"/>
          <w:sz w:val="19"/>
          <w:szCs w:val="19"/>
          <w:color w:val="auto"/>
          <w:vertAlign w:val="superscript"/>
        </w:rPr>
      </w:pPr>
      <w:r>
        <w:rPr>
          <w:rFonts w:ascii="Arial" w:cs="Arial" w:eastAsia="Arial" w:hAnsi="Arial"/>
          <w:sz w:val="14"/>
          <w:szCs w:val="14"/>
          <w:color w:val="auto"/>
        </w:rPr>
        <w:t>Mr. Brooks’ 2024 annual equity grant aligns with his role prior to becoming the interim Chief Financial Officer. Mr. Brooks’ grant was divided equally, with 33.3% allocated to shareholder value awards, 33.3% to relative value awards, and 33.3% to restricted stock units.</w:t>
      </w:r>
    </w:p>
    <w:p>
      <w:pPr>
        <w:spacing w:after="0" w:line="26" w:lineRule="exact"/>
        <w:rPr>
          <w:sz w:val="20"/>
          <w:szCs w:val="20"/>
          <w:color w:val="auto"/>
        </w:rPr>
      </w:pPr>
    </w:p>
    <w:p>
      <w:pPr>
        <w:ind w:left="160" w:hanging="152"/>
        <w:spacing w:after="0"/>
        <w:tabs>
          <w:tab w:leader="none" w:pos="160" w:val="left"/>
        </w:tabs>
        <w:numPr>
          <w:ilvl w:val="0"/>
          <w:numId w:val="128"/>
        </w:numPr>
        <w:rPr>
          <w:rFonts w:ascii="Arial" w:cs="Arial" w:eastAsia="Arial" w:hAnsi="Arial"/>
          <w:sz w:val="9"/>
          <w:szCs w:val="9"/>
          <w:color w:val="auto"/>
        </w:rPr>
      </w:pPr>
      <w:r>
        <w:rPr>
          <w:rFonts w:ascii="Arial" w:cs="Arial" w:eastAsia="Arial" w:hAnsi="Arial"/>
          <w:sz w:val="14"/>
          <w:szCs w:val="14"/>
          <w:color w:val="auto"/>
        </w:rPr>
        <w:t>Ms. Ashkenazi forfeited her outstanding equity awards upon her exit from the company on July 30, 2024.</w:t>
      </w: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Adjustments to Reported Financial Results</w:t>
      </w:r>
    </w:p>
    <w:p>
      <w:pPr>
        <w:spacing w:after="0" w:line="54"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The Committee has the authority to adjust the company’s reported product revenues and EPS upon which incentive compensation payouts are determined to eliminate the distorting effect of unusual income or expense items. The adjustments are intended to:</w:t>
      </w:r>
    </w:p>
    <w:p>
      <w:pPr>
        <w:spacing w:after="0" w:line="99" w:lineRule="exact"/>
        <w:rPr>
          <w:sz w:val="20"/>
          <w:szCs w:val="20"/>
          <w:color w:val="auto"/>
        </w:rPr>
      </w:pPr>
    </w:p>
    <w:p>
      <w:pPr>
        <w:ind w:left="640" w:hanging="308"/>
        <w:spacing w:after="0"/>
        <w:tabs>
          <w:tab w:leader="none" w:pos="640" w:val="left"/>
        </w:tabs>
        <w:numPr>
          <w:ilvl w:val="0"/>
          <w:numId w:val="129"/>
        </w:numPr>
        <w:rPr>
          <w:rFonts w:ascii="Arial" w:cs="Arial" w:eastAsia="Arial" w:hAnsi="Arial"/>
          <w:sz w:val="16"/>
          <w:szCs w:val="16"/>
          <w:color w:val="auto"/>
        </w:rPr>
      </w:pPr>
      <w:r>
        <w:rPr>
          <w:rFonts w:ascii="Arial" w:cs="Arial" w:eastAsia="Arial" w:hAnsi="Arial"/>
          <w:sz w:val="18"/>
          <w:szCs w:val="18"/>
          <w:color w:val="auto"/>
        </w:rPr>
        <w:t>align award payments with the underlying performance of the core business;</w:t>
      </w:r>
    </w:p>
    <w:p>
      <w:pPr>
        <w:spacing w:after="0" w:line="171" w:lineRule="exact"/>
        <w:rPr>
          <w:rFonts w:ascii="Arial" w:cs="Arial" w:eastAsia="Arial" w:hAnsi="Arial"/>
          <w:sz w:val="16"/>
          <w:szCs w:val="16"/>
          <w:color w:val="auto"/>
        </w:rPr>
      </w:pPr>
    </w:p>
    <w:p>
      <w:pPr>
        <w:ind w:left="640" w:hanging="308"/>
        <w:spacing w:after="0"/>
        <w:tabs>
          <w:tab w:leader="none" w:pos="640" w:val="left"/>
        </w:tabs>
        <w:numPr>
          <w:ilvl w:val="0"/>
          <w:numId w:val="129"/>
        </w:numPr>
        <w:rPr>
          <w:rFonts w:ascii="Arial" w:cs="Arial" w:eastAsia="Arial" w:hAnsi="Arial"/>
          <w:sz w:val="16"/>
          <w:szCs w:val="16"/>
          <w:color w:val="auto"/>
        </w:rPr>
      </w:pPr>
      <w:r>
        <w:rPr>
          <w:rFonts w:ascii="Arial" w:cs="Arial" w:eastAsia="Arial" w:hAnsi="Arial"/>
          <w:sz w:val="18"/>
          <w:szCs w:val="18"/>
          <w:color w:val="auto"/>
        </w:rPr>
        <w:t>avoid volatile, artificial inflation, or deflation of awards due to unusual items;</w:t>
      </w:r>
    </w:p>
    <w:p>
      <w:pPr>
        <w:spacing w:after="0" w:line="171" w:lineRule="exact"/>
        <w:rPr>
          <w:rFonts w:ascii="Arial" w:cs="Arial" w:eastAsia="Arial" w:hAnsi="Arial"/>
          <w:sz w:val="16"/>
          <w:szCs w:val="16"/>
          <w:color w:val="auto"/>
        </w:rPr>
      </w:pPr>
    </w:p>
    <w:p>
      <w:pPr>
        <w:ind w:left="660" w:right="380" w:hanging="328"/>
        <w:spacing w:after="0" w:line="287" w:lineRule="auto"/>
        <w:tabs>
          <w:tab w:leader="none" w:pos="649" w:val="left"/>
        </w:tabs>
        <w:numPr>
          <w:ilvl w:val="0"/>
          <w:numId w:val="129"/>
        </w:numPr>
        <w:rPr>
          <w:rFonts w:ascii="Arial" w:cs="Arial" w:eastAsia="Arial" w:hAnsi="Arial"/>
          <w:sz w:val="16"/>
          <w:szCs w:val="16"/>
          <w:color w:val="auto"/>
        </w:rPr>
      </w:pPr>
      <w:r>
        <w:rPr>
          <w:rFonts w:ascii="Arial" w:cs="Arial" w:eastAsia="Arial" w:hAnsi="Arial"/>
          <w:sz w:val="18"/>
          <w:szCs w:val="18"/>
          <w:color w:val="auto"/>
        </w:rPr>
        <w:t>eliminate certain counterproductive short-term incentives—for example, incentives to refrain from acquiring new technologies, to defer disposing of underutilized assets, or to defer settling legacy legal proceedings; and</w:t>
      </w:r>
    </w:p>
    <w:p>
      <w:pPr>
        <w:spacing w:after="0" w:line="98" w:lineRule="exact"/>
        <w:rPr>
          <w:rFonts w:ascii="Arial" w:cs="Arial" w:eastAsia="Arial" w:hAnsi="Arial"/>
          <w:sz w:val="16"/>
          <w:szCs w:val="16"/>
          <w:color w:val="auto"/>
        </w:rPr>
      </w:pPr>
    </w:p>
    <w:p>
      <w:pPr>
        <w:ind w:left="640" w:hanging="308"/>
        <w:spacing w:after="0"/>
        <w:tabs>
          <w:tab w:leader="none" w:pos="640" w:val="left"/>
        </w:tabs>
        <w:numPr>
          <w:ilvl w:val="0"/>
          <w:numId w:val="129"/>
        </w:numPr>
        <w:rPr>
          <w:rFonts w:ascii="Arial" w:cs="Arial" w:eastAsia="Arial" w:hAnsi="Arial"/>
          <w:sz w:val="16"/>
          <w:szCs w:val="16"/>
          <w:color w:val="auto"/>
        </w:rPr>
      </w:pPr>
      <w:r>
        <w:rPr>
          <w:rFonts w:ascii="Arial" w:cs="Arial" w:eastAsia="Arial" w:hAnsi="Arial"/>
          <w:sz w:val="18"/>
          <w:szCs w:val="18"/>
          <w:color w:val="auto"/>
        </w:rPr>
        <w:t>facilitate comparisons with peer companies.</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Committee considers the adjustments approved by the Audit Committee for reporting non-GAAP EPS and other adjustments, based on guidelines approved by the Committee. The Committee reviews and approves adjustments on a quarterly basis and may adjust payouts for items, including but not limited to acquired IPR&amp;D charges, impact of foreign exchange rates, the impact of significant acquisitions or divestitures, and the impact of share repurchases that differ significantly from the business plan. Further details on 2024 adjustments and the rationale for making these adjustments are in “</w:t>
      </w:r>
      <w:r>
        <w:rPr>
          <w:rFonts w:ascii="Arial" w:cs="Arial" w:eastAsia="Arial" w:hAnsi="Arial"/>
          <w:sz w:val="18"/>
          <w:szCs w:val="18"/>
          <w:color w:val="0000FF"/>
        </w:rPr>
        <w:t>Appendix A, Summary of Adjustments Related to the Annual Cash Bonus and Performance</w:t>
      </w:r>
      <w:r>
        <w:rPr>
          <w:rFonts w:ascii="Arial" w:cs="Arial" w:eastAsia="Arial" w:hAnsi="Arial"/>
          <w:sz w:val="18"/>
          <w:szCs w:val="18"/>
          <w:color w:val="auto"/>
        </w:rPr>
        <w:t xml:space="preserve"> </w:t>
      </w:r>
      <w:r>
        <w:rPr>
          <w:rFonts w:ascii="Arial" w:cs="Arial" w:eastAsia="Arial" w:hAnsi="Arial"/>
          <w:sz w:val="18"/>
          <w:szCs w:val="18"/>
          <w:color w:val="0000FF"/>
        </w:rPr>
        <w:t>Award</w:t>
      </w:r>
      <w:r>
        <w:rPr>
          <w:rFonts w:ascii="Arial" w:cs="Arial" w:eastAsia="Arial" w:hAnsi="Arial"/>
          <w:sz w:val="18"/>
          <w:szCs w:val="18"/>
          <w:color w:val="000000"/>
        </w:rPr>
        <w:t>.” Throughout the CD&amp;A and the other compensation disclosures, we refer to “revenue,” “EPS,” and “adjusted non-GAAP EPS” for</w:t>
      </w:r>
      <w:r>
        <w:rPr>
          <w:rFonts w:ascii="Arial" w:cs="Arial" w:eastAsia="Arial" w:hAnsi="Arial"/>
          <w:sz w:val="18"/>
          <w:szCs w:val="18"/>
          <w:color w:val="0000FF"/>
        </w:rPr>
        <w:t xml:space="preserve"> </w:t>
      </w:r>
      <w:r>
        <w:rPr>
          <w:rFonts w:ascii="Arial" w:cs="Arial" w:eastAsia="Arial" w:hAnsi="Arial"/>
          <w:sz w:val="18"/>
          <w:szCs w:val="18"/>
          <w:color w:val="000000"/>
        </w:rPr>
        <w:t>ease of reference, but we encourage you to review Appendix A to understand the approved adjustments to reported product revenues and EPS. The Committee has authority to apply downward discretion to bonus and equity payouts for individual or all executive officers.</w:t>
      </w:r>
    </w:p>
    <w:p>
      <w:pPr>
        <w:sectPr>
          <w:pgSz w:w="11900" w:h="16838" w:orient="portrait"/>
          <w:cols w:equalWidth="0" w:num="1">
            <w:col w:w="11200"/>
          </w:cols>
          <w:pgMar w:left="320" w:top="967" w:right="379" w:bottom="1440" w:gutter="0" w:footer="0" w:header="0"/>
        </w:sectPr>
      </w:pPr>
    </w:p>
    <w:p>
      <w:pPr>
        <w:spacing w:after="0" w:line="200" w:lineRule="exact"/>
        <w:rPr>
          <w:sz w:val="20"/>
          <w:szCs w:val="20"/>
          <w:color w:val="auto"/>
        </w:rPr>
      </w:pPr>
    </w:p>
    <w:p>
      <w:pPr>
        <w:spacing w:after="0" w:line="34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94615</wp:posOffset>
            </wp:positionV>
            <wp:extent cx="7157720" cy="42545"/>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67" w:right="379" w:bottom="1440" w:gutter="0" w:footer="0" w:header="0"/>
          <w:type w:val="continuous"/>
        </w:sectPr>
      </w:pPr>
    </w:p>
    <w:bookmarkStart w:id="58" w:name="page59"/>
    <w:bookmarkEnd w:id="58"/>
    <w:p>
      <w:pPr>
        <w:spacing w:after="0"/>
        <w:rPr>
          <w:sz w:val="20"/>
          <w:szCs w:val="20"/>
          <w:color w:val="auto"/>
        </w:rPr>
      </w:pPr>
      <w:r>
        <w:rPr>
          <w:rFonts w:ascii="Arial" w:cs="Arial" w:eastAsia="Arial" w:hAnsi="Arial"/>
          <w:sz w:val="25"/>
          <w:szCs w:val="25"/>
          <w:b w:val="1"/>
          <w:bCs w:val="1"/>
          <w:color w:val="00A1DE"/>
        </w:rPr>
        <w:t>2024 Compensation Results</w:t>
      </w:r>
    </w:p>
    <w:p>
      <w:pPr>
        <w:spacing w:after="0" w:line="69"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The information in this section reflects amounts paid to named executive officers under the Bonus Plan for the 2024 performance year and for equity awards granted in prior years for which the relevant performance period ended in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74930</wp:posOffset>
            </wp:positionV>
            <wp:extent cx="2545715" cy="1765935"/>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2545715" cy="176593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2024 Bonus Plan Results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The company delivered strong financial performance, resulting in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above target payouts for both product revenue and EPS. For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additional information on financial results, see Appendix 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Summary of Adjustments Related to the Annual Cash Bonus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0000FF"/>
        </w:rPr>
        <w:t>and Performance Award</w:t>
      </w:r>
      <w:r>
        <w:rPr>
          <w:rFonts w:ascii="Arial" w:cs="Arial" w:eastAsia="Arial" w:hAnsi="Arial"/>
          <w:sz w:val="18"/>
          <w:szCs w:val="18"/>
          <w:color w:val="000000"/>
        </w:rPr>
        <w:t>.”</w:t>
      </w:r>
    </w:p>
    <w:p>
      <w:pPr>
        <w:spacing w:after="0" w:line="153" w:lineRule="exact"/>
        <w:rPr>
          <w:sz w:val="20"/>
          <w:szCs w:val="20"/>
          <w:color w:val="auto"/>
        </w:rPr>
      </w:pPr>
    </w:p>
    <w:p>
      <w:pPr>
        <w:ind w:right="6200"/>
        <w:spacing w:after="0" w:line="268" w:lineRule="auto"/>
        <w:rPr>
          <w:sz w:val="20"/>
          <w:szCs w:val="20"/>
          <w:color w:val="auto"/>
        </w:rPr>
      </w:pPr>
      <w:r>
        <w:rPr>
          <w:rFonts w:ascii="Arial" w:cs="Arial" w:eastAsia="Arial" w:hAnsi="Arial"/>
          <w:sz w:val="18"/>
          <w:szCs w:val="18"/>
          <w:color w:val="auto"/>
        </w:rPr>
        <w:t>The Science and Technology Committee sets the objectives for each category of the pipeline metric annually. This graphic depicts the relative distribution of pipeline objectives.</w:t>
      </w:r>
    </w:p>
    <w:p>
      <w:pPr>
        <w:spacing w:after="0" w:line="200" w:lineRule="exact"/>
        <w:rPr>
          <w:sz w:val="20"/>
          <w:szCs w:val="20"/>
          <w:color w:val="auto"/>
        </w:rPr>
      </w:pPr>
    </w:p>
    <w:p>
      <w:pPr>
        <w:spacing w:after="0" w:line="29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At year end, the Science and Technology Committee assessed the company's product pipeline achievements inclusive of, but not limited to, the details disclosed in “Innovation Pipeline and Other Business Development” within the Proxy Statement Summary. The points assigned for each objective were combined to determine the final pipeline bonus multiple of 250%. The Science and Technology Committee may recommend that the Committee apply downward discretion on the pipeline metric result; however, it did not recommend exercising this discretion for the 2024 pipeline results. Therefore, the Committee followed the Science and Technology Committee’s recommendation and approved a pipeline bonus multiple of 250%.</w:t>
      </w:r>
    </w:p>
    <w:p>
      <w:pPr>
        <w:spacing w:after="0" w:line="128" w:lineRule="exact"/>
        <w:rPr>
          <w:sz w:val="20"/>
          <w:szCs w:val="20"/>
          <w:color w:val="auto"/>
        </w:rPr>
      </w:pPr>
    </w:p>
    <w:p>
      <w:pPr>
        <w:jc w:val="both"/>
        <w:ind w:right="720"/>
        <w:spacing w:after="0" w:line="268" w:lineRule="auto"/>
        <w:rPr>
          <w:sz w:val="20"/>
          <w:szCs w:val="20"/>
          <w:color w:val="auto"/>
        </w:rPr>
      </w:pPr>
      <w:r>
        <w:rPr>
          <w:rFonts w:ascii="Arial" w:cs="Arial" w:eastAsia="Arial" w:hAnsi="Arial"/>
          <w:sz w:val="18"/>
          <w:szCs w:val="18"/>
          <w:color w:val="auto"/>
        </w:rPr>
        <w:t>Once the pipeline bonus multiple was combined with the company's financial performance, the final bonus payout was above target. Disclosure of outcomes related to product-specific revenue and the company’s internal pipeline could cause competitive harm to the company and are, therefore, not included. The final results for each bonus metric are illustrated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1556385</wp:posOffset>
            </wp:positionH>
            <wp:positionV relativeFrom="paragraph">
              <wp:posOffset>85725</wp:posOffset>
            </wp:positionV>
            <wp:extent cx="4029075" cy="2442845"/>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4029075" cy="2442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25" w:right="359" w:bottom="1440" w:gutter="0" w:footer="0" w:header="0"/>
        </w:sectPr>
      </w:pPr>
    </w:p>
    <w:bookmarkStart w:id="59" w:name="page60"/>
    <w:bookmarkEnd w:id="59"/>
    <w:p>
      <w:pPr>
        <w:spacing w:after="0"/>
        <w:rPr>
          <w:sz w:val="20"/>
          <w:szCs w:val="20"/>
          <w:color w:val="auto"/>
        </w:rPr>
      </w:pPr>
      <w:r>
        <w:rPr>
          <w:rFonts w:ascii="Arial" w:cs="Arial" w:eastAsia="Arial" w:hAnsi="Arial"/>
          <w:sz w:val="20"/>
          <w:szCs w:val="20"/>
          <w:b w:val="1"/>
          <w:bCs w:val="1"/>
          <w:color w:val="D52B1E"/>
        </w:rPr>
        <w:t>Bonus Plan Payments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The 2024 bonuses paid to the named executive officers under the Bonus Plan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2614295" cy="8255"/>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00" w:type="dxa"/>
            <w:vAlign w:val="bottom"/>
            <w:tcBorders>
              <w:bottom w:val="single" w:sz="8" w:color="6D6D6D"/>
            </w:tcBorders>
          </w:tcPr>
          <w:p>
            <w:pPr>
              <w:ind w:left="20"/>
              <w:spacing w:after="0"/>
              <w:rPr>
                <w:sz w:val="20"/>
                <w:szCs w:val="20"/>
                <w:color w:val="auto"/>
              </w:rPr>
            </w:pPr>
            <w:r>
              <w:rPr>
                <w:rFonts w:ascii="Arial" w:cs="Arial" w:eastAsia="Arial" w:hAnsi="Arial"/>
                <w:sz w:val="14"/>
                <w:szCs w:val="14"/>
                <w:b w:val="1"/>
                <w:bCs w:val="1"/>
                <w:color w:val="auto"/>
              </w:rPr>
              <w:t>Name</w:t>
            </w:r>
          </w:p>
        </w:tc>
        <w:tc>
          <w:tcPr>
            <w:tcW w:w="2120" w:type="dxa"/>
            <w:vAlign w:val="bottom"/>
            <w:tcBorders>
              <w:bottom w:val="single" w:sz="8" w:color="6D6D6D"/>
            </w:tcBorders>
          </w:tcPr>
          <w:p>
            <w:pPr>
              <w:jc w:val="right"/>
              <w:ind w:right="148"/>
              <w:spacing w:after="0"/>
              <w:rPr>
                <w:sz w:val="20"/>
                <w:szCs w:val="20"/>
                <w:color w:val="auto"/>
              </w:rPr>
            </w:pPr>
            <w:r>
              <w:rPr>
                <w:rFonts w:ascii="Arial" w:cs="Arial" w:eastAsia="Arial" w:hAnsi="Arial"/>
                <w:sz w:val="14"/>
                <w:szCs w:val="14"/>
                <w:b w:val="1"/>
                <w:bCs w:val="1"/>
                <w:color w:val="auto"/>
              </w:rPr>
              <w:t>2024 Bonus ($)</w:t>
            </w:r>
          </w:p>
        </w:tc>
      </w:tr>
      <w:tr>
        <w:trPr>
          <w:trHeight w:val="223"/>
        </w:trPr>
        <w:tc>
          <w:tcPr>
            <w:tcW w:w="200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4"/>
                <w:szCs w:val="14"/>
                <w:color w:val="auto"/>
              </w:rPr>
              <w:t>Mr. Ricks</w:t>
            </w:r>
          </w:p>
        </w:tc>
        <w:tc>
          <w:tcPr>
            <w:tcW w:w="212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$5,705,049</w:t>
            </w:r>
          </w:p>
        </w:tc>
      </w:tr>
      <w:tr>
        <w:trPr>
          <w:trHeight w:val="256"/>
        </w:trPr>
        <w:tc>
          <w:tcPr>
            <w:tcW w:w="2000" w:type="dxa"/>
            <w:vAlign w:val="bottom"/>
          </w:tcPr>
          <w:p>
            <w:pPr>
              <w:ind w:left="20"/>
              <w:spacing w:after="0"/>
              <w:rPr>
                <w:sz w:val="20"/>
                <w:szCs w:val="20"/>
                <w:color w:val="auto"/>
              </w:rPr>
            </w:pPr>
            <w:r>
              <w:rPr>
                <w:rFonts w:ascii="Arial" w:cs="Arial" w:eastAsia="Arial" w:hAnsi="Arial"/>
                <w:sz w:val="14"/>
                <w:szCs w:val="14"/>
                <w:color w:val="auto"/>
              </w:rPr>
              <w:t>Mr. Montarce</w:t>
            </w:r>
            <w:r>
              <w:rPr>
                <w:rFonts w:ascii="Arial" w:cs="Arial" w:eastAsia="Arial" w:hAnsi="Arial"/>
                <w:sz w:val="18"/>
                <w:szCs w:val="18"/>
                <w:color w:val="auto"/>
                <w:vertAlign w:val="superscript"/>
              </w:rPr>
              <w:t>1</w:t>
            </w:r>
          </w:p>
        </w:tc>
        <w:tc>
          <w:tcPr>
            <w:tcW w:w="2120" w:type="dxa"/>
            <w:vAlign w:val="bottom"/>
          </w:tcPr>
          <w:p>
            <w:pPr>
              <w:jc w:val="right"/>
              <w:spacing w:after="0"/>
              <w:rPr>
                <w:sz w:val="20"/>
                <w:szCs w:val="20"/>
                <w:color w:val="auto"/>
              </w:rPr>
            </w:pPr>
            <w:r>
              <w:rPr>
                <w:rFonts w:ascii="Arial" w:cs="Arial" w:eastAsia="Arial" w:hAnsi="Arial"/>
                <w:sz w:val="14"/>
                <w:szCs w:val="14"/>
                <w:color w:val="auto"/>
              </w:rPr>
              <w:t>$1,114,558</w:t>
            </w:r>
          </w:p>
        </w:tc>
      </w:tr>
      <w:tr>
        <w:trPr>
          <w:trHeight w:val="237"/>
        </w:trPr>
        <w:tc>
          <w:tcPr>
            <w:tcW w:w="200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4"/>
                <w:szCs w:val="14"/>
                <w:color w:val="auto"/>
              </w:rPr>
              <w:t>Dr. Skovronsky</w:t>
            </w:r>
          </w:p>
        </w:tc>
        <w:tc>
          <w:tcPr>
            <w:tcW w:w="212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$3,219,230</w:t>
            </w:r>
          </w:p>
        </w:tc>
      </w:tr>
      <w:tr>
        <w:trPr>
          <w:trHeight w:val="208"/>
        </w:trPr>
        <w:tc>
          <w:tcPr>
            <w:tcW w:w="2000" w:type="dxa"/>
            <w:vAlign w:val="bottom"/>
          </w:tcPr>
          <w:p>
            <w:pPr>
              <w:ind w:left="20"/>
              <w:spacing w:after="0"/>
              <w:rPr>
                <w:sz w:val="20"/>
                <w:szCs w:val="20"/>
                <w:color w:val="auto"/>
              </w:rPr>
            </w:pPr>
            <w:r>
              <w:rPr>
                <w:rFonts w:ascii="Arial" w:cs="Arial" w:eastAsia="Arial" w:hAnsi="Arial"/>
                <w:sz w:val="14"/>
                <w:szCs w:val="14"/>
                <w:color w:val="auto"/>
              </w:rPr>
              <w:t>Ms. Hakim</w:t>
            </w:r>
          </w:p>
        </w:tc>
        <w:tc>
          <w:tcPr>
            <w:tcW w:w="2120" w:type="dxa"/>
            <w:vAlign w:val="bottom"/>
          </w:tcPr>
          <w:p>
            <w:pPr>
              <w:jc w:val="right"/>
              <w:spacing w:after="0"/>
              <w:rPr>
                <w:sz w:val="20"/>
                <w:szCs w:val="20"/>
                <w:color w:val="auto"/>
              </w:rPr>
            </w:pPr>
            <w:r>
              <w:rPr>
                <w:rFonts w:ascii="Arial" w:cs="Arial" w:eastAsia="Arial" w:hAnsi="Arial"/>
                <w:sz w:val="14"/>
                <w:szCs w:val="14"/>
                <w:color w:val="auto"/>
              </w:rPr>
              <w:t>$2,250,000</w:t>
            </w:r>
          </w:p>
        </w:tc>
      </w:tr>
      <w:tr>
        <w:trPr>
          <w:trHeight w:val="48"/>
        </w:trPr>
        <w:tc>
          <w:tcPr>
            <w:tcW w:w="2000" w:type="dxa"/>
            <w:vAlign w:val="bottom"/>
          </w:tcPr>
          <w:p>
            <w:pPr>
              <w:spacing w:after="0"/>
              <w:rPr>
                <w:sz w:val="4"/>
                <w:szCs w:val="4"/>
                <w:color w:val="auto"/>
              </w:rPr>
            </w:pPr>
          </w:p>
        </w:tc>
        <w:tc>
          <w:tcPr>
            <w:tcW w:w="2120" w:type="dxa"/>
            <w:vAlign w:val="bottom"/>
          </w:tcPr>
          <w:p>
            <w:pPr>
              <w:spacing w:after="0"/>
              <w:rPr>
                <w:sz w:val="4"/>
                <w:szCs w:val="4"/>
                <w:color w:val="auto"/>
              </w:rPr>
            </w:pPr>
          </w:p>
        </w:tc>
      </w:tr>
      <w:tr>
        <w:trPr>
          <w:trHeight w:val="237"/>
        </w:trPr>
        <w:tc>
          <w:tcPr>
            <w:tcW w:w="200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4"/>
                <w:szCs w:val="14"/>
                <w:color w:val="auto"/>
              </w:rPr>
              <w:t>Mr. Van Naarden</w:t>
            </w:r>
          </w:p>
        </w:tc>
        <w:tc>
          <w:tcPr>
            <w:tcW w:w="212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$2,003,366</w:t>
            </w:r>
          </w:p>
        </w:tc>
      </w:tr>
      <w:tr>
        <w:trPr>
          <w:trHeight w:val="257"/>
        </w:trPr>
        <w:tc>
          <w:tcPr>
            <w:tcW w:w="2000" w:type="dxa"/>
            <w:vAlign w:val="bottom"/>
          </w:tcPr>
          <w:p>
            <w:pPr>
              <w:ind w:left="20"/>
              <w:spacing w:after="0"/>
              <w:rPr>
                <w:sz w:val="20"/>
                <w:szCs w:val="20"/>
                <w:color w:val="auto"/>
              </w:rPr>
            </w:pPr>
            <w:r>
              <w:rPr>
                <w:rFonts w:ascii="Arial" w:cs="Arial" w:eastAsia="Arial" w:hAnsi="Arial"/>
                <w:sz w:val="14"/>
                <w:szCs w:val="14"/>
                <w:color w:val="auto"/>
              </w:rPr>
              <w:t>Mr. Brooks</w:t>
            </w:r>
            <w:r>
              <w:rPr>
                <w:rFonts w:ascii="Arial" w:cs="Arial" w:eastAsia="Arial" w:hAnsi="Arial"/>
                <w:sz w:val="18"/>
                <w:szCs w:val="18"/>
                <w:color w:val="auto"/>
                <w:vertAlign w:val="superscript"/>
              </w:rPr>
              <w:t>2</w:t>
            </w:r>
          </w:p>
        </w:tc>
        <w:tc>
          <w:tcPr>
            <w:tcW w:w="2120" w:type="dxa"/>
            <w:vAlign w:val="bottom"/>
          </w:tcPr>
          <w:p>
            <w:pPr>
              <w:jc w:val="right"/>
              <w:spacing w:after="0"/>
              <w:rPr>
                <w:sz w:val="20"/>
                <w:szCs w:val="20"/>
                <w:color w:val="auto"/>
              </w:rPr>
            </w:pPr>
            <w:r>
              <w:rPr>
                <w:rFonts w:ascii="Arial" w:cs="Arial" w:eastAsia="Arial" w:hAnsi="Arial"/>
                <w:sz w:val="14"/>
                <w:szCs w:val="14"/>
                <w:color w:val="auto"/>
              </w:rPr>
              <w:t>$667,660</w:t>
            </w:r>
          </w:p>
        </w:tc>
      </w:tr>
      <w:tr>
        <w:trPr>
          <w:trHeight w:val="256"/>
        </w:trPr>
        <w:tc>
          <w:tcPr>
            <w:tcW w:w="2000" w:type="dxa"/>
            <w:vAlign w:val="bottom"/>
            <w:tcBorders>
              <w:bottom w:val="single" w:sz="8" w:color="6D6D6D"/>
            </w:tcBorders>
            <w:shd w:val="clear" w:color="auto" w:fill="F2F2F2"/>
          </w:tcPr>
          <w:p>
            <w:pPr>
              <w:ind w:left="20"/>
              <w:spacing w:after="0"/>
              <w:rPr>
                <w:sz w:val="20"/>
                <w:szCs w:val="20"/>
                <w:color w:val="auto"/>
              </w:rPr>
            </w:pPr>
            <w:r>
              <w:rPr>
                <w:rFonts w:ascii="Arial" w:cs="Arial" w:eastAsia="Arial" w:hAnsi="Arial"/>
                <w:sz w:val="14"/>
                <w:szCs w:val="14"/>
                <w:color w:val="auto"/>
              </w:rPr>
              <w:t>Ms. Ashkenazi</w:t>
            </w:r>
            <w:r>
              <w:rPr>
                <w:rFonts w:ascii="Arial" w:cs="Arial" w:eastAsia="Arial" w:hAnsi="Arial"/>
                <w:sz w:val="18"/>
                <w:szCs w:val="18"/>
                <w:color w:val="auto"/>
                <w:vertAlign w:val="superscript"/>
              </w:rPr>
              <w:t>3</w:t>
            </w:r>
          </w:p>
        </w:tc>
        <w:tc>
          <w:tcPr>
            <w:tcW w:w="2120" w:type="dxa"/>
            <w:vAlign w:val="bottom"/>
            <w:tcBorders>
              <w:bottom w:val="single" w:sz="8" w:color="6D6D6D"/>
            </w:tcBorders>
            <w:shd w:val="clear" w:color="auto" w:fill="F2F2F2"/>
          </w:tcPr>
          <w:p>
            <w:pPr>
              <w:jc w:val="right"/>
              <w:ind w:right="8"/>
              <w:spacing w:after="0"/>
              <w:rPr>
                <w:sz w:val="20"/>
                <w:szCs w:val="20"/>
                <w:color w:val="auto"/>
              </w:rPr>
            </w:pPr>
            <w:r>
              <w:rPr>
                <w:rFonts w:ascii="Arial" w:cs="Arial" w:eastAsia="Arial" w:hAnsi="Arial"/>
                <w:sz w:val="14"/>
                <w:szCs w:val="14"/>
                <w:color w:val="auto"/>
              </w:rPr>
              <w:t>—</w:t>
            </w:r>
          </w:p>
        </w:tc>
      </w:tr>
    </w:tbl>
    <w:p>
      <w:pPr>
        <w:spacing w:after="0" w:line="126" w:lineRule="exact"/>
        <w:rPr>
          <w:sz w:val="20"/>
          <w:szCs w:val="20"/>
          <w:color w:val="auto"/>
        </w:rPr>
      </w:pPr>
    </w:p>
    <w:p>
      <w:pPr>
        <w:ind w:left="160" w:hanging="152"/>
        <w:spacing w:after="0"/>
        <w:tabs>
          <w:tab w:leader="none" w:pos="160" w:val="left"/>
        </w:tabs>
        <w:numPr>
          <w:ilvl w:val="0"/>
          <w:numId w:val="130"/>
        </w:numPr>
        <w:rPr>
          <w:rFonts w:ascii="Arial" w:cs="Arial" w:eastAsia="Arial" w:hAnsi="Arial"/>
          <w:sz w:val="9"/>
          <w:szCs w:val="9"/>
          <w:color w:val="auto"/>
        </w:rPr>
      </w:pPr>
      <w:r>
        <w:rPr>
          <w:rFonts w:ascii="Arial" w:cs="Arial" w:eastAsia="Arial" w:hAnsi="Arial"/>
          <w:sz w:val="14"/>
          <w:szCs w:val="14"/>
          <w:color w:val="auto"/>
        </w:rPr>
        <w:t>Mr. Montarce’s payout reflects accruals for before and after his appointment as Chief Financial Officer.</w:t>
      </w:r>
    </w:p>
    <w:p>
      <w:pPr>
        <w:spacing w:after="0" w:line="40" w:lineRule="exact"/>
        <w:rPr>
          <w:sz w:val="20"/>
          <w:szCs w:val="20"/>
          <w:color w:val="auto"/>
        </w:rPr>
      </w:pPr>
    </w:p>
    <w:p>
      <w:pPr>
        <w:ind w:left="160" w:hanging="152"/>
        <w:spacing w:after="0"/>
        <w:tabs>
          <w:tab w:leader="none" w:pos="160" w:val="left"/>
        </w:tabs>
        <w:numPr>
          <w:ilvl w:val="0"/>
          <w:numId w:val="131"/>
        </w:numPr>
        <w:rPr>
          <w:rFonts w:ascii="Arial" w:cs="Arial" w:eastAsia="Arial" w:hAnsi="Arial"/>
          <w:sz w:val="19"/>
          <w:szCs w:val="19"/>
          <w:color w:val="auto"/>
          <w:vertAlign w:val="superscript"/>
        </w:rPr>
      </w:pPr>
      <w:r>
        <w:rPr>
          <w:rFonts w:ascii="Arial" w:cs="Arial" w:eastAsia="Arial" w:hAnsi="Arial"/>
          <w:sz w:val="14"/>
          <w:szCs w:val="14"/>
          <w:color w:val="auto"/>
        </w:rPr>
        <w:t>Mr. Brooks’ payout reflects accruals before, during, and after his time served as interim Chief Financial Officer.</w:t>
      </w:r>
    </w:p>
    <w:p>
      <w:pPr>
        <w:spacing w:after="0" w:line="53" w:lineRule="exact"/>
        <w:rPr>
          <w:rFonts w:ascii="Arial" w:cs="Arial" w:eastAsia="Arial" w:hAnsi="Arial"/>
          <w:sz w:val="19"/>
          <w:szCs w:val="19"/>
          <w:color w:val="auto"/>
          <w:vertAlign w:val="superscript"/>
        </w:rPr>
      </w:pPr>
    </w:p>
    <w:p>
      <w:pPr>
        <w:spacing w:after="0"/>
        <w:rPr>
          <w:rFonts w:ascii="Arial" w:cs="Arial" w:eastAsia="Arial" w:hAnsi="Arial"/>
          <w:sz w:val="19"/>
          <w:szCs w:val="19"/>
          <w:color w:val="auto"/>
          <w:vertAlign w:val="superscript"/>
        </w:rPr>
      </w:pPr>
      <w:r>
        <w:rPr>
          <w:rFonts w:ascii="Arial" w:cs="Arial" w:eastAsia="Arial" w:hAnsi="Arial"/>
          <w:sz w:val="18"/>
          <w:szCs w:val="18"/>
          <w:color w:val="auto"/>
          <w:vertAlign w:val="superscript"/>
        </w:rPr>
        <w:t>3</w:t>
      </w:r>
      <w:r>
        <w:rPr>
          <w:rFonts w:ascii="Arial" w:cs="Arial" w:eastAsia="Arial" w:hAnsi="Arial"/>
          <w:sz w:val="14"/>
          <w:szCs w:val="14"/>
          <w:color w:val="auto"/>
        </w:rPr>
        <w:t xml:space="preserve">  Ms. Ashkenazi forfeited her bonus payout upon her exit from the company on July 30, 2024.</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2023-2025 Performance Awards</w:t>
      </w:r>
    </w:p>
    <w:p>
      <w:pPr>
        <w:spacing w:after="0" w:line="108" w:lineRule="exact"/>
        <w:rPr>
          <w:sz w:val="20"/>
          <w:szCs w:val="20"/>
          <w:color w:val="auto"/>
        </w:rPr>
      </w:pPr>
    </w:p>
    <w:p>
      <w:pPr>
        <w:jc w:val="both"/>
        <w:ind w:right="100"/>
        <w:spacing w:after="0" w:line="262" w:lineRule="auto"/>
        <w:rPr>
          <w:sz w:val="20"/>
          <w:szCs w:val="20"/>
          <w:color w:val="auto"/>
        </w:rPr>
      </w:pPr>
      <w:r>
        <w:rPr>
          <w:rFonts w:ascii="Arial" w:cs="Arial" w:eastAsia="Arial" w:hAnsi="Arial"/>
          <w:sz w:val="18"/>
          <w:szCs w:val="18"/>
          <w:color w:val="auto"/>
        </w:rPr>
        <w:t>In 2023, the company awarded equity incentives to executive officers partially in the form of a performance award, which is a performance-based equity award that vests over three years. Payout is based on the company’s two-year growth in EPS relative to the median external analyst-anticipated peer group EPS growth. After the two-year performance period, the performance-adjusted shares are then subject to a 13-month service-vesting period.</w:t>
      </w:r>
    </w:p>
    <w:p>
      <w:pPr>
        <w:spacing w:after="0" w:line="122"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target cumulative EPS for the 2023-2025 performance award was originally set in the first quarter of 2023 based on an anticipated peer group EPS growth of 2.0 percent annually, resulting in a total cumulative target EPS of $18.21 over the two-year performance period. The company’s actual adjusted non-GAAP EPS over the performance period was $26.93, representing a growth rate of 31.6 percent and a final payout percentage of 200 percent.</w:t>
      </w:r>
    </w:p>
    <w:p>
      <w:pPr>
        <w:spacing w:after="0" w:line="153" w:lineRule="exact"/>
        <w:rPr>
          <w:sz w:val="20"/>
          <w:szCs w:val="20"/>
          <w:color w:val="auto"/>
        </w:rPr>
      </w:pPr>
    </w:p>
    <w:p>
      <w:pPr>
        <w:ind w:left="2580"/>
        <w:spacing w:after="0"/>
        <w:rPr>
          <w:sz w:val="20"/>
          <w:szCs w:val="20"/>
          <w:color w:val="auto"/>
        </w:rPr>
      </w:pPr>
      <w:r>
        <w:rPr>
          <w:rFonts w:ascii="Arial" w:cs="Arial" w:eastAsia="Arial" w:hAnsi="Arial"/>
          <w:sz w:val="22"/>
          <w:szCs w:val="22"/>
          <w:b w:val="1"/>
          <w:bCs w:val="1"/>
          <w:color w:val="auto"/>
        </w:rPr>
        <w:t>2023-2025 Performance Award Payout</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6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0" w:type="dxa"/>
            <w:vAlign w:val="bottom"/>
            <w:gridSpan w:val="2"/>
          </w:tcPr>
          <w:p>
            <w:pPr>
              <w:jc w:val="right"/>
              <w:ind w:right="128"/>
              <w:spacing w:after="0"/>
              <w:rPr>
                <w:sz w:val="20"/>
                <w:szCs w:val="20"/>
                <w:color w:val="auto"/>
              </w:rPr>
            </w:pPr>
            <w:r>
              <w:rPr>
                <w:rFonts w:ascii="Arial" w:cs="Arial" w:eastAsia="Arial" w:hAnsi="Arial"/>
                <w:sz w:val="13"/>
                <w:szCs w:val="13"/>
                <w:b w:val="1"/>
                <w:bCs w:val="1"/>
                <w:color w:val="auto"/>
              </w:rPr>
              <w:t>Final Result:</w:t>
            </w:r>
          </w:p>
        </w:tc>
      </w:tr>
      <w:tr>
        <w:trPr>
          <w:trHeight w:val="121"/>
        </w:trPr>
        <w:tc>
          <w:tcPr>
            <w:tcW w:w="164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0" w:type="dxa"/>
            <w:vAlign w:val="bottom"/>
            <w:gridSpan w:val="2"/>
          </w:tcPr>
          <w:p>
            <w:pPr>
              <w:jc w:val="right"/>
              <w:ind w:right="128"/>
              <w:spacing w:after="0" w:line="122" w:lineRule="exact"/>
              <w:rPr>
                <w:sz w:val="20"/>
                <w:szCs w:val="20"/>
                <w:color w:val="auto"/>
              </w:rPr>
            </w:pPr>
            <w:r>
              <w:rPr>
                <w:rFonts w:ascii="Arial" w:cs="Arial" w:eastAsia="Arial" w:hAnsi="Arial"/>
                <w:sz w:val="13"/>
                <w:szCs w:val="13"/>
                <w:b w:val="1"/>
                <w:bCs w:val="1"/>
                <w:color w:val="auto"/>
              </w:rPr>
              <w:t>EPS Growth: 31.6%</w:t>
            </w:r>
          </w:p>
        </w:tc>
      </w:tr>
      <w:tr>
        <w:trPr>
          <w:trHeight w:val="172"/>
        </w:trPr>
        <w:tc>
          <w:tcPr>
            <w:tcW w:w="16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0" w:type="dxa"/>
            <w:vAlign w:val="bottom"/>
            <w:gridSpan w:val="2"/>
          </w:tcPr>
          <w:p>
            <w:pPr>
              <w:jc w:val="right"/>
              <w:ind w:right="128"/>
              <w:spacing w:after="0"/>
              <w:rPr>
                <w:sz w:val="20"/>
                <w:szCs w:val="20"/>
                <w:color w:val="auto"/>
              </w:rPr>
            </w:pPr>
            <w:r>
              <w:rPr>
                <w:rFonts w:ascii="Arial" w:cs="Arial" w:eastAsia="Arial" w:hAnsi="Arial"/>
                <w:sz w:val="13"/>
                <w:szCs w:val="13"/>
                <w:b w:val="1"/>
                <w:bCs w:val="1"/>
                <w:color w:val="auto"/>
              </w:rPr>
              <w:t>Total Adj. EPS: $26.93</w:t>
            </w:r>
          </w:p>
        </w:tc>
      </w:tr>
      <w:tr>
        <w:trPr>
          <w:trHeight w:val="273"/>
        </w:trPr>
        <w:tc>
          <w:tcPr>
            <w:tcW w:w="164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40" w:type="dxa"/>
            <w:vAlign w:val="bottom"/>
            <w:gridSpan w:val="2"/>
          </w:tcPr>
          <w:p>
            <w:pPr>
              <w:ind w:left="220"/>
              <w:spacing w:after="0"/>
              <w:rPr>
                <w:sz w:val="20"/>
                <w:szCs w:val="20"/>
                <w:color w:val="auto"/>
              </w:rPr>
            </w:pPr>
            <w:r>
              <w:rPr>
                <w:rFonts w:ascii="Arial" w:cs="Arial" w:eastAsia="Arial" w:hAnsi="Arial"/>
                <w:sz w:val="14"/>
                <w:szCs w:val="14"/>
                <w:b w:val="1"/>
                <w:bCs w:val="1"/>
                <w:color w:val="auto"/>
              </w:rPr>
              <w:t>Target</w:t>
            </w:r>
          </w:p>
        </w:tc>
        <w:tc>
          <w:tcPr>
            <w:tcW w:w="840" w:type="dxa"/>
            <w:vAlign w:val="bottom"/>
          </w:tcPr>
          <w:p>
            <w:pPr>
              <w:spacing w:after="0"/>
              <w:rPr>
                <w:sz w:val="23"/>
                <w:szCs w:val="23"/>
                <w:color w:val="auto"/>
              </w:rPr>
            </w:pPr>
          </w:p>
        </w:tc>
        <w:tc>
          <w:tcPr>
            <w:tcW w:w="760" w:type="dxa"/>
            <w:vAlign w:val="bottom"/>
          </w:tcPr>
          <w:p>
            <w:pPr>
              <w:spacing w:after="0"/>
              <w:rPr>
                <w:sz w:val="23"/>
                <w:szCs w:val="23"/>
                <w:color w:val="auto"/>
              </w:rPr>
            </w:pPr>
          </w:p>
        </w:tc>
      </w:tr>
      <w:tr>
        <w:trPr>
          <w:trHeight w:val="163"/>
        </w:trPr>
        <w:tc>
          <w:tcPr>
            <w:tcW w:w="1640" w:type="dxa"/>
            <w:vAlign w:val="bottom"/>
            <w:tcBorders>
              <w:right w:val="single" w:sz="8" w:color="242424"/>
            </w:tcBorders>
          </w:tcPr>
          <w:p>
            <w:pPr>
              <w:spacing w:after="0"/>
              <w:rPr>
                <w:sz w:val="14"/>
                <w:szCs w:val="14"/>
                <w:color w:val="auto"/>
              </w:rPr>
            </w:pPr>
          </w:p>
        </w:tc>
        <w:tc>
          <w:tcPr>
            <w:tcW w:w="1540" w:type="dxa"/>
            <w:vAlign w:val="bottom"/>
          </w:tcPr>
          <w:p>
            <w:pPr>
              <w:spacing w:after="0"/>
              <w:rPr>
                <w:sz w:val="14"/>
                <w:szCs w:val="14"/>
                <w:color w:val="auto"/>
              </w:rPr>
            </w:pPr>
          </w:p>
        </w:tc>
        <w:tc>
          <w:tcPr>
            <w:tcW w:w="820" w:type="dxa"/>
            <w:vAlign w:val="bottom"/>
            <w:tcBorders>
              <w:right w:val="single" w:sz="8" w:color="auto"/>
            </w:tcBorders>
          </w:tcPr>
          <w:p>
            <w:pPr>
              <w:spacing w:after="0"/>
              <w:rPr>
                <w:sz w:val="14"/>
                <w:szCs w:val="14"/>
                <w:color w:val="auto"/>
              </w:rPr>
            </w:pPr>
          </w:p>
        </w:tc>
        <w:tc>
          <w:tcPr>
            <w:tcW w:w="170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Borders>
              <w:right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Borders>
              <w:right w:val="single" w:sz="8" w:color="auto"/>
            </w:tcBorders>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r>
      <w:tr>
        <w:trPr>
          <w:trHeight w:val="363"/>
        </w:trPr>
        <w:tc>
          <w:tcPr>
            <w:tcW w:w="1640" w:type="dxa"/>
            <w:vAlign w:val="bottom"/>
            <w:tcBorders>
              <w:right w:val="single" w:sz="8" w:color="242424"/>
            </w:tcBorders>
          </w:tcPr>
          <w:p>
            <w:pPr>
              <w:spacing w:after="0"/>
              <w:rPr>
                <w:sz w:val="24"/>
                <w:szCs w:val="24"/>
                <w:color w:val="auto"/>
              </w:rPr>
            </w:pPr>
          </w:p>
        </w:tc>
        <w:tc>
          <w:tcPr>
            <w:tcW w:w="1540" w:type="dxa"/>
            <w:vAlign w:val="bottom"/>
            <w:shd w:val="clear" w:color="auto" w:fill="BFE4FF"/>
          </w:tcPr>
          <w:p>
            <w:pPr>
              <w:jc w:val="right"/>
              <w:ind w:right="188"/>
              <w:spacing w:after="0"/>
              <w:rPr>
                <w:sz w:val="20"/>
                <w:szCs w:val="20"/>
                <w:color w:val="auto"/>
              </w:rPr>
            </w:pPr>
            <w:r>
              <w:rPr>
                <w:rFonts w:ascii="Arial" w:cs="Arial" w:eastAsia="Arial" w:hAnsi="Arial"/>
                <w:sz w:val="14"/>
                <w:szCs w:val="14"/>
                <w:b w:val="1"/>
                <w:bCs w:val="1"/>
                <w:color w:val="auto"/>
              </w:rPr>
              <w:t>0%</w:t>
            </w:r>
          </w:p>
        </w:tc>
        <w:tc>
          <w:tcPr>
            <w:tcW w:w="820" w:type="dxa"/>
            <w:vAlign w:val="bottom"/>
            <w:tcBorders>
              <w:right w:val="single" w:sz="8" w:color="auto"/>
            </w:tcBorders>
            <w:shd w:val="clear" w:color="auto" w:fill="BFE4FF"/>
          </w:tcPr>
          <w:p>
            <w:pPr>
              <w:spacing w:after="0"/>
              <w:rPr>
                <w:sz w:val="24"/>
                <w:szCs w:val="24"/>
                <w:color w:val="auto"/>
              </w:rPr>
            </w:pPr>
          </w:p>
        </w:tc>
        <w:tc>
          <w:tcPr>
            <w:tcW w:w="1700" w:type="dxa"/>
            <w:vAlign w:val="bottom"/>
            <w:shd w:val="clear" w:color="auto" w:fill="BFE4FF"/>
          </w:tcPr>
          <w:p>
            <w:pPr>
              <w:jc w:val="right"/>
              <w:ind w:right="348"/>
              <w:spacing w:after="0"/>
              <w:rPr>
                <w:sz w:val="20"/>
                <w:szCs w:val="20"/>
                <w:color w:val="auto"/>
              </w:rPr>
            </w:pPr>
            <w:r>
              <w:rPr>
                <w:rFonts w:ascii="Arial" w:cs="Arial" w:eastAsia="Arial" w:hAnsi="Arial"/>
                <w:sz w:val="14"/>
                <w:szCs w:val="14"/>
                <w:b w:val="1"/>
                <w:bCs w:val="1"/>
                <w:color w:val="auto"/>
              </w:rPr>
              <w:t>50%</w:t>
            </w:r>
          </w:p>
        </w:tc>
        <w:tc>
          <w:tcPr>
            <w:tcW w:w="620" w:type="dxa"/>
            <w:vAlign w:val="bottom"/>
            <w:tcBorders>
              <w:right w:val="single" w:sz="8" w:color="auto"/>
            </w:tcBorders>
            <w:shd w:val="clear" w:color="auto" w:fill="BFE4FF"/>
          </w:tcPr>
          <w:p>
            <w:pPr>
              <w:spacing w:after="0"/>
              <w:rPr>
                <w:sz w:val="24"/>
                <w:szCs w:val="24"/>
                <w:color w:val="auto"/>
              </w:rPr>
            </w:pPr>
          </w:p>
        </w:tc>
        <w:tc>
          <w:tcPr>
            <w:tcW w:w="880" w:type="dxa"/>
            <w:vAlign w:val="bottom"/>
            <w:tcBorders>
              <w:right w:val="single" w:sz="8" w:color="auto"/>
            </w:tcBorders>
            <w:gridSpan w:val="2"/>
            <w:shd w:val="clear" w:color="auto" w:fill="BFE4FF"/>
          </w:tcPr>
          <w:p>
            <w:pPr>
              <w:jc w:val="right"/>
              <w:ind w:right="28"/>
              <w:spacing w:after="0"/>
              <w:rPr>
                <w:sz w:val="20"/>
                <w:szCs w:val="20"/>
                <w:color w:val="auto"/>
              </w:rPr>
            </w:pPr>
            <w:r>
              <w:rPr>
                <w:rFonts w:ascii="Arial" w:cs="Arial" w:eastAsia="Arial" w:hAnsi="Arial"/>
                <w:sz w:val="14"/>
                <w:szCs w:val="14"/>
                <w:b w:val="1"/>
                <w:bCs w:val="1"/>
                <w:color w:val="auto"/>
              </w:rPr>
              <w:t>51% - 99%</w:t>
            </w:r>
          </w:p>
        </w:tc>
        <w:tc>
          <w:tcPr>
            <w:tcW w:w="1140" w:type="dxa"/>
            <w:vAlign w:val="bottom"/>
            <w:tcBorders>
              <w:right w:val="single" w:sz="8" w:color="auto"/>
            </w:tcBorders>
            <w:gridSpan w:val="2"/>
            <w:shd w:val="clear" w:color="auto" w:fill="BFE4FF"/>
          </w:tcPr>
          <w:p>
            <w:pPr>
              <w:jc w:val="right"/>
              <w:ind w:right="73"/>
              <w:spacing w:after="0"/>
              <w:rPr>
                <w:sz w:val="20"/>
                <w:szCs w:val="20"/>
                <w:color w:val="auto"/>
              </w:rPr>
            </w:pPr>
            <w:r>
              <w:rPr>
                <w:rFonts w:ascii="Arial" w:cs="Arial" w:eastAsia="Arial" w:hAnsi="Arial"/>
                <w:sz w:val="14"/>
                <w:szCs w:val="14"/>
                <w:b w:val="1"/>
                <w:bCs w:val="1"/>
                <w:color w:val="auto"/>
              </w:rPr>
              <w:t>100% - 199%</w:t>
            </w:r>
          </w:p>
        </w:tc>
        <w:tc>
          <w:tcPr>
            <w:tcW w:w="760" w:type="dxa"/>
            <w:vAlign w:val="bottom"/>
            <w:tcBorders>
              <w:right w:val="single" w:sz="8" w:color="auto"/>
            </w:tcBorders>
            <w:shd w:val="clear" w:color="auto" w:fill="BFE4FF"/>
          </w:tcPr>
          <w:p>
            <w:pPr>
              <w:jc w:val="right"/>
              <w:ind w:right="208"/>
              <w:spacing w:after="0"/>
              <w:rPr>
                <w:sz w:val="20"/>
                <w:szCs w:val="20"/>
                <w:color w:val="auto"/>
              </w:rPr>
            </w:pPr>
            <w:r>
              <w:rPr>
                <w:rFonts w:ascii="Arial" w:cs="Arial" w:eastAsia="Arial" w:hAnsi="Arial"/>
                <w:sz w:val="14"/>
                <w:szCs w:val="14"/>
                <w:b w:val="1"/>
                <w:bCs w:val="1"/>
                <w:color w:val="auto"/>
              </w:rPr>
              <w:t>200%</w:t>
            </w:r>
          </w:p>
        </w:tc>
      </w:tr>
      <w:tr>
        <w:trPr>
          <w:trHeight w:val="164"/>
        </w:trPr>
        <w:tc>
          <w:tcPr>
            <w:tcW w:w="1640" w:type="dxa"/>
            <w:vAlign w:val="bottom"/>
            <w:tcBorders>
              <w:right w:val="single" w:sz="8" w:color="242424"/>
            </w:tcBorders>
          </w:tcPr>
          <w:p>
            <w:pPr>
              <w:spacing w:after="0"/>
              <w:rPr>
                <w:sz w:val="14"/>
                <w:szCs w:val="14"/>
                <w:color w:val="auto"/>
              </w:rPr>
            </w:pPr>
          </w:p>
        </w:tc>
        <w:tc>
          <w:tcPr>
            <w:tcW w:w="1540" w:type="dxa"/>
            <w:vAlign w:val="bottom"/>
            <w:shd w:val="clear" w:color="auto" w:fill="BFE4FF"/>
          </w:tcPr>
          <w:p>
            <w:pPr>
              <w:spacing w:after="0"/>
              <w:rPr>
                <w:sz w:val="14"/>
                <w:szCs w:val="14"/>
                <w:color w:val="auto"/>
              </w:rPr>
            </w:pPr>
          </w:p>
        </w:tc>
        <w:tc>
          <w:tcPr>
            <w:tcW w:w="820" w:type="dxa"/>
            <w:vAlign w:val="bottom"/>
            <w:tcBorders>
              <w:right w:val="single" w:sz="8" w:color="auto"/>
            </w:tcBorders>
            <w:shd w:val="clear" w:color="auto" w:fill="BFE4FF"/>
          </w:tcPr>
          <w:p>
            <w:pPr>
              <w:spacing w:after="0"/>
              <w:rPr>
                <w:sz w:val="14"/>
                <w:szCs w:val="14"/>
                <w:color w:val="auto"/>
              </w:rPr>
            </w:pPr>
          </w:p>
        </w:tc>
        <w:tc>
          <w:tcPr>
            <w:tcW w:w="1700" w:type="dxa"/>
            <w:vAlign w:val="bottom"/>
            <w:shd w:val="clear" w:color="auto" w:fill="BFE4FF"/>
          </w:tcPr>
          <w:p>
            <w:pPr>
              <w:spacing w:after="0"/>
              <w:rPr>
                <w:sz w:val="14"/>
                <w:szCs w:val="14"/>
                <w:color w:val="auto"/>
              </w:rPr>
            </w:pPr>
          </w:p>
        </w:tc>
        <w:tc>
          <w:tcPr>
            <w:tcW w:w="620" w:type="dxa"/>
            <w:vAlign w:val="bottom"/>
            <w:tcBorders>
              <w:right w:val="single" w:sz="8" w:color="auto"/>
            </w:tcBorders>
            <w:shd w:val="clear" w:color="auto" w:fill="BFE4FF"/>
          </w:tcPr>
          <w:p>
            <w:pPr>
              <w:spacing w:after="0"/>
              <w:rPr>
                <w:sz w:val="14"/>
                <w:szCs w:val="14"/>
                <w:color w:val="auto"/>
              </w:rPr>
            </w:pPr>
          </w:p>
        </w:tc>
        <w:tc>
          <w:tcPr>
            <w:tcW w:w="440" w:type="dxa"/>
            <w:vAlign w:val="bottom"/>
            <w:shd w:val="clear" w:color="auto" w:fill="BFE4FF"/>
          </w:tcPr>
          <w:p>
            <w:pPr>
              <w:spacing w:after="0"/>
              <w:rPr>
                <w:sz w:val="14"/>
                <w:szCs w:val="14"/>
                <w:color w:val="auto"/>
              </w:rPr>
            </w:pPr>
          </w:p>
        </w:tc>
        <w:tc>
          <w:tcPr>
            <w:tcW w:w="440" w:type="dxa"/>
            <w:vAlign w:val="bottom"/>
            <w:tcBorders>
              <w:right w:val="single" w:sz="8" w:color="auto"/>
            </w:tcBorders>
            <w:shd w:val="clear" w:color="auto" w:fill="BFE4FF"/>
          </w:tcPr>
          <w:p>
            <w:pPr>
              <w:spacing w:after="0"/>
              <w:rPr>
                <w:sz w:val="14"/>
                <w:szCs w:val="14"/>
                <w:color w:val="auto"/>
              </w:rPr>
            </w:pPr>
          </w:p>
        </w:tc>
        <w:tc>
          <w:tcPr>
            <w:tcW w:w="300" w:type="dxa"/>
            <w:vAlign w:val="bottom"/>
            <w:shd w:val="clear" w:color="auto" w:fill="BFE4FF"/>
          </w:tcPr>
          <w:p>
            <w:pPr>
              <w:spacing w:after="0"/>
              <w:rPr>
                <w:sz w:val="14"/>
                <w:szCs w:val="14"/>
                <w:color w:val="auto"/>
              </w:rPr>
            </w:pPr>
          </w:p>
        </w:tc>
        <w:tc>
          <w:tcPr>
            <w:tcW w:w="840" w:type="dxa"/>
            <w:vAlign w:val="bottom"/>
            <w:tcBorders>
              <w:right w:val="single" w:sz="8" w:color="auto"/>
            </w:tcBorders>
            <w:shd w:val="clear" w:color="auto" w:fill="BFE4FF"/>
          </w:tcPr>
          <w:p>
            <w:pPr>
              <w:spacing w:after="0"/>
              <w:rPr>
                <w:sz w:val="14"/>
                <w:szCs w:val="14"/>
                <w:color w:val="auto"/>
              </w:rPr>
            </w:pPr>
          </w:p>
        </w:tc>
        <w:tc>
          <w:tcPr>
            <w:tcW w:w="760" w:type="dxa"/>
            <w:vAlign w:val="bottom"/>
            <w:tcBorders>
              <w:right w:val="single" w:sz="8" w:color="auto"/>
            </w:tcBorders>
            <w:shd w:val="clear" w:color="auto" w:fill="BFE4FF"/>
          </w:tcPr>
          <w:p>
            <w:pPr>
              <w:spacing w:after="0"/>
              <w:rPr>
                <w:sz w:val="14"/>
                <w:szCs w:val="14"/>
                <w:color w:val="auto"/>
              </w:rPr>
            </w:pPr>
          </w:p>
        </w:tc>
      </w:tr>
      <w:tr>
        <w:trPr>
          <w:trHeight w:val="95"/>
        </w:trPr>
        <w:tc>
          <w:tcPr>
            <w:tcW w:w="1640" w:type="dxa"/>
            <w:vAlign w:val="bottom"/>
            <w:tcBorders>
              <w:right w:val="single" w:sz="8" w:color="242424"/>
            </w:tcBorders>
          </w:tcPr>
          <w:p>
            <w:pPr>
              <w:spacing w:after="0"/>
              <w:rPr>
                <w:sz w:val="8"/>
                <w:szCs w:val="8"/>
                <w:color w:val="auto"/>
              </w:rPr>
            </w:pPr>
          </w:p>
        </w:tc>
        <w:tc>
          <w:tcPr>
            <w:tcW w:w="1540" w:type="dxa"/>
            <w:vAlign w:val="bottom"/>
            <w:tcBorders>
              <w:bottom w:val="single" w:sz="8" w:color="auto"/>
            </w:tcBorders>
          </w:tcPr>
          <w:p>
            <w:pPr>
              <w:spacing w:after="0"/>
              <w:rPr>
                <w:sz w:val="8"/>
                <w:szCs w:val="8"/>
                <w:color w:val="auto"/>
              </w:rPr>
            </w:pPr>
          </w:p>
        </w:tc>
        <w:tc>
          <w:tcPr>
            <w:tcW w:w="820" w:type="dxa"/>
            <w:vAlign w:val="bottom"/>
            <w:tcBorders>
              <w:bottom w:val="single" w:sz="8" w:color="auto"/>
              <w:right w:val="single" w:sz="8" w:color="auto"/>
            </w:tcBorders>
          </w:tcPr>
          <w:p>
            <w:pPr>
              <w:spacing w:after="0"/>
              <w:rPr>
                <w:sz w:val="8"/>
                <w:szCs w:val="8"/>
                <w:color w:val="auto"/>
              </w:rPr>
            </w:pPr>
          </w:p>
        </w:tc>
        <w:tc>
          <w:tcPr>
            <w:tcW w:w="1700" w:type="dxa"/>
            <w:vAlign w:val="bottom"/>
            <w:tcBorders>
              <w:bottom w:val="single" w:sz="8" w:color="auto"/>
            </w:tcBorders>
          </w:tcPr>
          <w:p>
            <w:pPr>
              <w:spacing w:after="0"/>
              <w:rPr>
                <w:sz w:val="8"/>
                <w:szCs w:val="8"/>
                <w:color w:val="auto"/>
              </w:rPr>
            </w:pPr>
          </w:p>
        </w:tc>
        <w:tc>
          <w:tcPr>
            <w:tcW w:w="620" w:type="dxa"/>
            <w:vAlign w:val="bottom"/>
            <w:tcBorders>
              <w:bottom w:val="single" w:sz="8" w:color="auto"/>
              <w:right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40" w:type="dxa"/>
            <w:vAlign w:val="bottom"/>
            <w:tcBorders>
              <w:bottom w:val="single" w:sz="8" w:color="auto"/>
              <w:right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840" w:type="dxa"/>
            <w:vAlign w:val="bottom"/>
            <w:tcBorders>
              <w:bottom w:val="single" w:sz="8" w:color="auto"/>
              <w:right w:val="single" w:sz="8" w:color="auto"/>
            </w:tcBorders>
          </w:tcPr>
          <w:p>
            <w:pPr>
              <w:spacing w:after="0"/>
              <w:rPr>
                <w:sz w:val="8"/>
                <w:szCs w:val="8"/>
                <w:color w:val="auto"/>
              </w:rPr>
            </w:pPr>
          </w:p>
        </w:tc>
        <w:tc>
          <w:tcPr>
            <w:tcW w:w="760" w:type="dxa"/>
            <w:vAlign w:val="bottom"/>
            <w:tcBorders>
              <w:bottom w:val="single" w:sz="8" w:color="auto"/>
              <w:right w:val="single" w:sz="8" w:color="auto"/>
            </w:tcBorders>
          </w:tcPr>
          <w:p>
            <w:pPr>
              <w:spacing w:after="0"/>
              <w:rPr>
                <w:sz w:val="8"/>
                <w:szCs w:val="8"/>
                <w:color w:val="auto"/>
              </w:rPr>
            </w:pPr>
          </w:p>
        </w:tc>
      </w:tr>
      <w:tr>
        <w:trPr>
          <w:trHeight w:val="88"/>
        </w:trPr>
        <w:tc>
          <w:tcPr>
            <w:tcW w:w="1640" w:type="dxa"/>
            <w:vAlign w:val="bottom"/>
            <w:tcBorders>
              <w:right w:val="single" w:sz="8" w:color="242424"/>
            </w:tcBorders>
          </w:tcPr>
          <w:p>
            <w:pPr>
              <w:spacing w:after="0"/>
              <w:rPr>
                <w:sz w:val="7"/>
                <w:szCs w:val="7"/>
                <w:color w:val="auto"/>
              </w:rPr>
            </w:pPr>
          </w:p>
        </w:tc>
        <w:tc>
          <w:tcPr>
            <w:tcW w:w="1540" w:type="dxa"/>
            <w:vAlign w:val="bottom"/>
          </w:tcPr>
          <w:p>
            <w:pPr>
              <w:spacing w:after="0"/>
              <w:rPr>
                <w:sz w:val="7"/>
                <w:szCs w:val="7"/>
                <w:color w:val="auto"/>
              </w:rPr>
            </w:pPr>
          </w:p>
        </w:tc>
        <w:tc>
          <w:tcPr>
            <w:tcW w:w="820" w:type="dxa"/>
            <w:vAlign w:val="bottom"/>
            <w:tcBorders>
              <w:right w:val="single" w:sz="8" w:color="auto"/>
            </w:tcBorders>
          </w:tcPr>
          <w:p>
            <w:pPr>
              <w:spacing w:after="0"/>
              <w:rPr>
                <w:sz w:val="7"/>
                <w:szCs w:val="7"/>
                <w:color w:val="auto"/>
              </w:rPr>
            </w:pPr>
          </w:p>
        </w:tc>
        <w:tc>
          <w:tcPr>
            <w:tcW w:w="1700" w:type="dxa"/>
            <w:vAlign w:val="bottom"/>
          </w:tcPr>
          <w:p>
            <w:pPr>
              <w:spacing w:after="0"/>
              <w:rPr>
                <w:sz w:val="7"/>
                <w:szCs w:val="7"/>
                <w:color w:val="auto"/>
              </w:rPr>
            </w:pPr>
          </w:p>
        </w:tc>
        <w:tc>
          <w:tcPr>
            <w:tcW w:w="620" w:type="dxa"/>
            <w:vAlign w:val="bottom"/>
            <w:tcBorders>
              <w:right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Borders>
              <w:right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840" w:type="dxa"/>
            <w:vAlign w:val="bottom"/>
            <w:tcBorders>
              <w:right w:val="single" w:sz="8" w:color="auto"/>
            </w:tcBorders>
          </w:tcPr>
          <w:p>
            <w:pPr>
              <w:spacing w:after="0"/>
              <w:rPr>
                <w:sz w:val="7"/>
                <w:szCs w:val="7"/>
                <w:color w:val="auto"/>
              </w:rPr>
            </w:pPr>
          </w:p>
        </w:tc>
        <w:tc>
          <w:tcPr>
            <w:tcW w:w="760" w:type="dxa"/>
            <w:vAlign w:val="bottom"/>
            <w:tcBorders>
              <w:right w:val="single" w:sz="8" w:color="auto"/>
            </w:tcBorders>
          </w:tcPr>
          <w:p>
            <w:pPr>
              <w:spacing w:after="0"/>
              <w:rPr>
                <w:sz w:val="7"/>
                <w:szCs w:val="7"/>
                <w:color w:val="auto"/>
              </w:rPr>
            </w:pPr>
          </w:p>
        </w:tc>
      </w:tr>
      <w:tr>
        <w:trPr>
          <w:trHeight w:val="377"/>
        </w:trPr>
        <w:tc>
          <w:tcPr>
            <w:tcW w:w="3180" w:type="dxa"/>
            <w:vAlign w:val="bottom"/>
            <w:tcBorders>
              <w:bottom w:val="single" w:sz="8" w:color="auto"/>
            </w:tcBorders>
            <w:gridSpan w:val="2"/>
          </w:tcPr>
          <w:p>
            <w:pPr>
              <w:jc w:val="right"/>
              <w:ind w:right="1508"/>
              <w:spacing w:after="0"/>
              <w:rPr>
                <w:sz w:val="20"/>
                <w:szCs w:val="20"/>
                <w:color w:val="auto"/>
              </w:rPr>
            </w:pPr>
            <w:r>
              <w:rPr>
                <w:rFonts w:ascii="Arial" w:cs="Arial" w:eastAsia="Arial" w:hAnsi="Arial"/>
                <w:sz w:val="14"/>
                <w:szCs w:val="14"/>
                <w:b w:val="1"/>
                <w:bCs w:val="1"/>
                <w:color w:val="auto"/>
              </w:rPr>
              <w:t>EPS Growth</w:t>
            </w:r>
          </w:p>
        </w:tc>
        <w:tc>
          <w:tcPr>
            <w:tcW w:w="2520" w:type="dxa"/>
            <w:vAlign w:val="bottom"/>
            <w:tcBorders>
              <w:bottom w:val="single" w:sz="8" w:color="auto"/>
            </w:tcBorders>
            <w:gridSpan w:val="2"/>
          </w:tcPr>
          <w:p>
            <w:pPr>
              <w:jc w:val="center"/>
              <w:ind w:right="848"/>
              <w:spacing w:after="0"/>
              <w:rPr>
                <w:sz w:val="20"/>
                <w:szCs w:val="20"/>
                <w:color w:val="auto"/>
              </w:rPr>
            </w:pPr>
            <w:r>
              <w:rPr>
                <w:rFonts w:ascii="Arial" w:cs="Arial" w:eastAsia="Arial" w:hAnsi="Arial"/>
                <w:sz w:val="14"/>
                <w:szCs w:val="14"/>
                <w:i w:val="1"/>
                <w:iCs w:val="1"/>
                <w:color w:val="auto"/>
              </w:rPr>
              <w:t>Payout threshold</w:t>
            </w:r>
          </w:p>
        </w:tc>
        <w:tc>
          <w:tcPr>
            <w:tcW w:w="1060" w:type="dxa"/>
            <w:vAlign w:val="bottom"/>
            <w:tcBorders>
              <w:bottom w:val="single" w:sz="8" w:color="auto"/>
            </w:tcBorders>
            <w:gridSpan w:val="2"/>
          </w:tcPr>
          <w:p>
            <w:pPr>
              <w:jc w:val="right"/>
              <w:ind w:right="168"/>
              <w:spacing w:after="0"/>
              <w:rPr>
                <w:sz w:val="20"/>
                <w:szCs w:val="20"/>
                <w:color w:val="auto"/>
              </w:rPr>
            </w:pPr>
            <w:r>
              <w:rPr>
                <w:rFonts w:ascii="Arial" w:cs="Arial" w:eastAsia="Arial" w:hAnsi="Arial"/>
                <w:sz w:val="14"/>
                <w:szCs w:val="14"/>
                <w:color w:val="auto"/>
              </w:rPr>
              <w:t>-6.0%</w:t>
            </w:r>
          </w:p>
        </w:tc>
        <w:tc>
          <w:tcPr>
            <w:tcW w:w="740" w:type="dxa"/>
            <w:vAlign w:val="bottom"/>
            <w:tcBorders>
              <w:bottom w:val="single" w:sz="8" w:color="auto"/>
            </w:tcBorders>
            <w:gridSpan w:val="2"/>
          </w:tcPr>
          <w:p>
            <w:pPr>
              <w:jc w:val="right"/>
              <w:ind w:right="68"/>
              <w:spacing w:after="0"/>
              <w:rPr>
                <w:sz w:val="20"/>
                <w:szCs w:val="20"/>
                <w:color w:val="auto"/>
              </w:rPr>
            </w:pPr>
            <w:r>
              <w:rPr>
                <w:rFonts w:ascii="Arial" w:cs="Arial" w:eastAsia="Arial" w:hAnsi="Arial"/>
                <w:sz w:val="14"/>
                <w:szCs w:val="14"/>
                <w:color w:val="auto"/>
              </w:rPr>
              <w:t>2.0%</w:t>
            </w:r>
          </w:p>
        </w:tc>
        <w:tc>
          <w:tcPr>
            <w:tcW w:w="1600" w:type="dxa"/>
            <w:vAlign w:val="bottom"/>
            <w:tcBorders>
              <w:bottom w:val="single" w:sz="8" w:color="auto"/>
            </w:tcBorders>
            <w:gridSpan w:val="2"/>
          </w:tcPr>
          <w:p>
            <w:pPr>
              <w:jc w:val="right"/>
              <w:ind w:right="508"/>
              <w:spacing w:after="0"/>
              <w:rPr>
                <w:sz w:val="20"/>
                <w:szCs w:val="20"/>
                <w:color w:val="auto"/>
              </w:rPr>
            </w:pPr>
            <w:r>
              <w:rPr>
                <w:rFonts w:ascii="Arial" w:cs="Arial" w:eastAsia="Arial" w:hAnsi="Arial"/>
                <w:sz w:val="14"/>
                <w:szCs w:val="14"/>
                <w:color w:val="auto"/>
              </w:rPr>
              <w:t>14.0%</w:t>
            </w:r>
          </w:p>
        </w:tc>
      </w:tr>
      <w:tr>
        <w:trPr>
          <w:trHeight w:val="195"/>
        </w:trPr>
        <w:tc>
          <w:tcPr>
            <w:tcW w:w="3180" w:type="dxa"/>
            <w:vAlign w:val="bottom"/>
            <w:gridSpan w:val="2"/>
          </w:tcPr>
          <w:p>
            <w:pPr>
              <w:jc w:val="right"/>
              <w:ind w:right="1508"/>
              <w:spacing w:after="0"/>
              <w:rPr>
                <w:sz w:val="20"/>
                <w:szCs w:val="20"/>
                <w:color w:val="auto"/>
              </w:rPr>
            </w:pPr>
            <w:r>
              <w:rPr>
                <w:rFonts w:ascii="Arial" w:cs="Arial" w:eastAsia="Arial" w:hAnsi="Arial"/>
                <w:sz w:val="14"/>
                <w:szCs w:val="14"/>
                <w:b w:val="1"/>
                <w:bCs w:val="1"/>
                <w:color w:val="auto"/>
              </w:rPr>
              <w:t>Cumulative 2-Year EPS</w:t>
            </w:r>
          </w:p>
        </w:tc>
        <w:tc>
          <w:tcPr>
            <w:tcW w:w="2520" w:type="dxa"/>
            <w:vAlign w:val="bottom"/>
            <w:gridSpan w:val="2"/>
          </w:tcPr>
          <w:p>
            <w:pPr>
              <w:jc w:val="right"/>
              <w:ind w:right="1468"/>
              <w:spacing w:after="0"/>
              <w:rPr>
                <w:sz w:val="20"/>
                <w:szCs w:val="20"/>
                <w:color w:val="auto"/>
              </w:rPr>
            </w:pPr>
            <w:r>
              <w:rPr>
                <w:rFonts w:ascii="Arial" w:cs="Arial" w:eastAsia="Arial" w:hAnsi="Arial"/>
                <w:sz w:val="14"/>
                <w:szCs w:val="14"/>
                <w:color w:val="auto"/>
              </w:rPr>
              <w:t>$8.84</w:t>
            </w:r>
          </w:p>
        </w:tc>
        <w:tc>
          <w:tcPr>
            <w:tcW w:w="1060" w:type="dxa"/>
            <w:vAlign w:val="bottom"/>
            <w:gridSpan w:val="2"/>
          </w:tcPr>
          <w:p>
            <w:pPr>
              <w:jc w:val="right"/>
              <w:ind w:right="128"/>
              <w:spacing w:after="0"/>
              <w:rPr>
                <w:sz w:val="20"/>
                <w:szCs w:val="20"/>
                <w:color w:val="auto"/>
              </w:rPr>
            </w:pPr>
            <w:r>
              <w:rPr>
                <w:rFonts w:ascii="Arial" w:cs="Arial" w:eastAsia="Arial" w:hAnsi="Arial"/>
                <w:sz w:val="14"/>
                <w:szCs w:val="14"/>
                <w:color w:val="auto"/>
              </w:rPr>
              <w:t>$16.12</w:t>
            </w:r>
          </w:p>
        </w:tc>
        <w:tc>
          <w:tcPr>
            <w:tcW w:w="740" w:type="dxa"/>
            <w:vAlign w:val="bottom"/>
            <w:gridSpan w:val="2"/>
          </w:tcPr>
          <w:p>
            <w:pPr>
              <w:jc w:val="right"/>
              <w:ind w:right="8"/>
              <w:spacing w:after="0"/>
              <w:rPr>
                <w:sz w:val="20"/>
                <w:szCs w:val="20"/>
                <w:color w:val="auto"/>
              </w:rPr>
            </w:pPr>
            <w:r>
              <w:rPr>
                <w:rFonts w:ascii="Arial" w:cs="Arial" w:eastAsia="Arial" w:hAnsi="Arial"/>
                <w:sz w:val="14"/>
                <w:szCs w:val="14"/>
                <w:color w:val="auto"/>
              </w:rPr>
              <w:t>$18.21</w:t>
            </w:r>
          </w:p>
        </w:tc>
        <w:tc>
          <w:tcPr>
            <w:tcW w:w="1600" w:type="dxa"/>
            <w:vAlign w:val="bottom"/>
            <w:gridSpan w:val="2"/>
          </w:tcPr>
          <w:p>
            <w:pPr>
              <w:jc w:val="right"/>
              <w:ind w:right="448"/>
              <w:spacing w:after="0"/>
              <w:rPr>
                <w:sz w:val="20"/>
                <w:szCs w:val="20"/>
                <w:color w:val="auto"/>
              </w:rPr>
            </w:pPr>
            <w:r>
              <w:rPr>
                <w:rFonts w:ascii="Arial" w:cs="Arial" w:eastAsia="Arial" w:hAnsi="Arial"/>
                <w:sz w:val="14"/>
                <w:szCs w:val="14"/>
                <w:color w:val="auto"/>
              </w:rPr>
              <w:t>$21.51+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5650230</wp:posOffset>
            </wp:positionH>
            <wp:positionV relativeFrom="paragraph">
              <wp:posOffset>-1116965</wp:posOffset>
            </wp:positionV>
            <wp:extent cx="33655" cy="754380"/>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33655" cy="754380"/>
                    </a:xfrm>
                    <a:prstGeom prst="rect">
                      <a:avLst/>
                    </a:prstGeom>
                    <a:noFill/>
                  </pic:spPr>
                </pic:pic>
              </a:graphicData>
            </a:graphic>
          </wp:anchor>
        </w:drawing>
      </w:r>
    </w:p>
    <w:p>
      <w:pPr>
        <w:spacing w:after="0" w:line="247"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For certain named executive officers, shares earned with respect to the two-year performance period are subject to an additional 13-month service-vesting period, as shown in the table below, as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4928870" cy="8890"/>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4928870" cy="8890"/>
                    </a:xfrm>
                    <a:prstGeom prst="rect">
                      <a:avLst/>
                    </a:prstGeom>
                    <a:noFill/>
                  </pic:spPr>
                </pic:pic>
              </a:graphicData>
            </a:graphic>
          </wp:anchor>
        </w:drawing>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40" w:type="dxa"/>
            <w:vAlign w:val="bottom"/>
            <w:tcBorders>
              <w:bottom w:val="single" w:sz="8" w:color="6D6D6D"/>
            </w:tcBorders>
          </w:tcPr>
          <w:p>
            <w:pPr>
              <w:ind w:left="20"/>
              <w:spacing w:after="0"/>
              <w:rPr>
                <w:sz w:val="20"/>
                <w:szCs w:val="20"/>
                <w:color w:val="auto"/>
              </w:rPr>
            </w:pPr>
            <w:r>
              <w:rPr>
                <w:rFonts w:ascii="Arial" w:cs="Arial" w:eastAsia="Arial" w:hAnsi="Arial"/>
                <w:sz w:val="14"/>
                <w:szCs w:val="14"/>
                <w:b w:val="1"/>
                <w:bCs w:val="1"/>
                <w:color w:val="auto"/>
              </w:rPr>
              <w:t>Name</w:t>
            </w:r>
          </w:p>
        </w:tc>
        <w:tc>
          <w:tcPr>
            <w:tcW w:w="2280" w:type="dxa"/>
            <w:vAlign w:val="bottom"/>
            <w:tcBorders>
              <w:bottom w:val="single" w:sz="8" w:color="6D6D6D"/>
            </w:tcBorders>
          </w:tcPr>
          <w:p>
            <w:pPr>
              <w:jc w:val="right"/>
              <w:ind w:right="308"/>
              <w:spacing w:after="0"/>
              <w:rPr>
                <w:sz w:val="20"/>
                <w:szCs w:val="20"/>
                <w:color w:val="auto"/>
              </w:rPr>
            </w:pPr>
            <w:r>
              <w:rPr>
                <w:rFonts w:ascii="Arial" w:cs="Arial" w:eastAsia="Arial" w:hAnsi="Arial"/>
                <w:sz w:val="14"/>
                <w:szCs w:val="14"/>
                <w:b w:val="1"/>
                <w:bCs w:val="1"/>
                <w:color w:val="auto"/>
              </w:rPr>
              <w:t>Target Shares</w:t>
            </w:r>
          </w:p>
        </w:tc>
        <w:tc>
          <w:tcPr>
            <w:tcW w:w="1840" w:type="dxa"/>
            <w:vAlign w:val="bottom"/>
            <w:tcBorders>
              <w:bottom w:val="single" w:sz="8" w:color="6D6D6D"/>
            </w:tcBorders>
          </w:tcPr>
          <w:p>
            <w:pPr>
              <w:jc w:val="right"/>
              <w:ind w:right="368"/>
              <w:spacing w:after="0"/>
              <w:rPr>
                <w:sz w:val="20"/>
                <w:szCs w:val="20"/>
                <w:color w:val="auto"/>
              </w:rPr>
            </w:pPr>
            <w:r>
              <w:rPr>
                <w:rFonts w:ascii="Arial" w:cs="Arial" w:eastAsia="Arial" w:hAnsi="Arial"/>
                <w:sz w:val="14"/>
                <w:szCs w:val="14"/>
                <w:b w:val="1"/>
                <w:bCs w:val="1"/>
                <w:color w:val="auto"/>
              </w:rPr>
              <w:t>Shares Earned</w:t>
            </w:r>
          </w:p>
        </w:tc>
        <w:tc>
          <w:tcPr>
            <w:tcW w:w="1620" w:type="dxa"/>
            <w:vAlign w:val="bottom"/>
            <w:tcBorders>
              <w:bottom w:val="single" w:sz="8" w:color="6D6D6D"/>
            </w:tcBorders>
          </w:tcPr>
          <w:p>
            <w:pPr>
              <w:jc w:val="right"/>
              <w:ind w:right="588"/>
              <w:spacing w:after="0"/>
              <w:rPr>
                <w:sz w:val="20"/>
                <w:szCs w:val="20"/>
                <w:color w:val="auto"/>
              </w:rPr>
            </w:pPr>
            <w:r>
              <w:rPr>
                <w:rFonts w:ascii="Arial" w:cs="Arial" w:eastAsia="Arial" w:hAnsi="Arial"/>
                <w:sz w:val="14"/>
                <w:szCs w:val="14"/>
                <w:b w:val="1"/>
                <w:bCs w:val="1"/>
                <w:color w:val="auto"/>
              </w:rPr>
              <w:t>RSUs</w:t>
            </w:r>
          </w:p>
        </w:tc>
      </w:tr>
      <w:tr>
        <w:trPr>
          <w:trHeight w:val="223"/>
        </w:trPr>
        <w:tc>
          <w:tcPr>
            <w:tcW w:w="204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4"/>
                <w:szCs w:val="14"/>
                <w:color w:val="auto"/>
              </w:rPr>
              <w:t>Mr. Ricks</w:t>
            </w:r>
          </w:p>
        </w:tc>
        <w:tc>
          <w:tcPr>
            <w:tcW w:w="2280" w:type="dxa"/>
            <w:vAlign w:val="bottom"/>
            <w:tcBorders>
              <w:bottom w:val="single" w:sz="8" w:color="F2F2F2"/>
            </w:tcBorders>
            <w:shd w:val="clear" w:color="auto" w:fill="F2F2F2"/>
          </w:tcPr>
          <w:p>
            <w:pPr>
              <w:jc w:val="right"/>
              <w:ind w:right="508"/>
              <w:spacing w:after="0"/>
              <w:rPr>
                <w:sz w:val="20"/>
                <w:szCs w:val="20"/>
                <w:color w:val="auto"/>
              </w:rPr>
            </w:pPr>
            <w:r>
              <w:rPr>
                <w:rFonts w:ascii="Arial" w:cs="Arial" w:eastAsia="Arial" w:hAnsi="Arial"/>
                <w:sz w:val="14"/>
                <w:szCs w:val="14"/>
                <w:color w:val="auto"/>
              </w:rPr>
              <w:t>15,966.00</w:t>
            </w:r>
          </w:p>
        </w:tc>
        <w:tc>
          <w:tcPr>
            <w:tcW w:w="1840" w:type="dxa"/>
            <w:vAlign w:val="bottom"/>
            <w:tcBorders>
              <w:bottom w:val="single" w:sz="8" w:color="F2F2F2"/>
            </w:tcBorders>
            <w:shd w:val="clear" w:color="auto" w:fill="F2F2F2"/>
          </w:tcPr>
          <w:p>
            <w:pPr>
              <w:jc w:val="right"/>
              <w:ind w:right="628"/>
              <w:spacing w:after="0"/>
              <w:rPr>
                <w:sz w:val="20"/>
                <w:szCs w:val="20"/>
                <w:color w:val="auto"/>
              </w:rPr>
            </w:pPr>
            <w:r>
              <w:rPr>
                <w:rFonts w:ascii="Arial" w:cs="Arial" w:eastAsia="Arial" w:hAnsi="Arial"/>
                <w:sz w:val="14"/>
                <w:szCs w:val="14"/>
                <w:color w:val="auto"/>
              </w:rPr>
              <w:t>N/A</w:t>
            </w:r>
          </w:p>
        </w:tc>
        <w:tc>
          <w:tcPr>
            <w:tcW w:w="1620" w:type="dxa"/>
            <w:vAlign w:val="bottom"/>
            <w:tcBorders>
              <w:bottom w:val="single" w:sz="8" w:color="F2F2F2"/>
            </w:tcBorders>
            <w:shd w:val="clear" w:color="auto" w:fill="F2F2F2"/>
          </w:tcPr>
          <w:p>
            <w:pPr>
              <w:jc w:val="right"/>
              <w:ind w:right="468"/>
              <w:spacing w:after="0"/>
              <w:rPr>
                <w:sz w:val="20"/>
                <w:szCs w:val="20"/>
                <w:color w:val="auto"/>
              </w:rPr>
            </w:pPr>
            <w:r>
              <w:rPr>
                <w:rFonts w:ascii="Arial" w:cs="Arial" w:eastAsia="Arial" w:hAnsi="Arial"/>
                <w:sz w:val="14"/>
                <w:szCs w:val="14"/>
                <w:color w:val="auto"/>
              </w:rPr>
              <w:t>31,932.00</w:t>
            </w:r>
          </w:p>
        </w:tc>
      </w:tr>
      <w:tr>
        <w:trPr>
          <w:trHeight w:val="208"/>
        </w:trPr>
        <w:tc>
          <w:tcPr>
            <w:tcW w:w="2040" w:type="dxa"/>
            <w:vAlign w:val="bottom"/>
          </w:tcPr>
          <w:p>
            <w:pPr>
              <w:ind w:left="20"/>
              <w:spacing w:after="0"/>
              <w:rPr>
                <w:sz w:val="20"/>
                <w:szCs w:val="20"/>
                <w:color w:val="auto"/>
              </w:rPr>
            </w:pPr>
            <w:r>
              <w:rPr>
                <w:rFonts w:ascii="Arial" w:cs="Arial" w:eastAsia="Arial" w:hAnsi="Arial"/>
                <w:sz w:val="14"/>
                <w:szCs w:val="14"/>
                <w:color w:val="auto"/>
              </w:rPr>
              <w:t>Mr. Montarce</w:t>
            </w:r>
            <w:r>
              <w:rPr>
                <w:rFonts w:ascii="Arial" w:cs="Arial" w:eastAsia="Arial" w:hAnsi="Arial"/>
                <w:sz w:val="9"/>
                <w:szCs w:val="9"/>
                <w:color w:val="auto"/>
              </w:rPr>
              <w:t>1</w:t>
            </w:r>
          </w:p>
        </w:tc>
        <w:tc>
          <w:tcPr>
            <w:tcW w:w="2280" w:type="dxa"/>
            <w:vAlign w:val="bottom"/>
          </w:tcPr>
          <w:p>
            <w:pPr>
              <w:jc w:val="right"/>
              <w:ind w:right="508"/>
              <w:spacing w:after="0"/>
              <w:rPr>
                <w:sz w:val="20"/>
                <w:szCs w:val="20"/>
                <w:color w:val="auto"/>
              </w:rPr>
            </w:pPr>
            <w:r>
              <w:rPr>
                <w:rFonts w:ascii="Arial" w:cs="Arial" w:eastAsia="Arial" w:hAnsi="Arial"/>
                <w:sz w:val="14"/>
                <w:szCs w:val="14"/>
                <w:color w:val="auto"/>
              </w:rPr>
              <w:t>1,191.00</w:t>
            </w:r>
          </w:p>
        </w:tc>
        <w:tc>
          <w:tcPr>
            <w:tcW w:w="1840" w:type="dxa"/>
            <w:vAlign w:val="bottom"/>
          </w:tcPr>
          <w:p>
            <w:pPr>
              <w:jc w:val="right"/>
              <w:ind w:right="628"/>
              <w:spacing w:after="0"/>
              <w:rPr>
                <w:sz w:val="20"/>
                <w:szCs w:val="20"/>
                <w:color w:val="auto"/>
              </w:rPr>
            </w:pPr>
            <w:r>
              <w:rPr>
                <w:rFonts w:ascii="Arial" w:cs="Arial" w:eastAsia="Arial" w:hAnsi="Arial"/>
                <w:sz w:val="14"/>
                <w:szCs w:val="14"/>
                <w:color w:val="auto"/>
              </w:rPr>
              <w:t>2,382.00</w:t>
            </w:r>
          </w:p>
        </w:tc>
        <w:tc>
          <w:tcPr>
            <w:tcW w:w="1620" w:type="dxa"/>
            <w:vAlign w:val="bottom"/>
          </w:tcPr>
          <w:p>
            <w:pPr>
              <w:jc w:val="right"/>
              <w:ind w:right="468"/>
              <w:spacing w:after="0"/>
              <w:rPr>
                <w:sz w:val="20"/>
                <w:szCs w:val="20"/>
                <w:color w:val="auto"/>
              </w:rPr>
            </w:pPr>
            <w:r>
              <w:rPr>
                <w:rFonts w:ascii="Arial" w:cs="Arial" w:eastAsia="Arial" w:hAnsi="Arial"/>
                <w:sz w:val="14"/>
                <w:szCs w:val="14"/>
                <w:color w:val="auto"/>
              </w:rPr>
              <w:t>N/A</w:t>
            </w:r>
          </w:p>
        </w:tc>
      </w:tr>
      <w:tr>
        <w:trPr>
          <w:trHeight w:val="49"/>
        </w:trPr>
        <w:tc>
          <w:tcPr>
            <w:tcW w:w="2040" w:type="dxa"/>
            <w:vAlign w:val="bottom"/>
          </w:tcPr>
          <w:p>
            <w:pPr>
              <w:spacing w:after="0"/>
              <w:rPr>
                <w:sz w:val="4"/>
                <w:szCs w:val="4"/>
                <w:color w:val="auto"/>
              </w:rPr>
            </w:pPr>
          </w:p>
        </w:tc>
        <w:tc>
          <w:tcPr>
            <w:tcW w:w="2280" w:type="dxa"/>
            <w:vAlign w:val="bottom"/>
          </w:tcPr>
          <w:p>
            <w:pPr>
              <w:spacing w:after="0"/>
              <w:rPr>
                <w:sz w:val="4"/>
                <w:szCs w:val="4"/>
                <w:color w:val="auto"/>
              </w:rPr>
            </w:pPr>
          </w:p>
        </w:tc>
        <w:tc>
          <w:tcPr>
            <w:tcW w:w="1840" w:type="dxa"/>
            <w:vAlign w:val="bottom"/>
          </w:tcPr>
          <w:p>
            <w:pPr>
              <w:spacing w:after="0"/>
              <w:rPr>
                <w:sz w:val="4"/>
                <w:szCs w:val="4"/>
                <w:color w:val="auto"/>
              </w:rPr>
            </w:pPr>
          </w:p>
        </w:tc>
        <w:tc>
          <w:tcPr>
            <w:tcW w:w="1620" w:type="dxa"/>
            <w:vAlign w:val="bottom"/>
          </w:tcPr>
          <w:p>
            <w:pPr>
              <w:spacing w:after="0"/>
              <w:rPr>
                <w:sz w:val="4"/>
                <w:szCs w:val="4"/>
                <w:color w:val="auto"/>
              </w:rPr>
            </w:pPr>
          </w:p>
        </w:tc>
      </w:tr>
      <w:tr>
        <w:trPr>
          <w:trHeight w:val="236"/>
        </w:trPr>
        <w:tc>
          <w:tcPr>
            <w:tcW w:w="204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4"/>
                <w:szCs w:val="14"/>
                <w:color w:val="auto"/>
              </w:rPr>
              <w:t>Dr. Skovronsky</w:t>
            </w:r>
          </w:p>
        </w:tc>
        <w:tc>
          <w:tcPr>
            <w:tcW w:w="2280" w:type="dxa"/>
            <w:vAlign w:val="bottom"/>
            <w:tcBorders>
              <w:bottom w:val="single" w:sz="8" w:color="F2F2F2"/>
            </w:tcBorders>
            <w:shd w:val="clear" w:color="auto" w:fill="F2F2F2"/>
          </w:tcPr>
          <w:p>
            <w:pPr>
              <w:jc w:val="right"/>
              <w:ind w:right="508"/>
              <w:spacing w:after="0"/>
              <w:rPr>
                <w:sz w:val="20"/>
                <w:szCs w:val="20"/>
                <w:color w:val="auto"/>
              </w:rPr>
            </w:pPr>
            <w:r>
              <w:rPr>
                <w:rFonts w:ascii="Arial" w:cs="Arial" w:eastAsia="Arial" w:hAnsi="Arial"/>
                <w:sz w:val="14"/>
                <w:szCs w:val="14"/>
                <w:color w:val="auto"/>
              </w:rPr>
              <w:t>6,342.00</w:t>
            </w:r>
          </w:p>
        </w:tc>
        <w:tc>
          <w:tcPr>
            <w:tcW w:w="1840" w:type="dxa"/>
            <w:vAlign w:val="bottom"/>
            <w:tcBorders>
              <w:bottom w:val="single" w:sz="8" w:color="F2F2F2"/>
            </w:tcBorders>
            <w:shd w:val="clear" w:color="auto" w:fill="F2F2F2"/>
          </w:tcPr>
          <w:p>
            <w:pPr>
              <w:jc w:val="right"/>
              <w:ind w:right="628"/>
              <w:spacing w:after="0"/>
              <w:rPr>
                <w:sz w:val="20"/>
                <w:szCs w:val="20"/>
                <w:color w:val="auto"/>
              </w:rPr>
            </w:pPr>
            <w:r>
              <w:rPr>
                <w:rFonts w:ascii="Arial" w:cs="Arial" w:eastAsia="Arial" w:hAnsi="Arial"/>
                <w:sz w:val="14"/>
                <w:szCs w:val="14"/>
                <w:color w:val="auto"/>
              </w:rPr>
              <w:t>N/A</w:t>
            </w:r>
          </w:p>
        </w:tc>
        <w:tc>
          <w:tcPr>
            <w:tcW w:w="1620" w:type="dxa"/>
            <w:vAlign w:val="bottom"/>
            <w:tcBorders>
              <w:bottom w:val="single" w:sz="8" w:color="F2F2F2"/>
            </w:tcBorders>
            <w:shd w:val="clear" w:color="auto" w:fill="F2F2F2"/>
          </w:tcPr>
          <w:p>
            <w:pPr>
              <w:jc w:val="right"/>
              <w:ind w:right="468"/>
              <w:spacing w:after="0"/>
              <w:rPr>
                <w:sz w:val="20"/>
                <w:szCs w:val="20"/>
                <w:color w:val="auto"/>
              </w:rPr>
            </w:pPr>
            <w:r>
              <w:rPr>
                <w:rFonts w:ascii="Arial" w:cs="Arial" w:eastAsia="Arial" w:hAnsi="Arial"/>
                <w:sz w:val="14"/>
                <w:szCs w:val="14"/>
                <w:color w:val="auto"/>
              </w:rPr>
              <w:t>12,684.00</w:t>
            </w:r>
          </w:p>
        </w:tc>
      </w:tr>
      <w:tr>
        <w:trPr>
          <w:trHeight w:val="208"/>
        </w:trPr>
        <w:tc>
          <w:tcPr>
            <w:tcW w:w="2040" w:type="dxa"/>
            <w:vAlign w:val="bottom"/>
          </w:tcPr>
          <w:p>
            <w:pPr>
              <w:ind w:left="20"/>
              <w:spacing w:after="0"/>
              <w:rPr>
                <w:sz w:val="20"/>
                <w:szCs w:val="20"/>
                <w:color w:val="auto"/>
              </w:rPr>
            </w:pPr>
            <w:r>
              <w:rPr>
                <w:rFonts w:ascii="Arial" w:cs="Arial" w:eastAsia="Arial" w:hAnsi="Arial"/>
                <w:sz w:val="14"/>
                <w:szCs w:val="14"/>
                <w:color w:val="auto"/>
              </w:rPr>
              <w:t>Ms. Hakim</w:t>
            </w:r>
          </w:p>
        </w:tc>
        <w:tc>
          <w:tcPr>
            <w:tcW w:w="2280" w:type="dxa"/>
            <w:vAlign w:val="bottom"/>
          </w:tcPr>
          <w:p>
            <w:pPr>
              <w:jc w:val="right"/>
              <w:ind w:right="508"/>
              <w:spacing w:after="0"/>
              <w:rPr>
                <w:sz w:val="20"/>
                <w:szCs w:val="20"/>
                <w:color w:val="auto"/>
              </w:rPr>
            </w:pPr>
            <w:r>
              <w:rPr>
                <w:rFonts w:ascii="Arial" w:cs="Arial" w:eastAsia="Arial" w:hAnsi="Arial"/>
                <w:sz w:val="14"/>
                <w:szCs w:val="14"/>
                <w:color w:val="auto"/>
              </w:rPr>
              <w:t>3,350.00</w:t>
            </w:r>
          </w:p>
        </w:tc>
        <w:tc>
          <w:tcPr>
            <w:tcW w:w="1840" w:type="dxa"/>
            <w:vAlign w:val="bottom"/>
          </w:tcPr>
          <w:p>
            <w:pPr>
              <w:jc w:val="right"/>
              <w:ind w:right="628"/>
              <w:spacing w:after="0"/>
              <w:rPr>
                <w:sz w:val="20"/>
                <w:szCs w:val="20"/>
                <w:color w:val="auto"/>
              </w:rPr>
            </w:pPr>
            <w:r>
              <w:rPr>
                <w:rFonts w:ascii="Arial" w:cs="Arial" w:eastAsia="Arial" w:hAnsi="Arial"/>
                <w:sz w:val="14"/>
                <w:szCs w:val="14"/>
                <w:color w:val="auto"/>
              </w:rPr>
              <w:t>N/A</w:t>
            </w:r>
          </w:p>
        </w:tc>
        <w:tc>
          <w:tcPr>
            <w:tcW w:w="1620" w:type="dxa"/>
            <w:vAlign w:val="bottom"/>
          </w:tcPr>
          <w:p>
            <w:pPr>
              <w:jc w:val="right"/>
              <w:ind w:right="468"/>
              <w:spacing w:after="0"/>
              <w:rPr>
                <w:sz w:val="20"/>
                <w:szCs w:val="20"/>
                <w:color w:val="auto"/>
              </w:rPr>
            </w:pPr>
            <w:r>
              <w:rPr>
                <w:rFonts w:ascii="Arial" w:cs="Arial" w:eastAsia="Arial" w:hAnsi="Arial"/>
                <w:sz w:val="14"/>
                <w:szCs w:val="14"/>
                <w:color w:val="auto"/>
              </w:rPr>
              <w:t>6,700.00</w:t>
            </w:r>
          </w:p>
        </w:tc>
      </w:tr>
      <w:tr>
        <w:trPr>
          <w:trHeight w:val="48"/>
        </w:trPr>
        <w:tc>
          <w:tcPr>
            <w:tcW w:w="2040" w:type="dxa"/>
            <w:vAlign w:val="bottom"/>
          </w:tcPr>
          <w:p>
            <w:pPr>
              <w:spacing w:after="0"/>
              <w:rPr>
                <w:sz w:val="4"/>
                <w:szCs w:val="4"/>
                <w:color w:val="auto"/>
              </w:rPr>
            </w:pPr>
          </w:p>
        </w:tc>
        <w:tc>
          <w:tcPr>
            <w:tcW w:w="2280" w:type="dxa"/>
            <w:vAlign w:val="bottom"/>
          </w:tcPr>
          <w:p>
            <w:pPr>
              <w:spacing w:after="0"/>
              <w:rPr>
                <w:sz w:val="4"/>
                <w:szCs w:val="4"/>
                <w:color w:val="auto"/>
              </w:rPr>
            </w:pPr>
          </w:p>
        </w:tc>
        <w:tc>
          <w:tcPr>
            <w:tcW w:w="1840" w:type="dxa"/>
            <w:vAlign w:val="bottom"/>
          </w:tcPr>
          <w:p>
            <w:pPr>
              <w:spacing w:after="0"/>
              <w:rPr>
                <w:sz w:val="4"/>
                <w:szCs w:val="4"/>
                <w:color w:val="auto"/>
              </w:rPr>
            </w:pPr>
          </w:p>
        </w:tc>
        <w:tc>
          <w:tcPr>
            <w:tcW w:w="1620" w:type="dxa"/>
            <w:vAlign w:val="bottom"/>
          </w:tcPr>
          <w:p>
            <w:pPr>
              <w:spacing w:after="0"/>
              <w:rPr>
                <w:sz w:val="4"/>
                <w:szCs w:val="4"/>
                <w:color w:val="auto"/>
              </w:rPr>
            </w:pPr>
          </w:p>
        </w:tc>
      </w:tr>
      <w:tr>
        <w:trPr>
          <w:trHeight w:val="236"/>
        </w:trPr>
        <w:tc>
          <w:tcPr>
            <w:tcW w:w="204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4"/>
                <w:szCs w:val="14"/>
                <w:color w:val="auto"/>
              </w:rPr>
              <w:t>Mr. Van Naarden</w:t>
            </w:r>
          </w:p>
        </w:tc>
        <w:tc>
          <w:tcPr>
            <w:tcW w:w="2280" w:type="dxa"/>
            <w:vAlign w:val="bottom"/>
            <w:tcBorders>
              <w:bottom w:val="single" w:sz="8" w:color="F2F2F2"/>
            </w:tcBorders>
            <w:shd w:val="clear" w:color="auto" w:fill="F2F2F2"/>
          </w:tcPr>
          <w:p>
            <w:pPr>
              <w:jc w:val="right"/>
              <w:ind w:right="508"/>
              <w:spacing w:after="0"/>
              <w:rPr>
                <w:sz w:val="20"/>
                <w:szCs w:val="20"/>
                <w:color w:val="auto"/>
              </w:rPr>
            </w:pPr>
            <w:r>
              <w:rPr>
                <w:rFonts w:ascii="Arial" w:cs="Arial" w:eastAsia="Arial" w:hAnsi="Arial"/>
                <w:sz w:val="14"/>
                <w:szCs w:val="14"/>
                <w:color w:val="auto"/>
              </w:rPr>
              <w:t>2,054.00</w:t>
            </w:r>
          </w:p>
        </w:tc>
        <w:tc>
          <w:tcPr>
            <w:tcW w:w="1840" w:type="dxa"/>
            <w:vAlign w:val="bottom"/>
            <w:tcBorders>
              <w:bottom w:val="single" w:sz="8" w:color="F2F2F2"/>
            </w:tcBorders>
            <w:shd w:val="clear" w:color="auto" w:fill="F2F2F2"/>
          </w:tcPr>
          <w:p>
            <w:pPr>
              <w:jc w:val="right"/>
              <w:ind w:right="628"/>
              <w:spacing w:after="0"/>
              <w:rPr>
                <w:sz w:val="20"/>
                <w:szCs w:val="20"/>
                <w:color w:val="auto"/>
              </w:rPr>
            </w:pPr>
            <w:r>
              <w:rPr>
                <w:rFonts w:ascii="Arial" w:cs="Arial" w:eastAsia="Arial" w:hAnsi="Arial"/>
                <w:sz w:val="14"/>
                <w:szCs w:val="14"/>
                <w:color w:val="auto"/>
              </w:rPr>
              <w:t>N/A</w:t>
            </w:r>
          </w:p>
        </w:tc>
        <w:tc>
          <w:tcPr>
            <w:tcW w:w="1620" w:type="dxa"/>
            <w:vAlign w:val="bottom"/>
            <w:tcBorders>
              <w:bottom w:val="single" w:sz="8" w:color="F2F2F2"/>
            </w:tcBorders>
            <w:shd w:val="clear" w:color="auto" w:fill="F2F2F2"/>
          </w:tcPr>
          <w:p>
            <w:pPr>
              <w:jc w:val="right"/>
              <w:ind w:right="468"/>
              <w:spacing w:after="0"/>
              <w:rPr>
                <w:sz w:val="20"/>
                <w:szCs w:val="20"/>
                <w:color w:val="auto"/>
              </w:rPr>
            </w:pPr>
            <w:r>
              <w:rPr>
                <w:rFonts w:ascii="Arial" w:cs="Arial" w:eastAsia="Arial" w:hAnsi="Arial"/>
                <w:sz w:val="14"/>
                <w:szCs w:val="14"/>
                <w:color w:val="auto"/>
              </w:rPr>
              <w:t>4,108.00</w:t>
            </w:r>
          </w:p>
        </w:tc>
      </w:tr>
      <w:tr>
        <w:trPr>
          <w:trHeight w:val="208"/>
        </w:trPr>
        <w:tc>
          <w:tcPr>
            <w:tcW w:w="2040" w:type="dxa"/>
            <w:vAlign w:val="bottom"/>
          </w:tcPr>
          <w:p>
            <w:pPr>
              <w:ind w:left="20"/>
              <w:spacing w:after="0"/>
              <w:rPr>
                <w:sz w:val="20"/>
                <w:szCs w:val="20"/>
                <w:color w:val="auto"/>
              </w:rPr>
            </w:pPr>
            <w:r>
              <w:rPr>
                <w:rFonts w:ascii="Arial" w:cs="Arial" w:eastAsia="Arial" w:hAnsi="Arial"/>
                <w:sz w:val="14"/>
                <w:szCs w:val="14"/>
                <w:color w:val="auto"/>
              </w:rPr>
              <w:t>Mr. Brooks</w:t>
            </w:r>
            <w:r>
              <w:rPr>
                <w:rFonts w:ascii="Arial" w:cs="Arial" w:eastAsia="Arial" w:hAnsi="Arial"/>
                <w:sz w:val="9"/>
                <w:szCs w:val="9"/>
                <w:color w:val="auto"/>
              </w:rPr>
              <w:t>2</w:t>
            </w:r>
          </w:p>
        </w:tc>
        <w:tc>
          <w:tcPr>
            <w:tcW w:w="2280" w:type="dxa"/>
            <w:vAlign w:val="bottom"/>
          </w:tcPr>
          <w:p>
            <w:pPr>
              <w:jc w:val="right"/>
              <w:ind w:right="508"/>
              <w:spacing w:after="0"/>
              <w:rPr>
                <w:sz w:val="20"/>
                <w:szCs w:val="20"/>
                <w:color w:val="auto"/>
              </w:rPr>
            </w:pPr>
            <w:r>
              <w:rPr>
                <w:rFonts w:ascii="Arial" w:cs="Arial" w:eastAsia="Arial" w:hAnsi="Arial"/>
                <w:sz w:val="14"/>
                <w:szCs w:val="14"/>
                <w:color w:val="auto"/>
              </w:rPr>
              <w:t>893.00</w:t>
            </w:r>
          </w:p>
        </w:tc>
        <w:tc>
          <w:tcPr>
            <w:tcW w:w="1840" w:type="dxa"/>
            <w:vAlign w:val="bottom"/>
          </w:tcPr>
          <w:p>
            <w:pPr>
              <w:jc w:val="right"/>
              <w:ind w:right="628"/>
              <w:spacing w:after="0"/>
              <w:rPr>
                <w:sz w:val="20"/>
                <w:szCs w:val="20"/>
                <w:color w:val="auto"/>
              </w:rPr>
            </w:pPr>
            <w:r>
              <w:rPr>
                <w:rFonts w:ascii="Arial" w:cs="Arial" w:eastAsia="Arial" w:hAnsi="Arial"/>
                <w:sz w:val="14"/>
                <w:szCs w:val="14"/>
                <w:color w:val="auto"/>
              </w:rPr>
              <w:t>1,786.00</w:t>
            </w:r>
          </w:p>
        </w:tc>
        <w:tc>
          <w:tcPr>
            <w:tcW w:w="1620" w:type="dxa"/>
            <w:vAlign w:val="bottom"/>
          </w:tcPr>
          <w:p>
            <w:pPr>
              <w:jc w:val="right"/>
              <w:ind w:right="468"/>
              <w:spacing w:after="0"/>
              <w:rPr>
                <w:sz w:val="20"/>
                <w:szCs w:val="20"/>
                <w:color w:val="auto"/>
              </w:rPr>
            </w:pPr>
            <w:r>
              <w:rPr>
                <w:rFonts w:ascii="Arial" w:cs="Arial" w:eastAsia="Arial" w:hAnsi="Arial"/>
                <w:sz w:val="14"/>
                <w:szCs w:val="14"/>
                <w:color w:val="auto"/>
              </w:rPr>
              <w:t>N/A</w:t>
            </w:r>
          </w:p>
        </w:tc>
      </w:tr>
      <w:tr>
        <w:trPr>
          <w:trHeight w:val="48"/>
        </w:trPr>
        <w:tc>
          <w:tcPr>
            <w:tcW w:w="2040" w:type="dxa"/>
            <w:vAlign w:val="bottom"/>
          </w:tcPr>
          <w:p>
            <w:pPr>
              <w:spacing w:after="0"/>
              <w:rPr>
                <w:sz w:val="4"/>
                <w:szCs w:val="4"/>
                <w:color w:val="auto"/>
              </w:rPr>
            </w:pPr>
          </w:p>
        </w:tc>
        <w:tc>
          <w:tcPr>
            <w:tcW w:w="2280" w:type="dxa"/>
            <w:vAlign w:val="bottom"/>
          </w:tcPr>
          <w:p>
            <w:pPr>
              <w:spacing w:after="0"/>
              <w:rPr>
                <w:sz w:val="4"/>
                <w:szCs w:val="4"/>
                <w:color w:val="auto"/>
              </w:rPr>
            </w:pPr>
          </w:p>
        </w:tc>
        <w:tc>
          <w:tcPr>
            <w:tcW w:w="1840" w:type="dxa"/>
            <w:vAlign w:val="bottom"/>
          </w:tcPr>
          <w:p>
            <w:pPr>
              <w:spacing w:after="0"/>
              <w:rPr>
                <w:sz w:val="4"/>
                <w:szCs w:val="4"/>
                <w:color w:val="auto"/>
              </w:rPr>
            </w:pPr>
          </w:p>
        </w:tc>
        <w:tc>
          <w:tcPr>
            <w:tcW w:w="1620" w:type="dxa"/>
            <w:vAlign w:val="bottom"/>
          </w:tcPr>
          <w:p>
            <w:pPr>
              <w:spacing w:after="0"/>
              <w:rPr>
                <w:sz w:val="4"/>
                <w:szCs w:val="4"/>
                <w:color w:val="auto"/>
              </w:rPr>
            </w:pPr>
          </w:p>
        </w:tc>
      </w:tr>
      <w:tr>
        <w:trPr>
          <w:trHeight w:val="236"/>
        </w:trPr>
        <w:tc>
          <w:tcPr>
            <w:tcW w:w="204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4"/>
                <w:szCs w:val="14"/>
                <w:color w:val="auto"/>
              </w:rPr>
              <w:t>Ms. Ashkenazi</w:t>
            </w:r>
            <w:r>
              <w:rPr>
                <w:rFonts w:ascii="Arial" w:cs="Arial" w:eastAsia="Arial" w:hAnsi="Arial"/>
                <w:sz w:val="9"/>
                <w:szCs w:val="9"/>
                <w:color w:val="auto"/>
              </w:rPr>
              <w:t>3</w:t>
            </w:r>
          </w:p>
        </w:tc>
        <w:tc>
          <w:tcPr>
            <w:tcW w:w="2280" w:type="dxa"/>
            <w:vAlign w:val="bottom"/>
            <w:tcBorders>
              <w:bottom w:val="single" w:sz="8" w:color="F2F2F2"/>
            </w:tcBorders>
            <w:shd w:val="clear" w:color="auto" w:fill="F2F2F2"/>
          </w:tcPr>
          <w:p>
            <w:pPr>
              <w:jc w:val="right"/>
              <w:ind w:right="508"/>
              <w:spacing w:after="0"/>
              <w:rPr>
                <w:sz w:val="20"/>
                <w:szCs w:val="20"/>
                <w:color w:val="auto"/>
              </w:rPr>
            </w:pPr>
            <w:r>
              <w:rPr>
                <w:rFonts w:ascii="Arial" w:cs="Arial" w:eastAsia="Arial" w:hAnsi="Arial"/>
                <w:sz w:val="14"/>
                <w:szCs w:val="14"/>
                <w:color w:val="auto"/>
              </w:rPr>
              <w:t>3,126.00</w:t>
            </w:r>
          </w:p>
        </w:tc>
        <w:tc>
          <w:tcPr>
            <w:tcW w:w="1840" w:type="dxa"/>
            <w:vAlign w:val="bottom"/>
            <w:tcBorders>
              <w:bottom w:val="single" w:sz="8" w:color="F2F2F2"/>
            </w:tcBorders>
            <w:shd w:val="clear" w:color="auto" w:fill="F2F2F2"/>
          </w:tcPr>
          <w:p>
            <w:pPr>
              <w:jc w:val="right"/>
              <w:ind w:right="628"/>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F2F2F2"/>
            </w:tcBorders>
            <w:shd w:val="clear" w:color="auto" w:fill="F2F2F2"/>
          </w:tcPr>
          <w:p>
            <w:pPr>
              <w:jc w:val="right"/>
              <w:ind w:right="468"/>
              <w:spacing w:after="0"/>
              <w:rPr>
                <w:sz w:val="20"/>
                <w:szCs w:val="20"/>
                <w:color w:val="auto"/>
              </w:rPr>
            </w:pPr>
            <w:r>
              <w:rPr>
                <w:rFonts w:ascii="Arial" w:cs="Arial" w:eastAsia="Arial" w:hAnsi="Arial"/>
                <w:sz w:val="14"/>
                <w:szCs w:val="14"/>
                <w:color w:val="auto"/>
              </w:rPr>
              <w:t>—</w:t>
            </w:r>
          </w:p>
        </w:tc>
      </w:tr>
      <w:tr>
        <w:trPr>
          <w:trHeight w:val="20"/>
        </w:trPr>
        <w:tc>
          <w:tcPr>
            <w:tcW w:w="2040" w:type="dxa"/>
            <w:vAlign w:val="bottom"/>
            <w:shd w:val="clear" w:color="auto" w:fill="6D6D6D"/>
          </w:tcPr>
          <w:p>
            <w:pPr>
              <w:spacing w:after="0" w:line="20" w:lineRule="exact"/>
              <w:rPr>
                <w:sz w:val="1"/>
                <w:szCs w:val="1"/>
                <w:color w:val="auto"/>
              </w:rPr>
            </w:pPr>
          </w:p>
        </w:tc>
        <w:tc>
          <w:tcPr>
            <w:tcW w:w="2280" w:type="dxa"/>
            <w:vAlign w:val="bottom"/>
            <w:shd w:val="clear" w:color="auto" w:fill="6D6D6D"/>
          </w:tcPr>
          <w:p>
            <w:pPr>
              <w:spacing w:after="0" w:line="20" w:lineRule="exact"/>
              <w:rPr>
                <w:sz w:val="1"/>
                <w:szCs w:val="1"/>
                <w:color w:val="auto"/>
              </w:rPr>
            </w:pPr>
          </w:p>
        </w:tc>
        <w:tc>
          <w:tcPr>
            <w:tcW w:w="1840" w:type="dxa"/>
            <w:vAlign w:val="bottom"/>
            <w:shd w:val="clear" w:color="auto" w:fill="6D6D6D"/>
          </w:tcPr>
          <w:p>
            <w:pPr>
              <w:spacing w:after="0" w:line="20" w:lineRule="exact"/>
              <w:rPr>
                <w:sz w:val="1"/>
                <w:szCs w:val="1"/>
                <w:color w:val="auto"/>
              </w:rPr>
            </w:pPr>
          </w:p>
        </w:tc>
        <w:tc>
          <w:tcPr>
            <w:tcW w:w="1620" w:type="dxa"/>
            <w:vAlign w:val="bottom"/>
            <w:shd w:val="clear" w:color="auto" w:fill="6D6D6D"/>
          </w:tcPr>
          <w:p>
            <w:pPr>
              <w:spacing w:after="0" w:line="20" w:lineRule="exact"/>
              <w:rPr>
                <w:sz w:val="1"/>
                <w:szCs w:val="1"/>
                <w:color w:val="auto"/>
              </w:rPr>
            </w:pPr>
          </w:p>
        </w:tc>
      </w:tr>
    </w:tbl>
    <w:p>
      <w:pPr>
        <w:spacing w:after="0" w:line="139" w:lineRule="exact"/>
        <w:rPr>
          <w:sz w:val="20"/>
          <w:szCs w:val="20"/>
          <w:color w:val="auto"/>
        </w:rPr>
      </w:pPr>
    </w:p>
    <w:p>
      <w:pPr>
        <w:ind w:left="180" w:right="360" w:hanging="172"/>
        <w:spacing w:after="0" w:line="231" w:lineRule="auto"/>
        <w:tabs>
          <w:tab w:leader="none" w:pos="174" w:val="left"/>
        </w:tabs>
        <w:numPr>
          <w:ilvl w:val="0"/>
          <w:numId w:val="132"/>
        </w:numPr>
        <w:rPr>
          <w:rFonts w:ascii="Arial" w:cs="Arial" w:eastAsia="Arial" w:hAnsi="Arial"/>
          <w:sz w:val="19"/>
          <w:szCs w:val="19"/>
          <w:color w:val="auto"/>
          <w:vertAlign w:val="superscript"/>
        </w:rPr>
      </w:pPr>
      <w:r>
        <w:rPr>
          <w:rFonts w:ascii="Arial" w:cs="Arial" w:eastAsia="Arial" w:hAnsi="Arial"/>
          <w:sz w:val="14"/>
          <w:szCs w:val="14"/>
          <w:color w:val="auto"/>
        </w:rPr>
        <w:t>Mr. Montarce was not an executive officer on the grant date; therefore, the 13-month service vesting requirement did not apply. All shares were settled after Committee certification.</w:t>
      </w:r>
    </w:p>
    <w:p>
      <w:pPr>
        <w:spacing w:after="0" w:line="40" w:lineRule="exact"/>
        <w:rPr>
          <w:sz w:val="20"/>
          <w:szCs w:val="20"/>
          <w:color w:val="auto"/>
        </w:rPr>
      </w:pPr>
    </w:p>
    <w:p>
      <w:pPr>
        <w:ind w:left="180" w:right="520" w:hanging="172"/>
        <w:spacing w:after="0" w:line="231" w:lineRule="auto"/>
        <w:tabs>
          <w:tab w:leader="none" w:pos="174" w:val="left"/>
        </w:tabs>
        <w:numPr>
          <w:ilvl w:val="0"/>
          <w:numId w:val="133"/>
        </w:numPr>
        <w:rPr>
          <w:rFonts w:ascii="Arial" w:cs="Arial" w:eastAsia="Arial" w:hAnsi="Arial"/>
          <w:sz w:val="19"/>
          <w:szCs w:val="19"/>
          <w:color w:val="auto"/>
          <w:vertAlign w:val="superscript"/>
        </w:rPr>
      </w:pPr>
      <w:r>
        <w:rPr>
          <w:rFonts w:ascii="Arial" w:cs="Arial" w:eastAsia="Arial" w:hAnsi="Arial"/>
          <w:sz w:val="14"/>
          <w:szCs w:val="14"/>
          <w:color w:val="auto"/>
        </w:rPr>
        <w:t>Mr. Brooks was not an executive officer on the grant date; therefore, the 13-month service vesting requirement did not apply. All shares were settled after Committee certification.</w:t>
      </w:r>
    </w:p>
    <w:p>
      <w:pPr>
        <w:spacing w:after="0" w:line="26" w:lineRule="exact"/>
        <w:rPr>
          <w:sz w:val="20"/>
          <w:szCs w:val="20"/>
          <w:color w:val="auto"/>
        </w:rPr>
      </w:pPr>
    </w:p>
    <w:p>
      <w:pPr>
        <w:ind w:left="160" w:hanging="152"/>
        <w:spacing w:after="0"/>
        <w:tabs>
          <w:tab w:leader="none" w:pos="160" w:val="left"/>
        </w:tabs>
        <w:numPr>
          <w:ilvl w:val="0"/>
          <w:numId w:val="134"/>
        </w:numPr>
        <w:rPr>
          <w:rFonts w:ascii="Arial" w:cs="Arial" w:eastAsia="Arial" w:hAnsi="Arial"/>
          <w:sz w:val="9"/>
          <w:szCs w:val="9"/>
          <w:color w:val="auto"/>
        </w:rPr>
      </w:pPr>
      <w:r>
        <w:rPr>
          <w:rFonts w:ascii="Arial" w:cs="Arial" w:eastAsia="Arial" w:hAnsi="Arial"/>
          <w:sz w:val="14"/>
          <w:szCs w:val="14"/>
          <w:color w:val="auto"/>
        </w:rPr>
        <w:t>Ms. Ashkenazi forfeited her performance award upon her exit from the company on July 30, 2024.</w:t>
      </w:r>
    </w:p>
    <w:p>
      <w:pPr>
        <w:sectPr>
          <w:pgSz w:w="11900" w:h="16838" w:orient="portrait"/>
          <w:cols w:equalWidth="0" w:num="1">
            <w:col w:w="11120"/>
          </w:cols>
          <w:pgMar w:left="320" w:top="980" w:right="459" w:bottom="1440" w:gutter="0" w:footer="0" w:header="0"/>
        </w:sectPr>
      </w:pPr>
    </w:p>
    <w:p>
      <w:pPr>
        <w:spacing w:after="0" w:line="200" w:lineRule="exact"/>
        <w:rPr>
          <w:sz w:val="20"/>
          <w:szCs w:val="20"/>
          <w:color w:val="auto"/>
        </w:rPr>
      </w:pPr>
    </w:p>
    <w:p>
      <w:pPr>
        <w:spacing w:after="0" w:line="269"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94615</wp:posOffset>
            </wp:positionV>
            <wp:extent cx="7157720" cy="42545"/>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980" w:right="459" w:bottom="1440" w:gutter="0" w:footer="0" w:header="0"/>
          <w:type w:val="continuous"/>
        </w:sectPr>
      </w:pPr>
    </w:p>
    <w:bookmarkStart w:id="60" w:name="page61"/>
    <w:bookmarkEnd w:id="60"/>
    <w:p>
      <w:pPr>
        <w:spacing w:after="0"/>
        <w:rPr>
          <w:sz w:val="20"/>
          <w:szCs w:val="20"/>
          <w:color w:val="auto"/>
        </w:rPr>
      </w:pPr>
      <w:r>
        <w:rPr>
          <w:rFonts w:ascii="Arial" w:cs="Arial" w:eastAsia="Arial" w:hAnsi="Arial"/>
          <w:sz w:val="22"/>
          <w:szCs w:val="22"/>
          <w:b w:val="1"/>
          <w:bCs w:val="1"/>
          <w:color w:val="auto"/>
        </w:rPr>
        <w:t>2022-2024 Shareholder Value Award</w:t>
      </w:r>
    </w:p>
    <w:p>
      <w:pPr>
        <w:spacing w:after="0" w:line="108" w:lineRule="exact"/>
        <w:rPr>
          <w:sz w:val="20"/>
          <w:szCs w:val="20"/>
          <w:color w:val="auto"/>
        </w:rPr>
      </w:pPr>
    </w:p>
    <w:p>
      <w:pPr>
        <w:ind w:right="100"/>
        <w:spacing w:after="0" w:line="278" w:lineRule="auto"/>
        <w:rPr>
          <w:sz w:val="20"/>
          <w:szCs w:val="20"/>
          <w:color w:val="auto"/>
        </w:rPr>
      </w:pPr>
      <w:r>
        <w:rPr>
          <w:rFonts w:ascii="Arial" w:cs="Arial" w:eastAsia="Arial" w:hAnsi="Arial"/>
          <w:sz w:val="17"/>
          <w:szCs w:val="17"/>
          <w:color w:val="auto"/>
        </w:rPr>
        <w:t>The target stock price range of $314.72 to $348.58 (20.8 percent to 33.8 percent total stock price growth) for the 2022-2024 shareholder value award was set in 2022 based on a beginning stock price of $260.57, which was the average closing price for Lilly stock for all trading days in November and December 2021. The ending stock price of $787.73, which was the average closing price for Lilly stock for all trading days in November and December 2024, represents stock price growth of 202.3 percent over the three-year period resulting in a payout percentage of 175 percent. Shares settled under the shareholder value award remain subject to a one-year post-vesting holding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5760720" cy="1208405"/>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5760720" cy="1208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number of shares paid to each named executive officer for the 2023-2025 shareholder value award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3994785" cy="8255"/>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3994785" cy="8255"/>
                    </a:xfrm>
                    <a:prstGeom prst="rect">
                      <a:avLst/>
                    </a:prstGeom>
                    <a:noFill/>
                  </pic:spPr>
                </pic:pic>
              </a:graphicData>
            </a:graphic>
          </wp:anchor>
        </w:drawing>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60" w:type="dxa"/>
            <w:vAlign w:val="bottom"/>
            <w:tcBorders>
              <w:bottom w:val="single" w:sz="8" w:color="6D6D6D"/>
            </w:tcBorders>
          </w:tcPr>
          <w:p>
            <w:pPr>
              <w:ind w:left="20"/>
              <w:spacing w:after="0"/>
              <w:rPr>
                <w:sz w:val="20"/>
                <w:szCs w:val="20"/>
                <w:color w:val="auto"/>
              </w:rPr>
            </w:pPr>
            <w:r>
              <w:rPr>
                <w:rFonts w:ascii="Arial" w:cs="Arial" w:eastAsia="Arial" w:hAnsi="Arial"/>
                <w:sz w:val="14"/>
                <w:szCs w:val="14"/>
                <w:b w:val="1"/>
                <w:bCs w:val="1"/>
                <w:color w:val="auto"/>
              </w:rPr>
              <w:t>Name</w:t>
            </w:r>
          </w:p>
        </w:tc>
        <w:tc>
          <w:tcPr>
            <w:tcW w:w="2340" w:type="dxa"/>
            <w:vAlign w:val="bottom"/>
            <w:tcBorders>
              <w:bottom w:val="single" w:sz="8" w:color="6D6D6D"/>
            </w:tcBorders>
          </w:tcPr>
          <w:p>
            <w:pPr>
              <w:jc w:val="right"/>
              <w:ind w:right="348"/>
              <w:spacing w:after="0"/>
              <w:rPr>
                <w:sz w:val="20"/>
                <w:szCs w:val="20"/>
                <w:color w:val="auto"/>
              </w:rPr>
            </w:pPr>
            <w:r>
              <w:rPr>
                <w:rFonts w:ascii="Arial" w:cs="Arial" w:eastAsia="Arial" w:hAnsi="Arial"/>
                <w:sz w:val="14"/>
                <w:szCs w:val="14"/>
                <w:b w:val="1"/>
                <w:bCs w:val="1"/>
                <w:color w:val="auto"/>
              </w:rPr>
              <w:t>Target Shares</w:t>
            </w:r>
          </w:p>
        </w:tc>
        <w:tc>
          <w:tcPr>
            <w:tcW w:w="1900" w:type="dxa"/>
            <w:vAlign w:val="bottom"/>
            <w:tcBorders>
              <w:bottom w:val="single" w:sz="8" w:color="6D6D6D"/>
            </w:tcBorders>
          </w:tcPr>
          <w:p>
            <w:pPr>
              <w:jc w:val="right"/>
              <w:ind w:right="308"/>
              <w:spacing w:after="0"/>
              <w:rPr>
                <w:sz w:val="20"/>
                <w:szCs w:val="20"/>
                <w:color w:val="auto"/>
              </w:rPr>
            </w:pPr>
            <w:r>
              <w:rPr>
                <w:rFonts w:ascii="Arial" w:cs="Arial" w:eastAsia="Arial" w:hAnsi="Arial"/>
                <w:sz w:val="14"/>
                <w:szCs w:val="14"/>
                <w:b w:val="1"/>
                <w:bCs w:val="1"/>
                <w:color w:val="auto"/>
              </w:rPr>
              <w:t>Shares Paid Out</w:t>
            </w:r>
          </w:p>
        </w:tc>
      </w:tr>
      <w:tr>
        <w:trPr>
          <w:trHeight w:val="209"/>
        </w:trPr>
        <w:tc>
          <w:tcPr>
            <w:tcW w:w="206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4"/>
                <w:szCs w:val="14"/>
                <w:color w:val="auto"/>
              </w:rPr>
              <w:t>Mr. Ricks</w:t>
            </w:r>
          </w:p>
        </w:tc>
        <w:tc>
          <w:tcPr>
            <w:tcW w:w="2340" w:type="dxa"/>
            <w:vAlign w:val="bottom"/>
            <w:tcBorders>
              <w:bottom w:val="single" w:sz="8" w:color="F2F2F2"/>
            </w:tcBorders>
            <w:shd w:val="clear" w:color="auto" w:fill="F2F2F2"/>
          </w:tcPr>
          <w:p>
            <w:pPr>
              <w:jc w:val="right"/>
              <w:ind w:right="468"/>
              <w:spacing w:after="0"/>
              <w:rPr>
                <w:sz w:val="20"/>
                <w:szCs w:val="20"/>
                <w:color w:val="auto"/>
              </w:rPr>
            </w:pPr>
            <w:r>
              <w:rPr>
                <w:rFonts w:ascii="Arial" w:cs="Arial" w:eastAsia="Arial" w:hAnsi="Arial"/>
                <w:sz w:val="14"/>
                <w:szCs w:val="14"/>
                <w:color w:val="auto"/>
              </w:rPr>
              <w:t>32,372.00</w:t>
            </w:r>
          </w:p>
        </w:tc>
        <w:tc>
          <w:tcPr>
            <w:tcW w:w="1900" w:type="dxa"/>
            <w:vAlign w:val="bottom"/>
            <w:tcBorders>
              <w:bottom w:val="single" w:sz="8" w:color="F2F2F2"/>
            </w:tcBorders>
            <w:shd w:val="clear" w:color="auto" w:fill="F2F2F2"/>
          </w:tcPr>
          <w:p>
            <w:pPr>
              <w:jc w:val="right"/>
              <w:ind w:right="588"/>
              <w:spacing w:after="0"/>
              <w:rPr>
                <w:sz w:val="20"/>
                <w:szCs w:val="20"/>
                <w:color w:val="auto"/>
              </w:rPr>
            </w:pPr>
            <w:r>
              <w:rPr>
                <w:rFonts w:ascii="Arial" w:cs="Arial" w:eastAsia="Arial" w:hAnsi="Arial"/>
                <w:sz w:val="14"/>
                <w:szCs w:val="14"/>
                <w:color w:val="auto"/>
              </w:rPr>
              <w:t>56,651.00</w:t>
            </w:r>
          </w:p>
        </w:tc>
      </w:tr>
      <w:tr>
        <w:trPr>
          <w:trHeight w:val="230"/>
        </w:trPr>
        <w:tc>
          <w:tcPr>
            <w:tcW w:w="2060" w:type="dxa"/>
            <w:vAlign w:val="bottom"/>
          </w:tcPr>
          <w:p>
            <w:pPr>
              <w:ind w:left="20"/>
              <w:spacing w:after="0"/>
              <w:rPr>
                <w:sz w:val="20"/>
                <w:szCs w:val="20"/>
                <w:color w:val="auto"/>
              </w:rPr>
            </w:pPr>
            <w:r>
              <w:rPr>
                <w:rFonts w:ascii="Arial" w:cs="Arial" w:eastAsia="Arial" w:hAnsi="Arial"/>
                <w:sz w:val="14"/>
                <w:szCs w:val="14"/>
                <w:color w:val="auto"/>
              </w:rPr>
              <w:t>Mr. Montarce</w:t>
            </w:r>
            <w:r>
              <w:rPr>
                <w:rFonts w:ascii="Arial" w:cs="Arial" w:eastAsia="Arial" w:hAnsi="Arial"/>
                <w:sz w:val="18"/>
                <w:szCs w:val="18"/>
                <w:color w:val="auto"/>
                <w:vertAlign w:val="superscript"/>
              </w:rPr>
              <w:t>1</w:t>
            </w:r>
          </w:p>
        </w:tc>
        <w:tc>
          <w:tcPr>
            <w:tcW w:w="2340" w:type="dxa"/>
            <w:vAlign w:val="bottom"/>
          </w:tcPr>
          <w:p>
            <w:pPr>
              <w:jc w:val="right"/>
              <w:ind w:right="468"/>
              <w:spacing w:after="0"/>
              <w:rPr>
                <w:sz w:val="20"/>
                <w:szCs w:val="20"/>
                <w:color w:val="auto"/>
              </w:rPr>
            </w:pPr>
            <w:r>
              <w:rPr>
                <w:rFonts w:ascii="Arial" w:cs="Arial" w:eastAsia="Arial" w:hAnsi="Arial"/>
                <w:sz w:val="14"/>
                <w:szCs w:val="14"/>
                <w:color w:val="auto"/>
              </w:rPr>
              <w:t>705.00</w:t>
            </w:r>
          </w:p>
        </w:tc>
        <w:tc>
          <w:tcPr>
            <w:tcW w:w="1900" w:type="dxa"/>
            <w:vAlign w:val="bottom"/>
          </w:tcPr>
          <w:p>
            <w:pPr>
              <w:jc w:val="right"/>
              <w:ind w:right="588"/>
              <w:spacing w:after="0"/>
              <w:rPr>
                <w:sz w:val="20"/>
                <w:szCs w:val="20"/>
                <w:color w:val="auto"/>
              </w:rPr>
            </w:pPr>
            <w:r>
              <w:rPr>
                <w:rFonts w:ascii="Arial" w:cs="Arial" w:eastAsia="Arial" w:hAnsi="Arial"/>
                <w:sz w:val="14"/>
                <w:szCs w:val="14"/>
                <w:color w:val="auto"/>
              </w:rPr>
              <w:t>1,233.75</w:t>
            </w:r>
          </w:p>
        </w:tc>
      </w:tr>
      <w:tr>
        <w:trPr>
          <w:trHeight w:val="209"/>
        </w:trPr>
        <w:tc>
          <w:tcPr>
            <w:tcW w:w="206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4"/>
                <w:szCs w:val="14"/>
                <w:color w:val="auto"/>
              </w:rPr>
              <w:t>Dr. Skovronsky</w:t>
            </w:r>
          </w:p>
        </w:tc>
        <w:tc>
          <w:tcPr>
            <w:tcW w:w="2340" w:type="dxa"/>
            <w:vAlign w:val="bottom"/>
            <w:tcBorders>
              <w:bottom w:val="single" w:sz="8" w:color="F2F2F2"/>
            </w:tcBorders>
            <w:shd w:val="clear" w:color="auto" w:fill="F2F2F2"/>
          </w:tcPr>
          <w:p>
            <w:pPr>
              <w:jc w:val="right"/>
              <w:ind w:right="468"/>
              <w:spacing w:after="0"/>
              <w:rPr>
                <w:sz w:val="20"/>
                <w:szCs w:val="20"/>
                <w:color w:val="auto"/>
              </w:rPr>
            </w:pPr>
            <w:r>
              <w:rPr>
                <w:rFonts w:ascii="Arial" w:cs="Arial" w:eastAsia="Arial" w:hAnsi="Arial"/>
                <w:sz w:val="14"/>
                <w:szCs w:val="14"/>
                <w:color w:val="auto"/>
              </w:rPr>
              <w:t>10,957.00</w:t>
            </w:r>
          </w:p>
        </w:tc>
        <w:tc>
          <w:tcPr>
            <w:tcW w:w="1900" w:type="dxa"/>
            <w:vAlign w:val="bottom"/>
            <w:tcBorders>
              <w:bottom w:val="single" w:sz="8" w:color="F2F2F2"/>
            </w:tcBorders>
            <w:shd w:val="clear" w:color="auto" w:fill="F2F2F2"/>
          </w:tcPr>
          <w:p>
            <w:pPr>
              <w:jc w:val="right"/>
              <w:ind w:right="588"/>
              <w:spacing w:after="0"/>
              <w:rPr>
                <w:sz w:val="20"/>
                <w:szCs w:val="20"/>
                <w:color w:val="auto"/>
              </w:rPr>
            </w:pPr>
            <w:r>
              <w:rPr>
                <w:rFonts w:ascii="Arial" w:cs="Arial" w:eastAsia="Arial" w:hAnsi="Arial"/>
                <w:sz w:val="14"/>
                <w:szCs w:val="14"/>
                <w:color w:val="auto"/>
              </w:rPr>
              <w:t>19,174.75</w:t>
            </w:r>
          </w:p>
        </w:tc>
      </w:tr>
      <w:tr>
        <w:trPr>
          <w:trHeight w:val="208"/>
        </w:trPr>
        <w:tc>
          <w:tcPr>
            <w:tcW w:w="2060" w:type="dxa"/>
            <w:vAlign w:val="bottom"/>
          </w:tcPr>
          <w:p>
            <w:pPr>
              <w:ind w:left="20"/>
              <w:spacing w:after="0"/>
              <w:rPr>
                <w:sz w:val="20"/>
                <w:szCs w:val="20"/>
                <w:color w:val="auto"/>
              </w:rPr>
            </w:pPr>
            <w:r>
              <w:rPr>
                <w:rFonts w:ascii="Arial" w:cs="Arial" w:eastAsia="Arial" w:hAnsi="Arial"/>
                <w:sz w:val="14"/>
                <w:szCs w:val="14"/>
                <w:color w:val="auto"/>
              </w:rPr>
              <w:t>Ms. Hakim</w:t>
            </w:r>
          </w:p>
        </w:tc>
        <w:tc>
          <w:tcPr>
            <w:tcW w:w="2340" w:type="dxa"/>
            <w:vAlign w:val="bottom"/>
          </w:tcPr>
          <w:p>
            <w:pPr>
              <w:jc w:val="right"/>
              <w:ind w:right="468"/>
              <w:spacing w:after="0"/>
              <w:rPr>
                <w:sz w:val="20"/>
                <w:szCs w:val="20"/>
                <w:color w:val="auto"/>
              </w:rPr>
            </w:pPr>
            <w:r>
              <w:rPr>
                <w:rFonts w:ascii="Arial" w:cs="Arial" w:eastAsia="Arial" w:hAnsi="Arial"/>
                <w:sz w:val="14"/>
                <w:szCs w:val="14"/>
                <w:color w:val="auto"/>
              </w:rPr>
              <w:t>5,976.00</w:t>
            </w:r>
          </w:p>
        </w:tc>
        <w:tc>
          <w:tcPr>
            <w:tcW w:w="1900" w:type="dxa"/>
            <w:vAlign w:val="bottom"/>
          </w:tcPr>
          <w:p>
            <w:pPr>
              <w:jc w:val="right"/>
              <w:ind w:right="588"/>
              <w:spacing w:after="0"/>
              <w:rPr>
                <w:sz w:val="20"/>
                <w:szCs w:val="20"/>
                <w:color w:val="auto"/>
              </w:rPr>
            </w:pPr>
            <w:r>
              <w:rPr>
                <w:rFonts w:ascii="Arial" w:cs="Arial" w:eastAsia="Arial" w:hAnsi="Arial"/>
                <w:sz w:val="14"/>
                <w:szCs w:val="14"/>
                <w:color w:val="auto"/>
              </w:rPr>
              <w:t>10,458.00</w:t>
            </w:r>
          </w:p>
        </w:tc>
      </w:tr>
      <w:tr>
        <w:trPr>
          <w:trHeight w:val="22"/>
        </w:trPr>
        <w:tc>
          <w:tcPr>
            <w:tcW w:w="20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210"/>
        </w:trPr>
        <w:tc>
          <w:tcPr>
            <w:tcW w:w="206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4"/>
                <w:szCs w:val="14"/>
                <w:color w:val="auto"/>
              </w:rPr>
              <w:t>Mr. Van Naarden</w:t>
            </w:r>
          </w:p>
        </w:tc>
        <w:tc>
          <w:tcPr>
            <w:tcW w:w="2340" w:type="dxa"/>
            <w:vAlign w:val="bottom"/>
            <w:tcBorders>
              <w:bottom w:val="single" w:sz="8" w:color="F2F2F2"/>
            </w:tcBorders>
            <w:shd w:val="clear" w:color="auto" w:fill="F2F2F2"/>
          </w:tcPr>
          <w:p>
            <w:pPr>
              <w:jc w:val="right"/>
              <w:ind w:right="468"/>
              <w:spacing w:after="0"/>
              <w:rPr>
                <w:sz w:val="20"/>
                <w:szCs w:val="20"/>
                <w:color w:val="auto"/>
              </w:rPr>
            </w:pPr>
            <w:r>
              <w:rPr>
                <w:rFonts w:ascii="Arial" w:cs="Arial" w:eastAsia="Arial" w:hAnsi="Arial"/>
                <w:sz w:val="14"/>
                <w:szCs w:val="14"/>
                <w:color w:val="auto"/>
              </w:rPr>
              <w:t>3,685.00</w:t>
            </w:r>
          </w:p>
        </w:tc>
        <w:tc>
          <w:tcPr>
            <w:tcW w:w="1900" w:type="dxa"/>
            <w:vAlign w:val="bottom"/>
            <w:tcBorders>
              <w:bottom w:val="single" w:sz="8" w:color="F2F2F2"/>
            </w:tcBorders>
            <w:shd w:val="clear" w:color="auto" w:fill="F2F2F2"/>
          </w:tcPr>
          <w:p>
            <w:pPr>
              <w:jc w:val="right"/>
              <w:ind w:right="588"/>
              <w:spacing w:after="0"/>
              <w:rPr>
                <w:sz w:val="20"/>
                <w:szCs w:val="20"/>
                <w:color w:val="auto"/>
              </w:rPr>
            </w:pPr>
            <w:r>
              <w:rPr>
                <w:rFonts w:ascii="Arial" w:cs="Arial" w:eastAsia="Arial" w:hAnsi="Arial"/>
                <w:sz w:val="14"/>
                <w:szCs w:val="14"/>
                <w:color w:val="auto"/>
              </w:rPr>
              <w:t>6,448.75</w:t>
            </w:r>
          </w:p>
        </w:tc>
      </w:tr>
      <w:tr>
        <w:trPr>
          <w:trHeight w:val="229"/>
        </w:trPr>
        <w:tc>
          <w:tcPr>
            <w:tcW w:w="2060" w:type="dxa"/>
            <w:vAlign w:val="bottom"/>
          </w:tcPr>
          <w:p>
            <w:pPr>
              <w:ind w:left="20"/>
              <w:spacing w:after="0"/>
              <w:rPr>
                <w:sz w:val="20"/>
                <w:szCs w:val="20"/>
                <w:color w:val="auto"/>
              </w:rPr>
            </w:pPr>
            <w:r>
              <w:rPr>
                <w:rFonts w:ascii="Arial" w:cs="Arial" w:eastAsia="Arial" w:hAnsi="Arial"/>
                <w:sz w:val="14"/>
                <w:szCs w:val="14"/>
                <w:color w:val="auto"/>
              </w:rPr>
              <w:t>Mr. Brooks</w:t>
            </w:r>
            <w:r>
              <w:rPr>
                <w:rFonts w:ascii="Arial" w:cs="Arial" w:eastAsia="Arial" w:hAnsi="Arial"/>
                <w:sz w:val="18"/>
                <w:szCs w:val="18"/>
                <w:color w:val="auto"/>
                <w:vertAlign w:val="superscript"/>
              </w:rPr>
              <w:t>2</w:t>
            </w:r>
          </w:p>
        </w:tc>
        <w:tc>
          <w:tcPr>
            <w:tcW w:w="2340" w:type="dxa"/>
            <w:vAlign w:val="bottom"/>
          </w:tcPr>
          <w:p>
            <w:pPr>
              <w:jc w:val="right"/>
              <w:ind w:right="468"/>
              <w:spacing w:after="0"/>
              <w:rPr>
                <w:sz w:val="20"/>
                <w:szCs w:val="20"/>
                <w:color w:val="auto"/>
              </w:rPr>
            </w:pPr>
            <w:r>
              <w:rPr>
                <w:rFonts w:ascii="Arial" w:cs="Arial" w:eastAsia="Arial" w:hAnsi="Arial"/>
                <w:sz w:val="14"/>
                <w:szCs w:val="14"/>
                <w:color w:val="auto"/>
              </w:rPr>
              <w:t>558.00</w:t>
            </w:r>
          </w:p>
        </w:tc>
        <w:tc>
          <w:tcPr>
            <w:tcW w:w="1900" w:type="dxa"/>
            <w:vAlign w:val="bottom"/>
          </w:tcPr>
          <w:p>
            <w:pPr>
              <w:jc w:val="right"/>
              <w:ind w:right="588"/>
              <w:spacing w:after="0"/>
              <w:rPr>
                <w:sz w:val="20"/>
                <w:szCs w:val="20"/>
                <w:color w:val="auto"/>
              </w:rPr>
            </w:pPr>
            <w:r>
              <w:rPr>
                <w:rFonts w:ascii="Arial" w:cs="Arial" w:eastAsia="Arial" w:hAnsi="Arial"/>
                <w:sz w:val="14"/>
                <w:szCs w:val="14"/>
                <w:color w:val="auto"/>
              </w:rPr>
              <w:t>976.50</w:t>
            </w:r>
          </w:p>
        </w:tc>
      </w:tr>
      <w:tr>
        <w:trPr>
          <w:trHeight w:val="230"/>
        </w:trPr>
        <w:tc>
          <w:tcPr>
            <w:tcW w:w="2060" w:type="dxa"/>
            <w:vAlign w:val="bottom"/>
            <w:tcBorders>
              <w:bottom w:val="single" w:sz="8" w:color="6D6D6D"/>
            </w:tcBorders>
            <w:shd w:val="clear" w:color="auto" w:fill="F2F2F2"/>
          </w:tcPr>
          <w:p>
            <w:pPr>
              <w:ind w:left="20"/>
              <w:spacing w:after="0"/>
              <w:rPr>
                <w:sz w:val="20"/>
                <w:szCs w:val="20"/>
                <w:color w:val="auto"/>
              </w:rPr>
            </w:pPr>
            <w:r>
              <w:rPr>
                <w:rFonts w:ascii="Arial" w:cs="Arial" w:eastAsia="Arial" w:hAnsi="Arial"/>
                <w:sz w:val="14"/>
                <w:szCs w:val="14"/>
                <w:color w:val="auto"/>
              </w:rPr>
              <w:t>Ms. Ashkenazi</w:t>
            </w:r>
            <w:r>
              <w:rPr>
                <w:rFonts w:ascii="Arial" w:cs="Arial" w:eastAsia="Arial" w:hAnsi="Arial"/>
                <w:sz w:val="18"/>
                <w:szCs w:val="18"/>
                <w:color w:val="auto"/>
                <w:vertAlign w:val="superscript"/>
              </w:rPr>
              <w:t>3</w:t>
            </w:r>
          </w:p>
        </w:tc>
        <w:tc>
          <w:tcPr>
            <w:tcW w:w="2340" w:type="dxa"/>
            <w:vAlign w:val="bottom"/>
            <w:tcBorders>
              <w:bottom w:val="single" w:sz="8" w:color="6D6D6D"/>
            </w:tcBorders>
            <w:shd w:val="clear" w:color="auto" w:fill="F2F2F2"/>
          </w:tcPr>
          <w:p>
            <w:pPr>
              <w:jc w:val="right"/>
              <w:ind w:right="468"/>
              <w:spacing w:after="0"/>
              <w:rPr>
                <w:sz w:val="20"/>
                <w:szCs w:val="20"/>
                <w:color w:val="auto"/>
              </w:rPr>
            </w:pPr>
            <w:r>
              <w:rPr>
                <w:rFonts w:ascii="Arial" w:cs="Arial" w:eastAsia="Arial" w:hAnsi="Arial"/>
                <w:sz w:val="14"/>
                <w:szCs w:val="14"/>
                <w:color w:val="auto"/>
              </w:rPr>
              <w:t>5,976.00</w:t>
            </w:r>
          </w:p>
        </w:tc>
        <w:tc>
          <w:tcPr>
            <w:tcW w:w="1900" w:type="dxa"/>
            <w:vAlign w:val="bottom"/>
            <w:tcBorders>
              <w:bottom w:val="single" w:sz="8" w:color="6D6D6D"/>
            </w:tcBorders>
            <w:shd w:val="clear" w:color="auto" w:fill="F2F2F2"/>
          </w:tcPr>
          <w:p>
            <w:pPr>
              <w:jc w:val="right"/>
              <w:ind w:right="588"/>
              <w:spacing w:after="0"/>
              <w:rPr>
                <w:sz w:val="20"/>
                <w:szCs w:val="20"/>
                <w:color w:val="auto"/>
              </w:rPr>
            </w:pPr>
            <w:r>
              <w:rPr>
                <w:rFonts w:ascii="Arial" w:cs="Arial" w:eastAsia="Arial" w:hAnsi="Arial"/>
                <w:sz w:val="14"/>
                <w:szCs w:val="14"/>
                <w:color w:val="auto"/>
              </w:rPr>
              <w:t>—</w:t>
            </w:r>
          </w:p>
        </w:tc>
      </w:tr>
    </w:tbl>
    <w:p>
      <w:pPr>
        <w:spacing w:after="0" w:line="111" w:lineRule="exact"/>
        <w:rPr>
          <w:sz w:val="20"/>
          <w:szCs w:val="20"/>
          <w:color w:val="auto"/>
        </w:rPr>
      </w:pPr>
    </w:p>
    <w:p>
      <w:pPr>
        <w:ind w:left="160" w:hanging="152"/>
        <w:spacing w:after="0"/>
        <w:tabs>
          <w:tab w:leader="none" w:pos="160" w:val="left"/>
        </w:tabs>
        <w:numPr>
          <w:ilvl w:val="0"/>
          <w:numId w:val="135"/>
        </w:numPr>
        <w:rPr>
          <w:rFonts w:ascii="Arial" w:cs="Arial" w:eastAsia="Arial" w:hAnsi="Arial"/>
          <w:sz w:val="19"/>
          <w:szCs w:val="19"/>
          <w:color w:val="auto"/>
          <w:vertAlign w:val="superscript"/>
        </w:rPr>
      </w:pPr>
      <w:r>
        <w:rPr>
          <w:rFonts w:ascii="Arial" w:cs="Arial" w:eastAsia="Arial" w:hAnsi="Arial"/>
          <w:sz w:val="14"/>
          <w:szCs w:val="14"/>
          <w:color w:val="auto"/>
        </w:rPr>
        <w:t>Mr. Montarce was not an executive officer on the grant date; therefore, the one-year post-vesting holding requirement does not apply.</w:t>
      </w:r>
    </w:p>
    <w:p>
      <w:pPr>
        <w:spacing w:after="0" w:line="39" w:lineRule="exact"/>
        <w:rPr>
          <w:rFonts w:ascii="Arial" w:cs="Arial" w:eastAsia="Arial" w:hAnsi="Arial"/>
          <w:sz w:val="19"/>
          <w:szCs w:val="19"/>
          <w:color w:val="auto"/>
          <w:vertAlign w:val="superscript"/>
        </w:rPr>
      </w:pPr>
    </w:p>
    <w:p>
      <w:pPr>
        <w:ind w:right="2740"/>
        <w:spacing w:after="0" w:line="381" w:lineRule="auto"/>
        <w:rPr>
          <w:rFonts w:ascii="Arial" w:cs="Arial" w:eastAsia="Arial" w:hAnsi="Arial"/>
          <w:sz w:val="19"/>
          <w:szCs w:val="19"/>
          <w:color w:val="auto"/>
          <w:vertAlign w:val="superscript"/>
        </w:rPr>
      </w:pPr>
      <w:r>
        <w:rPr>
          <w:rFonts w:ascii="Arial" w:cs="Arial" w:eastAsia="Arial" w:hAnsi="Arial"/>
          <w:sz w:val="9"/>
          <w:szCs w:val="9"/>
          <w:color w:val="auto"/>
        </w:rPr>
        <w:t xml:space="preserve">2 </w:t>
      </w:r>
      <w:r>
        <w:rPr>
          <w:rFonts w:ascii="Arial" w:cs="Arial" w:eastAsia="Arial" w:hAnsi="Arial"/>
          <w:sz w:val="14"/>
          <w:szCs w:val="14"/>
          <w:color w:val="auto"/>
        </w:rPr>
        <w:t>Mr. Brooks was not an executive officer on the grant date; therefore, the one-year post-vesting holding requirement does not apply.</w:t>
      </w:r>
      <w:r>
        <w:rPr>
          <w:rFonts w:ascii="Arial" w:cs="Arial" w:eastAsia="Arial" w:hAnsi="Arial"/>
          <w:sz w:val="9"/>
          <w:szCs w:val="9"/>
          <w:color w:val="auto"/>
        </w:rPr>
        <w:t xml:space="preserve"> </w:t>
      </w:r>
      <w:r>
        <w:rPr>
          <w:rFonts w:ascii="Arial" w:cs="Arial" w:eastAsia="Arial" w:hAnsi="Arial"/>
          <w:sz w:val="18"/>
          <w:szCs w:val="18"/>
          <w:color w:val="auto"/>
          <w:vertAlign w:val="superscript"/>
        </w:rPr>
        <w:t>3</w:t>
      </w:r>
      <w:r>
        <w:rPr>
          <w:rFonts w:ascii="Arial" w:cs="Arial" w:eastAsia="Arial" w:hAnsi="Arial"/>
          <w:sz w:val="14"/>
          <w:szCs w:val="14"/>
          <w:color w:val="auto"/>
        </w:rPr>
        <w:t xml:space="preserve"> Ms. Ashkenazi forfeited her shareholder value award upon her exit from the company on July 30, 2024.</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2022-2024 Relative Value Award</w:t>
      </w:r>
    </w:p>
    <w:p>
      <w:pPr>
        <w:spacing w:after="0" w:line="54"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relative value award is based on Lilly’s three-year TSR compared to our peer group. To determine relative performance, we calculate the TSR for each company by comparing the average closing price, adjusted for dividend reinvestment, for all trading days in November and December 2021 to the average closing price, adjusted for dividend reinvestment, for all trading days in November and December 2024. The median TSR for the peer companies is then subtracted from Lilly’s TSR to determine the earned payout.</w:t>
      </w:r>
    </w:p>
    <w:p>
      <w:pPr>
        <w:spacing w:after="0" w:line="122" w:lineRule="exact"/>
        <w:rPr>
          <w:sz w:val="20"/>
          <w:szCs w:val="20"/>
          <w:color w:val="auto"/>
        </w:rPr>
      </w:pPr>
    </w:p>
    <w:p>
      <w:pPr>
        <w:ind w:right="180"/>
        <w:spacing w:after="0" w:line="291" w:lineRule="auto"/>
        <w:rPr>
          <w:sz w:val="20"/>
          <w:szCs w:val="20"/>
          <w:color w:val="auto"/>
        </w:rPr>
      </w:pPr>
      <w:r>
        <w:rPr>
          <w:rFonts w:ascii="Arial" w:cs="Arial" w:eastAsia="Arial" w:hAnsi="Arial"/>
          <w:sz w:val="17"/>
          <w:szCs w:val="17"/>
          <w:color w:val="auto"/>
        </w:rPr>
        <w:t>Lilly’s TSR over the performance period was 211.6 percent. The median TSR for the peer companies was 10.3 percent, resulting in Lilly’s outperformance of 201.3 percentage points (211.6 percent minus 10.3 percent). This level of outperformance yielded a 175 percent payout as depicted in the chart below. Shares settled under the relative value award remain subject to a one-year post-vesting holding period.</w:t>
      </w: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9" w:right="379" w:bottom="1440" w:gutter="0" w:footer="0" w:header="0"/>
        </w:sectPr>
      </w:pPr>
    </w:p>
    <w:bookmarkStart w:id="61" w:name="page62"/>
    <w:bookmarkEnd w:id="6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5760720" cy="2691765"/>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clrChange>
                        <a:clrFrom>
                          <a:srgbClr val="FFFFFF"/>
                        </a:clrFrom>
                        <a:clrTo>
                          <a:srgbClr val="FFFFFF">
                            <a:alpha val="0"/>
                          </a:srgbClr>
                        </a:clrTo>
                      </a:clrChange>
                      <a:extLst>
                        <a:ext uri="{28A0092B-C50C-407E-A947-70E740481C1C}"/>
                      </a:extLst>
                    </a:blip>
                    <a:srcRect/>
                    <a:stretch>
                      <a:fillRect/>
                    </a:stretch>
                  </pic:blipFill>
                  <pic:spPr bwMode="auto">
                    <a:xfrm>
                      <a:off x="0" y="0"/>
                      <a:ext cx="5760720" cy="2691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number of shares paid to each named executive officer for the 2022-2024 relative value award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3994785" cy="8255"/>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3994785" cy="8255"/>
                    </a:xfrm>
                    <a:prstGeom prst="rect">
                      <a:avLst/>
                    </a:prstGeom>
                    <a:noFill/>
                  </pic:spPr>
                </pic:pic>
              </a:graphicData>
            </a:graphic>
          </wp:anchor>
        </w:drawing>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23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Target Shares</w:t>
            </w:r>
          </w:p>
        </w:tc>
        <w:tc>
          <w:tcPr>
            <w:tcW w:w="19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Shares Paid Out</w:t>
            </w:r>
          </w:p>
        </w:tc>
      </w:tr>
      <w:tr>
        <w:trPr>
          <w:trHeight w:val="209"/>
        </w:trPr>
        <w:tc>
          <w:tcPr>
            <w:tcW w:w="206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4"/>
                <w:szCs w:val="14"/>
                <w:color w:val="auto"/>
              </w:rPr>
              <w:t>Mr. Ricks</w:t>
            </w:r>
          </w:p>
        </w:tc>
        <w:tc>
          <w:tcPr>
            <w:tcW w:w="2340" w:type="dxa"/>
            <w:vAlign w:val="bottom"/>
            <w:tcBorders>
              <w:bottom w:val="single" w:sz="8" w:color="F2F2F2"/>
            </w:tcBorders>
            <w:shd w:val="clear" w:color="auto" w:fill="F2F2F2"/>
          </w:tcPr>
          <w:p>
            <w:pPr>
              <w:jc w:val="right"/>
              <w:ind w:right="468"/>
              <w:spacing w:after="0"/>
              <w:rPr>
                <w:sz w:val="20"/>
                <w:szCs w:val="20"/>
                <w:color w:val="auto"/>
              </w:rPr>
            </w:pPr>
            <w:r>
              <w:rPr>
                <w:rFonts w:ascii="Arial" w:cs="Arial" w:eastAsia="Arial" w:hAnsi="Arial"/>
                <w:sz w:val="14"/>
                <w:szCs w:val="14"/>
                <w:color w:val="auto"/>
              </w:rPr>
              <w:t>24,728.00</w:t>
            </w:r>
          </w:p>
        </w:tc>
        <w:tc>
          <w:tcPr>
            <w:tcW w:w="1900" w:type="dxa"/>
            <w:vAlign w:val="bottom"/>
            <w:tcBorders>
              <w:bottom w:val="single" w:sz="8" w:color="F2F2F2"/>
            </w:tcBorders>
            <w:shd w:val="clear" w:color="auto" w:fill="F2F2F2"/>
          </w:tcPr>
          <w:p>
            <w:pPr>
              <w:jc w:val="right"/>
              <w:ind w:right="588"/>
              <w:spacing w:after="0"/>
              <w:rPr>
                <w:sz w:val="20"/>
                <w:szCs w:val="20"/>
                <w:color w:val="auto"/>
              </w:rPr>
            </w:pPr>
            <w:r>
              <w:rPr>
                <w:rFonts w:ascii="Arial" w:cs="Arial" w:eastAsia="Arial" w:hAnsi="Arial"/>
                <w:sz w:val="14"/>
                <w:szCs w:val="14"/>
                <w:color w:val="auto"/>
              </w:rPr>
              <w:t>43,274.00</w:t>
            </w:r>
          </w:p>
        </w:tc>
      </w:tr>
      <w:tr>
        <w:trPr>
          <w:trHeight w:val="229"/>
        </w:trPr>
        <w:tc>
          <w:tcPr>
            <w:tcW w:w="2060" w:type="dxa"/>
            <w:vAlign w:val="bottom"/>
          </w:tcPr>
          <w:p>
            <w:pPr>
              <w:ind w:left="20"/>
              <w:spacing w:after="0"/>
              <w:rPr>
                <w:sz w:val="20"/>
                <w:szCs w:val="20"/>
                <w:color w:val="auto"/>
              </w:rPr>
            </w:pPr>
            <w:r>
              <w:rPr>
                <w:rFonts w:ascii="Arial" w:cs="Arial" w:eastAsia="Arial" w:hAnsi="Arial"/>
                <w:sz w:val="14"/>
                <w:szCs w:val="14"/>
                <w:color w:val="auto"/>
              </w:rPr>
              <w:t>Mr. Montarce</w:t>
            </w:r>
            <w:r>
              <w:rPr>
                <w:rFonts w:ascii="Arial" w:cs="Arial" w:eastAsia="Arial" w:hAnsi="Arial"/>
                <w:sz w:val="18"/>
                <w:szCs w:val="18"/>
                <w:color w:val="auto"/>
                <w:vertAlign w:val="superscript"/>
              </w:rPr>
              <w:t>1</w:t>
            </w:r>
          </w:p>
        </w:tc>
        <w:tc>
          <w:tcPr>
            <w:tcW w:w="2340" w:type="dxa"/>
            <w:vAlign w:val="bottom"/>
          </w:tcPr>
          <w:p>
            <w:pPr>
              <w:jc w:val="right"/>
              <w:ind w:right="468"/>
              <w:spacing w:after="0"/>
              <w:rPr>
                <w:sz w:val="20"/>
                <w:szCs w:val="20"/>
                <w:color w:val="auto"/>
              </w:rPr>
            </w:pPr>
            <w:r>
              <w:rPr>
                <w:rFonts w:ascii="Arial" w:cs="Arial" w:eastAsia="Arial" w:hAnsi="Arial"/>
                <w:sz w:val="14"/>
                <w:szCs w:val="14"/>
                <w:color w:val="auto"/>
              </w:rPr>
              <w:t>652.00</w:t>
            </w:r>
          </w:p>
        </w:tc>
        <w:tc>
          <w:tcPr>
            <w:tcW w:w="1900" w:type="dxa"/>
            <w:vAlign w:val="bottom"/>
          </w:tcPr>
          <w:p>
            <w:pPr>
              <w:jc w:val="right"/>
              <w:ind w:right="588"/>
              <w:spacing w:after="0"/>
              <w:rPr>
                <w:sz w:val="20"/>
                <w:szCs w:val="20"/>
                <w:color w:val="auto"/>
              </w:rPr>
            </w:pPr>
            <w:r>
              <w:rPr>
                <w:rFonts w:ascii="Arial" w:cs="Arial" w:eastAsia="Arial" w:hAnsi="Arial"/>
                <w:sz w:val="14"/>
                <w:szCs w:val="14"/>
                <w:color w:val="auto"/>
              </w:rPr>
              <w:t>1,141.00</w:t>
            </w:r>
          </w:p>
        </w:tc>
      </w:tr>
      <w:tr>
        <w:trPr>
          <w:trHeight w:val="210"/>
        </w:trPr>
        <w:tc>
          <w:tcPr>
            <w:tcW w:w="206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4"/>
                <w:szCs w:val="14"/>
                <w:color w:val="auto"/>
              </w:rPr>
              <w:t>Dr. Skovronsky</w:t>
            </w:r>
          </w:p>
        </w:tc>
        <w:tc>
          <w:tcPr>
            <w:tcW w:w="2340" w:type="dxa"/>
            <w:vAlign w:val="bottom"/>
            <w:tcBorders>
              <w:bottom w:val="single" w:sz="8" w:color="F2F2F2"/>
            </w:tcBorders>
            <w:shd w:val="clear" w:color="auto" w:fill="F2F2F2"/>
          </w:tcPr>
          <w:p>
            <w:pPr>
              <w:jc w:val="right"/>
              <w:ind w:right="468"/>
              <w:spacing w:after="0"/>
              <w:rPr>
                <w:sz w:val="20"/>
                <w:szCs w:val="20"/>
                <w:color w:val="auto"/>
              </w:rPr>
            </w:pPr>
            <w:r>
              <w:rPr>
                <w:rFonts w:ascii="Arial" w:cs="Arial" w:eastAsia="Arial" w:hAnsi="Arial"/>
                <w:sz w:val="14"/>
                <w:szCs w:val="14"/>
                <w:color w:val="auto"/>
              </w:rPr>
              <w:t>8,370.00</w:t>
            </w:r>
          </w:p>
        </w:tc>
        <w:tc>
          <w:tcPr>
            <w:tcW w:w="1900" w:type="dxa"/>
            <w:vAlign w:val="bottom"/>
            <w:tcBorders>
              <w:bottom w:val="single" w:sz="8" w:color="F2F2F2"/>
            </w:tcBorders>
            <w:shd w:val="clear" w:color="auto" w:fill="F2F2F2"/>
          </w:tcPr>
          <w:p>
            <w:pPr>
              <w:jc w:val="right"/>
              <w:ind w:right="588"/>
              <w:spacing w:after="0"/>
              <w:rPr>
                <w:sz w:val="20"/>
                <w:szCs w:val="20"/>
                <w:color w:val="auto"/>
              </w:rPr>
            </w:pPr>
            <w:r>
              <w:rPr>
                <w:rFonts w:ascii="Arial" w:cs="Arial" w:eastAsia="Arial" w:hAnsi="Arial"/>
                <w:sz w:val="14"/>
                <w:szCs w:val="14"/>
                <w:color w:val="auto"/>
              </w:rPr>
              <w:t>14,647.50</w:t>
            </w:r>
          </w:p>
        </w:tc>
      </w:tr>
      <w:tr>
        <w:trPr>
          <w:trHeight w:val="208"/>
        </w:trPr>
        <w:tc>
          <w:tcPr>
            <w:tcW w:w="2060" w:type="dxa"/>
            <w:vAlign w:val="bottom"/>
          </w:tcPr>
          <w:p>
            <w:pPr>
              <w:ind w:left="20"/>
              <w:spacing w:after="0"/>
              <w:rPr>
                <w:sz w:val="20"/>
                <w:szCs w:val="20"/>
                <w:color w:val="auto"/>
              </w:rPr>
            </w:pPr>
            <w:r>
              <w:rPr>
                <w:rFonts w:ascii="Arial" w:cs="Arial" w:eastAsia="Arial" w:hAnsi="Arial"/>
                <w:sz w:val="14"/>
                <w:szCs w:val="14"/>
                <w:color w:val="auto"/>
              </w:rPr>
              <w:t>Ms. Hakim</w:t>
            </w:r>
          </w:p>
        </w:tc>
        <w:tc>
          <w:tcPr>
            <w:tcW w:w="2340" w:type="dxa"/>
            <w:vAlign w:val="bottom"/>
          </w:tcPr>
          <w:p>
            <w:pPr>
              <w:jc w:val="right"/>
              <w:ind w:right="468"/>
              <w:spacing w:after="0"/>
              <w:rPr>
                <w:sz w:val="20"/>
                <w:szCs w:val="20"/>
                <w:color w:val="auto"/>
              </w:rPr>
            </w:pPr>
            <w:r>
              <w:rPr>
                <w:rFonts w:ascii="Arial" w:cs="Arial" w:eastAsia="Arial" w:hAnsi="Arial"/>
                <w:sz w:val="14"/>
                <w:szCs w:val="14"/>
                <w:color w:val="auto"/>
              </w:rPr>
              <w:t>4,565.00</w:t>
            </w:r>
          </w:p>
        </w:tc>
        <w:tc>
          <w:tcPr>
            <w:tcW w:w="1900" w:type="dxa"/>
            <w:vAlign w:val="bottom"/>
          </w:tcPr>
          <w:p>
            <w:pPr>
              <w:jc w:val="right"/>
              <w:ind w:right="588"/>
              <w:spacing w:after="0"/>
              <w:rPr>
                <w:sz w:val="20"/>
                <w:szCs w:val="20"/>
                <w:color w:val="auto"/>
              </w:rPr>
            </w:pPr>
            <w:r>
              <w:rPr>
                <w:rFonts w:ascii="Arial" w:cs="Arial" w:eastAsia="Arial" w:hAnsi="Arial"/>
                <w:sz w:val="14"/>
                <w:szCs w:val="14"/>
                <w:color w:val="auto"/>
              </w:rPr>
              <w:t>7,988.75</w:t>
            </w:r>
          </w:p>
        </w:tc>
      </w:tr>
      <w:tr>
        <w:trPr>
          <w:trHeight w:val="22"/>
        </w:trPr>
        <w:tc>
          <w:tcPr>
            <w:tcW w:w="20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210"/>
        </w:trPr>
        <w:tc>
          <w:tcPr>
            <w:tcW w:w="206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4"/>
                <w:szCs w:val="14"/>
                <w:color w:val="auto"/>
              </w:rPr>
              <w:t>Mr. Van Naarden</w:t>
            </w:r>
          </w:p>
        </w:tc>
        <w:tc>
          <w:tcPr>
            <w:tcW w:w="2340" w:type="dxa"/>
            <w:vAlign w:val="bottom"/>
            <w:tcBorders>
              <w:bottom w:val="single" w:sz="8" w:color="F2F2F2"/>
            </w:tcBorders>
            <w:shd w:val="clear" w:color="auto" w:fill="F2F2F2"/>
          </w:tcPr>
          <w:p>
            <w:pPr>
              <w:jc w:val="right"/>
              <w:ind w:right="468"/>
              <w:spacing w:after="0"/>
              <w:rPr>
                <w:sz w:val="20"/>
                <w:szCs w:val="20"/>
                <w:color w:val="auto"/>
              </w:rPr>
            </w:pPr>
            <w:r>
              <w:rPr>
                <w:rFonts w:ascii="Arial" w:cs="Arial" w:eastAsia="Arial" w:hAnsi="Arial"/>
                <w:sz w:val="14"/>
                <w:szCs w:val="14"/>
                <w:color w:val="auto"/>
              </w:rPr>
              <w:t>2,815.00</w:t>
            </w:r>
          </w:p>
        </w:tc>
        <w:tc>
          <w:tcPr>
            <w:tcW w:w="1900" w:type="dxa"/>
            <w:vAlign w:val="bottom"/>
            <w:tcBorders>
              <w:bottom w:val="single" w:sz="8" w:color="F2F2F2"/>
            </w:tcBorders>
            <w:shd w:val="clear" w:color="auto" w:fill="F2F2F2"/>
          </w:tcPr>
          <w:p>
            <w:pPr>
              <w:jc w:val="right"/>
              <w:ind w:right="588"/>
              <w:spacing w:after="0"/>
              <w:rPr>
                <w:sz w:val="20"/>
                <w:szCs w:val="20"/>
                <w:color w:val="auto"/>
              </w:rPr>
            </w:pPr>
            <w:r>
              <w:rPr>
                <w:rFonts w:ascii="Arial" w:cs="Arial" w:eastAsia="Arial" w:hAnsi="Arial"/>
                <w:sz w:val="14"/>
                <w:szCs w:val="14"/>
                <w:color w:val="auto"/>
              </w:rPr>
              <w:t>4,926.25</w:t>
            </w:r>
          </w:p>
        </w:tc>
      </w:tr>
      <w:tr>
        <w:trPr>
          <w:trHeight w:val="230"/>
        </w:trPr>
        <w:tc>
          <w:tcPr>
            <w:tcW w:w="2060" w:type="dxa"/>
            <w:vAlign w:val="bottom"/>
          </w:tcPr>
          <w:p>
            <w:pPr>
              <w:ind w:left="20"/>
              <w:spacing w:after="0"/>
              <w:rPr>
                <w:sz w:val="20"/>
                <w:szCs w:val="20"/>
                <w:color w:val="auto"/>
              </w:rPr>
            </w:pPr>
            <w:r>
              <w:rPr>
                <w:rFonts w:ascii="Arial" w:cs="Arial" w:eastAsia="Arial" w:hAnsi="Arial"/>
                <w:sz w:val="14"/>
                <w:szCs w:val="14"/>
                <w:color w:val="auto"/>
              </w:rPr>
              <w:t>Mr. Brooks</w:t>
            </w:r>
            <w:r>
              <w:rPr>
                <w:rFonts w:ascii="Arial" w:cs="Arial" w:eastAsia="Arial" w:hAnsi="Arial"/>
                <w:sz w:val="18"/>
                <w:szCs w:val="18"/>
                <w:color w:val="auto"/>
                <w:vertAlign w:val="superscript"/>
              </w:rPr>
              <w:t>2</w:t>
            </w:r>
          </w:p>
        </w:tc>
        <w:tc>
          <w:tcPr>
            <w:tcW w:w="2340" w:type="dxa"/>
            <w:vAlign w:val="bottom"/>
          </w:tcPr>
          <w:p>
            <w:pPr>
              <w:jc w:val="right"/>
              <w:ind w:right="468"/>
              <w:spacing w:after="0"/>
              <w:rPr>
                <w:sz w:val="20"/>
                <w:szCs w:val="20"/>
                <w:color w:val="auto"/>
              </w:rPr>
            </w:pPr>
            <w:r>
              <w:rPr>
                <w:rFonts w:ascii="Arial" w:cs="Arial" w:eastAsia="Arial" w:hAnsi="Arial"/>
                <w:sz w:val="14"/>
                <w:szCs w:val="14"/>
                <w:color w:val="auto"/>
              </w:rPr>
              <w:t>516.00</w:t>
            </w:r>
          </w:p>
        </w:tc>
        <w:tc>
          <w:tcPr>
            <w:tcW w:w="1900" w:type="dxa"/>
            <w:vAlign w:val="bottom"/>
          </w:tcPr>
          <w:p>
            <w:pPr>
              <w:jc w:val="right"/>
              <w:ind w:right="588"/>
              <w:spacing w:after="0"/>
              <w:rPr>
                <w:sz w:val="20"/>
                <w:szCs w:val="20"/>
                <w:color w:val="auto"/>
              </w:rPr>
            </w:pPr>
            <w:r>
              <w:rPr>
                <w:rFonts w:ascii="Arial" w:cs="Arial" w:eastAsia="Arial" w:hAnsi="Arial"/>
                <w:sz w:val="14"/>
                <w:szCs w:val="14"/>
                <w:color w:val="auto"/>
              </w:rPr>
              <w:t>903.00</w:t>
            </w:r>
          </w:p>
        </w:tc>
      </w:tr>
      <w:tr>
        <w:trPr>
          <w:trHeight w:val="229"/>
        </w:trPr>
        <w:tc>
          <w:tcPr>
            <w:tcW w:w="2060" w:type="dxa"/>
            <w:vAlign w:val="bottom"/>
            <w:tcBorders>
              <w:bottom w:val="single" w:sz="8" w:color="auto"/>
            </w:tcBorders>
            <w:shd w:val="clear" w:color="auto" w:fill="F2F2F2"/>
          </w:tcPr>
          <w:p>
            <w:pPr>
              <w:ind w:left="20"/>
              <w:spacing w:after="0"/>
              <w:rPr>
                <w:sz w:val="20"/>
                <w:szCs w:val="20"/>
                <w:color w:val="auto"/>
              </w:rPr>
            </w:pPr>
            <w:r>
              <w:rPr>
                <w:rFonts w:ascii="Arial" w:cs="Arial" w:eastAsia="Arial" w:hAnsi="Arial"/>
                <w:sz w:val="14"/>
                <w:szCs w:val="14"/>
                <w:color w:val="auto"/>
              </w:rPr>
              <w:t>Ms. Ashkenazi</w:t>
            </w:r>
            <w:r>
              <w:rPr>
                <w:rFonts w:ascii="Arial" w:cs="Arial" w:eastAsia="Arial" w:hAnsi="Arial"/>
                <w:sz w:val="18"/>
                <w:szCs w:val="18"/>
                <w:color w:val="auto"/>
                <w:vertAlign w:val="superscript"/>
              </w:rPr>
              <w:t>3</w:t>
            </w:r>
          </w:p>
        </w:tc>
        <w:tc>
          <w:tcPr>
            <w:tcW w:w="2340" w:type="dxa"/>
            <w:vAlign w:val="bottom"/>
            <w:tcBorders>
              <w:bottom w:val="single" w:sz="8" w:color="auto"/>
            </w:tcBorders>
            <w:shd w:val="clear" w:color="auto" w:fill="F2F2F2"/>
          </w:tcPr>
          <w:p>
            <w:pPr>
              <w:jc w:val="right"/>
              <w:ind w:right="468"/>
              <w:spacing w:after="0"/>
              <w:rPr>
                <w:sz w:val="20"/>
                <w:szCs w:val="20"/>
                <w:color w:val="auto"/>
              </w:rPr>
            </w:pPr>
            <w:r>
              <w:rPr>
                <w:rFonts w:ascii="Arial" w:cs="Arial" w:eastAsia="Arial" w:hAnsi="Arial"/>
                <w:sz w:val="14"/>
                <w:szCs w:val="14"/>
                <w:color w:val="auto"/>
              </w:rPr>
              <w:t>4,565.00</w:t>
            </w:r>
          </w:p>
        </w:tc>
        <w:tc>
          <w:tcPr>
            <w:tcW w:w="1900" w:type="dxa"/>
            <w:vAlign w:val="bottom"/>
            <w:tcBorders>
              <w:bottom w:val="single" w:sz="8" w:color="auto"/>
            </w:tcBorders>
            <w:shd w:val="clear" w:color="auto" w:fill="F2F2F2"/>
          </w:tcPr>
          <w:p>
            <w:pPr>
              <w:jc w:val="right"/>
              <w:ind w:right="588"/>
              <w:spacing w:after="0"/>
              <w:rPr>
                <w:sz w:val="20"/>
                <w:szCs w:val="20"/>
                <w:color w:val="auto"/>
              </w:rPr>
            </w:pPr>
            <w:r>
              <w:rPr>
                <w:rFonts w:ascii="Arial" w:cs="Arial" w:eastAsia="Arial" w:hAnsi="Arial"/>
                <w:sz w:val="14"/>
                <w:szCs w:val="14"/>
                <w:color w:val="auto"/>
              </w:rPr>
              <w:t>—</w:t>
            </w:r>
          </w:p>
        </w:tc>
      </w:tr>
    </w:tbl>
    <w:p>
      <w:pPr>
        <w:spacing w:after="0" w:line="111" w:lineRule="exact"/>
        <w:rPr>
          <w:sz w:val="20"/>
          <w:szCs w:val="20"/>
          <w:color w:val="auto"/>
        </w:rPr>
      </w:pPr>
    </w:p>
    <w:p>
      <w:pPr>
        <w:ind w:left="160" w:hanging="152"/>
        <w:spacing w:after="0"/>
        <w:tabs>
          <w:tab w:leader="none" w:pos="160" w:val="left"/>
        </w:tabs>
        <w:numPr>
          <w:ilvl w:val="0"/>
          <w:numId w:val="136"/>
        </w:numPr>
        <w:rPr>
          <w:rFonts w:ascii="Arial" w:cs="Arial" w:eastAsia="Arial" w:hAnsi="Arial"/>
          <w:sz w:val="19"/>
          <w:szCs w:val="19"/>
          <w:color w:val="auto"/>
          <w:vertAlign w:val="superscript"/>
        </w:rPr>
      </w:pPr>
      <w:r>
        <w:rPr>
          <w:rFonts w:ascii="Arial" w:cs="Arial" w:eastAsia="Arial" w:hAnsi="Arial"/>
          <w:sz w:val="14"/>
          <w:szCs w:val="14"/>
          <w:color w:val="auto"/>
        </w:rPr>
        <w:t>Mr. Montarce was not an executive officer on the grant date; therefore, the one-year post-vesting holding requirement does not apply.</w:t>
      </w:r>
    </w:p>
    <w:p>
      <w:pPr>
        <w:spacing w:after="0" w:line="39" w:lineRule="exact"/>
        <w:rPr>
          <w:rFonts w:ascii="Arial" w:cs="Arial" w:eastAsia="Arial" w:hAnsi="Arial"/>
          <w:sz w:val="19"/>
          <w:szCs w:val="19"/>
          <w:color w:val="auto"/>
          <w:vertAlign w:val="superscript"/>
        </w:rPr>
      </w:pPr>
    </w:p>
    <w:p>
      <w:pPr>
        <w:ind w:right="2780"/>
        <w:spacing w:after="0" w:line="364" w:lineRule="auto"/>
        <w:rPr>
          <w:rFonts w:ascii="Arial" w:cs="Arial" w:eastAsia="Arial" w:hAnsi="Arial"/>
          <w:sz w:val="19"/>
          <w:szCs w:val="19"/>
          <w:color w:val="auto"/>
          <w:vertAlign w:val="superscript"/>
        </w:rPr>
      </w:pPr>
      <w:r>
        <w:rPr>
          <w:rFonts w:ascii="Arial" w:cs="Arial" w:eastAsia="Arial" w:hAnsi="Arial"/>
          <w:sz w:val="9"/>
          <w:szCs w:val="9"/>
          <w:color w:val="auto"/>
        </w:rPr>
        <w:t xml:space="preserve">2 </w:t>
      </w:r>
      <w:r>
        <w:rPr>
          <w:rFonts w:ascii="Arial" w:cs="Arial" w:eastAsia="Arial" w:hAnsi="Arial"/>
          <w:sz w:val="14"/>
          <w:szCs w:val="14"/>
          <w:color w:val="auto"/>
        </w:rPr>
        <w:t>Mr. Brooks was not an executive officer on the grant date; therefore, the one-year post-vesting holding requirement does not apply.</w:t>
      </w:r>
      <w:r>
        <w:rPr>
          <w:rFonts w:ascii="Arial" w:cs="Arial" w:eastAsia="Arial" w:hAnsi="Arial"/>
          <w:sz w:val="9"/>
          <w:szCs w:val="9"/>
          <w:color w:val="auto"/>
        </w:rPr>
        <w:t xml:space="preserve"> 3 </w:t>
      </w:r>
      <w:r>
        <w:rPr>
          <w:rFonts w:ascii="Arial" w:cs="Arial" w:eastAsia="Arial" w:hAnsi="Arial"/>
          <w:sz w:val="14"/>
          <w:szCs w:val="14"/>
          <w:color w:val="auto"/>
        </w:rPr>
        <w:t>Ms. Ashkenazi forfeited her relative value award upon her exit from the company on July 30, 2024.</w:t>
      </w:r>
    </w:p>
    <w:p>
      <w:pPr>
        <w:spacing w:after="0" w:line="49" w:lineRule="exact"/>
        <w:rPr>
          <w:sz w:val="20"/>
          <w:szCs w:val="20"/>
          <w:color w:val="auto"/>
        </w:rPr>
      </w:pPr>
    </w:p>
    <w:p>
      <w:pPr>
        <w:spacing w:after="0"/>
        <w:rPr>
          <w:sz w:val="20"/>
          <w:szCs w:val="20"/>
          <w:color w:val="auto"/>
        </w:rPr>
      </w:pPr>
      <w:r>
        <w:rPr>
          <w:rFonts w:ascii="Arial" w:cs="Arial" w:eastAsia="Arial" w:hAnsi="Arial"/>
          <w:sz w:val="25"/>
          <w:szCs w:val="25"/>
          <w:b w:val="1"/>
          <w:bCs w:val="1"/>
          <w:color w:val="00A1DE"/>
        </w:rPr>
        <w:t>Other Compensation Practices and Information</w:t>
      </w: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Employee Benefits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The company offers employee benefits to:</w:t>
      </w:r>
    </w:p>
    <w:p>
      <w:pPr>
        <w:spacing w:after="0" w:line="171" w:lineRule="exact"/>
        <w:rPr>
          <w:sz w:val="20"/>
          <w:szCs w:val="20"/>
          <w:color w:val="auto"/>
        </w:rPr>
      </w:pPr>
    </w:p>
    <w:p>
      <w:pPr>
        <w:ind w:left="560" w:hanging="309"/>
        <w:spacing w:after="0"/>
        <w:tabs>
          <w:tab w:leader="none" w:pos="560" w:val="left"/>
        </w:tabs>
        <w:numPr>
          <w:ilvl w:val="0"/>
          <w:numId w:val="137"/>
        </w:numPr>
        <w:rPr>
          <w:rFonts w:ascii="Arial" w:cs="Arial" w:eastAsia="Arial" w:hAnsi="Arial"/>
          <w:sz w:val="16"/>
          <w:szCs w:val="16"/>
          <w:color w:val="auto"/>
        </w:rPr>
      </w:pPr>
      <w:r>
        <w:rPr>
          <w:rFonts w:ascii="Arial" w:cs="Arial" w:eastAsia="Arial" w:hAnsi="Arial"/>
          <w:sz w:val="18"/>
          <w:szCs w:val="18"/>
          <w:color w:val="auto"/>
        </w:rPr>
        <w:t>Offer financial support in the event of illness or injury</w:t>
      </w:r>
    </w:p>
    <w:p>
      <w:pPr>
        <w:spacing w:after="0" w:line="171" w:lineRule="exact"/>
        <w:rPr>
          <w:rFonts w:ascii="Arial" w:cs="Arial" w:eastAsia="Arial" w:hAnsi="Arial"/>
          <w:sz w:val="16"/>
          <w:szCs w:val="16"/>
          <w:color w:val="auto"/>
        </w:rPr>
      </w:pPr>
    </w:p>
    <w:p>
      <w:pPr>
        <w:ind w:left="560" w:hanging="309"/>
        <w:spacing w:after="0"/>
        <w:tabs>
          <w:tab w:leader="none" w:pos="560" w:val="left"/>
        </w:tabs>
        <w:numPr>
          <w:ilvl w:val="0"/>
          <w:numId w:val="137"/>
        </w:numPr>
        <w:rPr>
          <w:rFonts w:ascii="Arial" w:cs="Arial" w:eastAsia="Arial" w:hAnsi="Arial"/>
          <w:sz w:val="16"/>
          <w:szCs w:val="16"/>
          <w:color w:val="auto"/>
        </w:rPr>
      </w:pPr>
      <w:r>
        <w:rPr>
          <w:rFonts w:ascii="Arial" w:cs="Arial" w:eastAsia="Arial" w:hAnsi="Arial"/>
          <w:sz w:val="18"/>
          <w:szCs w:val="18"/>
          <w:color w:val="auto"/>
        </w:rPr>
        <w:t>Provide post-retirement income</w:t>
      </w:r>
    </w:p>
    <w:p>
      <w:pPr>
        <w:spacing w:after="0" w:line="171" w:lineRule="exact"/>
        <w:rPr>
          <w:rFonts w:ascii="Arial" w:cs="Arial" w:eastAsia="Arial" w:hAnsi="Arial"/>
          <w:sz w:val="16"/>
          <w:szCs w:val="16"/>
          <w:color w:val="auto"/>
        </w:rPr>
      </w:pPr>
    </w:p>
    <w:p>
      <w:pPr>
        <w:ind w:left="560" w:hanging="309"/>
        <w:spacing w:after="0"/>
        <w:tabs>
          <w:tab w:leader="none" w:pos="560" w:val="left"/>
        </w:tabs>
        <w:numPr>
          <w:ilvl w:val="0"/>
          <w:numId w:val="137"/>
        </w:numPr>
        <w:rPr>
          <w:rFonts w:ascii="Arial" w:cs="Arial" w:eastAsia="Arial" w:hAnsi="Arial"/>
          <w:sz w:val="16"/>
          <w:szCs w:val="16"/>
          <w:color w:val="auto"/>
        </w:rPr>
      </w:pPr>
      <w:r>
        <w:rPr>
          <w:rFonts w:ascii="Arial" w:cs="Arial" w:eastAsia="Arial" w:hAnsi="Arial"/>
          <w:sz w:val="18"/>
          <w:szCs w:val="18"/>
          <w:color w:val="auto"/>
        </w:rPr>
        <w:t>Enhance productivity and job satisfaction through well-being focused programs</w:t>
      </w:r>
    </w:p>
    <w:p>
      <w:pPr>
        <w:spacing w:after="0" w:line="171"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These benefits, available to all eligible U.S. employees, include medical and dental coverage, disability insurance, and life insurance. Additionally, the 401(k) Plan and The Lilly Retirement Plan (the “Retirement Plan”) aim to provide U.S. employees a reasonable level of retirement income reflecting employees’ careers with the company.</w:t>
      </w:r>
    </w:p>
    <w:p>
      <w:pPr>
        <w:spacing w:after="0" w:line="11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For employees whose calculated retirement benefit exceeds Internal Revenue Service (IRS) limits for qualified plans, the company offers a nonqualified pension plan (“Nonqualified Pension Plan”) and a nonqualified savings plan (“Nonqualified Savings Plan”). These plans cover the difference between the calculated benefits and the IRS limits, using the same formula for all participants. The cost of employee benefits is partially borne by the employees, including the executive officers.</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Perquisites, Including Personal Security</w:t>
      </w:r>
    </w:p>
    <w:p>
      <w:pPr>
        <w:spacing w:after="0" w:line="54"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The company provides security for employees as appropriate, based on a risk assessment. The company’s security program aims to help employees safely and securely conduct business. While disclosure regulations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103505</wp:posOffset>
            </wp:positionV>
            <wp:extent cx="7157720" cy="42545"/>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62" w:name="page63"/>
    <w:bookmarkEnd w:id="62"/>
    <w:p>
      <w:pPr>
        <w:spacing w:after="0" w:line="256" w:lineRule="auto"/>
        <w:rPr>
          <w:sz w:val="20"/>
          <w:szCs w:val="20"/>
          <w:color w:val="auto"/>
        </w:rPr>
      </w:pPr>
      <w:r>
        <w:rPr>
          <w:rFonts w:ascii="Arial" w:cs="Arial" w:eastAsia="Arial" w:hAnsi="Arial"/>
          <w:sz w:val="18"/>
          <w:szCs w:val="18"/>
          <w:color w:val="auto"/>
        </w:rPr>
        <w:t>require certain security costs to be reported as benefits for named executive officers in the Summary Compensation Table, the company does not consider such security costs to be personal benefits because they arise from the nature of the employee’s role and are required by the company. Services include security at residences and during personal travel, as well as the procurement, installation, and maintenance of security equipment at residences. The Committee strongly encourages our Chair and CEO to use the company’s corporate aircraft for all travel, including personal travel. The Committee believes that these costs are appropriate and necessary considering the current threat landscape. These costs may fluctuate depending on security recommendations, travel schedules, and other circumstances. The Committee periodically reviews the security program.</w:t>
      </w:r>
    </w:p>
    <w:p>
      <w:pPr>
        <w:spacing w:after="0" w:line="1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Other individuals may also use the corporate aircraft for personal purposes up to a maximum incremental cost established by the Committee to increase their time available for company business and protect their health and safety. Additionally, Dr. Skovronsky received reimbursement of certain Hart-Scott-Rodino (HSR) filing fees. The incremental cost of personal use of the corporate aircraft and the reimbursement of HSR filing fees are included as perquisites in the Summary Compensation Table under the heading “</w:t>
      </w:r>
      <w:r>
        <w:rPr>
          <w:rFonts w:ascii="Arial" w:cs="Arial" w:eastAsia="Arial" w:hAnsi="Arial"/>
          <w:sz w:val="18"/>
          <w:szCs w:val="18"/>
          <w:color w:val="0000FF"/>
        </w:rPr>
        <w:t>All Other</w:t>
      </w:r>
      <w:r>
        <w:rPr>
          <w:rFonts w:ascii="Arial" w:cs="Arial" w:eastAsia="Arial" w:hAnsi="Arial"/>
          <w:sz w:val="18"/>
          <w:szCs w:val="18"/>
          <w:color w:val="auto"/>
        </w:rPr>
        <w:t xml:space="preserve"> </w:t>
      </w:r>
      <w:r>
        <w:rPr>
          <w:rFonts w:ascii="Arial" w:cs="Arial" w:eastAsia="Arial" w:hAnsi="Arial"/>
          <w:sz w:val="18"/>
          <w:szCs w:val="18"/>
          <w:color w:val="0000FF"/>
        </w:rPr>
        <w:t>Compensation.</w:t>
      </w:r>
      <w:r>
        <w:rPr>
          <w:rFonts w:ascii="Arial" w:cs="Arial" w:eastAsia="Arial" w:hAnsi="Arial"/>
          <w:sz w:val="18"/>
          <w:szCs w:val="18"/>
          <w:color w:val="000000"/>
        </w:rPr>
        <w:t>”</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 Lilly Deferred Compensation Plan</w:t>
      </w:r>
    </w:p>
    <w:p>
      <w:pPr>
        <w:spacing w:after="0" w:line="54"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Members of senior management may defer receipt of part or all their annual bonus under The Lilly Deferred Compensation Plan (Deferred Compensation Plan), which allows them to save for retirement in a tax-effective way at minimal cost to the company. Under this unfunded plan, amounts deferred by the executive are credited at an interest rate of 120 percent of the applicable federal long-term rate, as described in more detail following the “</w:t>
      </w:r>
      <w:r>
        <w:rPr>
          <w:rFonts w:ascii="Arial" w:cs="Arial" w:eastAsia="Arial" w:hAnsi="Arial"/>
          <w:sz w:val="18"/>
          <w:szCs w:val="18"/>
          <w:u w:val="single" w:color="auto"/>
          <w:color w:val="0000FF"/>
        </w:rPr>
        <w:t>Nonqualified Deferred Compensation in 2024</w:t>
      </w:r>
      <w:r>
        <w:rPr>
          <w:rFonts w:ascii="Arial" w:cs="Arial" w:eastAsia="Arial" w:hAnsi="Arial"/>
          <w:sz w:val="18"/>
          <w:szCs w:val="18"/>
          <w:color w:val="auto"/>
        </w:rPr>
        <w:t>” table.</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Severance and Other Post-Termination Benefits</w:t>
      </w:r>
    </w:p>
    <w:p>
      <w:pPr>
        <w:spacing w:after="0" w:line="5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Except in cases of certain terminations following a change in control of the company, the company is generally not obligated to pay severance to executive officers upon termination of their employment; any such payments are at the discretion of the Committee. However, if the company enforces restrictive covenant agreements with certain executive officers, those officers would be entitled to post-termination payments (absent a change in control), as described and quantified in “Payments upon Termination or Change in Control” for the applicable named executive officers.</w:t>
      </w:r>
    </w:p>
    <w:p>
      <w:pPr>
        <w:spacing w:after="0" w:line="125"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The company has adopted change-in-control severance pay plans for nearly all employees, including executive officers. These plans aim to preserve employee morale and productivity and encourage retention amidst the potentially disruptive impact of an actual or rumored change in control. Furthermore, these plans are designed to align executive and shareholder interests by allowing executives to evaluate corporate transactions that may benefit shareholders and other company stakeholders without undue concern over their own employment security.</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Highlights of Our Change-in-Control Severance Plans</w:t>
      </w:r>
    </w:p>
    <w:p>
      <w:pPr>
        <w:spacing w:after="0" w:line="67" w:lineRule="exact"/>
        <w:rPr>
          <w:sz w:val="20"/>
          <w:szCs w:val="20"/>
          <w:color w:val="auto"/>
        </w:rPr>
      </w:pPr>
    </w:p>
    <w:p>
      <w:pPr>
        <w:ind w:left="480" w:hanging="310"/>
        <w:spacing w:after="0"/>
        <w:tabs>
          <w:tab w:leader="none" w:pos="480" w:val="left"/>
        </w:tabs>
        <w:numPr>
          <w:ilvl w:val="0"/>
          <w:numId w:val="138"/>
        </w:numPr>
        <w:rPr>
          <w:rFonts w:ascii="Arial" w:cs="Arial" w:eastAsia="Arial" w:hAnsi="Arial"/>
          <w:sz w:val="16"/>
          <w:szCs w:val="16"/>
          <w:color w:val="auto"/>
        </w:rPr>
      </w:pPr>
      <w:r>
        <w:rPr>
          <w:rFonts w:ascii="Arial" w:cs="Arial" w:eastAsia="Arial" w:hAnsi="Arial"/>
          <w:sz w:val="18"/>
          <w:szCs w:val="18"/>
          <w:color w:val="auto"/>
        </w:rPr>
        <w:t>all regular employees are covered</w:t>
      </w:r>
    </w:p>
    <w:p>
      <w:pPr>
        <w:spacing w:after="0" w:line="171" w:lineRule="exact"/>
        <w:rPr>
          <w:rFonts w:ascii="Arial" w:cs="Arial" w:eastAsia="Arial" w:hAnsi="Arial"/>
          <w:sz w:val="16"/>
          <w:szCs w:val="16"/>
          <w:color w:val="auto"/>
        </w:rPr>
      </w:pPr>
    </w:p>
    <w:p>
      <w:pPr>
        <w:ind w:left="480" w:hanging="310"/>
        <w:spacing w:after="0"/>
        <w:tabs>
          <w:tab w:leader="none" w:pos="480" w:val="left"/>
        </w:tabs>
        <w:numPr>
          <w:ilvl w:val="0"/>
          <w:numId w:val="138"/>
        </w:numPr>
        <w:rPr>
          <w:rFonts w:ascii="Arial" w:cs="Arial" w:eastAsia="Arial" w:hAnsi="Arial"/>
          <w:sz w:val="16"/>
          <w:szCs w:val="16"/>
          <w:color w:val="auto"/>
        </w:rPr>
      </w:pPr>
      <w:r>
        <w:rPr>
          <w:rFonts w:ascii="Arial" w:cs="Arial" w:eastAsia="Arial" w:hAnsi="Arial"/>
          <w:sz w:val="18"/>
          <w:szCs w:val="18"/>
          <w:color w:val="auto"/>
        </w:rPr>
        <w:t>double trigger required</w:t>
      </w:r>
    </w:p>
    <w:p>
      <w:pPr>
        <w:spacing w:after="0" w:line="171" w:lineRule="exact"/>
        <w:rPr>
          <w:rFonts w:ascii="Arial" w:cs="Arial" w:eastAsia="Arial" w:hAnsi="Arial"/>
          <w:sz w:val="16"/>
          <w:szCs w:val="16"/>
          <w:color w:val="auto"/>
        </w:rPr>
      </w:pPr>
    </w:p>
    <w:p>
      <w:pPr>
        <w:ind w:left="480" w:hanging="310"/>
        <w:spacing w:after="0"/>
        <w:tabs>
          <w:tab w:leader="none" w:pos="480" w:val="left"/>
        </w:tabs>
        <w:numPr>
          <w:ilvl w:val="0"/>
          <w:numId w:val="138"/>
        </w:numPr>
        <w:rPr>
          <w:rFonts w:ascii="Arial" w:cs="Arial" w:eastAsia="Arial" w:hAnsi="Arial"/>
          <w:sz w:val="16"/>
          <w:szCs w:val="16"/>
          <w:color w:val="auto"/>
        </w:rPr>
      </w:pPr>
      <w:r>
        <w:rPr>
          <w:rFonts w:ascii="Arial" w:cs="Arial" w:eastAsia="Arial" w:hAnsi="Arial"/>
          <w:sz w:val="18"/>
          <w:szCs w:val="18"/>
          <w:color w:val="auto"/>
        </w:rPr>
        <w:t>no tax gross-ups</w:t>
      </w:r>
    </w:p>
    <w:p>
      <w:pPr>
        <w:spacing w:after="0" w:line="171" w:lineRule="exact"/>
        <w:rPr>
          <w:rFonts w:ascii="Arial" w:cs="Arial" w:eastAsia="Arial" w:hAnsi="Arial"/>
          <w:sz w:val="16"/>
          <w:szCs w:val="16"/>
          <w:color w:val="auto"/>
        </w:rPr>
      </w:pPr>
    </w:p>
    <w:p>
      <w:pPr>
        <w:ind w:left="480" w:hanging="310"/>
        <w:spacing w:after="0"/>
        <w:tabs>
          <w:tab w:leader="none" w:pos="480" w:val="left"/>
        </w:tabs>
        <w:numPr>
          <w:ilvl w:val="0"/>
          <w:numId w:val="138"/>
        </w:numPr>
        <w:rPr>
          <w:rFonts w:ascii="Arial" w:cs="Arial" w:eastAsia="Arial" w:hAnsi="Arial"/>
          <w:sz w:val="16"/>
          <w:szCs w:val="16"/>
          <w:color w:val="auto"/>
        </w:rPr>
      </w:pPr>
      <w:r>
        <w:rPr>
          <w:rFonts w:ascii="Arial" w:cs="Arial" w:eastAsia="Arial" w:hAnsi="Arial"/>
          <w:sz w:val="18"/>
          <w:szCs w:val="18"/>
          <w:color w:val="auto"/>
        </w:rPr>
        <w:t>up to two-year pay protection</w:t>
      </w:r>
    </w:p>
    <w:p>
      <w:pPr>
        <w:spacing w:after="0" w:line="171" w:lineRule="exact"/>
        <w:rPr>
          <w:rFonts w:ascii="Arial" w:cs="Arial" w:eastAsia="Arial" w:hAnsi="Arial"/>
          <w:sz w:val="16"/>
          <w:szCs w:val="16"/>
          <w:color w:val="auto"/>
        </w:rPr>
      </w:pPr>
    </w:p>
    <w:p>
      <w:pPr>
        <w:ind w:left="480" w:hanging="310"/>
        <w:spacing w:after="0"/>
        <w:tabs>
          <w:tab w:leader="none" w:pos="480" w:val="left"/>
        </w:tabs>
        <w:numPr>
          <w:ilvl w:val="0"/>
          <w:numId w:val="138"/>
        </w:numPr>
        <w:rPr>
          <w:rFonts w:ascii="Arial" w:cs="Arial" w:eastAsia="Arial" w:hAnsi="Arial"/>
          <w:sz w:val="16"/>
          <w:szCs w:val="16"/>
          <w:color w:val="auto"/>
        </w:rPr>
      </w:pPr>
      <w:r>
        <w:rPr>
          <w:rFonts w:ascii="Arial" w:cs="Arial" w:eastAsia="Arial" w:hAnsi="Arial"/>
          <w:sz w:val="18"/>
          <w:szCs w:val="18"/>
          <w:color w:val="auto"/>
        </w:rPr>
        <w:t>18-month benefit continuation</w:t>
      </w:r>
    </w:p>
    <w:p>
      <w:pPr>
        <w:spacing w:after="0" w:line="171"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Although benefit levels may differ depending on the employee’s job level and seniority, the basic elements of the plans are comparable for all eligible employees:</w:t>
      </w:r>
    </w:p>
    <w:p>
      <w:pPr>
        <w:spacing w:after="0" w:line="104" w:lineRule="exact"/>
        <w:rPr>
          <w:sz w:val="20"/>
          <w:szCs w:val="20"/>
          <w:color w:val="auto"/>
        </w:rPr>
      </w:pPr>
    </w:p>
    <w:p>
      <w:pPr>
        <w:ind w:left="500" w:right="60" w:hanging="330"/>
        <w:spacing w:after="0" w:line="270" w:lineRule="auto"/>
        <w:tabs>
          <w:tab w:leader="none" w:pos="489" w:val="left"/>
        </w:tabs>
        <w:numPr>
          <w:ilvl w:val="0"/>
          <w:numId w:val="139"/>
        </w:numPr>
        <w:rPr>
          <w:rFonts w:ascii="Arial" w:cs="Arial" w:eastAsia="Arial" w:hAnsi="Arial"/>
          <w:sz w:val="16"/>
          <w:szCs w:val="16"/>
          <w:b w:val="1"/>
          <w:bCs w:val="1"/>
          <w:color w:val="D52B1E"/>
        </w:rPr>
      </w:pPr>
      <w:r>
        <w:rPr>
          <w:rFonts w:ascii="Arial" w:cs="Arial" w:eastAsia="Arial" w:hAnsi="Arial"/>
          <w:sz w:val="19"/>
          <w:szCs w:val="19"/>
          <w:b w:val="1"/>
          <w:bCs w:val="1"/>
          <w:color w:val="D52B1E"/>
        </w:rPr>
        <w:t xml:space="preserve">Double trigger: </w:t>
      </w:r>
      <w:r>
        <w:rPr>
          <w:rFonts w:ascii="Arial" w:cs="Arial" w:eastAsia="Arial" w:hAnsi="Arial"/>
          <w:sz w:val="17"/>
          <w:szCs w:val="17"/>
          <w:color w:val="000000"/>
        </w:rPr>
        <w:t>Unlike “single trigger” plans that pay out immediately upon a change in control, our plans require a “double trigger”—</w:t>
      </w:r>
      <w:r>
        <w:rPr>
          <w:rFonts w:ascii="Arial" w:cs="Arial" w:eastAsia="Arial" w:hAnsi="Arial"/>
          <w:sz w:val="19"/>
          <w:szCs w:val="19"/>
          <w:b w:val="1"/>
          <w:bCs w:val="1"/>
          <w:color w:val="D52B1E"/>
        </w:rPr>
        <w:t xml:space="preserve"> </w:t>
      </w:r>
      <w:r>
        <w:rPr>
          <w:rFonts w:ascii="Arial" w:cs="Arial" w:eastAsia="Arial" w:hAnsi="Arial"/>
          <w:sz w:val="17"/>
          <w:szCs w:val="17"/>
          <w:color w:val="000000"/>
        </w:rPr>
        <w:t>a change in control followed by a covered loss of employment within two years. This approach aligns with the plans’ intent to provide employees with financial protection upon loss of employment. For unvested equity, performance up to the date of the change in control is used to determine the number of shares earned under an award. However, vesting does not accelerate immediately upon a change in control. Instead, the performance-adjusted awards will convert to time-based restricted stock units that continue to vest following the transaction. Shares will pay out upon the earlier of the completion of the original award period; a covered termination; or if the successor entity does not assume, substitute, or otherwise replace the awards.</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88900</wp:posOffset>
            </wp:positionV>
            <wp:extent cx="7157720" cy="42545"/>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3" w:name="page64"/>
    <w:bookmarkEnd w:id="63"/>
    <w:p>
      <w:pPr>
        <w:ind w:left="500" w:right="240" w:hanging="330"/>
        <w:spacing w:after="0" w:line="265" w:lineRule="auto"/>
        <w:tabs>
          <w:tab w:leader="none" w:pos="489" w:val="left"/>
        </w:tabs>
        <w:numPr>
          <w:ilvl w:val="0"/>
          <w:numId w:val="140"/>
        </w:numPr>
        <w:rPr>
          <w:rFonts w:ascii="Arial" w:cs="Arial" w:eastAsia="Arial" w:hAnsi="Arial"/>
          <w:sz w:val="16"/>
          <w:szCs w:val="16"/>
          <w:b w:val="1"/>
          <w:bCs w:val="1"/>
          <w:color w:val="D52B1E"/>
        </w:rPr>
      </w:pPr>
      <w:r>
        <w:rPr>
          <w:rFonts w:ascii="Arial" w:cs="Arial" w:eastAsia="Arial" w:hAnsi="Arial"/>
          <w:sz w:val="19"/>
          <w:szCs w:val="19"/>
          <w:b w:val="1"/>
          <w:bCs w:val="1"/>
          <w:color w:val="D52B1E"/>
        </w:rPr>
        <w:t xml:space="preserve">Covered terminations: </w:t>
      </w:r>
      <w:r>
        <w:rPr>
          <w:rFonts w:ascii="Arial" w:cs="Arial" w:eastAsia="Arial" w:hAnsi="Arial"/>
          <w:sz w:val="17"/>
          <w:szCs w:val="17"/>
          <w:color w:val="000000"/>
        </w:rPr>
        <w:t>Eligible employees may receive payments under the following conditions: if their employment is terminated</w:t>
      </w:r>
      <w:r>
        <w:rPr>
          <w:rFonts w:ascii="Arial" w:cs="Arial" w:eastAsia="Arial" w:hAnsi="Arial"/>
          <w:sz w:val="19"/>
          <w:szCs w:val="19"/>
          <w:b w:val="1"/>
          <w:bCs w:val="1"/>
          <w:color w:val="D52B1E"/>
        </w:rPr>
        <w:t xml:space="preserve"> </w:t>
      </w:r>
      <w:r>
        <w:rPr>
          <w:rFonts w:ascii="Arial" w:cs="Arial" w:eastAsia="Arial" w:hAnsi="Arial"/>
          <w:sz w:val="17"/>
          <w:szCs w:val="17"/>
          <w:color w:val="000000"/>
        </w:rPr>
        <w:t>within two years of the change in control, either (i) without cause by the company or (ii) for good reason by the employee, each as defined in the plans. For further details, including the definition of a change in control, please refer to the section “</w:t>
      </w:r>
      <w:r>
        <w:rPr>
          <w:rFonts w:ascii="Arial" w:cs="Arial" w:eastAsia="Arial" w:hAnsi="Arial"/>
          <w:sz w:val="17"/>
          <w:szCs w:val="17"/>
          <w:u w:val="single" w:color="auto"/>
          <w:color w:val="0000FF"/>
        </w:rPr>
        <w:t>Compensation—</w:t>
      </w:r>
      <w:r>
        <w:rPr>
          <w:rFonts w:ascii="Arial" w:cs="Arial" w:eastAsia="Arial" w:hAnsi="Arial"/>
          <w:sz w:val="17"/>
          <w:szCs w:val="17"/>
          <w:color w:val="000000"/>
        </w:rPr>
        <w:t xml:space="preserve"> </w:t>
      </w:r>
      <w:r>
        <w:rPr>
          <w:rFonts w:ascii="Arial" w:cs="Arial" w:eastAsia="Arial" w:hAnsi="Arial"/>
          <w:sz w:val="17"/>
          <w:szCs w:val="17"/>
          <w:u w:val="single" w:color="auto"/>
          <w:color w:val="0000FF"/>
        </w:rPr>
        <w:t>Executive Compensation—Payments upon Termination or Change in Control</w:t>
      </w:r>
      <w:r>
        <w:rPr>
          <w:rFonts w:ascii="Arial" w:cs="Arial" w:eastAsia="Arial" w:hAnsi="Arial"/>
          <w:sz w:val="17"/>
          <w:szCs w:val="17"/>
          <w:color w:val="000000"/>
        </w:rPr>
        <w:t>”.</w:t>
      </w:r>
    </w:p>
    <w:p>
      <w:pPr>
        <w:spacing w:after="0" w:line="125" w:lineRule="exact"/>
        <w:rPr>
          <w:rFonts w:ascii="Arial" w:cs="Arial" w:eastAsia="Arial" w:hAnsi="Arial"/>
          <w:sz w:val="16"/>
          <w:szCs w:val="16"/>
          <w:b w:val="1"/>
          <w:bCs w:val="1"/>
          <w:color w:val="D52B1E"/>
        </w:rPr>
      </w:pPr>
    </w:p>
    <w:p>
      <w:pPr>
        <w:ind w:left="500" w:right="40" w:hanging="330"/>
        <w:spacing w:after="0" w:line="267" w:lineRule="auto"/>
        <w:tabs>
          <w:tab w:leader="none" w:pos="489" w:val="left"/>
        </w:tabs>
        <w:numPr>
          <w:ilvl w:val="0"/>
          <w:numId w:val="140"/>
        </w:numPr>
        <w:rPr>
          <w:rFonts w:ascii="Arial" w:cs="Arial" w:eastAsia="Arial" w:hAnsi="Arial"/>
          <w:sz w:val="16"/>
          <w:szCs w:val="16"/>
          <w:b w:val="1"/>
          <w:bCs w:val="1"/>
          <w:color w:val="D52B1E"/>
        </w:rPr>
      </w:pPr>
      <w:r>
        <w:rPr>
          <w:rFonts w:ascii="Arial" w:cs="Arial" w:eastAsia="Arial" w:hAnsi="Arial"/>
          <w:sz w:val="19"/>
          <w:szCs w:val="19"/>
          <w:b w:val="1"/>
          <w:bCs w:val="1"/>
          <w:color w:val="D52B1E"/>
        </w:rPr>
        <w:t xml:space="preserve">Employees who experience a covered termination: </w:t>
      </w:r>
      <w:r>
        <w:rPr>
          <w:rFonts w:ascii="Arial" w:cs="Arial" w:eastAsia="Arial" w:hAnsi="Arial"/>
          <w:sz w:val="17"/>
          <w:szCs w:val="17"/>
          <w:color w:val="000000"/>
        </w:rPr>
        <w:t>Employees will be provided up to two years of pay and 18 months of benefits</w:t>
      </w:r>
      <w:r>
        <w:rPr>
          <w:rFonts w:ascii="Arial" w:cs="Arial" w:eastAsia="Arial" w:hAnsi="Arial"/>
          <w:sz w:val="19"/>
          <w:szCs w:val="19"/>
          <w:b w:val="1"/>
          <w:bCs w:val="1"/>
          <w:color w:val="D52B1E"/>
        </w:rPr>
        <w:t xml:space="preserve"> </w:t>
      </w:r>
      <w:r>
        <w:rPr>
          <w:rFonts w:ascii="Arial" w:cs="Arial" w:eastAsia="Arial" w:hAnsi="Arial"/>
          <w:sz w:val="17"/>
          <w:szCs w:val="17"/>
          <w:color w:val="000000"/>
        </w:rPr>
        <w:t>continuation. These measures are designed to offer a safeguard for their income and essential benefits during a transitional period. Specifically:</w:t>
      </w:r>
    </w:p>
    <w:p>
      <w:pPr>
        <w:spacing w:after="0" w:line="114" w:lineRule="exact"/>
        <w:rPr>
          <w:rFonts w:ascii="Arial" w:cs="Arial" w:eastAsia="Arial" w:hAnsi="Arial"/>
          <w:sz w:val="16"/>
          <w:szCs w:val="16"/>
          <w:b w:val="1"/>
          <w:bCs w:val="1"/>
          <w:color w:val="D52B1E"/>
        </w:rPr>
      </w:pPr>
    </w:p>
    <w:p>
      <w:pPr>
        <w:ind w:left="1140" w:right="20" w:hanging="322"/>
        <w:spacing w:after="0" w:line="268" w:lineRule="auto"/>
        <w:tabs>
          <w:tab w:leader="none" w:pos="1130" w:val="left"/>
        </w:tabs>
        <w:numPr>
          <w:ilvl w:val="1"/>
          <w:numId w:val="140"/>
        </w:numPr>
        <w:rPr>
          <w:rFonts w:ascii="Arial" w:cs="Arial" w:eastAsia="Arial" w:hAnsi="Arial"/>
          <w:sz w:val="16"/>
          <w:szCs w:val="16"/>
          <w:color w:val="auto"/>
        </w:rPr>
      </w:pPr>
      <w:r>
        <w:rPr>
          <w:rFonts w:ascii="Arial" w:cs="Arial" w:eastAsia="Arial" w:hAnsi="Arial"/>
          <w:sz w:val="18"/>
          <w:szCs w:val="18"/>
          <w:b w:val="1"/>
          <w:bCs w:val="1"/>
          <w:color w:val="auto"/>
        </w:rPr>
        <w:t xml:space="preserve">Severance: </w:t>
      </w:r>
      <w:r>
        <w:rPr>
          <w:rFonts w:ascii="Arial" w:cs="Arial" w:eastAsia="Arial" w:hAnsi="Arial"/>
          <w:sz w:val="18"/>
          <w:szCs w:val="18"/>
          <w:color w:val="auto"/>
        </w:rPr>
        <w:t>Eligible employees who are terminated will receive a severance payment that ranges from six months to two years</w:t>
      </w:r>
      <w:r>
        <w:rPr>
          <w:rFonts w:ascii="Arial" w:cs="Arial" w:eastAsia="Arial" w:hAnsi="Arial"/>
          <w:sz w:val="18"/>
          <w:szCs w:val="18"/>
          <w:b w:val="1"/>
          <w:bCs w:val="1"/>
          <w:color w:val="auto"/>
        </w:rPr>
        <w:t xml:space="preserve"> </w:t>
      </w:r>
      <w:r>
        <w:rPr>
          <w:rFonts w:ascii="Arial" w:cs="Arial" w:eastAsia="Arial" w:hAnsi="Arial"/>
          <w:sz w:val="18"/>
          <w:szCs w:val="18"/>
          <w:color w:val="auto"/>
        </w:rPr>
        <w:t>of their base salary. Eligible executives will receive a severance payment equal to two times their base salary and target bonus.</w:t>
      </w:r>
    </w:p>
    <w:p>
      <w:pPr>
        <w:spacing w:after="0" w:line="116" w:lineRule="exact"/>
        <w:rPr>
          <w:rFonts w:ascii="Arial" w:cs="Arial" w:eastAsia="Arial" w:hAnsi="Arial"/>
          <w:sz w:val="16"/>
          <w:szCs w:val="16"/>
          <w:color w:val="auto"/>
        </w:rPr>
      </w:pPr>
    </w:p>
    <w:p>
      <w:pPr>
        <w:ind w:left="1140" w:right="140" w:hanging="322"/>
        <w:spacing w:after="0" w:line="262" w:lineRule="auto"/>
        <w:tabs>
          <w:tab w:leader="none" w:pos="1130" w:val="left"/>
        </w:tabs>
        <w:numPr>
          <w:ilvl w:val="1"/>
          <w:numId w:val="140"/>
        </w:numPr>
        <w:rPr>
          <w:rFonts w:ascii="Arial" w:cs="Arial" w:eastAsia="Arial" w:hAnsi="Arial"/>
          <w:sz w:val="16"/>
          <w:szCs w:val="16"/>
          <w:color w:val="auto"/>
        </w:rPr>
      </w:pPr>
      <w:r>
        <w:rPr>
          <w:rFonts w:ascii="Arial" w:cs="Arial" w:eastAsia="Arial" w:hAnsi="Arial"/>
          <w:sz w:val="18"/>
          <w:szCs w:val="18"/>
          <w:b w:val="1"/>
          <w:bCs w:val="1"/>
          <w:color w:val="auto"/>
        </w:rPr>
        <w:t xml:space="preserve">Benefits: </w:t>
      </w:r>
      <w:r>
        <w:rPr>
          <w:rFonts w:ascii="Arial" w:cs="Arial" w:eastAsia="Arial" w:hAnsi="Arial"/>
          <w:sz w:val="18"/>
          <w:szCs w:val="18"/>
          <w:color w:val="auto"/>
        </w:rPr>
        <w:t>Certain benefits, including health, dental, life insurance, and long-term disability coverage, will be maintained for 18</w:t>
      </w:r>
      <w:r>
        <w:rPr>
          <w:rFonts w:ascii="Arial" w:cs="Arial" w:eastAsia="Arial" w:hAnsi="Arial"/>
          <w:sz w:val="18"/>
          <w:szCs w:val="18"/>
          <w:b w:val="1"/>
          <w:bCs w:val="1"/>
          <w:color w:val="auto"/>
        </w:rPr>
        <w:t xml:space="preserve"> </w:t>
      </w:r>
      <w:r>
        <w:rPr>
          <w:rFonts w:ascii="Arial" w:cs="Arial" w:eastAsia="Arial" w:hAnsi="Arial"/>
          <w:sz w:val="18"/>
          <w:szCs w:val="18"/>
          <w:color w:val="auto"/>
        </w:rPr>
        <w:t>months post-termination, provided the individual does not become eligible for similar benefits with a new employer. Additionally, all employees will receive an extra two years of both age and years-of-service credit, which count towards eligibility for retiree medical and dental benefits.</w:t>
      </w:r>
    </w:p>
    <w:p>
      <w:pPr>
        <w:spacing w:after="0" w:line="127" w:lineRule="exact"/>
        <w:rPr>
          <w:rFonts w:ascii="Arial" w:cs="Arial" w:eastAsia="Arial" w:hAnsi="Arial"/>
          <w:sz w:val="16"/>
          <w:szCs w:val="16"/>
          <w:color w:val="auto"/>
        </w:rPr>
      </w:pPr>
    </w:p>
    <w:p>
      <w:pPr>
        <w:ind w:left="500" w:right="100" w:hanging="330"/>
        <w:spacing w:after="0" w:line="268" w:lineRule="auto"/>
        <w:tabs>
          <w:tab w:leader="none" w:pos="489" w:val="left"/>
        </w:tabs>
        <w:numPr>
          <w:ilvl w:val="0"/>
          <w:numId w:val="140"/>
        </w:numPr>
        <w:rPr>
          <w:rFonts w:ascii="Arial" w:cs="Arial" w:eastAsia="Arial" w:hAnsi="Arial"/>
          <w:sz w:val="16"/>
          <w:szCs w:val="16"/>
          <w:b w:val="1"/>
          <w:bCs w:val="1"/>
          <w:color w:val="D52B1E"/>
        </w:rPr>
      </w:pPr>
      <w:r>
        <w:rPr>
          <w:rFonts w:ascii="Arial" w:cs="Arial" w:eastAsia="Arial" w:hAnsi="Arial"/>
          <w:sz w:val="19"/>
          <w:szCs w:val="19"/>
          <w:b w:val="1"/>
          <w:bCs w:val="1"/>
          <w:color w:val="D52B1E"/>
        </w:rPr>
        <w:t xml:space="preserve">Accelerated vesting of equity awards: </w:t>
      </w:r>
      <w:r>
        <w:rPr>
          <w:rFonts w:ascii="Arial" w:cs="Arial" w:eastAsia="Arial" w:hAnsi="Arial"/>
          <w:sz w:val="17"/>
          <w:szCs w:val="17"/>
          <w:color w:val="000000"/>
        </w:rPr>
        <w:t>Any unvested equity awards would vest at the time of a covered termination (i.e., a “double</w:t>
      </w:r>
      <w:r>
        <w:rPr>
          <w:rFonts w:ascii="Arial" w:cs="Arial" w:eastAsia="Arial" w:hAnsi="Arial"/>
          <w:sz w:val="19"/>
          <w:szCs w:val="19"/>
          <w:b w:val="1"/>
          <w:bCs w:val="1"/>
          <w:color w:val="D52B1E"/>
        </w:rPr>
        <w:t xml:space="preserve"> </w:t>
      </w:r>
      <w:r>
        <w:rPr>
          <w:rFonts w:ascii="Arial" w:cs="Arial" w:eastAsia="Arial" w:hAnsi="Arial"/>
          <w:sz w:val="17"/>
          <w:szCs w:val="17"/>
          <w:color w:val="000000"/>
        </w:rPr>
        <w:t>trigger” occurs).</w:t>
      </w:r>
    </w:p>
    <w:p>
      <w:pPr>
        <w:spacing w:after="0" w:line="119" w:lineRule="exact"/>
        <w:rPr>
          <w:rFonts w:ascii="Arial" w:cs="Arial" w:eastAsia="Arial" w:hAnsi="Arial"/>
          <w:sz w:val="16"/>
          <w:szCs w:val="16"/>
          <w:b w:val="1"/>
          <w:bCs w:val="1"/>
          <w:color w:val="D52B1E"/>
        </w:rPr>
      </w:pPr>
    </w:p>
    <w:p>
      <w:pPr>
        <w:ind w:left="500" w:hanging="330"/>
        <w:spacing w:after="0" w:line="265" w:lineRule="auto"/>
        <w:tabs>
          <w:tab w:leader="none" w:pos="489" w:val="left"/>
        </w:tabs>
        <w:numPr>
          <w:ilvl w:val="0"/>
          <w:numId w:val="140"/>
        </w:numPr>
        <w:rPr>
          <w:rFonts w:ascii="Arial" w:cs="Arial" w:eastAsia="Arial" w:hAnsi="Arial"/>
          <w:sz w:val="16"/>
          <w:szCs w:val="16"/>
          <w:b w:val="1"/>
          <w:bCs w:val="1"/>
          <w:color w:val="D52B1E"/>
        </w:rPr>
      </w:pPr>
      <w:r>
        <w:rPr>
          <w:rFonts w:ascii="Arial" w:cs="Arial" w:eastAsia="Arial" w:hAnsi="Arial"/>
          <w:sz w:val="19"/>
          <w:szCs w:val="19"/>
          <w:b w:val="1"/>
          <w:bCs w:val="1"/>
          <w:color w:val="D52B1E"/>
        </w:rPr>
        <w:t xml:space="preserve">Excise tax: </w:t>
      </w:r>
      <w:r>
        <w:rPr>
          <w:rFonts w:ascii="Arial" w:cs="Arial" w:eastAsia="Arial" w:hAnsi="Arial"/>
          <w:sz w:val="17"/>
          <w:szCs w:val="17"/>
          <w:color w:val="000000"/>
        </w:rPr>
        <w:t>In certain circumstances, an employee’s payments or other benefits resulting from a change in control may exceed limits</w:t>
      </w:r>
      <w:r>
        <w:rPr>
          <w:rFonts w:ascii="Arial" w:cs="Arial" w:eastAsia="Arial" w:hAnsi="Arial"/>
          <w:sz w:val="19"/>
          <w:szCs w:val="19"/>
          <w:b w:val="1"/>
          <w:bCs w:val="1"/>
          <w:color w:val="D52B1E"/>
        </w:rPr>
        <w:t xml:space="preserve"> </w:t>
      </w:r>
      <w:r>
        <w:rPr>
          <w:rFonts w:ascii="Arial" w:cs="Arial" w:eastAsia="Arial" w:hAnsi="Arial"/>
          <w:sz w:val="17"/>
          <w:szCs w:val="17"/>
          <w:color w:val="000000"/>
        </w:rPr>
        <w:t>established under Section 280G of the Internal Revenue Code. Should this occur, the employee would incur an excise tax in addition to the standard federal income tax. The company does not compensate employees for these additional taxes. However, if reducing the benefits related to the change in control to the 280G limit results in a higher after-tax benefit to the employee than retaining the full, unreduced benefit, the amount will be reduced accordingly.</w:t>
      </w:r>
    </w:p>
    <w:p>
      <w:pPr>
        <w:spacing w:after="0" w:line="115" w:lineRule="exact"/>
        <w:rPr>
          <w:sz w:val="20"/>
          <w:szCs w:val="20"/>
          <w:color w:val="auto"/>
        </w:rPr>
      </w:pPr>
    </w:p>
    <w:p>
      <w:pPr>
        <w:spacing w:after="0"/>
        <w:rPr>
          <w:sz w:val="20"/>
          <w:szCs w:val="20"/>
          <w:color w:val="auto"/>
        </w:rPr>
      </w:pPr>
      <w:r>
        <w:rPr>
          <w:rFonts w:ascii="Arial" w:cs="Arial" w:eastAsia="Arial" w:hAnsi="Arial"/>
          <w:sz w:val="25"/>
          <w:szCs w:val="25"/>
          <w:b w:val="1"/>
          <w:bCs w:val="1"/>
          <w:color w:val="00A1DE"/>
        </w:rPr>
        <w:t>Share Ownership and Retention Guidelines</w:t>
      </w:r>
    </w:p>
    <w:p>
      <w:pPr>
        <w:spacing w:after="0" w:line="6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Lilly’s share ownership and retention guidelines are designed to align interests of senior management with those of shareholders. Under the company’s formal share ownership policy, the CEO is required to hold Lilly shares equivalent to 12 times his annual base salary, while other senior executives must hold shares equivalent to six times their annual base salary. Under the company’s policy, shares held outright from equity payouts, shares held in the Lilly 401(k) Plan and shares held in family trusts count toward the holding requirement. Potential shares from unvested equity awards do not count toward the ownership goal.</w:t>
      </w:r>
    </w:p>
    <w:p>
      <w:pPr>
        <w:spacing w:after="0" w:line="125"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Until the required share ownership is achieved, executive officers must retain 50 percent of all shares, net of tax, from equity payouts. Additionally, after meeting the share ownership requirements, executive officers are required to hold all shares received from equity program payouts, net of taxes, for at least one year. For performance awards granted to executive officers, this holding requirement is met by the 13-month service-vesting period following the performance period.</w:t>
      </w:r>
    </w:p>
    <w:p>
      <w:pPr>
        <w:spacing w:after="0" w:line="122"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All named executive officers are compliant with the share ownership guidelines. The following graphic depicts guidelines and holdings as of December 31, 2024 for Mr. Ricks, Mr. Montarce, Dr. Skovronsky, Ms. Hakim, and Mr. Van Naarden.</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64" w:name="page65"/>
    <w:bookmarkEnd w:id="64"/>
    <w:tbl>
      <w:tblPr>
        <w:tblLayout w:type="fixed"/>
        <w:tblInd w:w="80" w:type="dxa"/>
        <w:tblCellMar>
          <w:top w:w="0" w:type="dxa"/>
          <w:left w:w="0" w:type="dxa"/>
          <w:bottom w:w="0" w:type="dxa"/>
          <w:right w:w="0" w:type="dxa"/>
        </w:tblCellMar>
      </w:tblPr>
      <w:tr>
        <w:trPr>
          <w:trHeight w:val="297"/>
        </w:trPr>
        <w:tc>
          <w:tcPr>
            <w:tcW w:w="1600" w:type="dxa"/>
            <w:vAlign w:val="bottom"/>
          </w:tcPr>
          <w:p>
            <w:pPr>
              <w:spacing w:after="0"/>
              <w:rPr>
                <w:sz w:val="24"/>
                <w:szCs w:val="24"/>
                <w:color w:val="auto"/>
              </w:rPr>
            </w:pPr>
          </w:p>
        </w:tc>
        <w:tc>
          <w:tcPr>
            <w:tcW w:w="7080" w:type="dxa"/>
            <w:vAlign w:val="bottom"/>
            <w:gridSpan w:val="4"/>
          </w:tcPr>
          <w:p>
            <w:pPr>
              <w:ind w:left="1080"/>
              <w:spacing w:after="0"/>
              <w:rPr>
                <w:sz w:val="20"/>
                <w:szCs w:val="20"/>
                <w:color w:val="auto"/>
              </w:rPr>
            </w:pPr>
            <w:r>
              <w:rPr>
                <w:rFonts w:ascii="Arial" w:cs="Arial" w:eastAsia="Arial" w:hAnsi="Arial"/>
                <w:sz w:val="22"/>
                <w:szCs w:val="22"/>
                <w:b w:val="1"/>
                <w:bCs w:val="1"/>
                <w:color w:val="auto"/>
              </w:rPr>
              <w:t>Share Ownership and Retention</w:t>
            </w:r>
          </w:p>
        </w:tc>
        <w:tc>
          <w:tcPr>
            <w:tcW w:w="0" w:type="dxa"/>
            <w:vAlign w:val="bottom"/>
          </w:tcPr>
          <w:p>
            <w:pPr>
              <w:spacing w:after="0"/>
              <w:rPr>
                <w:sz w:val="1"/>
                <w:szCs w:val="1"/>
                <w:color w:val="auto"/>
              </w:rPr>
            </w:pPr>
          </w:p>
        </w:tc>
      </w:tr>
      <w:tr>
        <w:trPr>
          <w:trHeight w:val="236"/>
        </w:trPr>
        <w:tc>
          <w:tcPr>
            <w:tcW w:w="1600" w:type="dxa"/>
            <w:vAlign w:val="bottom"/>
          </w:tcPr>
          <w:p>
            <w:pPr>
              <w:spacing w:after="0"/>
              <w:rPr>
                <w:sz w:val="20"/>
                <w:szCs w:val="20"/>
                <w:color w:val="auto"/>
              </w:rPr>
            </w:pPr>
          </w:p>
        </w:tc>
        <w:tc>
          <w:tcPr>
            <w:tcW w:w="7080" w:type="dxa"/>
            <w:vAlign w:val="bottom"/>
            <w:gridSpan w:val="4"/>
          </w:tcPr>
          <w:p>
            <w:pPr>
              <w:ind w:left="940"/>
              <w:spacing w:after="0"/>
              <w:rPr>
                <w:sz w:val="20"/>
                <w:szCs w:val="20"/>
                <w:color w:val="auto"/>
              </w:rPr>
            </w:pPr>
            <w:r>
              <w:rPr>
                <w:rFonts w:ascii="Arial" w:cs="Arial" w:eastAsia="Arial" w:hAnsi="Arial"/>
                <w:sz w:val="13"/>
                <w:szCs w:val="13"/>
                <w:b w:val="1"/>
                <w:bCs w:val="1"/>
                <w:color w:val="00A1DE"/>
              </w:rPr>
              <w:t>12x Base Salary Ownership Requirement</w:t>
            </w:r>
          </w:p>
        </w:tc>
        <w:tc>
          <w:tcPr>
            <w:tcW w:w="0" w:type="dxa"/>
            <w:vAlign w:val="bottom"/>
          </w:tcPr>
          <w:p>
            <w:pPr>
              <w:spacing w:after="0"/>
              <w:rPr>
                <w:sz w:val="1"/>
                <w:szCs w:val="1"/>
                <w:color w:val="auto"/>
              </w:rPr>
            </w:pPr>
          </w:p>
        </w:tc>
      </w:tr>
      <w:tr>
        <w:trPr>
          <w:trHeight w:val="89"/>
        </w:trPr>
        <w:tc>
          <w:tcPr>
            <w:tcW w:w="160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Mr. Ricks</w:t>
            </w:r>
          </w:p>
        </w:tc>
        <w:tc>
          <w:tcPr>
            <w:tcW w:w="1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20" w:type="dxa"/>
            <w:vAlign w:val="bottom"/>
          </w:tcPr>
          <w:p>
            <w:pPr>
              <w:spacing w:after="0"/>
              <w:rPr>
                <w:sz w:val="7"/>
                <w:szCs w:val="7"/>
                <w:color w:val="auto"/>
              </w:rPr>
            </w:pPr>
          </w:p>
        </w:tc>
        <w:tc>
          <w:tcPr>
            <w:tcW w:w="4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1600" w:type="dxa"/>
            <w:vAlign w:val="bottom"/>
            <w:vMerge w:val="continue"/>
          </w:tcPr>
          <w:p>
            <w:pPr>
              <w:spacing w:after="0"/>
              <w:rPr>
                <w:sz w:val="23"/>
                <w:szCs w:val="23"/>
                <w:color w:val="auto"/>
              </w:rPr>
            </w:pPr>
          </w:p>
        </w:tc>
        <w:tc>
          <w:tcPr>
            <w:tcW w:w="1180" w:type="dxa"/>
            <w:vAlign w:val="bottom"/>
            <w:shd w:val="clear" w:color="auto" w:fill="D0E7F7"/>
          </w:tcPr>
          <w:p>
            <w:pPr>
              <w:spacing w:after="0"/>
              <w:rPr>
                <w:sz w:val="23"/>
                <w:szCs w:val="23"/>
                <w:color w:val="auto"/>
              </w:rPr>
            </w:pPr>
          </w:p>
        </w:tc>
        <w:tc>
          <w:tcPr>
            <w:tcW w:w="180" w:type="dxa"/>
            <w:vAlign w:val="bottom"/>
            <w:shd w:val="clear" w:color="auto" w:fill="D0E7F7"/>
          </w:tcPr>
          <w:p>
            <w:pPr>
              <w:spacing w:after="0"/>
              <w:rPr>
                <w:sz w:val="23"/>
                <w:szCs w:val="23"/>
                <w:color w:val="auto"/>
              </w:rPr>
            </w:pPr>
          </w:p>
        </w:tc>
        <w:tc>
          <w:tcPr>
            <w:tcW w:w="1620" w:type="dxa"/>
            <w:vAlign w:val="bottom"/>
            <w:shd w:val="clear" w:color="auto" w:fill="D0E7F7"/>
          </w:tcPr>
          <w:p>
            <w:pPr>
              <w:spacing w:after="0"/>
              <w:rPr>
                <w:sz w:val="23"/>
                <w:szCs w:val="23"/>
                <w:color w:val="auto"/>
              </w:rPr>
            </w:pPr>
          </w:p>
        </w:tc>
        <w:tc>
          <w:tcPr>
            <w:tcW w:w="4100" w:type="dxa"/>
            <w:vAlign w:val="bottom"/>
            <w:shd w:val="clear" w:color="auto" w:fill="D0E7F7"/>
          </w:tcPr>
          <w:p>
            <w:pPr>
              <w:ind w:left="3780"/>
              <w:spacing w:after="0"/>
              <w:rPr>
                <w:sz w:val="20"/>
                <w:szCs w:val="20"/>
                <w:color w:val="auto"/>
              </w:rPr>
            </w:pPr>
            <w:r>
              <w:rPr>
                <w:rFonts w:ascii="Arial" w:cs="Arial" w:eastAsia="Arial" w:hAnsi="Arial"/>
                <w:sz w:val="14"/>
                <w:szCs w:val="14"/>
                <w:b w:val="1"/>
                <w:bCs w:val="1"/>
                <w:color w:val="auto"/>
                <w:w w:val="96"/>
              </w:rPr>
              <w:t>275x</w:t>
            </w:r>
          </w:p>
        </w:tc>
        <w:tc>
          <w:tcPr>
            <w:tcW w:w="0" w:type="dxa"/>
            <w:vAlign w:val="bottom"/>
          </w:tcPr>
          <w:p>
            <w:pPr>
              <w:spacing w:after="0"/>
              <w:rPr>
                <w:sz w:val="1"/>
                <w:szCs w:val="1"/>
                <w:color w:val="auto"/>
              </w:rPr>
            </w:pPr>
          </w:p>
        </w:tc>
      </w:tr>
      <w:tr>
        <w:trPr>
          <w:trHeight w:val="148"/>
        </w:trPr>
        <w:tc>
          <w:tcPr>
            <w:tcW w:w="1600" w:type="dxa"/>
            <w:vAlign w:val="bottom"/>
          </w:tcPr>
          <w:p>
            <w:pPr>
              <w:spacing w:after="0"/>
              <w:rPr>
                <w:sz w:val="12"/>
                <w:szCs w:val="12"/>
                <w:color w:val="auto"/>
              </w:rPr>
            </w:pPr>
          </w:p>
        </w:tc>
        <w:tc>
          <w:tcPr>
            <w:tcW w:w="7080" w:type="dxa"/>
            <w:vAlign w:val="bottom"/>
            <w:tcBorders>
              <w:bottom w:val="single" w:sz="8" w:color="B6B6B6"/>
            </w:tcBorders>
            <w:gridSpan w:val="4"/>
          </w:tcPr>
          <w:p>
            <w:pPr>
              <w:spacing w:after="0"/>
              <w:rPr>
                <w:sz w:val="12"/>
                <w:szCs w:val="12"/>
                <w:color w:val="auto"/>
              </w:rPr>
            </w:pPr>
          </w:p>
        </w:tc>
        <w:tc>
          <w:tcPr>
            <w:tcW w:w="0" w:type="dxa"/>
            <w:vAlign w:val="bottom"/>
          </w:tcPr>
          <w:p>
            <w:pPr>
              <w:spacing w:after="0"/>
              <w:rPr>
                <w:sz w:val="1"/>
                <w:szCs w:val="1"/>
                <w:color w:val="auto"/>
              </w:rPr>
            </w:pPr>
          </w:p>
        </w:tc>
      </w:tr>
      <w:tr>
        <w:trPr>
          <w:trHeight w:val="242"/>
        </w:trPr>
        <w:tc>
          <w:tcPr>
            <w:tcW w:w="1600" w:type="dxa"/>
            <w:vAlign w:val="bottom"/>
          </w:tcPr>
          <w:p>
            <w:pPr>
              <w:spacing w:after="0"/>
              <w:rPr>
                <w:sz w:val="21"/>
                <w:szCs w:val="21"/>
                <w:color w:val="auto"/>
              </w:rPr>
            </w:pPr>
          </w:p>
        </w:tc>
        <w:tc>
          <w:tcPr>
            <w:tcW w:w="7080" w:type="dxa"/>
            <w:vAlign w:val="bottom"/>
            <w:gridSpan w:val="4"/>
          </w:tcPr>
          <w:p>
            <w:pPr>
              <w:ind w:left="340"/>
              <w:spacing w:after="0"/>
              <w:rPr>
                <w:sz w:val="20"/>
                <w:szCs w:val="20"/>
                <w:color w:val="auto"/>
              </w:rPr>
            </w:pPr>
            <w:r>
              <w:rPr>
                <w:rFonts w:ascii="Arial" w:cs="Arial" w:eastAsia="Arial" w:hAnsi="Arial"/>
                <w:sz w:val="13"/>
                <w:szCs w:val="13"/>
                <w:b w:val="1"/>
                <w:bCs w:val="1"/>
                <w:color w:val="00A1DE"/>
              </w:rPr>
              <w:t>6x Base Salary Ownership Requirement</w:t>
            </w:r>
          </w:p>
        </w:tc>
        <w:tc>
          <w:tcPr>
            <w:tcW w:w="0" w:type="dxa"/>
            <w:vAlign w:val="bottom"/>
          </w:tcPr>
          <w:p>
            <w:pPr>
              <w:spacing w:after="0"/>
              <w:rPr>
                <w:sz w:val="1"/>
                <w:szCs w:val="1"/>
                <w:color w:val="auto"/>
              </w:rPr>
            </w:pPr>
          </w:p>
        </w:tc>
      </w:tr>
      <w:tr>
        <w:trPr>
          <w:trHeight w:val="103"/>
        </w:trPr>
        <w:tc>
          <w:tcPr>
            <w:tcW w:w="160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Mr. Montarce</w:t>
            </w:r>
          </w:p>
        </w:tc>
        <w:tc>
          <w:tcPr>
            <w:tcW w:w="1180" w:type="dxa"/>
            <w:vAlign w:val="bottom"/>
          </w:tcPr>
          <w:p>
            <w:pPr>
              <w:spacing w:after="0"/>
              <w:rPr>
                <w:sz w:val="8"/>
                <w:szCs w:val="8"/>
                <w:color w:val="auto"/>
              </w:rPr>
            </w:pPr>
          </w:p>
        </w:tc>
        <w:tc>
          <w:tcPr>
            <w:tcW w:w="1800" w:type="dxa"/>
            <w:vAlign w:val="bottom"/>
            <w:gridSpan w:val="2"/>
          </w:tcPr>
          <w:p>
            <w:pPr>
              <w:spacing w:after="0"/>
              <w:rPr>
                <w:sz w:val="8"/>
                <w:szCs w:val="8"/>
                <w:color w:val="auto"/>
              </w:rPr>
            </w:pPr>
          </w:p>
        </w:tc>
        <w:tc>
          <w:tcPr>
            <w:tcW w:w="4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1600" w:type="dxa"/>
            <w:vAlign w:val="bottom"/>
            <w:vMerge w:val="continue"/>
          </w:tcPr>
          <w:p>
            <w:pPr>
              <w:spacing w:after="0"/>
              <w:rPr>
                <w:sz w:val="23"/>
                <w:szCs w:val="23"/>
                <w:color w:val="auto"/>
              </w:rPr>
            </w:pPr>
          </w:p>
        </w:tc>
        <w:tc>
          <w:tcPr>
            <w:tcW w:w="1360" w:type="dxa"/>
            <w:vAlign w:val="bottom"/>
            <w:gridSpan w:val="2"/>
            <w:shd w:val="clear" w:color="auto" w:fill="D0E7F7"/>
          </w:tcPr>
          <w:p>
            <w:pPr>
              <w:ind w:left="1100"/>
              <w:spacing w:after="0"/>
              <w:rPr>
                <w:sz w:val="20"/>
                <w:szCs w:val="20"/>
                <w:color w:val="auto"/>
              </w:rPr>
            </w:pPr>
            <w:r>
              <w:rPr>
                <w:rFonts w:ascii="Arial" w:cs="Arial" w:eastAsia="Arial" w:hAnsi="Arial"/>
                <w:sz w:val="14"/>
                <w:szCs w:val="14"/>
                <w:b w:val="1"/>
                <w:bCs w:val="1"/>
                <w:color w:val="auto"/>
              </w:rPr>
              <w:t>16x</w:t>
            </w:r>
          </w:p>
        </w:tc>
        <w:tc>
          <w:tcPr>
            <w:tcW w:w="1620" w:type="dxa"/>
            <w:vAlign w:val="bottom"/>
          </w:tcPr>
          <w:p>
            <w:pPr>
              <w:spacing w:after="0"/>
              <w:rPr>
                <w:sz w:val="23"/>
                <w:szCs w:val="23"/>
                <w:color w:val="auto"/>
              </w:rPr>
            </w:pPr>
          </w:p>
        </w:tc>
        <w:tc>
          <w:tcPr>
            <w:tcW w:w="4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8"/>
        </w:trPr>
        <w:tc>
          <w:tcPr>
            <w:tcW w:w="160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Dr. Skovronsky</w:t>
            </w:r>
          </w:p>
        </w:tc>
        <w:tc>
          <w:tcPr>
            <w:tcW w:w="1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7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1600" w:type="dxa"/>
            <w:vAlign w:val="bottom"/>
            <w:vMerge w:val="continue"/>
          </w:tcPr>
          <w:p>
            <w:pPr>
              <w:spacing w:after="0"/>
              <w:rPr>
                <w:sz w:val="23"/>
                <w:szCs w:val="23"/>
                <w:color w:val="auto"/>
              </w:rPr>
            </w:pPr>
          </w:p>
        </w:tc>
        <w:tc>
          <w:tcPr>
            <w:tcW w:w="1180" w:type="dxa"/>
            <w:vAlign w:val="bottom"/>
            <w:shd w:val="clear" w:color="auto" w:fill="D0E7F7"/>
          </w:tcPr>
          <w:p>
            <w:pPr>
              <w:spacing w:after="0"/>
              <w:rPr>
                <w:sz w:val="23"/>
                <w:szCs w:val="23"/>
                <w:color w:val="auto"/>
              </w:rPr>
            </w:pPr>
          </w:p>
        </w:tc>
        <w:tc>
          <w:tcPr>
            <w:tcW w:w="180" w:type="dxa"/>
            <w:vAlign w:val="bottom"/>
            <w:shd w:val="clear" w:color="auto" w:fill="D0E7F7"/>
          </w:tcPr>
          <w:p>
            <w:pPr>
              <w:spacing w:after="0"/>
              <w:rPr>
                <w:sz w:val="23"/>
                <w:szCs w:val="23"/>
                <w:color w:val="auto"/>
              </w:rPr>
            </w:pPr>
          </w:p>
        </w:tc>
        <w:tc>
          <w:tcPr>
            <w:tcW w:w="1620" w:type="dxa"/>
            <w:vAlign w:val="bottom"/>
            <w:shd w:val="clear" w:color="auto" w:fill="D0E7F7"/>
          </w:tcPr>
          <w:p>
            <w:pPr>
              <w:ind w:left="1280"/>
              <w:spacing w:after="0"/>
              <w:rPr>
                <w:sz w:val="20"/>
                <w:szCs w:val="20"/>
                <w:color w:val="auto"/>
              </w:rPr>
            </w:pPr>
            <w:r>
              <w:rPr>
                <w:rFonts w:ascii="Arial" w:cs="Arial" w:eastAsia="Arial" w:hAnsi="Arial"/>
                <w:sz w:val="14"/>
                <w:szCs w:val="14"/>
                <w:b w:val="1"/>
                <w:bCs w:val="1"/>
                <w:color w:val="auto"/>
              </w:rPr>
              <w:t>100x</w:t>
            </w:r>
          </w:p>
        </w:tc>
        <w:tc>
          <w:tcPr>
            <w:tcW w:w="4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8"/>
        </w:trPr>
        <w:tc>
          <w:tcPr>
            <w:tcW w:w="160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Ms. Hakim</w:t>
            </w:r>
          </w:p>
        </w:tc>
        <w:tc>
          <w:tcPr>
            <w:tcW w:w="708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1600" w:type="dxa"/>
            <w:vAlign w:val="bottom"/>
            <w:vMerge w:val="continue"/>
          </w:tcPr>
          <w:p>
            <w:pPr>
              <w:spacing w:after="0"/>
              <w:rPr>
                <w:sz w:val="23"/>
                <w:szCs w:val="23"/>
                <w:color w:val="auto"/>
              </w:rPr>
            </w:pPr>
          </w:p>
        </w:tc>
        <w:tc>
          <w:tcPr>
            <w:tcW w:w="1180" w:type="dxa"/>
            <w:vAlign w:val="bottom"/>
            <w:shd w:val="clear" w:color="auto" w:fill="D0E7F7"/>
          </w:tcPr>
          <w:p>
            <w:pPr>
              <w:ind w:left="940"/>
              <w:spacing w:after="0"/>
              <w:rPr>
                <w:sz w:val="20"/>
                <w:szCs w:val="20"/>
                <w:color w:val="auto"/>
              </w:rPr>
            </w:pPr>
            <w:r>
              <w:rPr>
                <w:rFonts w:ascii="Arial" w:cs="Arial" w:eastAsia="Arial" w:hAnsi="Arial"/>
                <w:sz w:val="14"/>
                <w:szCs w:val="14"/>
                <w:b w:val="1"/>
                <w:bCs w:val="1"/>
                <w:color w:val="auto"/>
                <w:w w:val="94"/>
              </w:rPr>
              <w:t>12x</w:t>
            </w:r>
          </w:p>
        </w:tc>
        <w:tc>
          <w:tcPr>
            <w:tcW w:w="5900" w:type="dxa"/>
            <w:vAlign w:val="bottom"/>
            <w:gridSpan w:val="3"/>
          </w:tcPr>
          <w:p>
            <w:pPr>
              <w:spacing w:after="0"/>
              <w:rPr>
                <w:sz w:val="23"/>
                <w:szCs w:val="23"/>
                <w:color w:val="auto"/>
              </w:rPr>
            </w:pPr>
          </w:p>
        </w:tc>
        <w:tc>
          <w:tcPr>
            <w:tcW w:w="0" w:type="dxa"/>
            <w:vAlign w:val="bottom"/>
          </w:tcPr>
          <w:p>
            <w:pPr>
              <w:spacing w:after="0"/>
              <w:rPr>
                <w:sz w:val="1"/>
                <w:szCs w:val="1"/>
                <w:color w:val="auto"/>
              </w:rPr>
            </w:pPr>
          </w:p>
        </w:tc>
      </w:tr>
      <w:tr>
        <w:trPr>
          <w:trHeight w:val="148"/>
        </w:trPr>
        <w:tc>
          <w:tcPr>
            <w:tcW w:w="160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w w:val="97"/>
              </w:rPr>
              <w:t>Mr. Van Naarden</w:t>
            </w:r>
          </w:p>
        </w:tc>
        <w:tc>
          <w:tcPr>
            <w:tcW w:w="708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1600" w:type="dxa"/>
            <w:vAlign w:val="bottom"/>
            <w:vMerge w:val="continue"/>
          </w:tcPr>
          <w:p>
            <w:pPr>
              <w:spacing w:after="0"/>
              <w:rPr>
                <w:sz w:val="23"/>
                <w:szCs w:val="23"/>
                <w:color w:val="auto"/>
              </w:rPr>
            </w:pPr>
          </w:p>
        </w:tc>
        <w:tc>
          <w:tcPr>
            <w:tcW w:w="1360" w:type="dxa"/>
            <w:vAlign w:val="bottom"/>
            <w:gridSpan w:val="2"/>
            <w:shd w:val="clear" w:color="auto" w:fill="D0E7F7"/>
          </w:tcPr>
          <w:p>
            <w:pPr>
              <w:ind w:left="1100"/>
              <w:spacing w:after="0"/>
              <w:rPr>
                <w:sz w:val="20"/>
                <w:szCs w:val="20"/>
                <w:color w:val="auto"/>
              </w:rPr>
            </w:pPr>
            <w:r>
              <w:rPr>
                <w:rFonts w:ascii="Arial" w:cs="Arial" w:eastAsia="Arial" w:hAnsi="Arial"/>
                <w:sz w:val="14"/>
                <w:szCs w:val="14"/>
                <w:b w:val="1"/>
                <w:bCs w:val="1"/>
                <w:color w:val="auto"/>
              </w:rPr>
              <w:t>18x</w:t>
            </w:r>
          </w:p>
        </w:tc>
        <w:tc>
          <w:tcPr>
            <w:tcW w:w="5720" w:type="dxa"/>
            <w:vAlign w:val="bottom"/>
            <w:gridSpan w:val="2"/>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-1117600</wp:posOffset>
            </wp:positionV>
            <wp:extent cx="34290" cy="1225550"/>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34290" cy="1225550"/>
                    </a:xfrm>
                    <a:prstGeom prst="rect">
                      <a:avLst/>
                    </a:prstGeom>
                    <a:noFill/>
                  </pic:spPr>
                </pic:pic>
              </a:graphicData>
            </a:graphic>
          </wp:anchor>
        </w:drawing>
        <w:drawing>
          <wp:anchor simplePos="0" relativeHeight="251657728" behindDoc="1" locked="0" layoutInCell="0" allowOverlap="1">
            <wp:simplePos x="0" y="0"/>
            <wp:positionH relativeFrom="column">
              <wp:posOffset>1638300</wp:posOffset>
            </wp:positionH>
            <wp:positionV relativeFrom="paragraph">
              <wp:posOffset>-1614805</wp:posOffset>
            </wp:positionV>
            <wp:extent cx="34290" cy="334010"/>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34290" cy="334010"/>
                    </a:xfrm>
                    <a:prstGeom prst="rect">
                      <a:avLst/>
                    </a:prstGeom>
                    <a:noFill/>
                  </pic:spPr>
                </pic:pic>
              </a:graphicData>
            </a:graphic>
          </wp:anchor>
        </w:drawing>
      </w:r>
    </w:p>
    <w:p>
      <w:pPr>
        <w:spacing w:after="0" w:line="361" w:lineRule="exact"/>
        <w:rPr>
          <w:sz w:val="20"/>
          <w:szCs w:val="20"/>
          <w:color w:val="auto"/>
        </w:rPr>
      </w:pPr>
    </w:p>
    <w:p>
      <w:pPr>
        <w:spacing w:after="0"/>
        <w:rPr>
          <w:sz w:val="20"/>
          <w:szCs w:val="20"/>
          <w:color w:val="auto"/>
        </w:rPr>
      </w:pPr>
      <w:r>
        <w:rPr>
          <w:rFonts w:ascii="Arial" w:cs="Arial" w:eastAsia="Arial" w:hAnsi="Arial"/>
          <w:sz w:val="25"/>
          <w:szCs w:val="25"/>
          <w:b w:val="1"/>
          <w:bCs w:val="1"/>
          <w:color w:val="00A1DE"/>
        </w:rPr>
        <w:t>Prohibition on Hedging and Pledging Shares</w:t>
      </w:r>
    </w:p>
    <w:p>
      <w:pPr>
        <w:spacing w:after="0" w:line="6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Non-employee directors and employees, including executive officers, are prohibited from hedging their economic exposure to company stock through short sales or derivative transactions. Additionally, they are not allowed to pledge any company stock, meaning they cannot use it as collateral for a loan or trade shares on margin.</w:t>
      </w:r>
    </w:p>
    <w:p>
      <w:pPr>
        <w:spacing w:after="0" w:line="111" w:lineRule="exact"/>
        <w:rPr>
          <w:sz w:val="20"/>
          <w:szCs w:val="20"/>
          <w:color w:val="auto"/>
        </w:rPr>
      </w:pPr>
    </w:p>
    <w:p>
      <w:pPr>
        <w:spacing w:after="0"/>
        <w:rPr>
          <w:sz w:val="20"/>
          <w:szCs w:val="20"/>
          <w:color w:val="auto"/>
        </w:rPr>
      </w:pPr>
      <w:r>
        <w:rPr>
          <w:rFonts w:ascii="Arial" w:cs="Arial" w:eastAsia="Arial" w:hAnsi="Arial"/>
          <w:sz w:val="25"/>
          <w:szCs w:val="25"/>
          <w:b w:val="1"/>
          <w:bCs w:val="1"/>
          <w:color w:val="00A1DE"/>
        </w:rPr>
        <w:t>Executive Compensation Recovery Policy</w:t>
      </w:r>
    </w:p>
    <w:p>
      <w:pPr>
        <w:spacing w:after="0" w:line="6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Lilly has implemented a comprehensive executive compensation recovery policy (Executive Compensation Recovery Policy) that complies with SEC rules and applicable NYSE listing standards. Under this policy, if Lilly is required to prepare an accounting restatement, the company is required to recoup incentive compensation overpayments to executive officers during the three fiscal years immediately preceding the restatement date, including any transition periods within or immediately following those years, in accordance with the policy’s terms.</w:t>
      </w:r>
    </w:p>
    <w:p>
      <w:pPr>
        <w:spacing w:after="0" w:line="12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Additionally, the policy allows for the recoupment of incentive compensation (cash or equity) and/or non-qualified benefits previously granted or paid to executives (including certain non-executive officers) in the event of: (a) payments based on materially inaccurate assessments of performance, (b) financial restatements due to misconduct, or (c) other misconduct resulting in material violations of law or company policy that causes significant harm to the company. Subsequent changes in status, including retirement or termination of employment, do not affect the company’s rights to recover compensation under the Executive Compensation Recovery Policy. Furthermore, all outstanding equity grants and cash awards and/or non-qualified benefits are subject to forfeiture or reduction in the event an executive is subject to disciplinary action by Lilly for misconduct.</w:t>
      </w:r>
    </w:p>
    <w:p>
      <w:pPr>
        <w:spacing w:after="0" w:line="12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Executive Compensation Recovery Policy is administered by the Committee. The company will disclose actions taken under the Executive Compensation Recovery Policy in its proxy materials when required by, and in compliance with, SEC rules and regulations and other applicable laws. Additionally, when legally permissible to do so, the company will disclose a decision to act under this policy when the facts and circumstances of the matter that triggered application of the policy have been publicly disclosed in the company’s filings with the SEC and where disclosure can be made without prejudicing the company and its shareholders. This Executive Compensation Recovery Policy summary does not purport to be complete and is qualified in its entirety by reference to such policy, which has been filed as Exhibit 97 of Lilly’s Form 10-K for the fiscal year ended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27" w:right="379" w:bottom="1440" w:gutter="0" w:footer="0" w:header="0"/>
        </w:sectPr>
      </w:pPr>
    </w:p>
    <w:bookmarkStart w:id="65" w:name="page66"/>
    <w:bookmarkEnd w:id="65"/>
    <w:p>
      <w:pPr>
        <w:spacing w:after="0"/>
        <w:rPr>
          <w:sz w:val="20"/>
          <w:szCs w:val="20"/>
          <w:color w:val="auto"/>
        </w:rPr>
      </w:pPr>
      <w:r>
        <w:rPr>
          <w:rFonts w:ascii="Arial" w:cs="Arial" w:eastAsia="Arial" w:hAnsi="Arial"/>
          <w:sz w:val="32"/>
          <w:szCs w:val="32"/>
          <w:b w:val="1"/>
          <w:bCs w:val="1"/>
          <w:color w:val="D52B1E"/>
        </w:rPr>
        <w:t>Executive Compensation</w:t>
      </w:r>
    </w:p>
    <w:p>
      <w:pPr>
        <w:spacing w:after="0" w:line="191" w:lineRule="exact"/>
        <w:rPr>
          <w:sz w:val="20"/>
          <w:szCs w:val="20"/>
          <w:color w:val="auto"/>
        </w:rPr>
      </w:pPr>
    </w:p>
    <w:p>
      <w:pPr>
        <w:spacing w:after="0"/>
        <w:rPr>
          <w:sz w:val="20"/>
          <w:szCs w:val="20"/>
          <w:color w:val="auto"/>
        </w:rPr>
      </w:pPr>
      <w:r>
        <w:rPr>
          <w:rFonts w:ascii="Arial" w:cs="Arial" w:eastAsia="Arial" w:hAnsi="Arial"/>
          <w:sz w:val="25"/>
          <w:szCs w:val="25"/>
          <w:b w:val="1"/>
          <w:bCs w:val="1"/>
          <w:color w:val="00A1DE"/>
        </w:rPr>
        <w:t>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5734685" cy="8890"/>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5734685" cy="8890"/>
                    </a:xfrm>
                    <a:prstGeom prst="rect">
                      <a:avLst/>
                    </a:prstGeom>
                    <a:noFill/>
                  </pic:spPr>
                </pic:pic>
              </a:graphicData>
            </a:graphic>
          </wp:anchor>
        </w:drawing>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0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rPr>
              <w:t>Non-Equity</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Change in</w:t>
            </w:r>
          </w:p>
        </w:tc>
        <w:tc>
          <w:tcPr>
            <w:tcW w:w="1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0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 and</w:t>
            </w:r>
          </w:p>
        </w:tc>
        <w:tc>
          <w:tcPr>
            <w:tcW w:w="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Stock</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rPr>
              <w:t>Incentive Plan</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Pension</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All Other</w:t>
            </w:r>
          </w:p>
        </w:tc>
        <w:tc>
          <w:tcPr>
            <w:tcW w:w="12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68"/>
        </w:trPr>
        <w:tc>
          <w:tcPr>
            <w:tcW w:w="108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98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Salary</w:t>
            </w:r>
          </w:p>
        </w:tc>
        <w:tc>
          <w:tcPr>
            <w:tcW w:w="72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Bonus</w:t>
            </w:r>
          </w:p>
        </w:tc>
        <w:tc>
          <w:tcPr>
            <w:tcW w:w="160" w:type="dxa"/>
            <w:vAlign w:val="bottom"/>
          </w:tcPr>
          <w:p>
            <w:pPr>
              <w:spacing w:after="0"/>
              <w:rPr>
                <w:sz w:val="5"/>
                <w:szCs w:val="5"/>
                <w:color w:val="auto"/>
              </w:rPr>
            </w:pP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Awards</w:t>
            </w:r>
          </w:p>
        </w:tc>
        <w:tc>
          <w:tcPr>
            <w:tcW w:w="12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Compensation</w:t>
            </w:r>
          </w:p>
        </w:tc>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Value</w:t>
            </w:r>
          </w:p>
        </w:tc>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Compensation</w:t>
            </w:r>
          </w:p>
        </w:tc>
        <w:tc>
          <w:tcPr>
            <w:tcW w:w="12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10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Principal</w:t>
            </w:r>
          </w:p>
        </w:tc>
        <w:tc>
          <w:tcPr>
            <w:tcW w:w="42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28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1200" w:type="dxa"/>
            <w:vAlign w:val="bottom"/>
            <w:vMerge w:val="restart"/>
          </w:tcPr>
          <w:p>
            <w:pPr>
              <w:jc w:val="center"/>
              <w:ind w:left="8"/>
              <w:spacing w:after="0"/>
              <w:rPr>
                <w:sz w:val="20"/>
                <w:szCs w:val="20"/>
                <w:color w:val="auto"/>
              </w:rPr>
            </w:pPr>
            <w:r>
              <w:rPr>
                <w:rFonts w:ascii="Arial" w:cs="Arial" w:eastAsia="Arial" w:hAnsi="Arial"/>
                <w:sz w:val="14"/>
                <w:szCs w:val="14"/>
                <w:b w:val="1"/>
                <w:bCs w:val="1"/>
                <w:color w:val="auto"/>
              </w:rPr>
              <w:t>Compensation</w:t>
            </w:r>
          </w:p>
        </w:tc>
        <w:tc>
          <w:tcPr>
            <w:tcW w:w="0" w:type="dxa"/>
            <w:vAlign w:val="bottom"/>
          </w:tcPr>
          <w:p>
            <w:pPr>
              <w:spacing w:after="0"/>
              <w:rPr>
                <w:sz w:val="1"/>
                <w:szCs w:val="1"/>
                <w:color w:val="auto"/>
              </w:rPr>
            </w:pPr>
          </w:p>
        </w:tc>
      </w:tr>
      <w:tr>
        <w:trPr>
          <w:trHeight w:val="54"/>
        </w:trPr>
        <w:tc>
          <w:tcPr>
            <w:tcW w:w="108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 xml:space="preserve">($) </w:t>
            </w:r>
            <w:r>
              <w:rPr>
                <w:rFonts w:ascii="Arial" w:cs="Arial" w:eastAsia="Arial" w:hAnsi="Arial"/>
                <w:sz w:val="9"/>
                <w:szCs w:val="9"/>
                <w:b w:val="1"/>
                <w:bCs w:val="1"/>
                <w:color w:val="auto"/>
                <w:w w:val="99"/>
              </w:rPr>
              <w:t>1</w:t>
            </w:r>
          </w:p>
        </w:tc>
        <w:tc>
          <w:tcPr>
            <w:tcW w:w="12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2</w:t>
            </w:r>
          </w:p>
        </w:tc>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3</w:t>
            </w:r>
          </w:p>
        </w:tc>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4</w:t>
            </w:r>
          </w:p>
        </w:tc>
        <w:tc>
          <w:tcPr>
            <w:tcW w:w="12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10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Position</w:t>
            </w:r>
          </w:p>
        </w:tc>
        <w:tc>
          <w:tcPr>
            <w:tcW w:w="42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Year</w:t>
            </w:r>
          </w:p>
        </w:tc>
        <w:tc>
          <w:tcPr>
            <w:tcW w:w="98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w:t>
            </w:r>
          </w:p>
        </w:tc>
        <w:tc>
          <w:tcPr>
            <w:tcW w:w="72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28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1260" w:type="dxa"/>
            <w:vAlign w:val="bottom"/>
            <w:vMerge w:val="continue"/>
          </w:tcPr>
          <w:p>
            <w:pPr>
              <w:spacing w:after="0"/>
              <w:rPr>
                <w:sz w:val="12"/>
                <w:szCs w:val="12"/>
                <w:color w:val="auto"/>
              </w:rPr>
            </w:pPr>
          </w:p>
        </w:tc>
        <w:tc>
          <w:tcPr>
            <w:tcW w:w="12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63"/>
        </w:trPr>
        <w:tc>
          <w:tcPr>
            <w:tcW w:w="1080" w:type="dxa"/>
            <w:vAlign w:val="bottom"/>
            <w:tcBorders>
              <w:bottom w:val="single" w:sz="8" w:color="auto"/>
            </w:tcBorders>
            <w:vMerge w:val="continue"/>
          </w:tcPr>
          <w:p>
            <w:pPr>
              <w:spacing w:after="0"/>
              <w:rPr>
                <w:sz w:val="5"/>
                <w:szCs w:val="5"/>
                <w:color w:val="auto"/>
              </w:rPr>
            </w:pPr>
          </w:p>
        </w:tc>
        <w:tc>
          <w:tcPr>
            <w:tcW w:w="420" w:type="dxa"/>
            <w:vAlign w:val="bottom"/>
            <w:tcBorders>
              <w:bottom w:val="single" w:sz="8" w:color="auto"/>
            </w:tcBorders>
            <w:vMerge w:val="continue"/>
          </w:tcPr>
          <w:p>
            <w:pPr>
              <w:spacing w:after="0"/>
              <w:rPr>
                <w:sz w:val="5"/>
                <w:szCs w:val="5"/>
                <w:color w:val="auto"/>
              </w:rPr>
            </w:pPr>
          </w:p>
        </w:tc>
        <w:tc>
          <w:tcPr>
            <w:tcW w:w="980" w:type="dxa"/>
            <w:vAlign w:val="bottom"/>
            <w:tcBorders>
              <w:bottom w:val="single" w:sz="8" w:color="auto"/>
            </w:tcBorders>
            <w:vMerge w:val="continue"/>
          </w:tcPr>
          <w:p>
            <w:pPr>
              <w:spacing w:after="0"/>
              <w:rPr>
                <w:sz w:val="5"/>
                <w:szCs w:val="5"/>
                <w:color w:val="auto"/>
              </w:rPr>
            </w:pPr>
          </w:p>
        </w:tc>
        <w:tc>
          <w:tcPr>
            <w:tcW w:w="720" w:type="dxa"/>
            <w:vAlign w:val="bottom"/>
            <w:tcBorders>
              <w:bottom w:val="single" w:sz="8" w:color="auto"/>
            </w:tcBorders>
            <w:vMerge w:val="continue"/>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1080" w:type="dxa"/>
            <w:vAlign w:val="bottom"/>
            <w:shd w:val="clear" w:color="auto" w:fill="F2F2F2"/>
          </w:tcPr>
          <w:p>
            <w:pPr>
              <w:ind w:left="20"/>
              <w:spacing w:after="0"/>
              <w:rPr>
                <w:sz w:val="20"/>
                <w:szCs w:val="20"/>
                <w:color w:val="auto"/>
              </w:rPr>
            </w:pPr>
            <w:r>
              <w:rPr>
                <w:rFonts w:ascii="Arial" w:cs="Arial" w:eastAsia="Arial" w:hAnsi="Arial"/>
                <w:sz w:val="14"/>
                <w:szCs w:val="14"/>
                <w:color w:val="auto"/>
              </w:rPr>
              <w:t>David A. Ricks</w:t>
            </w:r>
          </w:p>
        </w:tc>
        <w:tc>
          <w:tcPr>
            <w:tcW w:w="420" w:type="dxa"/>
            <w:vAlign w:val="bottom"/>
            <w:shd w:val="clear" w:color="auto" w:fill="F2F2F2"/>
          </w:tcPr>
          <w:p>
            <w:pPr>
              <w:ind w:left="60"/>
              <w:spacing w:after="0"/>
              <w:rPr>
                <w:sz w:val="20"/>
                <w:szCs w:val="20"/>
                <w:color w:val="auto"/>
              </w:rPr>
            </w:pPr>
            <w:r>
              <w:rPr>
                <w:rFonts w:ascii="Arial" w:cs="Arial" w:eastAsia="Arial" w:hAnsi="Arial"/>
                <w:sz w:val="14"/>
                <w:szCs w:val="14"/>
                <w:color w:val="auto"/>
              </w:rPr>
              <w:t>2024</w:t>
            </w:r>
          </w:p>
        </w:tc>
        <w:tc>
          <w:tcPr>
            <w:tcW w:w="980" w:type="dxa"/>
            <w:vAlign w:val="bottom"/>
            <w:shd w:val="clear" w:color="auto" w:fill="F2F2F2"/>
          </w:tcPr>
          <w:p>
            <w:pPr>
              <w:jc w:val="right"/>
              <w:ind w:right="68"/>
              <w:spacing w:after="0"/>
              <w:rPr>
                <w:sz w:val="20"/>
                <w:szCs w:val="20"/>
                <w:color w:val="auto"/>
              </w:rPr>
            </w:pPr>
            <w:r>
              <w:rPr>
                <w:rFonts w:ascii="Arial" w:cs="Arial" w:eastAsia="Arial" w:hAnsi="Arial"/>
                <w:sz w:val="14"/>
                <w:szCs w:val="14"/>
                <w:color w:val="auto"/>
              </w:rPr>
              <w:t>$1,690,385</w:t>
            </w:r>
          </w:p>
        </w:tc>
        <w:tc>
          <w:tcPr>
            <w:tcW w:w="720" w:type="dxa"/>
            <w:vAlign w:val="bottom"/>
            <w:shd w:val="clear" w:color="auto" w:fill="F2F2F2"/>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shd w:val="clear" w:color="auto" w:fill="F2F2F2"/>
          </w:tcPr>
          <w:p>
            <w:pPr>
              <w:spacing w:after="0"/>
              <w:rPr>
                <w:sz w:val="18"/>
                <w:szCs w:val="18"/>
                <w:color w:val="auto"/>
              </w:rPr>
            </w:pPr>
          </w:p>
        </w:tc>
        <w:tc>
          <w:tcPr>
            <w:tcW w:w="960" w:type="dxa"/>
            <w:vAlign w:val="bottom"/>
            <w:shd w:val="clear" w:color="auto" w:fill="F2F2F2"/>
          </w:tcPr>
          <w:p>
            <w:pPr>
              <w:jc w:val="right"/>
              <w:ind w:right="48"/>
              <w:spacing w:after="0"/>
              <w:rPr>
                <w:sz w:val="20"/>
                <w:szCs w:val="20"/>
                <w:color w:val="auto"/>
              </w:rPr>
            </w:pPr>
            <w:r>
              <w:rPr>
                <w:rFonts w:ascii="Arial" w:cs="Arial" w:eastAsia="Arial" w:hAnsi="Arial"/>
                <w:sz w:val="14"/>
                <w:szCs w:val="14"/>
                <w:color w:val="auto"/>
              </w:rPr>
              <w:t>$19,749,324</w:t>
            </w:r>
          </w:p>
        </w:tc>
        <w:tc>
          <w:tcPr>
            <w:tcW w:w="1280" w:type="dxa"/>
            <w:vAlign w:val="bottom"/>
            <w:shd w:val="clear" w:color="auto" w:fill="F2F2F2"/>
          </w:tcPr>
          <w:p>
            <w:pPr>
              <w:jc w:val="right"/>
              <w:ind w:right="88"/>
              <w:spacing w:after="0"/>
              <w:rPr>
                <w:sz w:val="20"/>
                <w:szCs w:val="20"/>
                <w:color w:val="auto"/>
              </w:rPr>
            </w:pPr>
            <w:r>
              <w:rPr>
                <w:rFonts w:ascii="Arial" w:cs="Arial" w:eastAsia="Arial" w:hAnsi="Arial"/>
                <w:sz w:val="14"/>
                <w:szCs w:val="14"/>
                <w:color w:val="auto"/>
              </w:rPr>
              <w:t>$5,705,049</w:t>
            </w:r>
          </w:p>
        </w:tc>
        <w:tc>
          <w:tcPr>
            <w:tcW w:w="980" w:type="dxa"/>
            <w:vAlign w:val="bottom"/>
            <w:shd w:val="clear" w:color="auto" w:fill="F2F2F2"/>
          </w:tcPr>
          <w:p>
            <w:pPr>
              <w:jc w:val="right"/>
              <w:ind w:right="48"/>
              <w:spacing w:after="0"/>
              <w:rPr>
                <w:sz w:val="20"/>
                <w:szCs w:val="20"/>
                <w:color w:val="auto"/>
              </w:rPr>
            </w:pPr>
            <w:r>
              <w:rPr>
                <w:rFonts w:ascii="Arial" w:cs="Arial" w:eastAsia="Arial" w:hAnsi="Arial"/>
                <w:sz w:val="14"/>
                <w:szCs w:val="14"/>
                <w:color w:val="auto"/>
              </w:rPr>
              <w:t>$1,746,483</w:t>
            </w:r>
          </w:p>
        </w:tc>
        <w:tc>
          <w:tcPr>
            <w:tcW w:w="1260" w:type="dxa"/>
            <w:vAlign w:val="bottom"/>
            <w:shd w:val="clear" w:color="auto" w:fill="F2F2F2"/>
          </w:tcPr>
          <w:p>
            <w:pPr>
              <w:jc w:val="right"/>
              <w:ind w:right="68"/>
              <w:spacing w:after="0"/>
              <w:rPr>
                <w:sz w:val="20"/>
                <w:szCs w:val="20"/>
                <w:color w:val="auto"/>
              </w:rPr>
            </w:pPr>
            <w:r>
              <w:rPr>
                <w:rFonts w:ascii="Arial" w:cs="Arial" w:eastAsia="Arial" w:hAnsi="Arial"/>
                <w:sz w:val="14"/>
                <w:szCs w:val="14"/>
                <w:color w:val="auto"/>
              </w:rPr>
              <w:t>$351,685</w:t>
            </w:r>
          </w:p>
        </w:tc>
        <w:tc>
          <w:tcPr>
            <w:tcW w:w="1200" w:type="dxa"/>
            <w:vAlign w:val="bottom"/>
            <w:shd w:val="clear" w:color="auto" w:fill="F2F2F2"/>
          </w:tcPr>
          <w:p>
            <w:pPr>
              <w:jc w:val="right"/>
              <w:ind w:right="8"/>
              <w:spacing w:after="0"/>
              <w:rPr>
                <w:sz w:val="20"/>
                <w:szCs w:val="20"/>
                <w:color w:val="auto"/>
              </w:rPr>
            </w:pPr>
            <w:r>
              <w:rPr>
                <w:rFonts w:ascii="Arial" w:cs="Arial" w:eastAsia="Arial" w:hAnsi="Arial"/>
                <w:sz w:val="14"/>
                <w:szCs w:val="14"/>
                <w:color w:val="auto"/>
              </w:rPr>
              <w:t>$29,242,926</w:t>
            </w:r>
          </w:p>
        </w:tc>
        <w:tc>
          <w:tcPr>
            <w:tcW w:w="0" w:type="dxa"/>
            <w:vAlign w:val="bottom"/>
          </w:tcPr>
          <w:p>
            <w:pPr>
              <w:spacing w:after="0"/>
              <w:rPr>
                <w:sz w:val="1"/>
                <w:szCs w:val="1"/>
                <w:color w:val="auto"/>
              </w:rPr>
            </w:pPr>
          </w:p>
        </w:tc>
      </w:tr>
      <w:tr>
        <w:trPr>
          <w:trHeight w:val="282"/>
        </w:trPr>
        <w:tc>
          <w:tcPr>
            <w:tcW w:w="1080" w:type="dxa"/>
            <w:vAlign w:val="bottom"/>
            <w:shd w:val="clear" w:color="auto" w:fill="F2F2F2"/>
          </w:tcPr>
          <w:p>
            <w:pPr>
              <w:ind w:left="20"/>
              <w:spacing w:after="0"/>
              <w:rPr>
                <w:sz w:val="20"/>
                <w:szCs w:val="20"/>
                <w:color w:val="auto"/>
              </w:rPr>
            </w:pPr>
            <w:r>
              <w:rPr>
                <w:rFonts w:ascii="Arial" w:cs="Arial" w:eastAsia="Arial" w:hAnsi="Arial"/>
                <w:sz w:val="14"/>
                <w:szCs w:val="14"/>
                <w:color w:val="auto"/>
              </w:rPr>
              <w:t>Chair,</w:t>
            </w:r>
          </w:p>
        </w:tc>
        <w:tc>
          <w:tcPr>
            <w:tcW w:w="420" w:type="dxa"/>
            <w:vAlign w:val="bottom"/>
            <w:shd w:val="clear" w:color="auto" w:fill="F2F2F2"/>
          </w:tcPr>
          <w:p>
            <w:pPr>
              <w:ind w:left="60"/>
              <w:spacing w:after="0"/>
              <w:rPr>
                <w:sz w:val="20"/>
                <w:szCs w:val="20"/>
                <w:color w:val="auto"/>
              </w:rPr>
            </w:pPr>
            <w:r>
              <w:rPr>
                <w:rFonts w:ascii="Arial" w:cs="Arial" w:eastAsia="Arial" w:hAnsi="Arial"/>
                <w:sz w:val="14"/>
                <w:szCs w:val="14"/>
                <w:color w:val="auto"/>
              </w:rPr>
              <w:t>2023</w:t>
            </w:r>
          </w:p>
        </w:tc>
        <w:tc>
          <w:tcPr>
            <w:tcW w:w="980" w:type="dxa"/>
            <w:vAlign w:val="bottom"/>
            <w:shd w:val="clear" w:color="auto" w:fill="F2F2F2"/>
          </w:tcPr>
          <w:p>
            <w:pPr>
              <w:jc w:val="right"/>
              <w:ind w:right="68"/>
              <w:spacing w:after="0"/>
              <w:rPr>
                <w:sz w:val="20"/>
                <w:szCs w:val="20"/>
                <w:color w:val="auto"/>
              </w:rPr>
            </w:pPr>
            <w:r>
              <w:rPr>
                <w:rFonts w:ascii="Arial" w:cs="Arial" w:eastAsia="Arial" w:hAnsi="Arial"/>
                <w:sz w:val="14"/>
                <w:szCs w:val="14"/>
                <w:color w:val="auto"/>
              </w:rPr>
              <w:t>$1,621,154</w:t>
            </w:r>
          </w:p>
        </w:tc>
        <w:tc>
          <w:tcPr>
            <w:tcW w:w="720" w:type="dxa"/>
            <w:vAlign w:val="bottom"/>
            <w:shd w:val="clear" w:color="auto" w:fill="F2F2F2"/>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shd w:val="clear" w:color="auto" w:fill="F2F2F2"/>
          </w:tcPr>
          <w:p>
            <w:pPr>
              <w:spacing w:after="0"/>
              <w:rPr>
                <w:sz w:val="24"/>
                <w:szCs w:val="24"/>
                <w:color w:val="auto"/>
              </w:rPr>
            </w:pPr>
          </w:p>
        </w:tc>
        <w:tc>
          <w:tcPr>
            <w:tcW w:w="960" w:type="dxa"/>
            <w:vAlign w:val="bottom"/>
            <w:shd w:val="clear" w:color="auto" w:fill="F2F2F2"/>
          </w:tcPr>
          <w:p>
            <w:pPr>
              <w:jc w:val="right"/>
              <w:ind w:right="48"/>
              <w:spacing w:after="0"/>
              <w:rPr>
                <w:sz w:val="20"/>
                <w:szCs w:val="20"/>
                <w:color w:val="auto"/>
              </w:rPr>
            </w:pPr>
            <w:r>
              <w:rPr>
                <w:rFonts w:ascii="Arial" w:cs="Arial" w:eastAsia="Arial" w:hAnsi="Arial"/>
                <w:sz w:val="14"/>
                <w:szCs w:val="14"/>
                <w:color w:val="auto"/>
              </w:rPr>
              <w:t>$18,840,250</w:t>
            </w:r>
          </w:p>
        </w:tc>
        <w:tc>
          <w:tcPr>
            <w:tcW w:w="1280" w:type="dxa"/>
            <w:vAlign w:val="bottom"/>
            <w:shd w:val="clear" w:color="auto" w:fill="F2F2F2"/>
          </w:tcPr>
          <w:p>
            <w:pPr>
              <w:jc w:val="right"/>
              <w:ind w:right="88"/>
              <w:spacing w:after="0"/>
              <w:rPr>
                <w:sz w:val="20"/>
                <w:szCs w:val="20"/>
                <w:color w:val="auto"/>
              </w:rPr>
            </w:pPr>
            <w:r>
              <w:rPr>
                <w:rFonts w:ascii="Arial" w:cs="Arial" w:eastAsia="Arial" w:hAnsi="Arial"/>
                <w:sz w:val="14"/>
                <w:szCs w:val="14"/>
                <w:color w:val="auto"/>
              </w:rPr>
              <w:t>$4,401,433</w:t>
            </w:r>
          </w:p>
        </w:tc>
        <w:tc>
          <w:tcPr>
            <w:tcW w:w="980" w:type="dxa"/>
            <w:vAlign w:val="bottom"/>
            <w:shd w:val="clear" w:color="auto" w:fill="F2F2F2"/>
          </w:tcPr>
          <w:p>
            <w:pPr>
              <w:jc w:val="right"/>
              <w:ind w:right="48"/>
              <w:spacing w:after="0"/>
              <w:rPr>
                <w:sz w:val="20"/>
                <w:szCs w:val="20"/>
                <w:color w:val="auto"/>
              </w:rPr>
            </w:pPr>
            <w:r>
              <w:rPr>
                <w:rFonts w:ascii="Arial" w:cs="Arial" w:eastAsia="Arial" w:hAnsi="Arial"/>
                <w:sz w:val="14"/>
                <w:szCs w:val="14"/>
                <w:color w:val="auto"/>
              </w:rPr>
              <w:t>$1,439,822</w:t>
            </w:r>
          </w:p>
        </w:tc>
        <w:tc>
          <w:tcPr>
            <w:tcW w:w="1260" w:type="dxa"/>
            <w:vAlign w:val="bottom"/>
            <w:shd w:val="clear" w:color="auto" w:fill="F2F2F2"/>
          </w:tcPr>
          <w:p>
            <w:pPr>
              <w:jc w:val="right"/>
              <w:ind w:right="68"/>
              <w:spacing w:after="0"/>
              <w:rPr>
                <w:sz w:val="20"/>
                <w:szCs w:val="20"/>
                <w:color w:val="auto"/>
              </w:rPr>
            </w:pPr>
            <w:r>
              <w:rPr>
                <w:rFonts w:ascii="Arial" w:cs="Arial" w:eastAsia="Arial" w:hAnsi="Arial"/>
                <w:sz w:val="14"/>
                <w:szCs w:val="14"/>
                <w:color w:val="auto"/>
              </w:rPr>
              <w:t>$263,073</w:t>
            </w:r>
          </w:p>
        </w:tc>
        <w:tc>
          <w:tcPr>
            <w:tcW w:w="1200" w:type="dxa"/>
            <w:vAlign w:val="bottom"/>
            <w:shd w:val="clear" w:color="auto" w:fill="F2F2F2"/>
          </w:tcPr>
          <w:p>
            <w:pPr>
              <w:jc w:val="right"/>
              <w:ind w:right="8"/>
              <w:spacing w:after="0"/>
              <w:rPr>
                <w:sz w:val="20"/>
                <w:szCs w:val="20"/>
                <w:color w:val="auto"/>
              </w:rPr>
            </w:pPr>
            <w:r>
              <w:rPr>
                <w:rFonts w:ascii="Arial" w:cs="Arial" w:eastAsia="Arial" w:hAnsi="Arial"/>
                <w:sz w:val="14"/>
                <w:szCs w:val="14"/>
                <w:color w:val="auto"/>
              </w:rPr>
              <w:t>$26,565,732</w:t>
            </w:r>
          </w:p>
        </w:tc>
        <w:tc>
          <w:tcPr>
            <w:tcW w:w="0" w:type="dxa"/>
            <w:vAlign w:val="bottom"/>
          </w:tcPr>
          <w:p>
            <w:pPr>
              <w:spacing w:after="0"/>
              <w:rPr>
                <w:sz w:val="1"/>
                <w:szCs w:val="1"/>
                <w:color w:val="auto"/>
              </w:rPr>
            </w:pPr>
          </w:p>
        </w:tc>
      </w:tr>
      <w:tr>
        <w:trPr>
          <w:trHeight w:val="171"/>
        </w:trPr>
        <w:tc>
          <w:tcPr>
            <w:tcW w:w="1080" w:type="dxa"/>
            <w:vAlign w:val="bottom"/>
            <w:shd w:val="clear" w:color="auto" w:fill="F2F2F2"/>
          </w:tcPr>
          <w:p>
            <w:pPr>
              <w:ind w:left="20"/>
              <w:spacing w:after="0"/>
              <w:rPr>
                <w:sz w:val="20"/>
                <w:szCs w:val="20"/>
                <w:color w:val="auto"/>
              </w:rPr>
            </w:pPr>
            <w:r>
              <w:rPr>
                <w:rFonts w:ascii="Arial" w:cs="Arial" w:eastAsia="Arial" w:hAnsi="Arial"/>
                <w:sz w:val="14"/>
                <w:szCs w:val="14"/>
                <w:color w:val="auto"/>
              </w:rPr>
              <w:t>President, and</w:t>
            </w:r>
          </w:p>
        </w:tc>
        <w:tc>
          <w:tcPr>
            <w:tcW w:w="420" w:type="dxa"/>
            <w:vAlign w:val="bottom"/>
            <w:shd w:val="clear" w:color="auto" w:fill="F2F2F2"/>
          </w:tcPr>
          <w:p>
            <w:pPr>
              <w:spacing w:after="0"/>
              <w:rPr>
                <w:sz w:val="14"/>
                <w:szCs w:val="14"/>
                <w:color w:val="auto"/>
              </w:rPr>
            </w:pPr>
          </w:p>
        </w:tc>
        <w:tc>
          <w:tcPr>
            <w:tcW w:w="980" w:type="dxa"/>
            <w:vAlign w:val="bottom"/>
            <w:shd w:val="clear" w:color="auto" w:fill="F2F2F2"/>
          </w:tcPr>
          <w:p>
            <w:pPr>
              <w:spacing w:after="0"/>
              <w:rPr>
                <w:sz w:val="14"/>
                <w:szCs w:val="14"/>
                <w:color w:val="auto"/>
              </w:rPr>
            </w:pPr>
          </w:p>
        </w:tc>
        <w:tc>
          <w:tcPr>
            <w:tcW w:w="720" w:type="dxa"/>
            <w:vAlign w:val="bottom"/>
            <w:shd w:val="clear" w:color="auto" w:fill="F2F2F2"/>
          </w:tcPr>
          <w:p>
            <w:pPr>
              <w:spacing w:after="0"/>
              <w:rPr>
                <w:sz w:val="14"/>
                <w:szCs w:val="14"/>
                <w:color w:val="auto"/>
              </w:rPr>
            </w:pPr>
          </w:p>
        </w:tc>
        <w:tc>
          <w:tcPr>
            <w:tcW w:w="160" w:type="dxa"/>
            <w:vAlign w:val="bottom"/>
            <w:shd w:val="clear" w:color="auto" w:fill="F2F2F2"/>
          </w:tcPr>
          <w:p>
            <w:pPr>
              <w:spacing w:after="0"/>
              <w:rPr>
                <w:sz w:val="14"/>
                <w:szCs w:val="14"/>
                <w:color w:val="auto"/>
              </w:rPr>
            </w:pPr>
          </w:p>
        </w:tc>
        <w:tc>
          <w:tcPr>
            <w:tcW w:w="960" w:type="dxa"/>
            <w:vAlign w:val="bottom"/>
            <w:shd w:val="clear" w:color="auto" w:fill="F2F2F2"/>
          </w:tcPr>
          <w:p>
            <w:pPr>
              <w:spacing w:after="0"/>
              <w:rPr>
                <w:sz w:val="14"/>
                <w:szCs w:val="14"/>
                <w:color w:val="auto"/>
              </w:rPr>
            </w:pPr>
          </w:p>
        </w:tc>
        <w:tc>
          <w:tcPr>
            <w:tcW w:w="1280" w:type="dxa"/>
            <w:vAlign w:val="bottom"/>
            <w:shd w:val="clear" w:color="auto" w:fill="F2F2F2"/>
          </w:tcPr>
          <w:p>
            <w:pPr>
              <w:spacing w:after="0"/>
              <w:rPr>
                <w:sz w:val="14"/>
                <w:szCs w:val="14"/>
                <w:color w:val="auto"/>
              </w:rPr>
            </w:pPr>
          </w:p>
        </w:tc>
        <w:tc>
          <w:tcPr>
            <w:tcW w:w="980" w:type="dxa"/>
            <w:vAlign w:val="bottom"/>
            <w:shd w:val="clear" w:color="auto" w:fill="F2F2F2"/>
          </w:tcPr>
          <w:p>
            <w:pPr>
              <w:spacing w:after="0"/>
              <w:rPr>
                <w:sz w:val="14"/>
                <w:szCs w:val="14"/>
                <w:color w:val="auto"/>
              </w:rPr>
            </w:pPr>
          </w:p>
        </w:tc>
        <w:tc>
          <w:tcPr>
            <w:tcW w:w="1260" w:type="dxa"/>
            <w:vAlign w:val="bottom"/>
            <w:shd w:val="clear" w:color="auto" w:fill="F2F2F2"/>
          </w:tcPr>
          <w:p>
            <w:pPr>
              <w:spacing w:after="0"/>
              <w:rPr>
                <w:sz w:val="14"/>
                <w:szCs w:val="14"/>
                <w:color w:val="auto"/>
              </w:rPr>
            </w:pPr>
          </w:p>
        </w:tc>
        <w:tc>
          <w:tcPr>
            <w:tcW w:w="1200" w:type="dxa"/>
            <w:vAlign w:val="bottom"/>
            <w:shd w:val="clear" w:color="auto" w:fill="F2F2F2"/>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080" w:type="dxa"/>
            <w:vAlign w:val="bottom"/>
            <w:shd w:val="clear" w:color="auto" w:fill="F2F2F2"/>
          </w:tcPr>
          <w:p>
            <w:pPr>
              <w:ind w:left="20"/>
              <w:spacing w:after="0"/>
              <w:rPr>
                <w:sz w:val="20"/>
                <w:szCs w:val="20"/>
                <w:color w:val="auto"/>
              </w:rPr>
            </w:pPr>
            <w:r>
              <w:rPr>
                <w:rFonts w:ascii="Arial" w:cs="Arial" w:eastAsia="Arial" w:hAnsi="Arial"/>
                <w:sz w:val="14"/>
                <w:szCs w:val="14"/>
                <w:color w:val="auto"/>
              </w:rPr>
              <w:t>Chief Executive</w:t>
            </w:r>
          </w:p>
        </w:tc>
        <w:tc>
          <w:tcPr>
            <w:tcW w:w="420" w:type="dxa"/>
            <w:vAlign w:val="bottom"/>
            <w:shd w:val="clear" w:color="auto" w:fill="F2F2F2"/>
          </w:tcPr>
          <w:p>
            <w:pPr>
              <w:ind w:left="60"/>
              <w:spacing w:after="0"/>
              <w:rPr>
                <w:sz w:val="20"/>
                <w:szCs w:val="20"/>
                <w:color w:val="auto"/>
              </w:rPr>
            </w:pPr>
            <w:r>
              <w:rPr>
                <w:rFonts w:ascii="Arial" w:cs="Arial" w:eastAsia="Arial" w:hAnsi="Arial"/>
                <w:sz w:val="14"/>
                <w:szCs w:val="14"/>
                <w:color w:val="auto"/>
              </w:rPr>
              <w:t>2022</w:t>
            </w:r>
          </w:p>
        </w:tc>
        <w:tc>
          <w:tcPr>
            <w:tcW w:w="980" w:type="dxa"/>
            <w:vAlign w:val="bottom"/>
            <w:shd w:val="clear" w:color="auto" w:fill="F2F2F2"/>
          </w:tcPr>
          <w:p>
            <w:pPr>
              <w:jc w:val="right"/>
              <w:ind w:right="68"/>
              <w:spacing w:after="0"/>
              <w:rPr>
                <w:sz w:val="20"/>
                <w:szCs w:val="20"/>
                <w:color w:val="auto"/>
              </w:rPr>
            </w:pPr>
            <w:r>
              <w:rPr>
                <w:rFonts w:ascii="Arial" w:cs="Arial" w:eastAsia="Arial" w:hAnsi="Arial"/>
                <w:sz w:val="14"/>
                <w:szCs w:val="14"/>
                <w:color w:val="auto"/>
              </w:rPr>
              <w:t>$1,500,000</w:t>
            </w:r>
          </w:p>
        </w:tc>
        <w:tc>
          <w:tcPr>
            <w:tcW w:w="720" w:type="dxa"/>
            <w:vAlign w:val="bottom"/>
            <w:shd w:val="clear" w:color="auto" w:fill="F2F2F2"/>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shd w:val="clear" w:color="auto" w:fill="F2F2F2"/>
          </w:tcPr>
          <w:p>
            <w:pPr>
              <w:spacing w:after="0"/>
              <w:rPr>
                <w:sz w:val="14"/>
                <w:szCs w:val="14"/>
                <w:color w:val="auto"/>
              </w:rPr>
            </w:pPr>
          </w:p>
        </w:tc>
        <w:tc>
          <w:tcPr>
            <w:tcW w:w="960" w:type="dxa"/>
            <w:vAlign w:val="bottom"/>
            <w:shd w:val="clear" w:color="auto" w:fill="F2F2F2"/>
          </w:tcPr>
          <w:p>
            <w:pPr>
              <w:jc w:val="right"/>
              <w:ind w:right="48"/>
              <w:spacing w:after="0"/>
              <w:rPr>
                <w:sz w:val="20"/>
                <w:szCs w:val="20"/>
                <w:color w:val="auto"/>
              </w:rPr>
            </w:pPr>
            <w:r>
              <w:rPr>
                <w:rFonts w:ascii="Arial" w:cs="Arial" w:eastAsia="Arial" w:hAnsi="Arial"/>
                <w:sz w:val="14"/>
                <w:szCs w:val="14"/>
                <w:color w:val="auto"/>
              </w:rPr>
              <w:t>$16,981,250</w:t>
            </w:r>
          </w:p>
        </w:tc>
        <w:tc>
          <w:tcPr>
            <w:tcW w:w="1280" w:type="dxa"/>
            <w:vAlign w:val="bottom"/>
            <w:shd w:val="clear" w:color="auto" w:fill="F2F2F2"/>
          </w:tcPr>
          <w:p>
            <w:pPr>
              <w:jc w:val="right"/>
              <w:ind w:right="88"/>
              <w:spacing w:after="0"/>
              <w:rPr>
                <w:sz w:val="20"/>
                <w:szCs w:val="20"/>
                <w:color w:val="auto"/>
              </w:rPr>
            </w:pPr>
            <w:r>
              <w:rPr>
                <w:rFonts w:ascii="Arial" w:cs="Arial" w:eastAsia="Arial" w:hAnsi="Arial"/>
                <w:sz w:val="14"/>
                <w:szCs w:val="14"/>
                <w:color w:val="auto"/>
              </w:rPr>
              <w:t>$2,700,000</w:t>
            </w:r>
          </w:p>
        </w:tc>
        <w:tc>
          <w:tcPr>
            <w:tcW w:w="980" w:type="dxa"/>
            <w:vAlign w:val="bottom"/>
            <w:shd w:val="clear" w:color="auto" w:fill="F2F2F2"/>
          </w:tcPr>
          <w:p>
            <w:pPr>
              <w:jc w:val="right"/>
              <w:ind w:right="48"/>
              <w:spacing w:after="0"/>
              <w:rPr>
                <w:sz w:val="20"/>
                <w:szCs w:val="20"/>
                <w:color w:val="auto"/>
              </w:rPr>
            </w:pPr>
            <w:r>
              <w:rPr>
                <w:rFonts w:ascii="Arial" w:cs="Arial" w:eastAsia="Arial" w:hAnsi="Arial"/>
                <w:sz w:val="14"/>
                <w:szCs w:val="14"/>
                <w:color w:val="auto"/>
              </w:rPr>
              <w:t>—</w:t>
            </w:r>
          </w:p>
        </w:tc>
        <w:tc>
          <w:tcPr>
            <w:tcW w:w="1260" w:type="dxa"/>
            <w:vAlign w:val="bottom"/>
            <w:shd w:val="clear" w:color="auto" w:fill="F2F2F2"/>
          </w:tcPr>
          <w:p>
            <w:pPr>
              <w:jc w:val="right"/>
              <w:ind w:right="68"/>
              <w:spacing w:after="0"/>
              <w:rPr>
                <w:sz w:val="20"/>
                <w:szCs w:val="20"/>
                <w:color w:val="auto"/>
              </w:rPr>
            </w:pPr>
            <w:r>
              <w:rPr>
                <w:rFonts w:ascii="Arial" w:cs="Arial" w:eastAsia="Arial" w:hAnsi="Arial"/>
                <w:sz w:val="14"/>
                <w:szCs w:val="14"/>
                <w:color w:val="auto"/>
              </w:rPr>
              <w:t>$216,885</w:t>
            </w:r>
          </w:p>
        </w:tc>
        <w:tc>
          <w:tcPr>
            <w:tcW w:w="1200" w:type="dxa"/>
            <w:vAlign w:val="bottom"/>
            <w:shd w:val="clear" w:color="auto" w:fill="F2F2F2"/>
          </w:tcPr>
          <w:p>
            <w:pPr>
              <w:jc w:val="right"/>
              <w:ind w:right="8"/>
              <w:spacing w:after="0"/>
              <w:rPr>
                <w:sz w:val="20"/>
                <w:szCs w:val="20"/>
                <w:color w:val="auto"/>
              </w:rPr>
            </w:pPr>
            <w:r>
              <w:rPr>
                <w:rFonts w:ascii="Arial" w:cs="Arial" w:eastAsia="Arial" w:hAnsi="Arial"/>
                <w:sz w:val="14"/>
                <w:szCs w:val="14"/>
                <w:color w:val="auto"/>
              </w:rPr>
              <w:t>$21,398,135</w:t>
            </w:r>
          </w:p>
        </w:tc>
        <w:tc>
          <w:tcPr>
            <w:tcW w:w="0" w:type="dxa"/>
            <w:vAlign w:val="bottom"/>
          </w:tcPr>
          <w:p>
            <w:pPr>
              <w:spacing w:after="0"/>
              <w:rPr>
                <w:sz w:val="1"/>
                <w:szCs w:val="1"/>
                <w:color w:val="auto"/>
              </w:rPr>
            </w:pPr>
          </w:p>
        </w:tc>
      </w:tr>
      <w:tr>
        <w:trPr>
          <w:trHeight w:val="192"/>
        </w:trPr>
        <w:tc>
          <w:tcPr>
            <w:tcW w:w="108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4"/>
                <w:szCs w:val="14"/>
                <w:color w:val="auto"/>
              </w:rPr>
              <w:t>Officer</w:t>
            </w:r>
          </w:p>
        </w:tc>
        <w:tc>
          <w:tcPr>
            <w:tcW w:w="420" w:type="dxa"/>
            <w:vAlign w:val="bottom"/>
            <w:tcBorders>
              <w:bottom w:val="single" w:sz="8" w:color="F2F2F2"/>
            </w:tcBorders>
            <w:shd w:val="clear" w:color="auto" w:fill="F2F2F2"/>
          </w:tcPr>
          <w:p>
            <w:pPr>
              <w:spacing w:after="0"/>
              <w:rPr>
                <w:sz w:val="16"/>
                <w:szCs w:val="16"/>
                <w:color w:val="auto"/>
              </w:rPr>
            </w:pPr>
          </w:p>
        </w:tc>
        <w:tc>
          <w:tcPr>
            <w:tcW w:w="980" w:type="dxa"/>
            <w:vAlign w:val="bottom"/>
            <w:tcBorders>
              <w:bottom w:val="single" w:sz="8" w:color="F2F2F2"/>
            </w:tcBorders>
            <w:shd w:val="clear" w:color="auto" w:fill="F2F2F2"/>
          </w:tcPr>
          <w:p>
            <w:pPr>
              <w:spacing w:after="0"/>
              <w:rPr>
                <w:sz w:val="16"/>
                <w:szCs w:val="16"/>
                <w:color w:val="auto"/>
              </w:rPr>
            </w:pPr>
          </w:p>
        </w:tc>
        <w:tc>
          <w:tcPr>
            <w:tcW w:w="720" w:type="dxa"/>
            <w:vAlign w:val="bottom"/>
            <w:tcBorders>
              <w:bottom w:val="single" w:sz="8" w:color="F2F2F2"/>
            </w:tcBorders>
            <w:shd w:val="clear" w:color="auto" w:fill="F2F2F2"/>
          </w:tcPr>
          <w:p>
            <w:pPr>
              <w:spacing w:after="0"/>
              <w:rPr>
                <w:sz w:val="16"/>
                <w:szCs w:val="16"/>
                <w:color w:val="auto"/>
              </w:rPr>
            </w:pPr>
          </w:p>
        </w:tc>
        <w:tc>
          <w:tcPr>
            <w:tcW w:w="160" w:type="dxa"/>
            <w:vAlign w:val="bottom"/>
            <w:tcBorders>
              <w:bottom w:val="single" w:sz="8" w:color="F2F2F2"/>
            </w:tcBorders>
            <w:shd w:val="clear" w:color="auto" w:fill="F2F2F2"/>
          </w:tcPr>
          <w:p>
            <w:pPr>
              <w:spacing w:after="0"/>
              <w:rPr>
                <w:sz w:val="16"/>
                <w:szCs w:val="16"/>
                <w:color w:val="auto"/>
              </w:rPr>
            </w:pPr>
          </w:p>
        </w:tc>
        <w:tc>
          <w:tcPr>
            <w:tcW w:w="960" w:type="dxa"/>
            <w:vAlign w:val="bottom"/>
            <w:tcBorders>
              <w:bottom w:val="single" w:sz="8" w:color="F2F2F2"/>
            </w:tcBorders>
            <w:shd w:val="clear" w:color="auto" w:fill="F2F2F2"/>
          </w:tcPr>
          <w:p>
            <w:pPr>
              <w:spacing w:after="0"/>
              <w:rPr>
                <w:sz w:val="16"/>
                <w:szCs w:val="16"/>
                <w:color w:val="auto"/>
              </w:rPr>
            </w:pPr>
          </w:p>
        </w:tc>
        <w:tc>
          <w:tcPr>
            <w:tcW w:w="1280" w:type="dxa"/>
            <w:vAlign w:val="bottom"/>
            <w:tcBorders>
              <w:bottom w:val="single" w:sz="8" w:color="F2F2F2"/>
            </w:tcBorders>
            <w:shd w:val="clear" w:color="auto" w:fill="F2F2F2"/>
          </w:tcPr>
          <w:p>
            <w:pPr>
              <w:spacing w:after="0"/>
              <w:rPr>
                <w:sz w:val="16"/>
                <w:szCs w:val="16"/>
                <w:color w:val="auto"/>
              </w:rPr>
            </w:pPr>
          </w:p>
        </w:tc>
        <w:tc>
          <w:tcPr>
            <w:tcW w:w="980" w:type="dxa"/>
            <w:vAlign w:val="bottom"/>
            <w:tcBorders>
              <w:bottom w:val="single" w:sz="8" w:color="F2F2F2"/>
            </w:tcBorders>
            <w:shd w:val="clear" w:color="auto" w:fill="F2F2F2"/>
          </w:tcPr>
          <w:p>
            <w:pPr>
              <w:spacing w:after="0"/>
              <w:rPr>
                <w:sz w:val="16"/>
                <w:szCs w:val="16"/>
                <w:color w:val="auto"/>
              </w:rPr>
            </w:pPr>
          </w:p>
        </w:tc>
        <w:tc>
          <w:tcPr>
            <w:tcW w:w="1260" w:type="dxa"/>
            <w:vAlign w:val="bottom"/>
            <w:tcBorders>
              <w:bottom w:val="single" w:sz="8" w:color="F2F2F2"/>
            </w:tcBorders>
            <w:shd w:val="clear" w:color="auto" w:fill="F2F2F2"/>
          </w:tcPr>
          <w:p>
            <w:pPr>
              <w:spacing w:after="0"/>
              <w:rPr>
                <w:sz w:val="16"/>
                <w:szCs w:val="16"/>
                <w:color w:val="auto"/>
              </w:rPr>
            </w:pPr>
          </w:p>
        </w:tc>
        <w:tc>
          <w:tcPr>
            <w:tcW w:w="1200" w:type="dxa"/>
            <w:vAlign w:val="bottom"/>
            <w:tcBorders>
              <w:bottom w:val="single" w:sz="8" w:color="F2F2F2"/>
            </w:tcBorders>
            <w:shd w:val="clear" w:color="auto" w:fill="F2F2F2"/>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080" w:type="dxa"/>
            <w:vAlign w:val="bottom"/>
          </w:tcPr>
          <w:p>
            <w:pPr>
              <w:ind w:left="20"/>
              <w:spacing w:after="0"/>
              <w:rPr>
                <w:sz w:val="20"/>
                <w:szCs w:val="20"/>
                <w:color w:val="auto"/>
              </w:rPr>
            </w:pPr>
            <w:r>
              <w:rPr>
                <w:rFonts w:ascii="Arial" w:cs="Arial" w:eastAsia="Arial" w:hAnsi="Arial"/>
                <w:sz w:val="14"/>
                <w:szCs w:val="14"/>
                <w:color w:val="auto"/>
              </w:rPr>
              <w:t>Lucas Montarce</w:t>
            </w:r>
          </w:p>
        </w:tc>
        <w:tc>
          <w:tcPr>
            <w:tcW w:w="420" w:type="dxa"/>
            <w:vAlign w:val="bottom"/>
          </w:tcPr>
          <w:p>
            <w:pPr>
              <w:ind w:left="60"/>
              <w:spacing w:after="0"/>
              <w:rPr>
                <w:sz w:val="20"/>
                <w:szCs w:val="20"/>
                <w:color w:val="auto"/>
              </w:rPr>
            </w:pPr>
            <w:r>
              <w:rPr>
                <w:rFonts w:ascii="Arial" w:cs="Arial" w:eastAsia="Arial" w:hAnsi="Arial"/>
                <w:sz w:val="14"/>
                <w:szCs w:val="14"/>
                <w:color w:val="auto"/>
              </w:rPr>
              <w:t>2024</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$664,639</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$1,067,135</w:t>
            </w:r>
          </w:p>
        </w:tc>
        <w:tc>
          <w:tcPr>
            <w:tcW w:w="1280" w:type="dxa"/>
            <w:vAlign w:val="bottom"/>
          </w:tcPr>
          <w:p>
            <w:pPr>
              <w:jc w:val="right"/>
              <w:ind w:right="88"/>
              <w:spacing w:after="0"/>
              <w:rPr>
                <w:sz w:val="20"/>
                <w:szCs w:val="20"/>
                <w:color w:val="auto"/>
              </w:rPr>
            </w:pPr>
            <w:r>
              <w:rPr>
                <w:rFonts w:ascii="Arial" w:cs="Arial" w:eastAsia="Arial" w:hAnsi="Arial"/>
                <w:sz w:val="14"/>
                <w:szCs w:val="14"/>
                <w:color w:val="auto"/>
              </w:rPr>
              <w:t>$1,114,558</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$62,309</w:t>
            </w: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$39,878</w:t>
            </w: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$2,948,519</w:t>
            </w:r>
          </w:p>
        </w:tc>
        <w:tc>
          <w:tcPr>
            <w:tcW w:w="0" w:type="dxa"/>
            <w:vAlign w:val="bottom"/>
          </w:tcPr>
          <w:p>
            <w:pPr>
              <w:spacing w:after="0"/>
              <w:rPr>
                <w:sz w:val="1"/>
                <w:szCs w:val="1"/>
                <w:color w:val="auto"/>
              </w:rPr>
            </w:pPr>
          </w:p>
        </w:tc>
      </w:tr>
      <w:tr>
        <w:trPr>
          <w:trHeight w:val="162"/>
        </w:trPr>
        <w:tc>
          <w:tcPr>
            <w:tcW w:w="1080" w:type="dxa"/>
            <w:vAlign w:val="bottom"/>
          </w:tcPr>
          <w:p>
            <w:pPr>
              <w:ind w:left="20"/>
              <w:spacing w:after="0"/>
              <w:rPr>
                <w:sz w:val="20"/>
                <w:szCs w:val="20"/>
                <w:color w:val="auto"/>
              </w:rPr>
            </w:pPr>
            <w:r>
              <w:rPr>
                <w:rFonts w:ascii="Arial" w:cs="Arial" w:eastAsia="Arial" w:hAnsi="Arial"/>
                <w:sz w:val="14"/>
                <w:szCs w:val="14"/>
                <w:color w:val="auto"/>
              </w:rPr>
              <w:t>Executive Vice</w:t>
            </w:r>
          </w:p>
        </w:tc>
        <w:tc>
          <w:tcPr>
            <w:tcW w:w="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080" w:type="dxa"/>
            <w:vAlign w:val="bottom"/>
          </w:tcPr>
          <w:p>
            <w:pPr>
              <w:ind w:left="20"/>
              <w:spacing w:after="0"/>
              <w:rPr>
                <w:sz w:val="20"/>
                <w:szCs w:val="20"/>
                <w:color w:val="auto"/>
              </w:rPr>
            </w:pPr>
            <w:r>
              <w:rPr>
                <w:rFonts w:ascii="Arial" w:cs="Arial" w:eastAsia="Arial" w:hAnsi="Arial"/>
                <w:sz w:val="14"/>
                <w:szCs w:val="14"/>
                <w:color w:val="auto"/>
              </w:rPr>
              <w:t>President and</w:t>
            </w: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080" w:type="dxa"/>
            <w:vAlign w:val="bottom"/>
          </w:tcPr>
          <w:p>
            <w:pPr>
              <w:ind w:left="20"/>
              <w:spacing w:after="0"/>
              <w:rPr>
                <w:sz w:val="20"/>
                <w:szCs w:val="20"/>
                <w:color w:val="auto"/>
              </w:rPr>
            </w:pPr>
            <w:r>
              <w:rPr>
                <w:rFonts w:ascii="Arial" w:cs="Arial" w:eastAsia="Arial" w:hAnsi="Arial"/>
                <w:sz w:val="14"/>
                <w:szCs w:val="14"/>
                <w:color w:val="auto"/>
              </w:rPr>
              <w:t>Chief Financial</w:t>
            </w: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080" w:type="dxa"/>
            <w:vAlign w:val="bottom"/>
          </w:tcPr>
          <w:p>
            <w:pPr>
              <w:ind w:left="20"/>
              <w:spacing w:after="0"/>
              <w:rPr>
                <w:sz w:val="20"/>
                <w:szCs w:val="20"/>
                <w:color w:val="auto"/>
              </w:rPr>
            </w:pPr>
            <w:r>
              <w:rPr>
                <w:rFonts w:ascii="Arial" w:cs="Arial" w:eastAsia="Arial" w:hAnsi="Arial"/>
                <w:sz w:val="14"/>
                <w:szCs w:val="14"/>
                <w:color w:val="auto"/>
              </w:rPr>
              <w:t>Officer</w:t>
            </w:r>
          </w:p>
        </w:tc>
        <w:tc>
          <w:tcPr>
            <w:tcW w:w="4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1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080" w:type="dxa"/>
            <w:vAlign w:val="bottom"/>
            <w:shd w:val="clear" w:color="auto" w:fill="F2F2F2"/>
          </w:tcPr>
          <w:p>
            <w:pPr>
              <w:ind w:left="20"/>
              <w:spacing w:after="0"/>
              <w:rPr>
                <w:sz w:val="20"/>
                <w:szCs w:val="20"/>
                <w:color w:val="auto"/>
              </w:rPr>
            </w:pPr>
            <w:r>
              <w:rPr>
                <w:rFonts w:ascii="Arial" w:cs="Arial" w:eastAsia="Arial" w:hAnsi="Arial"/>
                <w:sz w:val="14"/>
                <w:szCs w:val="14"/>
                <w:color w:val="auto"/>
              </w:rPr>
              <w:t>Daniel M.</w:t>
            </w:r>
          </w:p>
        </w:tc>
        <w:tc>
          <w:tcPr>
            <w:tcW w:w="420" w:type="dxa"/>
            <w:vAlign w:val="bottom"/>
            <w:shd w:val="clear" w:color="auto" w:fill="F2F2F2"/>
          </w:tcPr>
          <w:p>
            <w:pPr>
              <w:ind w:left="60"/>
              <w:spacing w:after="0"/>
              <w:rPr>
                <w:sz w:val="20"/>
                <w:szCs w:val="20"/>
                <w:color w:val="auto"/>
              </w:rPr>
            </w:pPr>
            <w:r>
              <w:rPr>
                <w:rFonts w:ascii="Arial" w:cs="Arial" w:eastAsia="Arial" w:hAnsi="Arial"/>
                <w:sz w:val="14"/>
                <w:szCs w:val="14"/>
                <w:color w:val="auto"/>
              </w:rPr>
              <w:t>2024</w:t>
            </w:r>
          </w:p>
        </w:tc>
        <w:tc>
          <w:tcPr>
            <w:tcW w:w="980" w:type="dxa"/>
            <w:vAlign w:val="bottom"/>
            <w:shd w:val="clear" w:color="auto" w:fill="F2F2F2"/>
          </w:tcPr>
          <w:p>
            <w:pPr>
              <w:jc w:val="right"/>
              <w:ind w:right="68"/>
              <w:spacing w:after="0"/>
              <w:rPr>
                <w:sz w:val="20"/>
                <w:szCs w:val="20"/>
                <w:color w:val="auto"/>
              </w:rPr>
            </w:pPr>
            <w:r>
              <w:rPr>
                <w:rFonts w:ascii="Arial" w:cs="Arial" w:eastAsia="Arial" w:hAnsi="Arial"/>
                <w:sz w:val="14"/>
                <w:szCs w:val="14"/>
                <w:color w:val="auto"/>
              </w:rPr>
              <w:t>$1,430,769</w:t>
            </w:r>
          </w:p>
        </w:tc>
        <w:tc>
          <w:tcPr>
            <w:tcW w:w="720" w:type="dxa"/>
            <w:vAlign w:val="bottom"/>
            <w:shd w:val="clear" w:color="auto" w:fill="F2F2F2"/>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shd w:val="clear" w:color="auto" w:fill="F2F2F2"/>
          </w:tcPr>
          <w:p>
            <w:pPr>
              <w:spacing w:after="0"/>
              <w:rPr>
                <w:sz w:val="16"/>
                <w:szCs w:val="16"/>
                <w:color w:val="auto"/>
              </w:rPr>
            </w:pPr>
          </w:p>
        </w:tc>
        <w:tc>
          <w:tcPr>
            <w:tcW w:w="960" w:type="dxa"/>
            <w:vAlign w:val="bottom"/>
            <w:shd w:val="clear" w:color="auto" w:fill="F2F2F2"/>
          </w:tcPr>
          <w:p>
            <w:pPr>
              <w:jc w:val="right"/>
              <w:ind w:right="48"/>
              <w:spacing w:after="0"/>
              <w:rPr>
                <w:sz w:val="20"/>
                <w:szCs w:val="20"/>
                <w:color w:val="auto"/>
              </w:rPr>
            </w:pPr>
            <w:r>
              <w:rPr>
                <w:rFonts w:ascii="Arial" w:cs="Arial" w:eastAsia="Arial" w:hAnsi="Arial"/>
                <w:sz w:val="14"/>
                <w:szCs w:val="14"/>
                <w:color w:val="auto"/>
              </w:rPr>
              <w:t>$7,499,895</w:t>
            </w:r>
          </w:p>
        </w:tc>
        <w:tc>
          <w:tcPr>
            <w:tcW w:w="1280" w:type="dxa"/>
            <w:vAlign w:val="bottom"/>
            <w:shd w:val="clear" w:color="auto" w:fill="F2F2F2"/>
          </w:tcPr>
          <w:p>
            <w:pPr>
              <w:jc w:val="right"/>
              <w:ind w:right="88"/>
              <w:spacing w:after="0"/>
              <w:rPr>
                <w:sz w:val="20"/>
                <w:szCs w:val="20"/>
                <w:color w:val="auto"/>
              </w:rPr>
            </w:pPr>
            <w:r>
              <w:rPr>
                <w:rFonts w:ascii="Arial" w:cs="Arial" w:eastAsia="Arial" w:hAnsi="Arial"/>
                <w:sz w:val="14"/>
                <w:szCs w:val="14"/>
                <w:color w:val="auto"/>
              </w:rPr>
              <w:t>$3,219,230</w:t>
            </w:r>
          </w:p>
        </w:tc>
        <w:tc>
          <w:tcPr>
            <w:tcW w:w="980" w:type="dxa"/>
            <w:vAlign w:val="bottom"/>
            <w:shd w:val="clear" w:color="auto" w:fill="F2F2F2"/>
          </w:tcPr>
          <w:p>
            <w:pPr>
              <w:jc w:val="right"/>
              <w:ind w:right="48"/>
              <w:spacing w:after="0"/>
              <w:rPr>
                <w:sz w:val="20"/>
                <w:szCs w:val="20"/>
                <w:color w:val="auto"/>
              </w:rPr>
            </w:pPr>
            <w:r>
              <w:rPr>
                <w:rFonts w:ascii="Arial" w:cs="Arial" w:eastAsia="Arial" w:hAnsi="Arial"/>
                <w:sz w:val="14"/>
                <w:szCs w:val="14"/>
                <w:color w:val="auto"/>
              </w:rPr>
              <w:t>$281,870</w:t>
            </w:r>
          </w:p>
        </w:tc>
        <w:tc>
          <w:tcPr>
            <w:tcW w:w="1260" w:type="dxa"/>
            <w:vAlign w:val="bottom"/>
            <w:shd w:val="clear" w:color="auto" w:fill="F2F2F2"/>
          </w:tcPr>
          <w:p>
            <w:pPr>
              <w:jc w:val="right"/>
              <w:ind w:right="68"/>
              <w:spacing w:after="0"/>
              <w:rPr>
                <w:sz w:val="20"/>
                <w:szCs w:val="20"/>
                <w:color w:val="auto"/>
              </w:rPr>
            </w:pPr>
            <w:r>
              <w:rPr>
                <w:rFonts w:ascii="Arial" w:cs="Arial" w:eastAsia="Arial" w:hAnsi="Arial"/>
                <w:sz w:val="14"/>
                <w:szCs w:val="14"/>
                <w:color w:val="auto"/>
              </w:rPr>
              <w:t>$206,980</w:t>
            </w:r>
          </w:p>
        </w:tc>
        <w:tc>
          <w:tcPr>
            <w:tcW w:w="1200" w:type="dxa"/>
            <w:vAlign w:val="bottom"/>
            <w:shd w:val="clear" w:color="auto" w:fill="F2F2F2"/>
          </w:tcPr>
          <w:p>
            <w:pPr>
              <w:jc w:val="right"/>
              <w:ind w:right="8"/>
              <w:spacing w:after="0"/>
              <w:rPr>
                <w:sz w:val="20"/>
                <w:szCs w:val="20"/>
                <w:color w:val="auto"/>
              </w:rPr>
            </w:pPr>
            <w:r>
              <w:rPr>
                <w:rFonts w:ascii="Arial" w:cs="Arial" w:eastAsia="Arial" w:hAnsi="Arial"/>
                <w:sz w:val="14"/>
                <w:szCs w:val="14"/>
                <w:color w:val="auto"/>
              </w:rPr>
              <w:t>$12,638,744</w:t>
            </w:r>
          </w:p>
        </w:tc>
        <w:tc>
          <w:tcPr>
            <w:tcW w:w="0" w:type="dxa"/>
            <w:vAlign w:val="bottom"/>
          </w:tcPr>
          <w:p>
            <w:pPr>
              <w:spacing w:after="0"/>
              <w:rPr>
                <w:sz w:val="1"/>
                <w:szCs w:val="1"/>
                <w:color w:val="auto"/>
              </w:rPr>
            </w:pPr>
          </w:p>
        </w:tc>
      </w:tr>
      <w:tr>
        <w:trPr>
          <w:trHeight w:val="162"/>
        </w:trPr>
        <w:tc>
          <w:tcPr>
            <w:tcW w:w="1080" w:type="dxa"/>
            <w:vAlign w:val="bottom"/>
            <w:shd w:val="clear" w:color="auto" w:fill="F2F2F2"/>
          </w:tcPr>
          <w:p>
            <w:pPr>
              <w:ind w:left="20"/>
              <w:spacing w:after="0"/>
              <w:rPr>
                <w:sz w:val="20"/>
                <w:szCs w:val="20"/>
                <w:color w:val="auto"/>
              </w:rPr>
            </w:pPr>
            <w:r>
              <w:rPr>
                <w:rFonts w:ascii="Arial" w:cs="Arial" w:eastAsia="Arial" w:hAnsi="Arial"/>
                <w:sz w:val="14"/>
                <w:szCs w:val="14"/>
                <w:color w:val="auto"/>
              </w:rPr>
              <w:t>Skovronsky,</w:t>
            </w:r>
          </w:p>
        </w:tc>
        <w:tc>
          <w:tcPr>
            <w:tcW w:w="420" w:type="dxa"/>
            <w:vAlign w:val="bottom"/>
            <w:shd w:val="clear" w:color="auto" w:fill="F2F2F2"/>
          </w:tcPr>
          <w:p>
            <w:pPr>
              <w:spacing w:after="0"/>
              <w:rPr>
                <w:sz w:val="14"/>
                <w:szCs w:val="14"/>
                <w:color w:val="auto"/>
              </w:rPr>
            </w:pPr>
          </w:p>
        </w:tc>
        <w:tc>
          <w:tcPr>
            <w:tcW w:w="980" w:type="dxa"/>
            <w:vAlign w:val="bottom"/>
            <w:shd w:val="clear" w:color="auto" w:fill="F2F2F2"/>
          </w:tcPr>
          <w:p>
            <w:pPr>
              <w:spacing w:after="0"/>
              <w:rPr>
                <w:sz w:val="14"/>
                <w:szCs w:val="14"/>
                <w:color w:val="auto"/>
              </w:rPr>
            </w:pPr>
          </w:p>
        </w:tc>
        <w:tc>
          <w:tcPr>
            <w:tcW w:w="720" w:type="dxa"/>
            <w:vAlign w:val="bottom"/>
            <w:shd w:val="clear" w:color="auto" w:fill="F2F2F2"/>
          </w:tcPr>
          <w:p>
            <w:pPr>
              <w:spacing w:after="0"/>
              <w:rPr>
                <w:sz w:val="14"/>
                <w:szCs w:val="14"/>
                <w:color w:val="auto"/>
              </w:rPr>
            </w:pPr>
          </w:p>
        </w:tc>
        <w:tc>
          <w:tcPr>
            <w:tcW w:w="160" w:type="dxa"/>
            <w:vAlign w:val="bottom"/>
            <w:shd w:val="clear" w:color="auto" w:fill="F2F2F2"/>
          </w:tcPr>
          <w:p>
            <w:pPr>
              <w:spacing w:after="0"/>
              <w:rPr>
                <w:sz w:val="14"/>
                <w:szCs w:val="14"/>
                <w:color w:val="auto"/>
              </w:rPr>
            </w:pPr>
          </w:p>
        </w:tc>
        <w:tc>
          <w:tcPr>
            <w:tcW w:w="960" w:type="dxa"/>
            <w:vAlign w:val="bottom"/>
            <w:shd w:val="clear" w:color="auto" w:fill="F2F2F2"/>
          </w:tcPr>
          <w:p>
            <w:pPr>
              <w:spacing w:after="0"/>
              <w:rPr>
                <w:sz w:val="14"/>
                <w:szCs w:val="14"/>
                <w:color w:val="auto"/>
              </w:rPr>
            </w:pPr>
          </w:p>
        </w:tc>
        <w:tc>
          <w:tcPr>
            <w:tcW w:w="1280" w:type="dxa"/>
            <w:vAlign w:val="bottom"/>
            <w:shd w:val="clear" w:color="auto" w:fill="F2F2F2"/>
          </w:tcPr>
          <w:p>
            <w:pPr>
              <w:spacing w:after="0"/>
              <w:rPr>
                <w:sz w:val="14"/>
                <w:szCs w:val="14"/>
                <w:color w:val="auto"/>
              </w:rPr>
            </w:pPr>
          </w:p>
        </w:tc>
        <w:tc>
          <w:tcPr>
            <w:tcW w:w="980" w:type="dxa"/>
            <w:vAlign w:val="bottom"/>
            <w:shd w:val="clear" w:color="auto" w:fill="F2F2F2"/>
          </w:tcPr>
          <w:p>
            <w:pPr>
              <w:spacing w:after="0"/>
              <w:rPr>
                <w:sz w:val="14"/>
                <w:szCs w:val="14"/>
                <w:color w:val="auto"/>
              </w:rPr>
            </w:pPr>
          </w:p>
        </w:tc>
        <w:tc>
          <w:tcPr>
            <w:tcW w:w="1260" w:type="dxa"/>
            <w:vAlign w:val="bottom"/>
            <w:shd w:val="clear" w:color="auto" w:fill="F2F2F2"/>
          </w:tcPr>
          <w:p>
            <w:pPr>
              <w:spacing w:after="0"/>
              <w:rPr>
                <w:sz w:val="14"/>
                <w:szCs w:val="14"/>
                <w:color w:val="auto"/>
              </w:rPr>
            </w:pPr>
          </w:p>
        </w:tc>
        <w:tc>
          <w:tcPr>
            <w:tcW w:w="1200" w:type="dxa"/>
            <w:vAlign w:val="bottom"/>
            <w:shd w:val="clear" w:color="auto" w:fill="F2F2F2"/>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080" w:type="dxa"/>
            <w:vAlign w:val="bottom"/>
            <w:shd w:val="clear" w:color="auto" w:fill="F2F2F2"/>
          </w:tcPr>
          <w:p>
            <w:pPr>
              <w:ind w:left="20"/>
              <w:spacing w:after="0"/>
              <w:rPr>
                <w:sz w:val="20"/>
                <w:szCs w:val="20"/>
                <w:color w:val="auto"/>
              </w:rPr>
            </w:pPr>
            <w:r>
              <w:rPr>
                <w:rFonts w:ascii="Arial" w:cs="Arial" w:eastAsia="Arial" w:hAnsi="Arial"/>
                <w:sz w:val="14"/>
                <w:szCs w:val="14"/>
                <w:color w:val="auto"/>
              </w:rPr>
              <w:t>M.D., Ph.D.</w:t>
            </w:r>
          </w:p>
        </w:tc>
        <w:tc>
          <w:tcPr>
            <w:tcW w:w="420" w:type="dxa"/>
            <w:vAlign w:val="bottom"/>
            <w:shd w:val="clear" w:color="auto" w:fill="F2F2F2"/>
          </w:tcPr>
          <w:p>
            <w:pPr>
              <w:spacing w:after="0"/>
              <w:rPr>
                <w:sz w:val="16"/>
                <w:szCs w:val="16"/>
                <w:color w:val="auto"/>
              </w:rPr>
            </w:pPr>
          </w:p>
        </w:tc>
        <w:tc>
          <w:tcPr>
            <w:tcW w:w="980" w:type="dxa"/>
            <w:vAlign w:val="bottom"/>
            <w:shd w:val="clear" w:color="auto" w:fill="F2F2F2"/>
          </w:tcPr>
          <w:p>
            <w:pPr>
              <w:spacing w:after="0"/>
              <w:rPr>
                <w:sz w:val="16"/>
                <w:szCs w:val="16"/>
                <w:color w:val="auto"/>
              </w:rPr>
            </w:pPr>
          </w:p>
        </w:tc>
        <w:tc>
          <w:tcPr>
            <w:tcW w:w="720" w:type="dxa"/>
            <w:vAlign w:val="bottom"/>
            <w:shd w:val="clear" w:color="auto" w:fill="F2F2F2"/>
          </w:tcPr>
          <w:p>
            <w:pPr>
              <w:spacing w:after="0"/>
              <w:rPr>
                <w:sz w:val="16"/>
                <w:szCs w:val="16"/>
                <w:color w:val="auto"/>
              </w:rPr>
            </w:pPr>
          </w:p>
        </w:tc>
        <w:tc>
          <w:tcPr>
            <w:tcW w:w="160" w:type="dxa"/>
            <w:vAlign w:val="bottom"/>
            <w:shd w:val="clear" w:color="auto" w:fill="F2F2F2"/>
          </w:tcPr>
          <w:p>
            <w:pPr>
              <w:spacing w:after="0"/>
              <w:rPr>
                <w:sz w:val="16"/>
                <w:szCs w:val="16"/>
                <w:color w:val="auto"/>
              </w:rPr>
            </w:pPr>
          </w:p>
        </w:tc>
        <w:tc>
          <w:tcPr>
            <w:tcW w:w="960" w:type="dxa"/>
            <w:vAlign w:val="bottom"/>
            <w:shd w:val="clear" w:color="auto" w:fill="F2F2F2"/>
          </w:tcPr>
          <w:p>
            <w:pPr>
              <w:spacing w:after="0"/>
              <w:rPr>
                <w:sz w:val="16"/>
                <w:szCs w:val="16"/>
                <w:color w:val="auto"/>
              </w:rPr>
            </w:pPr>
          </w:p>
        </w:tc>
        <w:tc>
          <w:tcPr>
            <w:tcW w:w="1280" w:type="dxa"/>
            <w:vAlign w:val="bottom"/>
            <w:shd w:val="clear" w:color="auto" w:fill="F2F2F2"/>
          </w:tcPr>
          <w:p>
            <w:pPr>
              <w:spacing w:after="0"/>
              <w:rPr>
                <w:sz w:val="16"/>
                <w:szCs w:val="16"/>
                <w:color w:val="auto"/>
              </w:rPr>
            </w:pPr>
          </w:p>
        </w:tc>
        <w:tc>
          <w:tcPr>
            <w:tcW w:w="980" w:type="dxa"/>
            <w:vAlign w:val="bottom"/>
            <w:shd w:val="clear" w:color="auto" w:fill="F2F2F2"/>
          </w:tcPr>
          <w:p>
            <w:pPr>
              <w:spacing w:after="0"/>
              <w:rPr>
                <w:sz w:val="16"/>
                <w:szCs w:val="16"/>
                <w:color w:val="auto"/>
              </w:rPr>
            </w:pPr>
          </w:p>
        </w:tc>
        <w:tc>
          <w:tcPr>
            <w:tcW w:w="1260" w:type="dxa"/>
            <w:vAlign w:val="bottom"/>
            <w:shd w:val="clear" w:color="auto" w:fill="F2F2F2"/>
          </w:tcPr>
          <w:p>
            <w:pPr>
              <w:spacing w:after="0"/>
              <w:rPr>
                <w:sz w:val="16"/>
                <w:szCs w:val="16"/>
                <w:color w:val="auto"/>
              </w:rPr>
            </w:pPr>
          </w:p>
        </w:tc>
        <w:tc>
          <w:tcPr>
            <w:tcW w:w="1200" w:type="dxa"/>
            <w:vAlign w:val="bottom"/>
            <w:shd w:val="clear" w:color="auto" w:fill="F2F2F2"/>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080" w:type="dxa"/>
            <w:vAlign w:val="bottom"/>
            <w:shd w:val="clear" w:color="auto" w:fill="F2F2F2"/>
          </w:tcPr>
          <w:p>
            <w:pPr>
              <w:ind w:left="20"/>
              <w:spacing w:after="0"/>
              <w:rPr>
                <w:sz w:val="20"/>
                <w:szCs w:val="20"/>
                <w:color w:val="auto"/>
              </w:rPr>
            </w:pPr>
            <w:r>
              <w:rPr>
                <w:rFonts w:ascii="Arial" w:cs="Arial" w:eastAsia="Arial" w:hAnsi="Arial"/>
                <w:sz w:val="14"/>
                <w:szCs w:val="14"/>
                <w:color w:val="auto"/>
              </w:rPr>
              <w:t>Executive Vice</w:t>
            </w:r>
          </w:p>
        </w:tc>
        <w:tc>
          <w:tcPr>
            <w:tcW w:w="420" w:type="dxa"/>
            <w:vAlign w:val="bottom"/>
            <w:shd w:val="clear" w:color="auto" w:fill="F2F2F2"/>
          </w:tcPr>
          <w:p>
            <w:pPr>
              <w:ind w:left="60"/>
              <w:spacing w:after="0"/>
              <w:rPr>
                <w:sz w:val="20"/>
                <w:szCs w:val="20"/>
                <w:color w:val="auto"/>
              </w:rPr>
            </w:pPr>
            <w:r>
              <w:rPr>
                <w:rFonts w:ascii="Arial" w:cs="Arial" w:eastAsia="Arial" w:hAnsi="Arial"/>
                <w:sz w:val="14"/>
                <w:szCs w:val="14"/>
                <w:color w:val="auto"/>
              </w:rPr>
              <w:t>2023</w:t>
            </w:r>
          </w:p>
        </w:tc>
        <w:tc>
          <w:tcPr>
            <w:tcW w:w="980" w:type="dxa"/>
            <w:vAlign w:val="bottom"/>
            <w:shd w:val="clear" w:color="auto" w:fill="F2F2F2"/>
          </w:tcPr>
          <w:p>
            <w:pPr>
              <w:jc w:val="right"/>
              <w:ind w:right="68"/>
              <w:spacing w:after="0"/>
              <w:rPr>
                <w:sz w:val="20"/>
                <w:szCs w:val="20"/>
                <w:color w:val="auto"/>
              </w:rPr>
            </w:pPr>
            <w:r>
              <w:rPr>
                <w:rFonts w:ascii="Arial" w:cs="Arial" w:eastAsia="Arial" w:hAnsi="Arial"/>
                <w:sz w:val="14"/>
                <w:szCs w:val="14"/>
                <w:color w:val="auto"/>
              </w:rPr>
              <w:t>$1,330,769</w:t>
            </w:r>
          </w:p>
        </w:tc>
        <w:tc>
          <w:tcPr>
            <w:tcW w:w="720" w:type="dxa"/>
            <w:vAlign w:val="bottom"/>
            <w:shd w:val="clear" w:color="auto" w:fill="F2F2F2"/>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shd w:val="clear" w:color="auto" w:fill="F2F2F2"/>
          </w:tcPr>
          <w:p>
            <w:pPr>
              <w:spacing w:after="0"/>
              <w:rPr>
                <w:sz w:val="18"/>
                <w:szCs w:val="18"/>
                <w:color w:val="auto"/>
              </w:rPr>
            </w:pPr>
          </w:p>
        </w:tc>
        <w:tc>
          <w:tcPr>
            <w:tcW w:w="960" w:type="dxa"/>
            <w:vAlign w:val="bottom"/>
            <w:shd w:val="clear" w:color="auto" w:fill="F2F2F2"/>
          </w:tcPr>
          <w:p>
            <w:pPr>
              <w:jc w:val="right"/>
              <w:ind w:right="48"/>
              <w:spacing w:after="0"/>
              <w:rPr>
                <w:sz w:val="20"/>
                <w:szCs w:val="20"/>
                <w:color w:val="auto"/>
              </w:rPr>
            </w:pPr>
            <w:r>
              <w:rPr>
                <w:rFonts w:ascii="Arial" w:cs="Arial" w:eastAsia="Arial" w:hAnsi="Arial"/>
                <w:sz w:val="14"/>
                <w:szCs w:val="14"/>
                <w:color w:val="auto"/>
              </w:rPr>
              <w:t>$7,483,400</w:t>
            </w:r>
          </w:p>
        </w:tc>
        <w:tc>
          <w:tcPr>
            <w:tcW w:w="1280" w:type="dxa"/>
            <w:vAlign w:val="bottom"/>
            <w:shd w:val="clear" w:color="auto" w:fill="F2F2F2"/>
          </w:tcPr>
          <w:p>
            <w:pPr>
              <w:jc w:val="right"/>
              <w:ind w:right="88"/>
              <w:spacing w:after="0"/>
              <w:rPr>
                <w:sz w:val="20"/>
                <w:szCs w:val="20"/>
                <w:color w:val="auto"/>
              </w:rPr>
            </w:pPr>
            <w:r>
              <w:rPr>
                <w:rFonts w:ascii="Arial" w:cs="Arial" w:eastAsia="Arial" w:hAnsi="Arial"/>
                <w:sz w:val="14"/>
                <w:szCs w:val="14"/>
                <w:color w:val="auto"/>
              </w:rPr>
              <w:t>$2,408,692</w:t>
            </w:r>
          </w:p>
        </w:tc>
        <w:tc>
          <w:tcPr>
            <w:tcW w:w="980" w:type="dxa"/>
            <w:vAlign w:val="bottom"/>
            <w:shd w:val="clear" w:color="auto" w:fill="F2F2F2"/>
          </w:tcPr>
          <w:p>
            <w:pPr>
              <w:jc w:val="right"/>
              <w:ind w:right="48"/>
              <w:spacing w:after="0"/>
              <w:rPr>
                <w:sz w:val="20"/>
                <w:szCs w:val="20"/>
                <w:color w:val="auto"/>
              </w:rPr>
            </w:pPr>
            <w:r>
              <w:rPr>
                <w:rFonts w:ascii="Arial" w:cs="Arial" w:eastAsia="Arial" w:hAnsi="Arial"/>
                <w:sz w:val="14"/>
                <w:szCs w:val="14"/>
                <w:color w:val="auto"/>
              </w:rPr>
              <w:t>$551,222</w:t>
            </w:r>
          </w:p>
        </w:tc>
        <w:tc>
          <w:tcPr>
            <w:tcW w:w="1260" w:type="dxa"/>
            <w:vAlign w:val="bottom"/>
            <w:shd w:val="clear" w:color="auto" w:fill="F2F2F2"/>
          </w:tcPr>
          <w:p>
            <w:pPr>
              <w:jc w:val="right"/>
              <w:ind w:right="68"/>
              <w:spacing w:after="0"/>
              <w:rPr>
                <w:sz w:val="20"/>
                <w:szCs w:val="20"/>
                <w:color w:val="auto"/>
              </w:rPr>
            </w:pPr>
            <w:r>
              <w:rPr>
                <w:rFonts w:ascii="Arial" w:cs="Arial" w:eastAsia="Arial" w:hAnsi="Arial"/>
                <w:sz w:val="14"/>
                <w:szCs w:val="14"/>
                <w:color w:val="auto"/>
              </w:rPr>
              <w:t>$79,846</w:t>
            </w:r>
          </w:p>
        </w:tc>
        <w:tc>
          <w:tcPr>
            <w:tcW w:w="1200" w:type="dxa"/>
            <w:vAlign w:val="bottom"/>
            <w:shd w:val="clear" w:color="auto" w:fill="F2F2F2"/>
          </w:tcPr>
          <w:p>
            <w:pPr>
              <w:jc w:val="right"/>
              <w:ind w:right="8"/>
              <w:spacing w:after="0"/>
              <w:rPr>
                <w:sz w:val="20"/>
                <w:szCs w:val="20"/>
                <w:color w:val="auto"/>
              </w:rPr>
            </w:pPr>
            <w:r>
              <w:rPr>
                <w:rFonts w:ascii="Arial" w:cs="Arial" w:eastAsia="Arial" w:hAnsi="Arial"/>
                <w:sz w:val="14"/>
                <w:szCs w:val="14"/>
                <w:color w:val="auto"/>
              </w:rPr>
              <w:t>$11,853,929</w:t>
            </w:r>
          </w:p>
        </w:tc>
        <w:tc>
          <w:tcPr>
            <w:tcW w:w="0" w:type="dxa"/>
            <w:vAlign w:val="bottom"/>
          </w:tcPr>
          <w:p>
            <w:pPr>
              <w:spacing w:after="0"/>
              <w:rPr>
                <w:sz w:val="1"/>
                <w:szCs w:val="1"/>
                <w:color w:val="auto"/>
              </w:rPr>
            </w:pPr>
          </w:p>
        </w:tc>
      </w:tr>
      <w:tr>
        <w:trPr>
          <w:trHeight w:val="162"/>
        </w:trPr>
        <w:tc>
          <w:tcPr>
            <w:tcW w:w="1080" w:type="dxa"/>
            <w:vAlign w:val="bottom"/>
            <w:shd w:val="clear" w:color="auto" w:fill="F2F2F2"/>
          </w:tcPr>
          <w:p>
            <w:pPr>
              <w:ind w:left="20"/>
              <w:spacing w:after="0"/>
              <w:rPr>
                <w:sz w:val="20"/>
                <w:szCs w:val="20"/>
                <w:color w:val="auto"/>
              </w:rPr>
            </w:pPr>
            <w:r>
              <w:rPr>
                <w:rFonts w:ascii="Arial" w:cs="Arial" w:eastAsia="Arial" w:hAnsi="Arial"/>
                <w:sz w:val="14"/>
                <w:szCs w:val="14"/>
                <w:color w:val="auto"/>
              </w:rPr>
              <w:t>President,</w:t>
            </w:r>
          </w:p>
        </w:tc>
        <w:tc>
          <w:tcPr>
            <w:tcW w:w="420" w:type="dxa"/>
            <w:vAlign w:val="bottom"/>
            <w:shd w:val="clear" w:color="auto" w:fill="F2F2F2"/>
          </w:tcPr>
          <w:p>
            <w:pPr>
              <w:spacing w:after="0"/>
              <w:rPr>
                <w:sz w:val="14"/>
                <w:szCs w:val="14"/>
                <w:color w:val="auto"/>
              </w:rPr>
            </w:pPr>
          </w:p>
        </w:tc>
        <w:tc>
          <w:tcPr>
            <w:tcW w:w="980" w:type="dxa"/>
            <w:vAlign w:val="bottom"/>
            <w:shd w:val="clear" w:color="auto" w:fill="F2F2F2"/>
          </w:tcPr>
          <w:p>
            <w:pPr>
              <w:spacing w:after="0"/>
              <w:rPr>
                <w:sz w:val="14"/>
                <w:szCs w:val="14"/>
                <w:color w:val="auto"/>
              </w:rPr>
            </w:pPr>
          </w:p>
        </w:tc>
        <w:tc>
          <w:tcPr>
            <w:tcW w:w="720" w:type="dxa"/>
            <w:vAlign w:val="bottom"/>
            <w:shd w:val="clear" w:color="auto" w:fill="F2F2F2"/>
          </w:tcPr>
          <w:p>
            <w:pPr>
              <w:spacing w:after="0"/>
              <w:rPr>
                <w:sz w:val="14"/>
                <w:szCs w:val="14"/>
                <w:color w:val="auto"/>
              </w:rPr>
            </w:pPr>
          </w:p>
        </w:tc>
        <w:tc>
          <w:tcPr>
            <w:tcW w:w="160" w:type="dxa"/>
            <w:vAlign w:val="bottom"/>
            <w:shd w:val="clear" w:color="auto" w:fill="F2F2F2"/>
          </w:tcPr>
          <w:p>
            <w:pPr>
              <w:spacing w:after="0"/>
              <w:rPr>
                <w:sz w:val="14"/>
                <w:szCs w:val="14"/>
                <w:color w:val="auto"/>
              </w:rPr>
            </w:pPr>
          </w:p>
        </w:tc>
        <w:tc>
          <w:tcPr>
            <w:tcW w:w="960" w:type="dxa"/>
            <w:vAlign w:val="bottom"/>
            <w:shd w:val="clear" w:color="auto" w:fill="F2F2F2"/>
          </w:tcPr>
          <w:p>
            <w:pPr>
              <w:spacing w:after="0"/>
              <w:rPr>
                <w:sz w:val="14"/>
                <w:szCs w:val="14"/>
                <w:color w:val="auto"/>
              </w:rPr>
            </w:pPr>
          </w:p>
        </w:tc>
        <w:tc>
          <w:tcPr>
            <w:tcW w:w="1280" w:type="dxa"/>
            <w:vAlign w:val="bottom"/>
            <w:shd w:val="clear" w:color="auto" w:fill="F2F2F2"/>
          </w:tcPr>
          <w:p>
            <w:pPr>
              <w:spacing w:after="0"/>
              <w:rPr>
                <w:sz w:val="14"/>
                <w:szCs w:val="14"/>
                <w:color w:val="auto"/>
              </w:rPr>
            </w:pPr>
          </w:p>
        </w:tc>
        <w:tc>
          <w:tcPr>
            <w:tcW w:w="980" w:type="dxa"/>
            <w:vAlign w:val="bottom"/>
            <w:shd w:val="clear" w:color="auto" w:fill="F2F2F2"/>
          </w:tcPr>
          <w:p>
            <w:pPr>
              <w:spacing w:after="0"/>
              <w:rPr>
                <w:sz w:val="14"/>
                <w:szCs w:val="14"/>
                <w:color w:val="auto"/>
              </w:rPr>
            </w:pPr>
          </w:p>
        </w:tc>
        <w:tc>
          <w:tcPr>
            <w:tcW w:w="1260" w:type="dxa"/>
            <w:vAlign w:val="bottom"/>
            <w:shd w:val="clear" w:color="auto" w:fill="F2F2F2"/>
          </w:tcPr>
          <w:p>
            <w:pPr>
              <w:spacing w:after="0"/>
              <w:rPr>
                <w:sz w:val="14"/>
                <w:szCs w:val="14"/>
                <w:color w:val="auto"/>
              </w:rPr>
            </w:pPr>
          </w:p>
        </w:tc>
        <w:tc>
          <w:tcPr>
            <w:tcW w:w="1200" w:type="dxa"/>
            <w:vAlign w:val="bottom"/>
            <w:shd w:val="clear" w:color="auto" w:fill="F2F2F2"/>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080" w:type="dxa"/>
            <w:vAlign w:val="bottom"/>
            <w:shd w:val="clear" w:color="auto" w:fill="F2F2F2"/>
          </w:tcPr>
          <w:p>
            <w:pPr>
              <w:ind w:left="20"/>
              <w:spacing w:after="0"/>
              <w:rPr>
                <w:sz w:val="20"/>
                <w:szCs w:val="20"/>
                <w:color w:val="auto"/>
              </w:rPr>
            </w:pPr>
            <w:r>
              <w:rPr>
                <w:rFonts w:ascii="Arial" w:cs="Arial" w:eastAsia="Arial" w:hAnsi="Arial"/>
                <w:sz w:val="14"/>
                <w:szCs w:val="14"/>
                <w:color w:val="auto"/>
              </w:rPr>
              <w:t>Chief Scientific</w:t>
            </w:r>
          </w:p>
        </w:tc>
        <w:tc>
          <w:tcPr>
            <w:tcW w:w="420" w:type="dxa"/>
            <w:vAlign w:val="bottom"/>
            <w:vMerge w:val="restart"/>
            <w:shd w:val="clear" w:color="auto" w:fill="F2F2F2"/>
          </w:tcPr>
          <w:p>
            <w:pPr>
              <w:ind w:left="60"/>
              <w:spacing w:after="0"/>
              <w:rPr>
                <w:sz w:val="20"/>
                <w:szCs w:val="20"/>
                <w:color w:val="auto"/>
              </w:rPr>
            </w:pPr>
            <w:r>
              <w:rPr>
                <w:rFonts w:ascii="Arial" w:cs="Arial" w:eastAsia="Arial" w:hAnsi="Arial"/>
                <w:sz w:val="14"/>
                <w:szCs w:val="14"/>
                <w:color w:val="auto"/>
              </w:rPr>
              <w:t>2022</w:t>
            </w:r>
          </w:p>
        </w:tc>
        <w:tc>
          <w:tcPr>
            <w:tcW w:w="980" w:type="dxa"/>
            <w:vAlign w:val="bottom"/>
            <w:vMerge w:val="restart"/>
            <w:shd w:val="clear" w:color="auto" w:fill="F2F2F2"/>
          </w:tcPr>
          <w:p>
            <w:pPr>
              <w:jc w:val="right"/>
              <w:ind w:right="68"/>
              <w:spacing w:after="0"/>
              <w:rPr>
                <w:sz w:val="20"/>
                <w:szCs w:val="20"/>
                <w:color w:val="auto"/>
              </w:rPr>
            </w:pPr>
            <w:r>
              <w:rPr>
                <w:rFonts w:ascii="Arial" w:cs="Arial" w:eastAsia="Arial" w:hAnsi="Arial"/>
                <w:sz w:val="14"/>
                <w:szCs w:val="14"/>
                <w:color w:val="auto"/>
              </w:rPr>
              <w:t>$1,201,923</w:t>
            </w:r>
          </w:p>
        </w:tc>
        <w:tc>
          <w:tcPr>
            <w:tcW w:w="720" w:type="dxa"/>
            <w:vAlign w:val="bottom"/>
            <w:vMerge w:val="restart"/>
            <w:shd w:val="clear" w:color="auto" w:fill="F2F2F2"/>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shd w:val="clear" w:color="auto" w:fill="F2F2F2"/>
          </w:tcPr>
          <w:p>
            <w:pPr>
              <w:spacing w:after="0"/>
              <w:rPr>
                <w:sz w:val="15"/>
                <w:szCs w:val="15"/>
                <w:color w:val="auto"/>
              </w:rPr>
            </w:pPr>
          </w:p>
        </w:tc>
        <w:tc>
          <w:tcPr>
            <w:tcW w:w="960" w:type="dxa"/>
            <w:vAlign w:val="bottom"/>
            <w:vMerge w:val="restart"/>
            <w:shd w:val="clear" w:color="auto" w:fill="F2F2F2"/>
          </w:tcPr>
          <w:p>
            <w:pPr>
              <w:jc w:val="right"/>
              <w:ind w:right="48"/>
              <w:spacing w:after="0"/>
              <w:rPr>
                <w:sz w:val="20"/>
                <w:szCs w:val="20"/>
                <w:color w:val="auto"/>
              </w:rPr>
            </w:pPr>
            <w:r>
              <w:rPr>
                <w:rFonts w:ascii="Arial" w:cs="Arial" w:eastAsia="Arial" w:hAnsi="Arial"/>
                <w:sz w:val="14"/>
                <w:szCs w:val="14"/>
                <w:color w:val="auto"/>
              </w:rPr>
              <w:t>$5,747,500</w:t>
            </w:r>
          </w:p>
        </w:tc>
        <w:tc>
          <w:tcPr>
            <w:tcW w:w="1280" w:type="dxa"/>
            <w:vAlign w:val="bottom"/>
            <w:vMerge w:val="restart"/>
            <w:shd w:val="clear" w:color="auto" w:fill="F2F2F2"/>
          </w:tcPr>
          <w:p>
            <w:pPr>
              <w:jc w:val="right"/>
              <w:ind w:right="88"/>
              <w:spacing w:after="0"/>
              <w:rPr>
                <w:sz w:val="20"/>
                <w:szCs w:val="20"/>
                <w:color w:val="auto"/>
              </w:rPr>
            </w:pPr>
            <w:r>
              <w:rPr>
                <w:rFonts w:ascii="Arial" w:cs="Arial" w:eastAsia="Arial" w:hAnsi="Arial"/>
                <w:sz w:val="14"/>
                <w:szCs w:val="14"/>
                <w:color w:val="auto"/>
              </w:rPr>
              <w:t>$1,442,308</w:t>
            </w:r>
          </w:p>
        </w:tc>
        <w:tc>
          <w:tcPr>
            <w:tcW w:w="980" w:type="dxa"/>
            <w:vAlign w:val="bottom"/>
            <w:vMerge w:val="restart"/>
            <w:shd w:val="clear" w:color="auto" w:fill="F2F2F2"/>
          </w:tcPr>
          <w:p>
            <w:pPr>
              <w:jc w:val="right"/>
              <w:ind w:right="48"/>
              <w:spacing w:after="0"/>
              <w:rPr>
                <w:sz w:val="20"/>
                <w:szCs w:val="20"/>
                <w:color w:val="auto"/>
              </w:rPr>
            </w:pPr>
            <w:r>
              <w:rPr>
                <w:rFonts w:ascii="Arial" w:cs="Arial" w:eastAsia="Arial" w:hAnsi="Arial"/>
                <w:sz w:val="14"/>
                <w:szCs w:val="14"/>
                <w:color w:val="auto"/>
              </w:rPr>
              <w:t>—</w:t>
            </w:r>
          </w:p>
        </w:tc>
        <w:tc>
          <w:tcPr>
            <w:tcW w:w="1260" w:type="dxa"/>
            <w:vAlign w:val="bottom"/>
            <w:vMerge w:val="restart"/>
            <w:shd w:val="clear" w:color="auto" w:fill="F2F2F2"/>
          </w:tcPr>
          <w:p>
            <w:pPr>
              <w:jc w:val="right"/>
              <w:ind w:right="68"/>
              <w:spacing w:after="0"/>
              <w:rPr>
                <w:sz w:val="20"/>
                <w:szCs w:val="20"/>
                <w:color w:val="auto"/>
              </w:rPr>
            </w:pPr>
            <w:r>
              <w:rPr>
                <w:rFonts w:ascii="Arial" w:cs="Arial" w:eastAsia="Arial" w:hAnsi="Arial"/>
                <w:sz w:val="14"/>
                <w:szCs w:val="14"/>
                <w:color w:val="auto"/>
              </w:rPr>
              <w:t>$72,115</w:t>
            </w:r>
          </w:p>
        </w:tc>
        <w:tc>
          <w:tcPr>
            <w:tcW w:w="1200" w:type="dxa"/>
            <w:vAlign w:val="bottom"/>
            <w:vMerge w:val="restart"/>
            <w:shd w:val="clear" w:color="auto" w:fill="F2F2F2"/>
          </w:tcPr>
          <w:p>
            <w:pPr>
              <w:jc w:val="right"/>
              <w:ind w:right="8"/>
              <w:spacing w:after="0"/>
              <w:rPr>
                <w:sz w:val="20"/>
                <w:szCs w:val="20"/>
                <w:color w:val="auto"/>
              </w:rPr>
            </w:pPr>
            <w:r>
              <w:rPr>
                <w:rFonts w:ascii="Arial" w:cs="Arial" w:eastAsia="Arial" w:hAnsi="Arial"/>
                <w:sz w:val="14"/>
                <w:szCs w:val="14"/>
                <w:color w:val="auto"/>
              </w:rPr>
              <w:t>$8,463,846</w:t>
            </w:r>
          </w:p>
        </w:tc>
        <w:tc>
          <w:tcPr>
            <w:tcW w:w="0" w:type="dxa"/>
            <w:vAlign w:val="bottom"/>
          </w:tcPr>
          <w:p>
            <w:pPr>
              <w:spacing w:after="0"/>
              <w:rPr>
                <w:sz w:val="1"/>
                <w:szCs w:val="1"/>
                <w:color w:val="auto"/>
              </w:rPr>
            </w:pPr>
          </w:p>
        </w:tc>
      </w:tr>
      <w:tr>
        <w:trPr>
          <w:trHeight w:val="123"/>
        </w:trPr>
        <w:tc>
          <w:tcPr>
            <w:tcW w:w="1080" w:type="dxa"/>
            <w:vAlign w:val="bottom"/>
            <w:vMerge w:val="restart"/>
            <w:shd w:val="clear" w:color="auto" w:fill="F2F2F2"/>
          </w:tcPr>
          <w:p>
            <w:pPr>
              <w:ind w:left="20"/>
              <w:spacing w:after="0"/>
              <w:rPr>
                <w:sz w:val="20"/>
                <w:szCs w:val="20"/>
                <w:color w:val="auto"/>
              </w:rPr>
            </w:pPr>
            <w:r>
              <w:rPr>
                <w:rFonts w:ascii="Arial" w:cs="Arial" w:eastAsia="Arial" w:hAnsi="Arial"/>
                <w:sz w:val="14"/>
                <w:szCs w:val="14"/>
                <w:color w:val="auto"/>
              </w:rPr>
              <w:t>Officer and</w:t>
            </w:r>
          </w:p>
        </w:tc>
        <w:tc>
          <w:tcPr>
            <w:tcW w:w="420" w:type="dxa"/>
            <w:vAlign w:val="bottom"/>
            <w:vMerge w:val="continue"/>
            <w:shd w:val="clear" w:color="auto" w:fill="F2F2F2"/>
          </w:tcPr>
          <w:p>
            <w:pPr>
              <w:spacing w:after="0"/>
              <w:rPr>
                <w:sz w:val="10"/>
                <w:szCs w:val="10"/>
                <w:color w:val="auto"/>
              </w:rPr>
            </w:pPr>
          </w:p>
        </w:tc>
        <w:tc>
          <w:tcPr>
            <w:tcW w:w="980" w:type="dxa"/>
            <w:vAlign w:val="bottom"/>
            <w:vMerge w:val="continue"/>
            <w:shd w:val="clear" w:color="auto" w:fill="F2F2F2"/>
          </w:tcPr>
          <w:p>
            <w:pPr>
              <w:spacing w:after="0"/>
              <w:rPr>
                <w:sz w:val="10"/>
                <w:szCs w:val="10"/>
                <w:color w:val="auto"/>
              </w:rPr>
            </w:pPr>
          </w:p>
        </w:tc>
        <w:tc>
          <w:tcPr>
            <w:tcW w:w="720" w:type="dxa"/>
            <w:vAlign w:val="bottom"/>
            <w:vMerge w:val="continue"/>
            <w:shd w:val="clear" w:color="auto" w:fill="F2F2F2"/>
          </w:tcPr>
          <w:p>
            <w:pPr>
              <w:spacing w:after="0"/>
              <w:rPr>
                <w:sz w:val="10"/>
                <w:szCs w:val="10"/>
                <w:color w:val="auto"/>
              </w:rPr>
            </w:pPr>
          </w:p>
        </w:tc>
        <w:tc>
          <w:tcPr>
            <w:tcW w:w="160" w:type="dxa"/>
            <w:vAlign w:val="bottom"/>
            <w:shd w:val="clear" w:color="auto" w:fill="F2F2F2"/>
          </w:tcPr>
          <w:p>
            <w:pPr>
              <w:spacing w:after="0"/>
              <w:rPr>
                <w:sz w:val="10"/>
                <w:szCs w:val="10"/>
                <w:color w:val="auto"/>
              </w:rPr>
            </w:pPr>
          </w:p>
        </w:tc>
        <w:tc>
          <w:tcPr>
            <w:tcW w:w="960" w:type="dxa"/>
            <w:vAlign w:val="bottom"/>
            <w:vMerge w:val="continue"/>
            <w:shd w:val="clear" w:color="auto" w:fill="F2F2F2"/>
          </w:tcPr>
          <w:p>
            <w:pPr>
              <w:spacing w:after="0"/>
              <w:rPr>
                <w:sz w:val="10"/>
                <w:szCs w:val="10"/>
                <w:color w:val="auto"/>
              </w:rPr>
            </w:pPr>
          </w:p>
        </w:tc>
        <w:tc>
          <w:tcPr>
            <w:tcW w:w="1280" w:type="dxa"/>
            <w:vAlign w:val="bottom"/>
            <w:vMerge w:val="continue"/>
            <w:shd w:val="clear" w:color="auto" w:fill="F2F2F2"/>
          </w:tcPr>
          <w:p>
            <w:pPr>
              <w:spacing w:after="0"/>
              <w:rPr>
                <w:sz w:val="10"/>
                <w:szCs w:val="10"/>
                <w:color w:val="auto"/>
              </w:rPr>
            </w:pPr>
          </w:p>
        </w:tc>
        <w:tc>
          <w:tcPr>
            <w:tcW w:w="980" w:type="dxa"/>
            <w:vAlign w:val="bottom"/>
            <w:vMerge w:val="continue"/>
            <w:shd w:val="clear" w:color="auto" w:fill="F2F2F2"/>
          </w:tcPr>
          <w:p>
            <w:pPr>
              <w:spacing w:after="0"/>
              <w:rPr>
                <w:sz w:val="10"/>
                <w:szCs w:val="10"/>
                <w:color w:val="auto"/>
              </w:rPr>
            </w:pPr>
          </w:p>
        </w:tc>
        <w:tc>
          <w:tcPr>
            <w:tcW w:w="1260" w:type="dxa"/>
            <w:vAlign w:val="bottom"/>
            <w:vMerge w:val="continue"/>
            <w:shd w:val="clear" w:color="auto" w:fill="F2F2F2"/>
          </w:tcPr>
          <w:p>
            <w:pPr>
              <w:spacing w:after="0"/>
              <w:rPr>
                <w:sz w:val="10"/>
                <w:szCs w:val="10"/>
                <w:color w:val="auto"/>
              </w:rPr>
            </w:pPr>
          </w:p>
        </w:tc>
        <w:tc>
          <w:tcPr>
            <w:tcW w:w="1200" w:type="dxa"/>
            <w:vAlign w:val="bottom"/>
            <w:vMerge w:val="continue"/>
            <w:shd w:val="clear" w:color="auto" w:fill="F2F2F2"/>
          </w:tcPr>
          <w:p>
            <w:pPr>
              <w:spacing w:after="0"/>
              <w:rPr>
                <w:sz w:val="10"/>
                <w:szCs w:val="10"/>
                <w:color w:val="auto"/>
              </w:rPr>
            </w:pPr>
          </w:p>
        </w:tc>
        <w:tc>
          <w:tcPr>
            <w:tcW w:w="0" w:type="dxa"/>
            <w:vAlign w:val="bottom"/>
          </w:tcPr>
          <w:p>
            <w:pPr>
              <w:spacing w:after="0"/>
              <w:rPr>
                <w:sz w:val="1"/>
                <w:szCs w:val="1"/>
                <w:color w:val="auto"/>
              </w:rPr>
            </w:pPr>
          </w:p>
        </w:tc>
      </w:tr>
      <w:tr>
        <w:trPr>
          <w:trHeight w:val="53"/>
        </w:trPr>
        <w:tc>
          <w:tcPr>
            <w:tcW w:w="1080" w:type="dxa"/>
            <w:vAlign w:val="bottom"/>
            <w:vMerge w:val="continue"/>
            <w:shd w:val="clear" w:color="auto" w:fill="F2F2F2"/>
          </w:tcPr>
          <w:p>
            <w:pPr>
              <w:spacing w:after="0"/>
              <w:rPr>
                <w:sz w:val="4"/>
                <w:szCs w:val="4"/>
                <w:color w:val="auto"/>
              </w:rPr>
            </w:pPr>
          </w:p>
        </w:tc>
        <w:tc>
          <w:tcPr>
            <w:tcW w:w="420" w:type="dxa"/>
            <w:vAlign w:val="bottom"/>
            <w:shd w:val="clear" w:color="auto" w:fill="F2F2F2"/>
          </w:tcPr>
          <w:p>
            <w:pPr>
              <w:spacing w:after="0"/>
              <w:rPr>
                <w:sz w:val="4"/>
                <w:szCs w:val="4"/>
                <w:color w:val="auto"/>
              </w:rPr>
            </w:pPr>
          </w:p>
        </w:tc>
        <w:tc>
          <w:tcPr>
            <w:tcW w:w="980" w:type="dxa"/>
            <w:vAlign w:val="bottom"/>
            <w:shd w:val="clear" w:color="auto" w:fill="F2F2F2"/>
          </w:tcPr>
          <w:p>
            <w:pPr>
              <w:spacing w:after="0"/>
              <w:rPr>
                <w:sz w:val="4"/>
                <w:szCs w:val="4"/>
                <w:color w:val="auto"/>
              </w:rPr>
            </w:pPr>
          </w:p>
        </w:tc>
        <w:tc>
          <w:tcPr>
            <w:tcW w:w="720" w:type="dxa"/>
            <w:vAlign w:val="bottom"/>
            <w:shd w:val="clear" w:color="auto" w:fill="F2F2F2"/>
          </w:tcPr>
          <w:p>
            <w:pPr>
              <w:spacing w:after="0"/>
              <w:rPr>
                <w:sz w:val="4"/>
                <w:szCs w:val="4"/>
                <w:color w:val="auto"/>
              </w:rPr>
            </w:pPr>
          </w:p>
        </w:tc>
        <w:tc>
          <w:tcPr>
            <w:tcW w:w="160" w:type="dxa"/>
            <w:vAlign w:val="bottom"/>
            <w:shd w:val="clear" w:color="auto" w:fill="F2F2F2"/>
          </w:tcPr>
          <w:p>
            <w:pPr>
              <w:spacing w:after="0"/>
              <w:rPr>
                <w:sz w:val="4"/>
                <w:szCs w:val="4"/>
                <w:color w:val="auto"/>
              </w:rPr>
            </w:pPr>
          </w:p>
        </w:tc>
        <w:tc>
          <w:tcPr>
            <w:tcW w:w="960" w:type="dxa"/>
            <w:vAlign w:val="bottom"/>
            <w:shd w:val="clear" w:color="auto" w:fill="F2F2F2"/>
          </w:tcPr>
          <w:p>
            <w:pPr>
              <w:spacing w:after="0"/>
              <w:rPr>
                <w:sz w:val="4"/>
                <w:szCs w:val="4"/>
                <w:color w:val="auto"/>
              </w:rPr>
            </w:pPr>
          </w:p>
        </w:tc>
        <w:tc>
          <w:tcPr>
            <w:tcW w:w="1280" w:type="dxa"/>
            <w:vAlign w:val="bottom"/>
            <w:shd w:val="clear" w:color="auto" w:fill="F2F2F2"/>
          </w:tcPr>
          <w:p>
            <w:pPr>
              <w:spacing w:after="0"/>
              <w:rPr>
                <w:sz w:val="4"/>
                <w:szCs w:val="4"/>
                <w:color w:val="auto"/>
              </w:rPr>
            </w:pPr>
          </w:p>
        </w:tc>
        <w:tc>
          <w:tcPr>
            <w:tcW w:w="980" w:type="dxa"/>
            <w:vAlign w:val="bottom"/>
            <w:shd w:val="clear" w:color="auto" w:fill="F2F2F2"/>
          </w:tcPr>
          <w:p>
            <w:pPr>
              <w:spacing w:after="0"/>
              <w:rPr>
                <w:sz w:val="4"/>
                <w:szCs w:val="4"/>
                <w:color w:val="auto"/>
              </w:rPr>
            </w:pPr>
          </w:p>
        </w:tc>
        <w:tc>
          <w:tcPr>
            <w:tcW w:w="1260" w:type="dxa"/>
            <w:vAlign w:val="bottom"/>
            <w:shd w:val="clear" w:color="auto" w:fill="F2F2F2"/>
          </w:tcPr>
          <w:p>
            <w:pPr>
              <w:spacing w:after="0"/>
              <w:rPr>
                <w:sz w:val="4"/>
                <w:szCs w:val="4"/>
                <w:color w:val="auto"/>
              </w:rPr>
            </w:pPr>
          </w:p>
        </w:tc>
        <w:tc>
          <w:tcPr>
            <w:tcW w:w="1200" w:type="dxa"/>
            <w:vAlign w:val="bottom"/>
            <w:shd w:val="clear" w:color="auto" w:fill="F2F2F2"/>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1080" w:type="dxa"/>
            <w:vAlign w:val="bottom"/>
            <w:shd w:val="clear" w:color="auto" w:fill="F2F2F2"/>
          </w:tcPr>
          <w:p>
            <w:pPr>
              <w:ind w:left="20"/>
              <w:spacing w:after="0"/>
              <w:rPr>
                <w:sz w:val="20"/>
                <w:szCs w:val="20"/>
                <w:color w:val="auto"/>
              </w:rPr>
            </w:pPr>
            <w:r>
              <w:rPr>
                <w:rFonts w:ascii="Arial" w:cs="Arial" w:eastAsia="Arial" w:hAnsi="Arial"/>
                <w:sz w:val="14"/>
                <w:szCs w:val="14"/>
                <w:color w:val="auto"/>
              </w:rPr>
              <w:t>President, Lilly</w:t>
            </w:r>
          </w:p>
        </w:tc>
        <w:tc>
          <w:tcPr>
            <w:tcW w:w="420" w:type="dxa"/>
            <w:vAlign w:val="bottom"/>
            <w:shd w:val="clear" w:color="auto" w:fill="F2F2F2"/>
          </w:tcPr>
          <w:p>
            <w:pPr>
              <w:spacing w:after="0"/>
              <w:rPr>
                <w:sz w:val="15"/>
                <w:szCs w:val="15"/>
                <w:color w:val="auto"/>
              </w:rPr>
            </w:pPr>
          </w:p>
        </w:tc>
        <w:tc>
          <w:tcPr>
            <w:tcW w:w="980" w:type="dxa"/>
            <w:vAlign w:val="bottom"/>
            <w:shd w:val="clear" w:color="auto" w:fill="F2F2F2"/>
          </w:tcPr>
          <w:p>
            <w:pPr>
              <w:spacing w:after="0"/>
              <w:rPr>
                <w:sz w:val="15"/>
                <w:szCs w:val="15"/>
                <w:color w:val="auto"/>
              </w:rPr>
            </w:pPr>
          </w:p>
        </w:tc>
        <w:tc>
          <w:tcPr>
            <w:tcW w:w="720" w:type="dxa"/>
            <w:vAlign w:val="bottom"/>
            <w:shd w:val="clear" w:color="auto" w:fill="F2F2F2"/>
          </w:tcPr>
          <w:p>
            <w:pPr>
              <w:spacing w:after="0"/>
              <w:rPr>
                <w:sz w:val="15"/>
                <w:szCs w:val="15"/>
                <w:color w:val="auto"/>
              </w:rPr>
            </w:pPr>
          </w:p>
        </w:tc>
        <w:tc>
          <w:tcPr>
            <w:tcW w:w="160" w:type="dxa"/>
            <w:vAlign w:val="bottom"/>
            <w:shd w:val="clear" w:color="auto" w:fill="F2F2F2"/>
          </w:tcPr>
          <w:p>
            <w:pPr>
              <w:spacing w:after="0"/>
              <w:rPr>
                <w:sz w:val="15"/>
                <w:szCs w:val="15"/>
                <w:color w:val="auto"/>
              </w:rPr>
            </w:pPr>
          </w:p>
        </w:tc>
        <w:tc>
          <w:tcPr>
            <w:tcW w:w="960" w:type="dxa"/>
            <w:vAlign w:val="bottom"/>
            <w:shd w:val="clear" w:color="auto" w:fill="F2F2F2"/>
          </w:tcPr>
          <w:p>
            <w:pPr>
              <w:spacing w:after="0"/>
              <w:rPr>
                <w:sz w:val="15"/>
                <w:szCs w:val="15"/>
                <w:color w:val="auto"/>
              </w:rPr>
            </w:pPr>
          </w:p>
        </w:tc>
        <w:tc>
          <w:tcPr>
            <w:tcW w:w="1280" w:type="dxa"/>
            <w:vAlign w:val="bottom"/>
            <w:shd w:val="clear" w:color="auto" w:fill="F2F2F2"/>
          </w:tcPr>
          <w:p>
            <w:pPr>
              <w:spacing w:after="0"/>
              <w:rPr>
                <w:sz w:val="15"/>
                <w:szCs w:val="15"/>
                <w:color w:val="auto"/>
              </w:rPr>
            </w:pPr>
          </w:p>
        </w:tc>
        <w:tc>
          <w:tcPr>
            <w:tcW w:w="980" w:type="dxa"/>
            <w:vAlign w:val="bottom"/>
            <w:shd w:val="clear" w:color="auto" w:fill="F2F2F2"/>
          </w:tcPr>
          <w:p>
            <w:pPr>
              <w:spacing w:after="0"/>
              <w:rPr>
                <w:sz w:val="15"/>
                <w:szCs w:val="15"/>
                <w:color w:val="auto"/>
              </w:rPr>
            </w:pPr>
          </w:p>
        </w:tc>
        <w:tc>
          <w:tcPr>
            <w:tcW w:w="1260" w:type="dxa"/>
            <w:vAlign w:val="bottom"/>
            <w:shd w:val="clear" w:color="auto" w:fill="F2F2F2"/>
          </w:tcPr>
          <w:p>
            <w:pPr>
              <w:spacing w:after="0"/>
              <w:rPr>
                <w:sz w:val="15"/>
                <w:szCs w:val="15"/>
                <w:color w:val="auto"/>
              </w:rPr>
            </w:pPr>
          </w:p>
        </w:tc>
        <w:tc>
          <w:tcPr>
            <w:tcW w:w="1200" w:type="dxa"/>
            <w:vAlign w:val="bottom"/>
            <w:shd w:val="clear" w:color="auto" w:fill="F2F2F2"/>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080" w:type="dxa"/>
            <w:vAlign w:val="bottom"/>
            <w:shd w:val="clear" w:color="auto" w:fill="F2F2F2"/>
          </w:tcPr>
          <w:p>
            <w:pPr>
              <w:ind w:left="20"/>
              <w:spacing w:after="0"/>
              <w:rPr>
                <w:sz w:val="20"/>
                <w:szCs w:val="20"/>
                <w:color w:val="auto"/>
              </w:rPr>
            </w:pPr>
            <w:r>
              <w:rPr>
                <w:rFonts w:ascii="Arial" w:cs="Arial" w:eastAsia="Arial" w:hAnsi="Arial"/>
                <w:sz w:val="14"/>
                <w:szCs w:val="14"/>
                <w:color w:val="auto"/>
              </w:rPr>
              <w:t>Research</w:t>
            </w:r>
          </w:p>
        </w:tc>
        <w:tc>
          <w:tcPr>
            <w:tcW w:w="420" w:type="dxa"/>
            <w:vAlign w:val="bottom"/>
            <w:shd w:val="clear" w:color="auto" w:fill="F2F2F2"/>
          </w:tcPr>
          <w:p>
            <w:pPr>
              <w:spacing w:after="0"/>
              <w:rPr>
                <w:sz w:val="15"/>
                <w:szCs w:val="15"/>
                <w:color w:val="auto"/>
              </w:rPr>
            </w:pPr>
          </w:p>
        </w:tc>
        <w:tc>
          <w:tcPr>
            <w:tcW w:w="980" w:type="dxa"/>
            <w:vAlign w:val="bottom"/>
            <w:shd w:val="clear" w:color="auto" w:fill="F2F2F2"/>
          </w:tcPr>
          <w:p>
            <w:pPr>
              <w:spacing w:after="0"/>
              <w:rPr>
                <w:sz w:val="15"/>
                <w:szCs w:val="15"/>
                <w:color w:val="auto"/>
              </w:rPr>
            </w:pPr>
          </w:p>
        </w:tc>
        <w:tc>
          <w:tcPr>
            <w:tcW w:w="720" w:type="dxa"/>
            <w:vAlign w:val="bottom"/>
            <w:shd w:val="clear" w:color="auto" w:fill="F2F2F2"/>
          </w:tcPr>
          <w:p>
            <w:pPr>
              <w:spacing w:after="0"/>
              <w:rPr>
                <w:sz w:val="15"/>
                <w:szCs w:val="15"/>
                <w:color w:val="auto"/>
              </w:rPr>
            </w:pPr>
          </w:p>
        </w:tc>
        <w:tc>
          <w:tcPr>
            <w:tcW w:w="160" w:type="dxa"/>
            <w:vAlign w:val="bottom"/>
            <w:shd w:val="clear" w:color="auto" w:fill="F2F2F2"/>
          </w:tcPr>
          <w:p>
            <w:pPr>
              <w:spacing w:after="0"/>
              <w:rPr>
                <w:sz w:val="15"/>
                <w:szCs w:val="15"/>
                <w:color w:val="auto"/>
              </w:rPr>
            </w:pPr>
          </w:p>
        </w:tc>
        <w:tc>
          <w:tcPr>
            <w:tcW w:w="960" w:type="dxa"/>
            <w:vAlign w:val="bottom"/>
            <w:shd w:val="clear" w:color="auto" w:fill="F2F2F2"/>
          </w:tcPr>
          <w:p>
            <w:pPr>
              <w:spacing w:after="0"/>
              <w:rPr>
                <w:sz w:val="15"/>
                <w:szCs w:val="15"/>
                <w:color w:val="auto"/>
              </w:rPr>
            </w:pPr>
          </w:p>
        </w:tc>
        <w:tc>
          <w:tcPr>
            <w:tcW w:w="1280" w:type="dxa"/>
            <w:vAlign w:val="bottom"/>
            <w:shd w:val="clear" w:color="auto" w:fill="F2F2F2"/>
          </w:tcPr>
          <w:p>
            <w:pPr>
              <w:spacing w:after="0"/>
              <w:rPr>
                <w:sz w:val="15"/>
                <w:szCs w:val="15"/>
                <w:color w:val="auto"/>
              </w:rPr>
            </w:pPr>
          </w:p>
        </w:tc>
        <w:tc>
          <w:tcPr>
            <w:tcW w:w="980" w:type="dxa"/>
            <w:vAlign w:val="bottom"/>
            <w:shd w:val="clear" w:color="auto" w:fill="F2F2F2"/>
          </w:tcPr>
          <w:p>
            <w:pPr>
              <w:spacing w:after="0"/>
              <w:rPr>
                <w:sz w:val="15"/>
                <w:szCs w:val="15"/>
                <w:color w:val="auto"/>
              </w:rPr>
            </w:pPr>
          </w:p>
        </w:tc>
        <w:tc>
          <w:tcPr>
            <w:tcW w:w="1260" w:type="dxa"/>
            <w:vAlign w:val="bottom"/>
            <w:shd w:val="clear" w:color="auto" w:fill="F2F2F2"/>
          </w:tcPr>
          <w:p>
            <w:pPr>
              <w:spacing w:after="0"/>
              <w:rPr>
                <w:sz w:val="15"/>
                <w:szCs w:val="15"/>
                <w:color w:val="auto"/>
              </w:rPr>
            </w:pPr>
          </w:p>
        </w:tc>
        <w:tc>
          <w:tcPr>
            <w:tcW w:w="1200" w:type="dxa"/>
            <w:vAlign w:val="bottom"/>
            <w:shd w:val="clear" w:color="auto" w:fill="F2F2F2"/>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080" w:type="dxa"/>
            <w:vAlign w:val="bottom"/>
            <w:shd w:val="clear" w:color="auto" w:fill="F2F2F2"/>
          </w:tcPr>
          <w:p>
            <w:pPr>
              <w:ind w:left="20"/>
              <w:spacing w:after="0"/>
              <w:rPr>
                <w:sz w:val="20"/>
                <w:szCs w:val="20"/>
                <w:color w:val="auto"/>
              </w:rPr>
            </w:pPr>
            <w:r>
              <w:rPr>
                <w:rFonts w:ascii="Arial" w:cs="Arial" w:eastAsia="Arial" w:hAnsi="Arial"/>
                <w:sz w:val="14"/>
                <w:szCs w:val="14"/>
                <w:color w:val="auto"/>
              </w:rPr>
              <w:t>Laboratories</w:t>
            </w:r>
          </w:p>
        </w:tc>
        <w:tc>
          <w:tcPr>
            <w:tcW w:w="420" w:type="dxa"/>
            <w:vAlign w:val="bottom"/>
            <w:shd w:val="clear" w:color="auto" w:fill="F2F2F2"/>
          </w:tcPr>
          <w:p>
            <w:pPr>
              <w:spacing w:after="0"/>
              <w:rPr>
                <w:sz w:val="14"/>
                <w:szCs w:val="14"/>
                <w:color w:val="auto"/>
              </w:rPr>
            </w:pPr>
          </w:p>
        </w:tc>
        <w:tc>
          <w:tcPr>
            <w:tcW w:w="980" w:type="dxa"/>
            <w:vAlign w:val="bottom"/>
            <w:shd w:val="clear" w:color="auto" w:fill="F2F2F2"/>
          </w:tcPr>
          <w:p>
            <w:pPr>
              <w:spacing w:after="0"/>
              <w:rPr>
                <w:sz w:val="14"/>
                <w:szCs w:val="14"/>
                <w:color w:val="auto"/>
              </w:rPr>
            </w:pPr>
          </w:p>
        </w:tc>
        <w:tc>
          <w:tcPr>
            <w:tcW w:w="720" w:type="dxa"/>
            <w:vAlign w:val="bottom"/>
            <w:shd w:val="clear" w:color="auto" w:fill="F2F2F2"/>
          </w:tcPr>
          <w:p>
            <w:pPr>
              <w:spacing w:after="0"/>
              <w:rPr>
                <w:sz w:val="14"/>
                <w:szCs w:val="14"/>
                <w:color w:val="auto"/>
              </w:rPr>
            </w:pPr>
          </w:p>
        </w:tc>
        <w:tc>
          <w:tcPr>
            <w:tcW w:w="160" w:type="dxa"/>
            <w:vAlign w:val="bottom"/>
            <w:shd w:val="clear" w:color="auto" w:fill="F2F2F2"/>
          </w:tcPr>
          <w:p>
            <w:pPr>
              <w:spacing w:after="0"/>
              <w:rPr>
                <w:sz w:val="14"/>
                <w:szCs w:val="14"/>
                <w:color w:val="auto"/>
              </w:rPr>
            </w:pPr>
          </w:p>
        </w:tc>
        <w:tc>
          <w:tcPr>
            <w:tcW w:w="960" w:type="dxa"/>
            <w:vAlign w:val="bottom"/>
            <w:shd w:val="clear" w:color="auto" w:fill="F2F2F2"/>
          </w:tcPr>
          <w:p>
            <w:pPr>
              <w:spacing w:after="0"/>
              <w:rPr>
                <w:sz w:val="14"/>
                <w:szCs w:val="14"/>
                <w:color w:val="auto"/>
              </w:rPr>
            </w:pPr>
          </w:p>
        </w:tc>
        <w:tc>
          <w:tcPr>
            <w:tcW w:w="1280" w:type="dxa"/>
            <w:vAlign w:val="bottom"/>
            <w:shd w:val="clear" w:color="auto" w:fill="F2F2F2"/>
          </w:tcPr>
          <w:p>
            <w:pPr>
              <w:spacing w:after="0"/>
              <w:rPr>
                <w:sz w:val="14"/>
                <w:szCs w:val="14"/>
                <w:color w:val="auto"/>
              </w:rPr>
            </w:pPr>
          </w:p>
        </w:tc>
        <w:tc>
          <w:tcPr>
            <w:tcW w:w="980" w:type="dxa"/>
            <w:vAlign w:val="bottom"/>
            <w:shd w:val="clear" w:color="auto" w:fill="F2F2F2"/>
          </w:tcPr>
          <w:p>
            <w:pPr>
              <w:spacing w:after="0"/>
              <w:rPr>
                <w:sz w:val="14"/>
                <w:szCs w:val="14"/>
                <w:color w:val="auto"/>
              </w:rPr>
            </w:pPr>
          </w:p>
        </w:tc>
        <w:tc>
          <w:tcPr>
            <w:tcW w:w="1260" w:type="dxa"/>
            <w:vAlign w:val="bottom"/>
            <w:shd w:val="clear" w:color="auto" w:fill="F2F2F2"/>
          </w:tcPr>
          <w:p>
            <w:pPr>
              <w:spacing w:after="0"/>
              <w:rPr>
                <w:sz w:val="14"/>
                <w:szCs w:val="14"/>
                <w:color w:val="auto"/>
              </w:rPr>
            </w:pPr>
          </w:p>
        </w:tc>
        <w:tc>
          <w:tcPr>
            <w:tcW w:w="1200" w:type="dxa"/>
            <w:vAlign w:val="bottom"/>
            <w:shd w:val="clear" w:color="auto" w:fill="F2F2F2"/>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080" w:type="dxa"/>
            <w:vAlign w:val="bottom"/>
            <w:shd w:val="clear" w:color="auto" w:fill="F2F2F2"/>
          </w:tcPr>
          <w:p>
            <w:pPr>
              <w:ind w:left="20"/>
              <w:spacing w:after="0"/>
              <w:rPr>
                <w:sz w:val="20"/>
                <w:szCs w:val="20"/>
                <w:color w:val="auto"/>
              </w:rPr>
            </w:pPr>
            <w:r>
              <w:rPr>
                <w:rFonts w:ascii="Arial" w:cs="Arial" w:eastAsia="Arial" w:hAnsi="Arial"/>
                <w:sz w:val="14"/>
                <w:szCs w:val="14"/>
                <w:color w:val="auto"/>
              </w:rPr>
              <w:t>and Lilly</w:t>
            </w:r>
          </w:p>
        </w:tc>
        <w:tc>
          <w:tcPr>
            <w:tcW w:w="420" w:type="dxa"/>
            <w:vAlign w:val="bottom"/>
            <w:shd w:val="clear" w:color="auto" w:fill="F2F2F2"/>
          </w:tcPr>
          <w:p>
            <w:pPr>
              <w:spacing w:after="0"/>
              <w:rPr>
                <w:sz w:val="15"/>
                <w:szCs w:val="15"/>
                <w:color w:val="auto"/>
              </w:rPr>
            </w:pPr>
          </w:p>
        </w:tc>
        <w:tc>
          <w:tcPr>
            <w:tcW w:w="980" w:type="dxa"/>
            <w:vAlign w:val="bottom"/>
            <w:shd w:val="clear" w:color="auto" w:fill="F2F2F2"/>
          </w:tcPr>
          <w:p>
            <w:pPr>
              <w:spacing w:after="0"/>
              <w:rPr>
                <w:sz w:val="15"/>
                <w:szCs w:val="15"/>
                <w:color w:val="auto"/>
              </w:rPr>
            </w:pPr>
          </w:p>
        </w:tc>
        <w:tc>
          <w:tcPr>
            <w:tcW w:w="720" w:type="dxa"/>
            <w:vAlign w:val="bottom"/>
            <w:shd w:val="clear" w:color="auto" w:fill="F2F2F2"/>
          </w:tcPr>
          <w:p>
            <w:pPr>
              <w:spacing w:after="0"/>
              <w:rPr>
                <w:sz w:val="15"/>
                <w:szCs w:val="15"/>
                <w:color w:val="auto"/>
              </w:rPr>
            </w:pPr>
          </w:p>
        </w:tc>
        <w:tc>
          <w:tcPr>
            <w:tcW w:w="160" w:type="dxa"/>
            <w:vAlign w:val="bottom"/>
            <w:shd w:val="clear" w:color="auto" w:fill="F2F2F2"/>
          </w:tcPr>
          <w:p>
            <w:pPr>
              <w:spacing w:after="0"/>
              <w:rPr>
                <w:sz w:val="15"/>
                <w:szCs w:val="15"/>
                <w:color w:val="auto"/>
              </w:rPr>
            </w:pPr>
          </w:p>
        </w:tc>
        <w:tc>
          <w:tcPr>
            <w:tcW w:w="960" w:type="dxa"/>
            <w:vAlign w:val="bottom"/>
            <w:shd w:val="clear" w:color="auto" w:fill="F2F2F2"/>
          </w:tcPr>
          <w:p>
            <w:pPr>
              <w:spacing w:after="0"/>
              <w:rPr>
                <w:sz w:val="15"/>
                <w:szCs w:val="15"/>
                <w:color w:val="auto"/>
              </w:rPr>
            </w:pPr>
          </w:p>
        </w:tc>
        <w:tc>
          <w:tcPr>
            <w:tcW w:w="1280" w:type="dxa"/>
            <w:vAlign w:val="bottom"/>
            <w:shd w:val="clear" w:color="auto" w:fill="F2F2F2"/>
          </w:tcPr>
          <w:p>
            <w:pPr>
              <w:spacing w:after="0"/>
              <w:rPr>
                <w:sz w:val="15"/>
                <w:szCs w:val="15"/>
                <w:color w:val="auto"/>
              </w:rPr>
            </w:pPr>
          </w:p>
        </w:tc>
        <w:tc>
          <w:tcPr>
            <w:tcW w:w="980" w:type="dxa"/>
            <w:vAlign w:val="bottom"/>
            <w:shd w:val="clear" w:color="auto" w:fill="F2F2F2"/>
          </w:tcPr>
          <w:p>
            <w:pPr>
              <w:spacing w:after="0"/>
              <w:rPr>
                <w:sz w:val="15"/>
                <w:szCs w:val="15"/>
                <w:color w:val="auto"/>
              </w:rPr>
            </w:pPr>
          </w:p>
        </w:tc>
        <w:tc>
          <w:tcPr>
            <w:tcW w:w="1260" w:type="dxa"/>
            <w:vAlign w:val="bottom"/>
            <w:shd w:val="clear" w:color="auto" w:fill="F2F2F2"/>
          </w:tcPr>
          <w:p>
            <w:pPr>
              <w:spacing w:after="0"/>
              <w:rPr>
                <w:sz w:val="15"/>
                <w:szCs w:val="15"/>
                <w:color w:val="auto"/>
              </w:rPr>
            </w:pPr>
          </w:p>
        </w:tc>
        <w:tc>
          <w:tcPr>
            <w:tcW w:w="1200" w:type="dxa"/>
            <w:vAlign w:val="bottom"/>
            <w:shd w:val="clear" w:color="auto" w:fill="F2F2F2"/>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108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4"/>
                <w:szCs w:val="14"/>
                <w:color w:val="auto"/>
              </w:rPr>
              <w:t>Immunology</w:t>
            </w:r>
          </w:p>
        </w:tc>
        <w:tc>
          <w:tcPr>
            <w:tcW w:w="420" w:type="dxa"/>
            <w:vAlign w:val="bottom"/>
            <w:tcBorders>
              <w:bottom w:val="single" w:sz="8" w:color="F2F2F2"/>
            </w:tcBorders>
            <w:shd w:val="clear" w:color="auto" w:fill="F2F2F2"/>
          </w:tcPr>
          <w:p>
            <w:pPr>
              <w:spacing w:after="0"/>
              <w:rPr>
                <w:sz w:val="16"/>
                <w:szCs w:val="16"/>
                <w:color w:val="auto"/>
              </w:rPr>
            </w:pPr>
          </w:p>
        </w:tc>
        <w:tc>
          <w:tcPr>
            <w:tcW w:w="980" w:type="dxa"/>
            <w:vAlign w:val="bottom"/>
            <w:tcBorders>
              <w:bottom w:val="single" w:sz="8" w:color="F2F2F2"/>
            </w:tcBorders>
            <w:shd w:val="clear" w:color="auto" w:fill="F2F2F2"/>
          </w:tcPr>
          <w:p>
            <w:pPr>
              <w:spacing w:after="0"/>
              <w:rPr>
                <w:sz w:val="16"/>
                <w:szCs w:val="16"/>
                <w:color w:val="auto"/>
              </w:rPr>
            </w:pPr>
          </w:p>
        </w:tc>
        <w:tc>
          <w:tcPr>
            <w:tcW w:w="720" w:type="dxa"/>
            <w:vAlign w:val="bottom"/>
            <w:tcBorders>
              <w:bottom w:val="single" w:sz="8" w:color="F2F2F2"/>
            </w:tcBorders>
            <w:shd w:val="clear" w:color="auto" w:fill="F2F2F2"/>
          </w:tcPr>
          <w:p>
            <w:pPr>
              <w:spacing w:after="0"/>
              <w:rPr>
                <w:sz w:val="16"/>
                <w:szCs w:val="16"/>
                <w:color w:val="auto"/>
              </w:rPr>
            </w:pPr>
          </w:p>
        </w:tc>
        <w:tc>
          <w:tcPr>
            <w:tcW w:w="160" w:type="dxa"/>
            <w:vAlign w:val="bottom"/>
            <w:tcBorders>
              <w:bottom w:val="single" w:sz="8" w:color="F2F2F2"/>
            </w:tcBorders>
            <w:shd w:val="clear" w:color="auto" w:fill="F2F2F2"/>
          </w:tcPr>
          <w:p>
            <w:pPr>
              <w:spacing w:after="0"/>
              <w:rPr>
                <w:sz w:val="16"/>
                <w:szCs w:val="16"/>
                <w:color w:val="auto"/>
              </w:rPr>
            </w:pPr>
          </w:p>
        </w:tc>
        <w:tc>
          <w:tcPr>
            <w:tcW w:w="960" w:type="dxa"/>
            <w:vAlign w:val="bottom"/>
            <w:tcBorders>
              <w:bottom w:val="single" w:sz="8" w:color="F2F2F2"/>
            </w:tcBorders>
            <w:shd w:val="clear" w:color="auto" w:fill="F2F2F2"/>
          </w:tcPr>
          <w:p>
            <w:pPr>
              <w:spacing w:after="0"/>
              <w:rPr>
                <w:sz w:val="16"/>
                <w:szCs w:val="16"/>
                <w:color w:val="auto"/>
              </w:rPr>
            </w:pPr>
          </w:p>
        </w:tc>
        <w:tc>
          <w:tcPr>
            <w:tcW w:w="1280" w:type="dxa"/>
            <w:vAlign w:val="bottom"/>
            <w:tcBorders>
              <w:bottom w:val="single" w:sz="8" w:color="F2F2F2"/>
            </w:tcBorders>
            <w:shd w:val="clear" w:color="auto" w:fill="F2F2F2"/>
          </w:tcPr>
          <w:p>
            <w:pPr>
              <w:spacing w:after="0"/>
              <w:rPr>
                <w:sz w:val="16"/>
                <w:szCs w:val="16"/>
                <w:color w:val="auto"/>
              </w:rPr>
            </w:pPr>
          </w:p>
        </w:tc>
        <w:tc>
          <w:tcPr>
            <w:tcW w:w="980" w:type="dxa"/>
            <w:vAlign w:val="bottom"/>
            <w:tcBorders>
              <w:bottom w:val="single" w:sz="8" w:color="F2F2F2"/>
            </w:tcBorders>
            <w:shd w:val="clear" w:color="auto" w:fill="F2F2F2"/>
          </w:tcPr>
          <w:p>
            <w:pPr>
              <w:spacing w:after="0"/>
              <w:rPr>
                <w:sz w:val="16"/>
                <w:szCs w:val="16"/>
                <w:color w:val="auto"/>
              </w:rPr>
            </w:pPr>
          </w:p>
        </w:tc>
        <w:tc>
          <w:tcPr>
            <w:tcW w:w="1260" w:type="dxa"/>
            <w:vAlign w:val="bottom"/>
            <w:tcBorders>
              <w:bottom w:val="single" w:sz="8" w:color="F2F2F2"/>
            </w:tcBorders>
            <w:shd w:val="clear" w:color="auto" w:fill="F2F2F2"/>
          </w:tcPr>
          <w:p>
            <w:pPr>
              <w:spacing w:after="0"/>
              <w:rPr>
                <w:sz w:val="16"/>
                <w:szCs w:val="16"/>
                <w:color w:val="auto"/>
              </w:rPr>
            </w:pPr>
          </w:p>
        </w:tc>
        <w:tc>
          <w:tcPr>
            <w:tcW w:w="1200" w:type="dxa"/>
            <w:vAlign w:val="bottom"/>
            <w:tcBorders>
              <w:bottom w:val="single" w:sz="8" w:color="F2F2F2"/>
            </w:tcBorders>
            <w:shd w:val="clear" w:color="auto" w:fill="F2F2F2"/>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1080" w:type="dxa"/>
            <w:vAlign w:val="bottom"/>
          </w:tcPr>
          <w:p>
            <w:pPr>
              <w:ind w:left="20"/>
              <w:spacing w:after="0"/>
              <w:rPr>
                <w:sz w:val="20"/>
                <w:szCs w:val="20"/>
                <w:color w:val="auto"/>
              </w:rPr>
            </w:pPr>
            <w:r>
              <w:rPr>
                <w:rFonts w:ascii="Arial" w:cs="Arial" w:eastAsia="Arial" w:hAnsi="Arial"/>
                <w:sz w:val="14"/>
                <w:szCs w:val="14"/>
                <w:color w:val="auto"/>
              </w:rPr>
              <w:t>Anat Hakim</w:t>
            </w:r>
          </w:p>
        </w:tc>
        <w:tc>
          <w:tcPr>
            <w:tcW w:w="420" w:type="dxa"/>
            <w:vAlign w:val="bottom"/>
          </w:tcPr>
          <w:p>
            <w:pPr>
              <w:ind w:left="60"/>
              <w:spacing w:after="0"/>
              <w:rPr>
                <w:sz w:val="20"/>
                <w:szCs w:val="20"/>
                <w:color w:val="auto"/>
              </w:rPr>
            </w:pPr>
            <w:r>
              <w:rPr>
                <w:rFonts w:ascii="Arial" w:cs="Arial" w:eastAsia="Arial" w:hAnsi="Arial"/>
                <w:sz w:val="14"/>
                <w:szCs w:val="14"/>
                <w:color w:val="auto"/>
              </w:rPr>
              <w:t>2024</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$1,000,000</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$3,950,071</w:t>
            </w:r>
          </w:p>
        </w:tc>
        <w:tc>
          <w:tcPr>
            <w:tcW w:w="1280" w:type="dxa"/>
            <w:vAlign w:val="bottom"/>
          </w:tcPr>
          <w:p>
            <w:pPr>
              <w:jc w:val="right"/>
              <w:ind w:right="88"/>
              <w:spacing w:after="0"/>
              <w:rPr>
                <w:sz w:val="20"/>
                <w:szCs w:val="20"/>
                <w:color w:val="auto"/>
              </w:rPr>
            </w:pPr>
            <w:r>
              <w:rPr>
                <w:rFonts w:ascii="Arial" w:cs="Arial" w:eastAsia="Arial" w:hAnsi="Arial"/>
                <w:sz w:val="14"/>
                <w:szCs w:val="14"/>
                <w:color w:val="auto"/>
              </w:rPr>
              <w:t>$2,250,000</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$211,521</w:t>
            </w: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$66,834</w:t>
            </w: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$7,478,426</w:t>
            </w:r>
          </w:p>
        </w:tc>
        <w:tc>
          <w:tcPr>
            <w:tcW w:w="0" w:type="dxa"/>
            <w:vAlign w:val="bottom"/>
          </w:tcPr>
          <w:p>
            <w:pPr>
              <w:spacing w:after="0"/>
              <w:rPr>
                <w:sz w:val="1"/>
                <w:szCs w:val="1"/>
                <w:color w:val="auto"/>
              </w:rPr>
            </w:pPr>
          </w:p>
        </w:tc>
      </w:tr>
      <w:tr>
        <w:trPr>
          <w:trHeight w:val="296"/>
        </w:trPr>
        <w:tc>
          <w:tcPr>
            <w:tcW w:w="1080" w:type="dxa"/>
            <w:vAlign w:val="bottom"/>
          </w:tcPr>
          <w:p>
            <w:pPr>
              <w:ind w:left="20"/>
              <w:spacing w:after="0"/>
              <w:rPr>
                <w:sz w:val="20"/>
                <w:szCs w:val="20"/>
                <w:color w:val="auto"/>
              </w:rPr>
            </w:pPr>
            <w:r>
              <w:rPr>
                <w:rFonts w:ascii="Arial" w:cs="Arial" w:eastAsia="Arial" w:hAnsi="Arial"/>
                <w:sz w:val="14"/>
                <w:szCs w:val="14"/>
                <w:color w:val="auto"/>
              </w:rPr>
              <w:t>Executive Vice</w:t>
            </w:r>
          </w:p>
        </w:tc>
        <w:tc>
          <w:tcPr>
            <w:tcW w:w="420" w:type="dxa"/>
            <w:vAlign w:val="bottom"/>
          </w:tcPr>
          <w:p>
            <w:pPr>
              <w:ind w:left="60"/>
              <w:spacing w:after="0"/>
              <w:rPr>
                <w:sz w:val="20"/>
                <w:szCs w:val="20"/>
                <w:color w:val="auto"/>
              </w:rPr>
            </w:pPr>
            <w:r>
              <w:rPr>
                <w:rFonts w:ascii="Arial" w:cs="Arial" w:eastAsia="Arial" w:hAnsi="Arial"/>
                <w:sz w:val="14"/>
                <w:szCs w:val="14"/>
                <w:color w:val="auto"/>
              </w:rPr>
              <w:t>2023</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$980,769</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$3,952,500</w:t>
            </w:r>
          </w:p>
        </w:tc>
        <w:tc>
          <w:tcPr>
            <w:tcW w:w="1280" w:type="dxa"/>
            <w:vAlign w:val="bottom"/>
          </w:tcPr>
          <w:p>
            <w:pPr>
              <w:jc w:val="right"/>
              <w:ind w:right="88"/>
              <w:spacing w:after="0"/>
              <w:rPr>
                <w:sz w:val="20"/>
                <w:szCs w:val="20"/>
                <w:color w:val="auto"/>
              </w:rPr>
            </w:pPr>
            <w:r>
              <w:rPr>
                <w:rFonts w:ascii="Arial" w:cs="Arial" w:eastAsia="Arial" w:hAnsi="Arial"/>
                <w:sz w:val="14"/>
                <w:szCs w:val="14"/>
                <w:color w:val="auto"/>
              </w:rPr>
              <w:t>$1,775,192</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$239,430</w:t>
            </w: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$58,846</w:t>
            </w: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$7,006,737</w:t>
            </w:r>
          </w:p>
        </w:tc>
        <w:tc>
          <w:tcPr>
            <w:tcW w:w="0" w:type="dxa"/>
            <w:vAlign w:val="bottom"/>
          </w:tcPr>
          <w:p>
            <w:pPr>
              <w:spacing w:after="0"/>
              <w:rPr>
                <w:sz w:val="1"/>
                <w:szCs w:val="1"/>
                <w:color w:val="auto"/>
              </w:rPr>
            </w:pPr>
          </w:p>
        </w:tc>
      </w:tr>
      <w:tr>
        <w:trPr>
          <w:trHeight w:val="162"/>
        </w:trPr>
        <w:tc>
          <w:tcPr>
            <w:tcW w:w="1080" w:type="dxa"/>
            <w:vAlign w:val="bottom"/>
          </w:tcPr>
          <w:p>
            <w:pPr>
              <w:ind w:left="20"/>
              <w:spacing w:after="0"/>
              <w:rPr>
                <w:sz w:val="20"/>
                <w:szCs w:val="20"/>
                <w:color w:val="auto"/>
              </w:rPr>
            </w:pPr>
            <w:r>
              <w:rPr>
                <w:rFonts w:ascii="Arial" w:cs="Arial" w:eastAsia="Arial" w:hAnsi="Arial"/>
                <w:sz w:val="14"/>
                <w:szCs w:val="14"/>
                <w:color w:val="auto"/>
              </w:rPr>
              <w:t>President,</w:t>
            </w:r>
          </w:p>
        </w:tc>
        <w:tc>
          <w:tcPr>
            <w:tcW w:w="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080" w:type="dxa"/>
            <w:vAlign w:val="bottom"/>
          </w:tcPr>
          <w:p>
            <w:pPr>
              <w:ind w:left="20"/>
              <w:spacing w:after="0"/>
              <w:rPr>
                <w:sz w:val="20"/>
                <w:szCs w:val="20"/>
                <w:color w:val="auto"/>
              </w:rPr>
            </w:pPr>
            <w:r>
              <w:rPr>
                <w:rFonts w:ascii="Arial" w:cs="Arial" w:eastAsia="Arial" w:hAnsi="Arial"/>
                <w:sz w:val="14"/>
                <w:szCs w:val="14"/>
                <w:color w:val="auto"/>
              </w:rPr>
              <w:t>General</w:t>
            </w:r>
          </w:p>
        </w:tc>
        <w:tc>
          <w:tcPr>
            <w:tcW w:w="420" w:type="dxa"/>
            <w:vAlign w:val="bottom"/>
          </w:tcPr>
          <w:p>
            <w:pPr>
              <w:ind w:left="60"/>
              <w:spacing w:after="0"/>
              <w:rPr>
                <w:sz w:val="20"/>
                <w:szCs w:val="20"/>
                <w:color w:val="auto"/>
              </w:rPr>
            </w:pPr>
            <w:r>
              <w:rPr>
                <w:rFonts w:ascii="Arial" w:cs="Arial" w:eastAsia="Arial" w:hAnsi="Arial"/>
                <w:sz w:val="14"/>
                <w:szCs w:val="14"/>
                <w:color w:val="auto"/>
              </w:rPr>
              <w:t>2022</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$875,962</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$3,135,000</w:t>
            </w:r>
          </w:p>
        </w:tc>
        <w:tc>
          <w:tcPr>
            <w:tcW w:w="1280" w:type="dxa"/>
            <w:vAlign w:val="bottom"/>
          </w:tcPr>
          <w:p>
            <w:pPr>
              <w:jc w:val="right"/>
              <w:ind w:right="88"/>
              <w:spacing w:after="0"/>
              <w:rPr>
                <w:sz w:val="20"/>
                <w:szCs w:val="20"/>
                <w:color w:val="auto"/>
              </w:rPr>
            </w:pPr>
            <w:r>
              <w:rPr>
                <w:rFonts w:ascii="Arial" w:cs="Arial" w:eastAsia="Arial" w:hAnsi="Arial"/>
                <w:sz w:val="14"/>
                <w:szCs w:val="14"/>
                <w:color w:val="auto"/>
              </w:rPr>
              <w:t>$1,051,154</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$146,792</w:t>
            </w: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$52,558</w:t>
            </w: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$5,261,466</w:t>
            </w:r>
          </w:p>
        </w:tc>
        <w:tc>
          <w:tcPr>
            <w:tcW w:w="0" w:type="dxa"/>
            <w:vAlign w:val="bottom"/>
          </w:tcPr>
          <w:p>
            <w:pPr>
              <w:spacing w:after="0"/>
              <w:rPr>
                <w:sz w:val="1"/>
                <w:szCs w:val="1"/>
                <w:color w:val="auto"/>
              </w:rPr>
            </w:pPr>
          </w:p>
        </w:tc>
      </w:tr>
      <w:tr>
        <w:trPr>
          <w:trHeight w:val="166"/>
        </w:trPr>
        <w:tc>
          <w:tcPr>
            <w:tcW w:w="1080" w:type="dxa"/>
            <w:vAlign w:val="bottom"/>
          </w:tcPr>
          <w:p>
            <w:pPr>
              <w:ind w:left="20"/>
              <w:spacing w:after="0"/>
              <w:rPr>
                <w:sz w:val="20"/>
                <w:szCs w:val="20"/>
                <w:color w:val="auto"/>
              </w:rPr>
            </w:pPr>
            <w:r>
              <w:rPr>
                <w:rFonts w:ascii="Arial" w:cs="Arial" w:eastAsia="Arial" w:hAnsi="Arial"/>
                <w:sz w:val="14"/>
                <w:szCs w:val="14"/>
                <w:color w:val="auto"/>
              </w:rPr>
              <w:t>Counsel and</w:t>
            </w:r>
          </w:p>
        </w:tc>
        <w:tc>
          <w:tcPr>
            <w:tcW w:w="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080" w:type="dxa"/>
            <w:vAlign w:val="bottom"/>
          </w:tcPr>
          <w:p>
            <w:pPr>
              <w:ind w:left="20"/>
              <w:spacing w:after="0"/>
              <w:rPr>
                <w:sz w:val="20"/>
                <w:szCs w:val="20"/>
                <w:color w:val="auto"/>
              </w:rPr>
            </w:pPr>
            <w:r>
              <w:rPr>
                <w:rFonts w:ascii="Arial" w:cs="Arial" w:eastAsia="Arial" w:hAnsi="Arial"/>
                <w:sz w:val="14"/>
                <w:szCs w:val="14"/>
                <w:color w:val="auto"/>
              </w:rPr>
              <w:t>Secretary</w:t>
            </w:r>
          </w:p>
        </w:tc>
        <w:tc>
          <w:tcPr>
            <w:tcW w:w="4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1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080" w:type="dxa"/>
            <w:vAlign w:val="bottom"/>
            <w:shd w:val="clear" w:color="auto" w:fill="F2F2F2"/>
          </w:tcPr>
          <w:p>
            <w:pPr>
              <w:ind w:left="20"/>
              <w:spacing w:after="0"/>
              <w:rPr>
                <w:sz w:val="20"/>
                <w:szCs w:val="20"/>
                <w:color w:val="auto"/>
              </w:rPr>
            </w:pPr>
            <w:r>
              <w:rPr>
                <w:rFonts w:ascii="Arial" w:cs="Arial" w:eastAsia="Arial" w:hAnsi="Arial"/>
                <w:sz w:val="14"/>
                <w:szCs w:val="14"/>
                <w:color w:val="auto"/>
              </w:rPr>
              <w:t>Jake Van</w:t>
            </w:r>
          </w:p>
        </w:tc>
        <w:tc>
          <w:tcPr>
            <w:tcW w:w="420" w:type="dxa"/>
            <w:vAlign w:val="bottom"/>
            <w:shd w:val="clear" w:color="auto" w:fill="F2F2F2"/>
          </w:tcPr>
          <w:p>
            <w:pPr>
              <w:ind w:left="60"/>
              <w:spacing w:after="0"/>
              <w:rPr>
                <w:sz w:val="20"/>
                <w:szCs w:val="20"/>
                <w:color w:val="auto"/>
              </w:rPr>
            </w:pPr>
            <w:r>
              <w:rPr>
                <w:rFonts w:ascii="Arial" w:cs="Arial" w:eastAsia="Arial" w:hAnsi="Arial"/>
                <w:sz w:val="14"/>
                <w:szCs w:val="14"/>
                <w:color w:val="auto"/>
              </w:rPr>
              <w:t>2024</w:t>
            </w:r>
          </w:p>
        </w:tc>
        <w:tc>
          <w:tcPr>
            <w:tcW w:w="980" w:type="dxa"/>
            <w:vAlign w:val="bottom"/>
            <w:shd w:val="clear" w:color="auto" w:fill="F2F2F2"/>
          </w:tcPr>
          <w:p>
            <w:pPr>
              <w:jc w:val="right"/>
              <w:ind w:right="68"/>
              <w:spacing w:after="0"/>
              <w:rPr>
                <w:sz w:val="20"/>
                <w:szCs w:val="20"/>
                <w:color w:val="auto"/>
              </w:rPr>
            </w:pPr>
            <w:r>
              <w:rPr>
                <w:rFonts w:ascii="Arial" w:cs="Arial" w:eastAsia="Arial" w:hAnsi="Arial"/>
                <w:sz w:val="14"/>
                <w:szCs w:val="14"/>
                <w:color w:val="auto"/>
              </w:rPr>
              <w:t>$890,385</w:t>
            </w:r>
          </w:p>
        </w:tc>
        <w:tc>
          <w:tcPr>
            <w:tcW w:w="720" w:type="dxa"/>
            <w:vAlign w:val="bottom"/>
            <w:shd w:val="clear" w:color="auto" w:fill="F2F2F2"/>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shd w:val="clear" w:color="auto" w:fill="F2F2F2"/>
          </w:tcPr>
          <w:p>
            <w:pPr>
              <w:spacing w:after="0"/>
              <w:rPr>
                <w:sz w:val="16"/>
                <w:szCs w:val="16"/>
                <w:color w:val="auto"/>
              </w:rPr>
            </w:pPr>
          </w:p>
        </w:tc>
        <w:tc>
          <w:tcPr>
            <w:tcW w:w="960" w:type="dxa"/>
            <w:vAlign w:val="bottom"/>
            <w:shd w:val="clear" w:color="auto" w:fill="F2F2F2"/>
          </w:tcPr>
          <w:p>
            <w:pPr>
              <w:jc w:val="right"/>
              <w:ind w:right="48"/>
              <w:spacing w:after="0"/>
              <w:rPr>
                <w:sz w:val="20"/>
                <w:szCs w:val="20"/>
                <w:color w:val="auto"/>
              </w:rPr>
            </w:pPr>
            <w:r>
              <w:rPr>
                <w:rFonts w:ascii="Arial" w:cs="Arial" w:eastAsia="Arial" w:hAnsi="Arial"/>
                <w:sz w:val="14"/>
                <w:szCs w:val="14"/>
                <w:color w:val="auto"/>
              </w:rPr>
              <w:t>$2,700,248</w:t>
            </w:r>
          </w:p>
        </w:tc>
        <w:tc>
          <w:tcPr>
            <w:tcW w:w="1280" w:type="dxa"/>
            <w:vAlign w:val="bottom"/>
            <w:shd w:val="clear" w:color="auto" w:fill="F2F2F2"/>
          </w:tcPr>
          <w:p>
            <w:pPr>
              <w:jc w:val="right"/>
              <w:ind w:right="88"/>
              <w:spacing w:after="0"/>
              <w:rPr>
                <w:sz w:val="20"/>
                <w:szCs w:val="20"/>
                <w:color w:val="auto"/>
              </w:rPr>
            </w:pPr>
            <w:r>
              <w:rPr>
                <w:rFonts w:ascii="Arial" w:cs="Arial" w:eastAsia="Arial" w:hAnsi="Arial"/>
                <w:sz w:val="14"/>
                <w:szCs w:val="14"/>
                <w:color w:val="auto"/>
              </w:rPr>
              <w:t>$2,003,366</w:t>
            </w:r>
          </w:p>
        </w:tc>
        <w:tc>
          <w:tcPr>
            <w:tcW w:w="980" w:type="dxa"/>
            <w:vAlign w:val="bottom"/>
            <w:shd w:val="clear" w:color="auto" w:fill="F2F2F2"/>
          </w:tcPr>
          <w:p>
            <w:pPr>
              <w:jc w:val="right"/>
              <w:ind w:right="48"/>
              <w:spacing w:after="0"/>
              <w:rPr>
                <w:sz w:val="20"/>
                <w:szCs w:val="20"/>
                <w:color w:val="auto"/>
              </w:rPr>
            </w:pPr>
            <w:r>
              <w:rPr>
                <w:rFonts w:ascii="Arial" w:cs="Arial" w:eastAsia="Arial" w:hAnsi="Arial"/>
                <w:sz w:val="14"/>
                <w:szCs w:val="14"/>
                <w:color w:val="auto"/>
              </w:rPr>
              <w:t>$66,887</w:t>
            </w:r>
          </w:p>
        </w:tc>
        <w:tc>
          <w:tcPr>
            <w:tcW w:w="1260" w:type="dxa"/>
            <w:vAlign w:val="bottom"/>
            <w:shd w:val="clear" w:color="auto" w:fill="F2F2F2"/>
          </w:tcPr>
          <w:p>
            <w:pPr>
              <w:jc w:val="right"/>
              <w:ind w:right="68"/>
              <w:spacing w:after="0"/>
              <w:rPr>
                <w:sz w:val="20"/>
                <w:szCs w:val="20"/>
                <w:color w:val="auto"/>
              </w:rPr>
            </w:pPr>
            <w:r>
              <w:rPr>
                <w:rFonts w:ascii="Arial" w:cs="Arial" w:eastAsia="Arial" w:hAnsi="Arial"/>
                <w:sz w:val="14"/>
                <w:szCs w:val="14"/>
                <w:color w:val="auto"/>
              </w:rPr>
              <w:t>$113,062</w:t>
            </w:r>
          </w:p>
        </w:tc>
        <w:tc>
          <w:tcPr>
            <w:tcW w:w="1200" w:type="dxa"/>
            <w:vAlign w:val="bottom"/>
            <w:shd w:val="clear" w:color="auto" w:fill="F2F2F2"/>
          </w:tcPr>
          <w:p>
            <w:pPr>
              <w:jc w:val="right"/>
              <w:ind w:right="8"/>
              <w:spacing w:after="0"/>
              <w:rPr>
                <w:sz w:val="20"/>
                <w:szCs w:val="20"/>
                <w:color w:val="auto"/>
              </w:rPr>
            </w:pPr>
            <w:r>
              <w:rPr>
                <w:rFonts w:ascii="Arial" w:cs="Arial" w:eastAsia="Arial" w:hAnsi="Arial"/>
                <w:sz w:val="14"/>
                <w:szCs w:val="14"/>
                <w:color w:val="auto"/>
              </w:rPr>
              <w:t>$5,773,948</w:t>
            </w:r>
          </w:p>
        </w:tc>
        <w:tc>
          <w:tcPr>
            <w:tcW w:w="0" w:type="dxa"/>
            <w:vAlign w:val="bottom"/>
          </w:tcPr>
          <w:p>
            <w:pPr>
              <w:spacing w:after="0"/>
              <w:rPr>
                <w:sz w:val="1"/>
                <w:szCs w:val="1"/>
                <w:color w:val="auto"/>
              </w:rPr>
            </w:pPr>
          </w:p>
        </w:tc>
      </w:tr>
      <w:tr>
        <w:trPr>
          <w:trHeight w:val="190"/>
        </w:trPr>
        <w:tc>
          <w:tcPr>
            <w:tcW w:w="1080" w:type="dxa"/>
            <w:vAlign w:val="bottom"/>
            <w:shd w:val="clear" w:color="auto" w:fill="F2F2F2"/>
          </w:tcPr>
          <w:p>
            <w:pPr>
              <w:ind w:left="20"/>
              <w:spacing w:after="0"/>
              <w:rPr>
                <w:sz w:val="20"/>
                <w:szCs w:val="20"/>
                <w:color w:val="auto"/>
              </w:rPr>
            </w:pPr>
            <w:r>
              <w:rPr>
                <w:rFonts w:ascii="Arial" w:cs="Arial" w:eastAsia="Arial" w:hAnsi="Arial"/>
                <w:sz w:val="14"/>
                <w:szCs w:val="14"/>
                <w:color w:val="auto"/>
              </w:rPr>
              <w:t>Naarden</w:t>
            </w:r>
          </w:p>
        </w:tc>
        <w:tc>
          <w:tcPr>
            <w:tcW w:w="420" w:type="dxa"/>
            <w:vAlign w:val="bottom"/>
            <w:shd w:val="clear" w:color="auto" w:fill="F2F2F2"/>
          </w:tcPr>
          <w:p>
            <w:pPr>
              <w:spacing w:after="0"/>
              <w:rPr>
                <w:sz w:val="16"/>
                <w:szCs w:val="16"/>
                <w:color w:val="auto"/>
              </w:rPr>
            </w:pPr>
          </w:p>
        </w:tc>
        <w:tc>
          <w:tcPr>
            <w:tcW w:w="980" w:type="dxa"/>
            <w:vAlign w:val="bottom"/>
            <w:shd w:val="clear" w:color="auto" w:fill="F2F2F2"/>
          </w:tcPr>
          <w:p>
            <w:pPr>
              <w:spacing w:after="0"/>
              <w:rPr>
                <w:sz w:val="16"/>
                <w:szCs w:val="16"/>
                <w:color w:val="auto"/>
              </w:rPr>
            </w:pPr>
          </w:p>
        </w:tc>
        <w:tc>
          <w:tcPr>
            <w:tcW w:w="720" w:type="dxa"/>
            <w:vAlign w:val="bottom"/>
            <w:shd w:val="clear" w:color="auto" w:fill="F2F2F2"/>
          </w:tcPr>
          <w:p>
            <w:pPr>
              <w:spacing w:after="0"/>
              <w:rPr>
                <w:sz w:val="16"/>
                <w:szCs w:val="16"/>
                <w:color w:val="auto"/>
              </w:rPr>
            </w:pPr>
          </w:p>
        </w:tc>
        <w:tc>
          <w:tcPr>
            <w:tcW w:w="160" w:type="dxa"/>
            <w:vAlign w:val="bottom"/>
            <w:shd w:val="clear" w:color="auto" w:fill="F2F2F2"/>
          </w:tcPr>
          <w:p>
            <w:pPr>
              <w:spacing w:after="0"/>
              <w:rPr>
                <w:sz w:val="16"/>
                <w:szCs w:val="16"/>
                <w:color w:val="auto"/>
              </w:rPr>
            </w:pPr>
          </w:p>
        </w:tc>
        <w:tc>
          <w:tcPr>
            <w:tcW w:w="960" w:type="dxa"/>
            <w:vAlign w:val="bottom"/>
            <w:shd w:val="clear" w:color="auto" w:fill="F2F2F2"/>
          </w:tcPr>
          <w:p>
            <w:pPr>
              <w:spacing w:after="0"/>
              <w:rPr>
                <w:sz w:val="16"/>
                <w:szCs w:val="16"/>
                <w:color w:val="auto"/>
              </w:rPr>
            </w:pPr>
          </w:p>
        </w:tc>
        <w:tc>
          <w:tcPr>
            <w:tcW w:w="1280" w:type="dxa"/>
            <w:vAlign w:val="bottom"/>
            <w:shd w:val="clear" w:color="auto" w:fill="F2F2F2"/>
          </w:tcPr>
          <w:p>
            <w:pPr>
              <w:spacing w:after="0"/>
              <w:rPr>
                <w:sz w:val="16"/>
                <w:szCs w:val="16"/>
                <w:color w:val="auto"/>
              </w:rPr>
            </w:pPr>
          </w:p>
        </w:tc>
        <w:tc>
          <w:tcPr>
            <w:tcW w:w="980" w:type="dxa"/>
            <w:vAlign w:val="bottom"/>
            <w:shd w:val="clear" w:color="auto" w:fill="F2F2F2"/>
          </w:tcPr>
          <w:p>
            <w:pPr>
              <w:spacing w:after="0"/>
              <w:rPr>
                <w:sz w:val="16"/>
                <w:szCs w:val="16"/>
                <w:color w:val="auto"/>
              </w:rPr>
            </w:pPr>
          </w:p>
        </w:tc>
        <w:tc>
          <w:tcPr>
            <w:tcW w:w="1260" w:type="dxa"/>
            <w:vAlign w:val="bottom"/>
            <w:shd w:val="clear" w:color="auto" w:fill="F2F2F2"/>
          </w:tcPr>
          <w:p>
            <w:pPr>
              <w:spacing w:after="0"/>
              <w:rPr>
                <w:sz w:val="16"/>
                <w:szCs w:val="16"/>
                <w:color w:val="auto"/>
              </w:rPr>
            </w:pPr>
          </w:p>
        </w:tc>
        <w:tc>
          <w:tcPr>
            <w:tcW w:w="1200" w:type="dxa"/>
            <w:vAlign w:val="bottom"/>
            <w:shd w:val="clear" w:color="auto" w:fill="F2F2F2"/>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080" w:type="dxa"/>
            <w:vAlign w:val="bottom"/>
            <w:shd w:val="clear" w:color="auto" w:fill="F2F2F2"/>
          </w:tcPr>
          <w:p>
            <w:pPr>
              <w:ind w:left="20"/>
              <w:spacing w:after="0"/>
              <w:rPr>
                <w:sz w:val="20"/>
                <w:szCs w:val="20"/>
                <w:color w:val="auto"/>
              </w:rPr>
            </w:pPr>
            <w:r>
              <w:rPr>
                <w:rFonts w:ascii="Arial" w:cs="Arial" w:eastAsia="Arial" w:hAnsi="Arial"/>
                <w:sz w:val="14"/>
                <w:szCs w:val="14"/>
                <w:color w:val="auto"/>
              </w:rPr>
              <w:t>Executive Vice</w:t>
            </w:r>
          </w:p>
        </w:tc>
        <w:tc>
          <w:tcPr>
            <w:tcW w:w="420" w:type="dxa"/>
            <w:vAlign w:val="bottom"/>
            <w:shd w:val="clear" w:color="auto" w:fill="F2F2F2"/>
          </w:tcPr>
          <w:p>
            <w:pPr>
              <w:ind w:left="60"/>
              <w:spacing w:after="0"/>
              <w:rPr>
                <w:sz w:val="20"/>
                <w:szCs w:val="20"/>
                <w:color w:val="auto"/>
              </w:rPr>
            </w:pPr>
            <w:r>
              <w:rPr>
                <w:rFonts w:ascii="Arial" w:cs="Arial" w:eastAsia="Arial" w:hAnsi="Arial"/>
                <w:sz w:val="14"/>
                <w:szCs w:val="14"/>
                <w:color w:val="auto"/>
              </w:rPr>
              <w:t>2023</w:t>
            </w:r>
          </w:p>
        </w:tc>
        <w:tc>
          <w:tcPr>
            <w:tcW w:w="980" w:type="dxa"/>
            <w:vAlign w:val="bottom"/>
            <w:shd w:val="clear" w:color="auto" w:fill="F2F2F2"/>
          </w:tcPr>
          <w:p>
            <w:pPr>
              <w:jc w:val="right"/>
              <w:ind w:right="68"/>
              <w:spacing w:after="0"/>
              <w:rPr>
                <w:sz w:val="20"/>
                <w:szCs w:val="20"/>
                <w:color w:val="auto"/>
              </w:rPr>
            </w:pPr>
            <w:r>
              <w:rPr>
                <w:rFonts w:ascii="Arial" w:cs="Arial" w:eastAsia="Arial" w:hAnsi="Arial"/>
                <w:sz w:val="14"/>
                <w:szCs w:val="14"/>
                <w:color w:val="auto"/>
              </w:rPr>
              <w:t>$830,769</w:t>
            </w:r>
          </w:p>
        </w:tc>
        <w:tc>
          <w:tcPr>
            <w:tcW w:w="720" w:type="dxa"/>
            <w:vAlign w:val="bottom"/>
            <w:shd w:val="clear" w:color="auto" w:fill="F2F2F2"/>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shd w:val="clear" w:color="auto" w:fill="F2F2F2"/>
          </w:tcPr>
          <w:p>
            <w:pPr>
              <w:spacing w:after="0"/>
              <w:rPr>
                <w:sz w:val="18"/>
                <w:szCs w:val="18"/>
                <w:color w:val="auto"/>
              </w:rPr>
            </w:pPr>
          </w:p>
        </w:tc>
        <w:tc>
          <w:tcPr>
            <w:tcW w:w="960" w:type="dxa"/>
            <w:vAlign w:val="bottom"/>
            <w:shd w:val="clear" w:color="auto" w:fill="F2F2F2"/>
          </w:tcPr>
          <w:p>
            <w:pPr>
              <w:jc w:val="right"/>
              <w:ind w:right="48"/>
              <w:spacing w:after="0"/>
              <w:rPr>
                <w:sz w:val="20"/>
                <w:szCs w:val="20"/>
                <w:color w:val="auto"/>
              </w:rPr>
            </w:pPr>
            <w:r>
              <w:rPr>
                <w:rFonts w:ascii="Arial" w:cs="Arial" w:eastAsia="Arial" w:hAnsi="Arial"/>
                <w:sz w:val="14"/>
                <w:szCs w:val="14"/>
                <w:color w:val="auto"/>
              </w:rPr>
              <w:t>$2,424,200</w:t>
            </w:r>
          </w:p>
        </w:tc>
        <w:tc>
          <w:tcPr>
            <w:tcW w:w="1280" w:type="dxa"/>
            <w:vAlign w:val="bottom"/>
            <w:shd w:val="clear" w:color="auto" w:fill="F2F2F2"/>
          </w:tcPr>
          <w:p>
            <w:pPr>
              <w:jc w:val="right"/>
              <w:ind w:right="88"/>
              <w:spacing w:after="0"/>
              <w:rPr>
                <w:sz w:val="20"/>
                <w:szCs w:val="20"/>
                <w:color w:val="auto"/>
              </w:rPr>
            </w:pPr>
            <w:r>
              <w:rPr>
                <w:rFonts w:ascii="Arial" w:cs="Arial" w:eastAsia="Arial" w:hAnsi="Arial"/>
                <w:sz w:val="14"/>
                <w:szCs w:val="14"/>
                <w:color w:val="auto"/>
              </w:rPr>
              <w:t>$1,503,692</w:t>
            </w:r>
          </w:p>
        </w:tc>
        <w:tc>
          <w:tcPr>
            <w:tcW w:w="980" w:type="dxa"/>
            <w:vAlign w:val="bottom"/>
            <w:shd w:val="clear" w:color="auto" w:fill="F2F2F2"/>
          </w:tcPr>
          <w:p>
            <w:pPr>
              <w:jc w:val="right"/>
              <w:ind w:right="48"/>
              <w:spacing w:after="0"/>
              <w:rPr>
                <w:sz w:val="20"/>
                <w:szCs w:val="20"/>
                <w:color w:val="auto"/>
              </w:rPr>
            </w:pPr>
            <w:r>
              <w:rPr>
                <w:rFonts w:ascii="Arial" w:cs="Arial" w:eastAsia="Arial" w:hAnsi="Arial"/>
                <w:sz w:val="14"/>
                <w:szCs w:val="14"/>
                <w:color w:val="auto"/>
              </w:rPr>
              <w:t>$78,013</w:t>
            </w:r>
          </w:p>
        </w:tc>
        <w:tc>
          <w:tcPr>
            <w:tcW w:w="1260" w:type="dxa"/>
            <w:vAlign w:val="bottom"/>
            <w:shd w:val="clear" w:color="auto" w:fill="F2F2F2"/>
          </w:tcPr>
          <w:p>
            <w:pPr>
              <w:jc w:val="right"/>
              <w:ind w:right="68"/>
              <w:spacing w:after="0"/>
              <w:rPr>
                <w:sz w:val="20"/>
                <w:szCs w:val="20"/>
                <w:color w:val="auto"/>
              </w:rPr>
            </w:pPr>
            <w:r>
              <w:rPr>
                <w:rFonts w:ascii="Arial" w:cs="Arial" w:eastAsia="Arial" w:hAnsi="Arial"/>
                <w:sz w:val="14"/>
                <w:szCs w:val="14"/>
                <w:color w:val="auto"/>
              </w:rPr>
              <w:t>$49,846</w:t>
            </w:r>
          </w:p>
        </w:tc>
        <w:tc>
          <w:tcPr>
            <w:tcW w:w="1200" w:type="dxa"/>
            <w:vAlign w:val="bottom"/>
            <w:shd w:val="clear" w:color="auto" w:fill="F2F2F2"/>
          </w:tcPr>
          <w:p>
            <w:pPr>
              <w:jc w:val="right"/>
              <w:ind w:right="8"/>
              <w:spacing w:after="0"/>
              <w:rPr>
                <w:sz w:val="20"/>
                <w:szCs w:val="20"/>
                <w:color w:val="auto"/>
              </w:rPr>
            </w:pPr>
            <w:r>
              <w:rPr>
                <w:rFonts w:ascii="Arial" w:cs="Arial" w:eastAsia="Arial" w:hAnsi="Arial"/>
                <w:sz w:val="14"/>
                <w:szCs w:val="14"/>
                <w:color w:val="auto"/>
              </w:rPr>
              <w:t>$4,886,520</w:t>
            </w:r>
          </w:p>
        </w:tc>
        <w:tc>
          <w:tcPr>
            <w:tcW w:w="0" w:type="dxa"/>
            <w:vAlign w:val="bottom"/>
          </w:tcPr>
          <w:p>
            <w:pPr>
              <w:spacing w:after="0"/>
              <w:rPr>
                <w:sz w:val="1"/>
                <w:szCs w:val="1"/>
                <w:color w:val="auto"/>
              </w:rPr>
            </w:pPr>
          </w:p>
        </w:tc>
      </w:tr>
      <w:tr>
        <w:trPr>
          <w:trHeight w:val="171"/>
        </w:trPr>
        <w:tc>
          <w:tcPr>
            <w:tcW w:w="1080" w:type="dxa"/>
            <w:vAlign w:val="bottom"/>
            <w:shd w:val="clear" w:color="auto" w:fill="F2F2F2"/>
          </w:tcPr>
          <w:p>
            <w:pPr>
              <w:ind w:left="20"/>
              <w:spacing w:after="0"/>
              <w:rPr>
                <w:sz w:val="20"/>
                <w:szCs w:val="20"/>
                <w:color w:val="auto"/>
              </w:rPr>
            </w:pPr>
            <w:r>
              <w:rPr>
                <w:rFonts w:ascii="Arial" w:cs="Arial" w:eastAsia="Arial" w:hAnsi="Arial"/>
                <w:sz w:val="14"/>
                <w:szCs w:val="14"/>
                <w:color w:val="auto"/>
              </w:rPr>
              <w:t>President and</w:t>
            </w:r>
          </w:p>
        </w:tc>
        <w:tc>
          <w:tcPr>
            <w:tcW w:w="420" w:type="dxa"/>
            <w:vAlign w:val="bottom"/>
            <w:shd w:val="clear" w:color="auto" w:fill="F2F2F2"/>
          </w:tcPr>
          <w:p>
            <w:pPr>
              <w:spacing w:after="0"/>
              <w:rPr>
                <w:sz w:val="14"/>
                <w:szCs w:val="14"/>
                <w:color w:val="auto"/>
              </w:rPr>
            </w:pPr>
          </w:p>
        </w:tc>
        <w:tc>
          <w:tcPr>
            <w:tcW w:w="980" w:type="dxa"/>
            <w:vAlign w:val="bottom"/>
            <w:shd w:val="clear" w:color="auto" w:fill="F2F2F2"/>
          </w:tcPr>
          <w:p>
            <w:pPr>
              <w:spacing w:after="0"/>
              <w:rPr>
                <w:sz w:val="14"/>
                <w:szCs w:val="14"/>
                <w:color w:val="auto"/>
              </w:rPr>
            </w:pPr>
          </w:p>
        </w:tc>
        <w:tc>
          <w:tcPr>
            <w:tcW w:w="720" w:type="dxa"/>
            <w:vAlign w:val="bottom"/>
            <w:shd w:val="clear" w:color="auto" w:fill="F2F2F2"/>
          </w:tcPr>
          <w:p>
            <w:pPr>
              <w:spacing w:after="0"/>
              <w:rPr>
                <w:sz w:val="14"/>
                <w:szCs w:val="14"/>
                <w:color w:val="auto"/>
              </w:rPr>
            </w:pPr>
          </w:p>
        </w:tc>
        <w:tc>
          <w:tcPr>
            <w:tcW w:w="160" w:type="dxa"/>
            <w:vAlign w:val="bottom"/>
            <w:shd w:val="clear" w:color="auto" w:fill="F2F2F2"/>
          </w:tcPr>
          <w:p>
            <w:pPr>
              <w:spacing w:after="0"/>
              <w:rPr>
                <w:sz w:val="14"/>
                <w:szCs w:val="14"/>
                <w:color w:val="auto"/>
              </w:rPr>
            </w:pPr>
          </w:p>
        </w:tc>
        <w:tc>
          <w:tcPr>
            <w:tcW w:w="960" w:type="dxa"/>
            <w:vAlign w:val="bottom"/>
            <w:shd w:val="clear" w:color="auto" w:fill="F2F2F2"/>
          </w:tcPr>
          <w:p>
            <w:pPr>
              <w:spacing w:after="0"/>
              <w:rPr>
                <w:sz w:val="14"/>
                <w:szCs w:val="14"/>
                <w:color w:val="auto"/>
              </w:rPr>
            </w:pPr>
          </w:p>
        </w:tc>
        <w:tc>
          <w:tcPr>
            <w:tcW w:w="1280" w:type="dxa"/>
            <w:vAlign w:val="bottom"/>
            <w:shd w:val="clear" w:color="auto" w:fill="F2F2F2"/>
          </w:tcPr>
          <w:p>
            <w:pPr>
              <w:spacing w:after="0"/>
              <w:rPr>
                <w:sz w:val="14"/>
                <w:szCs w:val="14"/>
                <w:color w:val="auto"/>
              </w:rPr>
            </w:pPr>
          </w:p>
        </w:tc>
        <w:tc>
          <w:tcPr>
            <w:tcW w:w="980" w:type="dxa"/>
            <w:vAlign w:val="bottom"/>
            <w:shd w:val="clear" w:color="auto" w:fill="F2F2F2"/>
          </w:tcPr>
          <w:p>
            <w:pPr>
              <w:spacing w:after="0"/>
              <w:rPr>
                <w:sz w:val="14"/>
                <w:szCs w:val="14"/>
                <w:color w:val="auto"/>
              </w:rPr>
            </w:pPr>
          </w:p>
        </w:tc>
        <w:tc>
          <w:tcPr>
            <w:tcW w:w="1260" w:type="dxa"/>
            <w:vAlign w:val="bottom"/>
            <w:shd w:val="clear" w:color="auto" w:fill="F2F2F2"/>
          </w:tcPr>
          <w:p>
            <w:pPr>
              <w:spacing w:after="0"/>
              <w:rPr>
                <w:sz w:val="14"/>
                <w:szCs w:val="14"/>
                <w:color w:val="auto"/>
              </w:rPr>
            </w:pPr>
          </w:p>
        </w:tc>
        <w:tc>
          <w:tcPr>
            <w:tcW w:w="1200" w:type="dxa"/>
            <w:vAlign w:val="bottom"/>
            <w:shd w:val="clear" w:color="auto" w:fill="F2F2F2"/>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080" w:type="dxa"/>
            <w:vAlign w:val="bottom"/>
            <w:shd w:val="clear" w:color="auto" w:fill="F2F2F2"/>
          </w:tcPr>
          <w:p>
            <w:pPr>
              <w:ind w:left="20"/>
              <w:spacing w:after="0"/>
              <w:rPr>
                <w:sz w:val="20"/>
                <w:szCs w:val="20"/>
                <w:color w:val="auto"/>
              </w:rPr>
            </w:pPr>
            <w:r>
              <w:rPr>
                <w:rFonts w:ascii="Arial" w:cs="Arial" w:eastAsia="Arial" w:hAnsi="Arial"/>
                <w:sz w:val="14"/>
                <w:szCs w:val="14"/>
                <w:color w:val="auto"/>
              </w:rPr>
              <w:t>President,</w:t>
            </w:r>
          </w:p>
        </w:tc>
        <w:tc>
          <w:tcPr>
            <w:tcW w:w="420" w:type="dxa"/>
            <w:vAlign w:val="bottom"/>
            <w:shd w:val="clear" w:color="auto" w:fill="F2F2F2"/>
          </w:tcPr>
          <w:p>
            <w:pPr>
              <w:ind w:left="60"/>
              <w:spacing w:after="0"/>
              <w:rPr>
                <w:sz w:val="20"/>
                <w:szCs w:val="20"/>
                <w:color w:val="auto"/>
              </w:rPr>
            </w:pPr>
            <w:r>
              <w:rPr>
                <w:rFonts w:ascii="Arial" w:cs="Arial" w:eastAsia="Arial" w:hAnsi="Arial"/>
                <w:sz w:val="14"/>
                <w:szCs w:val="14"/>
                <w:color w:val="auto"/>
              </w:rPr>
              <w:t>2022</w:t>
            </w:r>
          </w:p>
        </w:tc>
        <w:tc>
          <w:tcPr>
            <w:tcW w:w="980" w:type="dxa"/>
            <w:vAlign w:val="bottom"/>
            <w:shd w:val="clear" w:color="auto" w:fill="F2F2F2"/>
          </w:tcPr>
          <w:p>
            <w:pPr>
              <w:jc w:val="right"/>
              <w:ind w:right="68"/>
              <w:spacing w:after="0"/>
              <w:rPr>
                <w:sz w:val="20"/>
                <w:szCs w:val="20"/>
                <w:color w:val="auto"/>
              </w:rPr>
            </w:pPr>
            <w:r>
              <w:rPr>
                <w:rFonts w:ascii="Arial" w:cs="Arial" w:eastAsia="Arial" w:hAnsi="Arial"/>
                <w:sz w:val="14"/>
                <w:szCs w:val="14"/>
                <w:color w:val="auto"/>
              </w:rPr>
              <w:t>$735,577</w:t>
            </w:r>
          </w:p>
        </w:tc>
        <w:tc>
          <w:tcPr>
            <w:tcW w:w="720" w:type="dxa"/>
            <w:vAlign w:val="bottom"/>
            <w:shd w:val="clear" w:color="auto" w:fill="F2F2F2"/>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shd w:val="clear" w:color="auto" w:fill="F2F2F2"/>
          </w:tcPr>
          <w:p>
            <w:pPr>
              <w:spacing w:after="0"/>
              <w:rPr>
                <w:sz w:val="14"/>
                <w:szCs w:val="14"/>
                <w:color w:val="auto"/>
              </w:rPr>
            </w:pPr>
          </w:p>
        </w:tc>
        <w:tc>
          <w:tcPr>
            <w:tcW w:w="960" w:type="dxa"/>
            <w:vAlign w:val="bottom"/>
            <w:shd w:val="clear" w:color="auto" w:fill="F2F2F2"/>
          </w:tcPr>
          <w:p>
            <w:pPr>
              <w:jc w:val="right"/>
              <w:ind w:right="48"/>
              <w:spacing w:after="0"/>
              <w:rPr>
                <w:sz w:val="20"/>
                <w:szCs w:val="20"/>
                <w:color w:val="auto"/>
              </w:rPr>
            </w:pPr>
            <w:r>
              <w:rPr>
                <w:rFonts w:ascii="Arial" w:cs="Arial" w:eastAsia="Arial" w:hAnsi="Arial"/>
                <w:sz w:val="14"/>
                <w:szCs w:val="14"/>
                <w:color w:val="auto"/>
              </w:rPr>
              <w:t>$1,933,250</w:t>
            </w:r>
          </w:p>
        </w:tc>
        <w:tc>
          <w:tcPr>
            <w:tcW w:w="1280" w:type="dxa"/>
            <w:vAlign w:val="bottom"/>
            <w:shd w:val="clear" w:color="auto" w:fill="F2F2F2"/>
          </w:tcPr>
          <w:p>
            <w:pPr>
              <w:jc w:val="right"/>
              <w:ind w:right="88"/>
              <w:spacing w:after="0"/>
              <w:rPr>
                <w:sz w:val="20"/>
                <w:szCs w:val="20"/>
                <w:color w:val="auto"/>
              </w:rPr>
            </w:pPr>
            <w:r>
              <w:rPr>
                <w:rFonts w:ascii="Arial" w:cs="Arial" w:eastAsia="Arial" w:hAnsi="Arial"/>
                <w:sz w:val="14"/>
                <w:szCs w:val="14"/>
                <w:color w:val="auto"/>
              </w:rPr>
              <w:t>$882,692</w:t>
            </w:r>
          </w:p>
        </w:tc>
        <w:tc>
          <w:tcPr>
            <w:tcW w:w="980" w:type="dxa"/>
            <w:vAlign w:val="bottom"/>
            <w:shd w:val="clear" w:color="auto" w:fill="F2F2F2"/>
          </w:tcPr>
          <w:p>
            <w:pPr>
              <w:jc w:val="right"/>
              <w:ind w:right="48"/>
              <w:spacing w:after="0"/>
              <w:rPr>
                <w:sz w:val="20"/>
                <w:szCs w:val="20"/>
                <w:color w:val="auto"/>
              </w:rPr>
            </w:pPr>
            <w:r>
              <w:rPr>
                <w:rFonts w:ascii="Arial" w:cs="Arial" w:eastAsia="Arial" w:hAnsi="Arial"/>
                <w:sz w:val="14"/>
                <w:szCs w:val="14"/>
                <w:color w:val="auto"/>
              </w:rPr>
              <w:t>$26,178</w:t>
            </w:r>
          </w:p>
        </w:tc>
        <w:tc>
          <w:tcPr>
            <w:tcW w:w="1260" w:type="dxa"/>
            <w:vAlign w:val="bottom"/>
            <w:shd w:val="clear" w:color="auto" w:fill="F2F2F2"/>
          </w:tcPr>
          <w:p>
            <w:pPr>
              <w:jc w:val="right"/>
              <w:ind w:right="68"/>
              <w:spacing w:after="0"/>
              <w:rPr>
                <w:sz w:val="20"/>
                <w:szCs w:val="20"/>
                <w:color w:val="auto"/>
              </w:rPr>
            </w:pPr>
            <w:r>
              <w:rPr>
                <w:rFonts w:ascii="Arial" w:cs="Arial" w:eastAsia="Arial" w:hAnsi="Arial"/>
                <w:sz w:val="14"/>
                <w:szCs w:val="14"/>
                <w:color w:val="auto"/>
              </w:rPr>
              <w:t>$44,135</w:t>
            </w:r>
          </w:p>
        </w:tc>
        <w:tc>
          <w:tcPr>
            <w:tcW w:w="1200" w:type="dxa"/>
            <w:vAlign w:val="bottom"/>
            <w:shd w:val="clear" w:color="auto" w:fill="F2F2F2"/>
          </w:tcPr>
          <w:p>
            <w:pPr>
              <w:jc w:val="right"/>
              <w:ind w:right="8"/>
              <w:spacing w:after="0"/>
              <w:rPr>
                <w:sz w:val="20"/>
                <w:szCs w:val="20"/>
                <w:color w:val="auto"/>
              </w:rPr>
            </w:pPr>
            <w:r>
              <w:rPr>
                <w:rFonts w:ascii="Arial" w:cs="Arial" w:eastAsia="Arial" w:hAnsi="Arial"/>
                <w:sz w:val="14"/>
                <w:szCs w:val="14"/>
                <w:color w:val="auto"/>
              </w:rPr>
              <w:t>$3,621,832</w:t>
            </w:r>
          </w:p>
        </w:tc>
        <w:tc>
          <w:tcPr>
            <w:tcW w:w="0" w:type="dxa"/>
            <w:vAlign w:val="bottom"/>
          </w:tcPr>
          <w:p>
            <w:pPr>
              <w:spacing w:after="0"/>
              <w:rPr>
                <w:sz w:val="1"/>
                <w:szCs w:val="1"/>
                <w:color w:val="auto"/>
              </w:rPr>
            </w:pPr>
          </w:p>
        </w:tc>
      </w:tr>
      <w:tr>
        <w:trPr>
          <w:trHeight w:val="192"/>
        </w:trPr>
        <w:tc>
          <w:tcPr>
            <w:tcW w:w="108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4"/>
                <w:szCs w:val="14"/>
                <w:color w:val="auto"/>
              </w:rPr>
              <w:t>Loxo@Lilly</w:t>
            </w:r>
          </w:p>
        </w:tc>
        <w:tc>
          <w:tcPr>
            <w:tcW w:w="420" w:type="dxa"/>
            <w:vAlign w:val="bottom"/>
            <w:tcBorders>
              <w:bottom w:val="single" w:sz="8" w:color="F2F2F2"/>
            </w:tcBorders>
            <w:shd w:val="clear" w:color="auto" w:fill="F2F2F2"/>
          </w:tcPr>
          <w:p>
            <w:pPr>
              <w:spacing w:after="0"/>
              <w:rPr>
                <w:sz w:val="16"/>
                <w:szCs w:val="16"/>
                <w:color w:val="auto"/>
              </w:rPr>
            </w:pPr>
          </w:p>
        </w:tc>
        <w:tc>
          <w:tcPr>
            <w:tcW w:w="980" w:type="dxa"/>
            <w:vAlign w:val="bottom"/>
            <w:tcBorders>
              <w:bottom w:val="single" w:sz="8" w:color="F2F2F2"/>
            </w:tcBorders>
            <w:shd w:val="clear" w:color="auto" w:fill="F2F2F2"/>
          </w:tcPr>
          <w:p>
            <w:pPr>
              <w:spacing w:after="0"/>
              <w:rPr>
                <w:sz w:val="16"/>
                <w:szCs w:val="16"/>
                <w:color w:val="auto"/>
              </w:rPr>
            </w:pPr>
          </w:p>
        </w:tc>
        <w:tc>
          <w:tcPr>
            <w:tcW w:w="720" w:type="dxa"/>
            <w:vAlign w:val="bottom"/>
            <w:tcBorders>
              <w:bottom w:val="single" w:sz="8" w:color="F2F2F2"/>
            </w:tcBorders>
            <w:shd w:val="clear" w:color="auto" w:fill="F2F2F2"/>
          </w:tcPr>
          <w:p>
            <w:pPr>
              <w:spacing w:after="0"/>
              <w:rPr>
                <w:sz w:val="16"/>
                <w:szCs w:val="16"/>
                <w:color w:val="auto"/>
              </w:rPr>
            </w:pPr>
          </w:p>
        </w:tc>
        <w:tc>
          <w:tcPr>
            <w:tcW w:w="160" w:type="dxa"/>
            <w:vAlign w:val="bottom"/>
            <w:tcBorders>
              <w:bottom w:val="single" w:sz="8" w:color="F2F2F2"/>
            </w:tcBorders>
            <w:shd w:val="clear" w:color="auto" w:fill="F2F2F2"/>
          </w:tcPr>
          <w:p>
            <w:pPr>
              <w:spacing w:after="0"/>
              <w:rPr>
                <w:sz w:val="16"/>
                <w:szCs w:val="16"/>
                <w:color w:val="auto"/>
              </w:rPr>
            </w:pPr>
          </w:p>
        </w:tc>
        <w:tc>
          <w:tcPr>
            <w:tcW w:w="960" w:type="dxa"/>
            <w:vAlign w:val="bottom"/>
            <w:tcBorders>
              <w:bottom w:val="single" w:sz="8" w:color="F2F2F2"/>
            </w:tcBorders>
            <w:shd w:val="clear" w:color="auto" w:fill="F2F2F2"/>
          </w:tcPr>
          <w:p>
            <w:pPr>
              <w:spacing w:after="0"/>
              <w:rPr>
                <w:sz w:val="16"/>
                <w:szCs w:val="16"/>
                <w:color w:val="auto"/>
              </w:rPr>
            </w:pPr>
          </w:p>
        </w:tc>
        <w:tc>
          <w:tcPr>
            <w:tcW w:w="1280" w:type="dxa"/>
            <w:vAlign w:val="bottom"/>
            <w:tcBorders>
              <w:bottom w:val="single" w:sz="8" w:color="F2F2F2"/>
            </w:tcBorders>
            <w:shd w:val="clear" w:color="auto" w:fill="F2F2F2"/>
          </w:tcPr>
          <w:p>
            <w:pPr>
              <w:spacing w:after="0"/>
              <w:rPr>
                <w:sz w:val="16"/>
                <w:szCs w:val="16"/>
                <w:color w:val="auto"/>
              </w:rPr>
            </w:pPr>
          </w:p>
        </w:tc>
        <w:tc>
          <w:tcPr>
            <w:tcW w:w="980" w:type="dxa"/>
            <w:vAlign w:val="bottom"/>
            <w:tcBorders>
              <w:bottom w:val="single" w:sz="8" w:color="F2F2F2"/>
            </w:tcBorders>
            <w:shd w:val="clear" w:color="auto" w:fill="F2F2F2"/>
          </w:tcPr>
          <w:p>
            <w:pPr>
              <w:spacing w:after="0"/>
              <w:rPr>
                <w:sz w:val="16"/>
                <w:szCs w:val="16"/>
                <w:color w:val="auto"/>
              </w:rPr>
            </w:pPr>
          </w:p>
        </w:tc>
        <w:tc>
          <w:tcPr>
            <w:tcW w:w="1260" w:type="dxa"/>
            <w:vAlign w:val="bottom"/>
            <w:tcBorders>
              <w:bottom w:val="single" w:sz="8" w:color="F2F2F2"/>
            </w:tcBorders>
            <w:shd w:val="clear" w:color="auto" w:fill="F2F2F2"/>
          </w:tcPr>
          <w:p>
            <w:pPr>
              <w:spacing w:after="0"/>
              <w:rPr>
                <w:sz w:val="16"/>
                <w:szCs w:val="16"/>
                <w:color w:val="auto"/>
              </w:rPr>
            </w:pPr>
          </w:p>
        </w:tc>
        <w:tc>
          <w:tcPr>
            <w:tcW w:w="1200" w:type="dxa"/>
            <w:vAlign w:val="bottom"/>
            <w:tcBorders>
              <w:bottom w:val="single" w:sz="8" w:color="F2F2F2"/>
            </w:tcBorders>
            <w:shd w:val="clear" w:color="auto" w:fill="F2F2F2"/>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080" w:type="dxa"/>
            <w:vAlign w:val="bottom"/>
          </w:tcPr>
          <w:p>
            <w:pPr>
              <w:ind w:left="20"/>
              <w:spacing w:after="0"/>
              <w:rPr>
                <w:sz w:val="20"/>
                <w:szCs w:val="20"/>
                <w:color w:val="auto"/>
              </w:rPr>
            </w:pPr>
            <w:r>
              <w:rPr>
                <w:rFonts w:ascii="Arial" w:cs="Arial" w:eastAsia="Arial" w:hAnsi="Arial"/>
                <w:sz w:val="14"/>
                <w:szCs w:val="14"/>
                <w:color w:val="auto"/>
              </w:rPr>
              <w:t>Gordon Brooks</w:t>
            </w:r>
          </w:p>
        </w:tc>
        <w:tc>
          <w:tcPr>
            <w:tcW w:w="420" w:type="dxa"/>
            <w:vAlign w:val="bottom"/>
          </w:tcPr>
          <w:p>
            <w:pPr>
              <w:ind w:left="60"/>
              <w:spacing w:after="0"/>
              <w:rPr>
                <w:sz w:val="20"/>
                <w:szCs w:val="20"/>
                <w:color w:val="auto"/>
              </w:rPr>
            </w:pPr>
            <w:r>
              <w:rPr>
                <w:rFonts w:ascii="Arial" w:cs="Arial" w:eastAsia="Arial" w:hAnsi="Arial"/>
                <w:sz w:val="14"/>
                <w:szCs w:val="14"/>
                <w:color w:val="auto"/>
              </w:rPr>
              <w:t>2024</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$558,291</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$50,000</w:t>
            </w:r>
          </w:p>
        </w:tc>
        <w:tc>
          <w:tcPr>
            <w:tcW w:w="160" w:type="dxa"/>
            <w:vAlign w:val="bottom"/>
          </w:tcPr>
          <w:p>
            <w:pPr>
              <w:jc w:val="right"/>
              <w:spacing w:after="0"/>
              <w:rPr>
                <w:sz w:val="20"/>
                <w:szCs w:val="20"/>
                <w:color w:val="auto"/>
              </w:rPr>
            </w:pPr>
            <w:r>
              <w:rPr>
                <w:rFonts w:ascii="Arial" w:cs="Arial" w:eastAsia="Arial" w:hAnsi="Arial"/>
                <w:sz w:val="9"/>
                <w:szCs w:val="9"/>
                <w:color w:val="auto"/>
              </w:rPr>
              <w:t>5</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$1,300,190</w:t>
            </w:r>
          </w:p>
        </w:tc>
        <w:tc>
          <w:tcPr>
            <w:tcW w:w="1280" w:type="dxa"/>
            <w:vAlign w:val="bottom"/>
          </w:tcPr>
          <w:p>
            <w:pPr>
              <w:jc w:val="right"/>
              <w:ind w:right="88"/>
              <w:spacing w:after="0"/>
              <w:rPr>
                <w:sz w:val="20"/>
                <w:szCs w:val="20"/>
                <w:color w:val="auto"/>
              </w:rPr>
            </w:pPr>
            <w:r>
              <w:rPr>
                <w:rFonts w:ascii="Arial" w:cs="Arial" w:eastAsia="Arial" w:hAnsi="Arial"/>
                <w:sz w:val="14"/>
                <w:szCs w:val="14"/>
                <w:color w:val="auto"/>
              </w:rPr>
              <w:t>$667,660</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$130,820</w:t>
            </w: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$33,497</w:t>
            </w: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$2,740,458</w:t>
            </w:r>
          </w:p>
        </w:tc>
        <w:tc>
          <w:tcPr>
            <w:tcW w:w="0" w:type="dxa"/>
            <w:vAlign w:val="bottom"/>
          </w:tcPr>
          <w:p>
            <w:pPr>
              <w:spacing w:after="0"/>
              <w:rPr>
                <w:sz w:val="1"/>
                <w:szCs w:val="1"/>
                <w:color w:val="auto"/>
              </w:rPr>
            </w:pPr>
          </w:p>
        </w:tc>
      </w:tr>
      <w:tr>
        <w:trPr>
          <w:trHeight w:val="162"/>
        </w:trPr>
        <w:tc>
          <w:tcPr>
            <w:tcW w:w="1080" w:type="dxa"/>
            <w:vAlign w:val="bottom"/>
          </w:tcPr>
          <w:p>
            <w:pPr>
              <w:ind w:left="20"/>
              <w:spacing w:after="0"/>
              <w:rPr>
                <w:sz w:val="20"/>
                <w:szCs w:val="20"/>
                <w:color w:val="auto"/>
              </w:rPr>
            </w:pPr>
            <w:r>
              <w:rPr>
                <w:rFonts w:ascii="Arial" w:cs="Arial" w:eastAsia="Arial" w:hAnsi="Arial"/>
                <w:sz w:val="14"/>
                <w:szCs w:val="14"/>
                <w:color w:val="auto"/>
              </w:rPr>
              <w:t>Interim CFO</w:t>
            </w:r>
          </w:p>
        </w:tc>
        <w:tc>
          <w:tcPr>
            <w:tcW w:w="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080" w:type="dxa"/>
            <w:vAlign w:val="bottom"/>
          </w:tcPr>
          <w:p>
            <w:pPr>
              <w:ind w:left="20"/>
              <w:spacing w:after="0"/>
              <w:rPr>
                <w:sz w:val="20"/>
                <w:szCs w:val="20"/>
                <w:color w:val="auto"/>
              </w:rPr>
            </w:pPr>
            <w:r>
              <w:rPr>
                <w:rFonts w:ascii="Arial" w:cs="Arial" w:eastAsia="Arial" w:hAnsi="Arial"/>
                <w:sz w:val="14"/>
                <w:szCs w:val="14"/>
                <w:color w:val="auto"/>
              </w:rPr>
              <w:t>and Group Vice</w:t>
            </w: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080" w:type="dxa"/>
            <w:vAlign w:val="bottom"/>
          </w:tcPr>
          <w:p>
            <w:pPr>
              <w:ind w:left="20"/>
              <w:spacing w:after="0"/>
              <w:rPr>
                <w:sz w:val="20"/>
                <w:szCs w:val="20"/>
                <w:color w:val="auto"/>
              </w:rPr>
            </w:pPr>
            <w:r>
              <w:rPr>
                <w:rFonts w:ascii="Arial" w:cs="Arial" w:eastAsia="Arial" w:hAnsi="Arial"/>
                <w:sz w:val="14"/>
                <w:szCs w:val="14"/>
                <w:color w:val="auto"/>
              </w:rPr>
              <w:t>President -</w:t>
            </w: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080" w:type="dxa"/>
            <w:vAlign w:val="bottom"/>
          </w:tcPr>
          <w:p>
            <w:pPr>
              <w:ind w:left="20"/>
              <w:spacing w:after="0"/>
              <w:rPr>
                <w:sz w:val="20"/>
                <w:szCs w:val="20"/>
                <w:color w:val="auto"/>
              </w:rPr>
            </w:pPr>
            <w:r>
              <w:rPr>
                <w:rFonts w:ascii="Arial" w:cs="Arial" w:eastAsia="Arial" w:hAnsi="Arial"/>
                <w:sz w:val="14"/>
                <w:szCs w:val="14"/>
                <w:color w:val="auto"/>
              </w:rPr>
              <w:t>Controller and</w:t>
            </w: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080" w:type="dxa"/>
            <w:vAlign w:val="bottom"/>
          </w:tcPr>
          <w:p>
            <w:pPr>
              <w:ind w:left="20"/>
              <w:spacing w:after="0"/>
              <w:rPr>
                <w:sz w:val="20"/>
                <w:szCs w:val="20"/>
                <w:color w:val="auto"/>
              </w:rPr>
            </w:pPr>
            <w:r>
              <w:rPr>
                <w:rFonts w:ascii="Arial" w:cs="Arial" w:eastAsia="Arial" w:hAnsi="Arial"/>
                <w:sz w:val="14"/>
                <w:szCs w:val="14"/>
                <w:color w:val="auto"/>
              </w:rPr>
              <w:t>Corporate</w:t>
            </w: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080" w:type="dxa"/>
            <w:vAlign w:val="bottom"/>
          </w:tcPr>
          <w:p>
            <w:pPr>
              <w:ind w:left="20"/>
              <w:spacing w:after="0"/>
              <w:rPr>
                <w:sz w:val="20"/>
                <w:szCs w:val="20"/>
                <w:color w:val="auto"/>
              </w:rPr>
            </w:pPr>
            <w:r>
              <w:rPr>
                <w:rFonts w:ascii="Arial" w:cs="Arial" w:eastAsia="Arial" w:hAnsi="Arial"/>
                <w:sz w:val="14"/>
                <w:szCs w:val="14"/>
                <w:color w:val="auto"/>
              </w:rPr>
              <w:t>Strategy</w:t>
            </w:r>
          </w:p>
        </w:tc>
        <w:tc>
          <w:tcPr>
            <w:tcW w:w="4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1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1080" w:type="dxa"/>
            <w:vAlign w:val="bottom"/>
            <w:shd w:val="clear" w:color="auto" w:fill="F2F2F2"/>
          </w:tcPr>
          <w:p>
            <w:pPr>
              <w:ind w:left="20"/>
              <w:spacing w:after="0"/>
              <w:rPr>
                <w:sz w:val="20"/>
                <w:szCs w:val="20"/>
                <w:color w:val="auto"/>
              </w:rPr>
            </w:pPr>
            <w:r>
              <w:rPr>
                <w:rFonts w:ascii="Arial" w:cs="Arial" w:eastAsia="Arial" w:hAnsi="Arial"/>
                <w:sz w:val="14"/>
                <w:szCs w:val="14"/>
                <w:color w:val="auto"/>
              </w:rPr>
              <w:t>Anat</w:t>
            </w:r>
          </w:p>
        </w:tc>
        <w:tc>
          <w:tcPr>
            <w:tcW w:w="420" w:type="dxa"/>
            <w:vAlign w:val="bottom"/>
            <w:shd w:val="clear" w:color="auto" w:fill="F2F2F2"/>
          </w:tcPr>
          <w:p>
            <w:pPr>
              <w:ind w:left="60"/>
              <w:spacing w:after="0"/>
              <w:rPr>
                <w:sz w:val="20"/>
                <w:szCs w:val="20"/>
                <w:color w:val="auto"/>
              </w:rPr>
            </w:pPr>
            <w:r>
              <w:rPr>
                <w:rFonts w:ascii="Arial" w:cs="Arial" w:eastAsia="Arial" w:hAnsi="Arial"/>
                <w:sz w:val="14"/>
                <w:szCs w:val="14"/>
                <w:color w:val="auto"/>
              </w:rPr>
              <w:t>2024</w:t>
            </w:r>
          </w:p>
        </w:tc>
        <w:tc>
          <w:tcPr>
            <w:tcW w:w="980" w:type="dxa"/>
            <w:vAlign w:val="bottom"/>
            <w:shd w:val="clear" w:color="auto" w:fill="F2F2F2"/>
          </w:tcPr>
          <w:p>
            <w:pPr>
              <w:jc w:val="right"/>
              <w:ind w:right="68"/>
              <w:spacing w:after="0"/>
              <w:rPr>
                <w:sz w:val="20"/>
                <w:szCs w:val="20"/>
                <w:color w:val="auto"/>
              </w:rPr>
            </w:pPr>
            <w:r>
              <w:rPr>
                <w:rFonts w:ascii="Arial" w:cs="Arial" w:eastAsia="Arial" w:hAnsi="Arial"/>
                <w:sz w:val="14"/>
                <w:szCs w:val="14"/>
                <w:color w:val="auto"/>
              </w:rPr>
              <w:t>$634,039</w:t>
            </w:r>
          </w:p>
        </w:tc>
        <w:tc>
          <w:tcPr>
            <w:tcW w:w="720" w:type="dxa"/>
            <w:vAlign w:val="bottom"/>
            <w:shd w:val="clear" w:color="auto" w:fill="F2F2F2"/>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shd w:val="clear" w:color="auto" w:fill="F2F2F2"/>
          </w:tcPr>
          <w:p>
            <w:pPr>
              <w:spacing w:after="0"/>
              <w:rPr>
                <w:sz w:val="16"/>
                <w:szCs w:val="16"/>
                <w:color w:val="auto"/>
              </w:rPr>
            </w:pPr>
          </w:p>
        </w:tc>
        <w:tc>
          <w:tcPr>
            <w:tcW w:w="960" w:type="dxa"/>
            <w:vAlign w:val="bottom"/>
            <w:shd w:val="clear" w:color="auto" w:fill="F2F2F2"/>
          </w:tcPr>
          <w:p>
            <w:pPr>
              <w:jc w:val="right"/>
              <w:ind w:right="48"/>
              <w:spacing w:after="0"/>
              <w:rPr>
                <w:sz w:val="20"/>
                <w:szCs w:val="20"/>
                <w:color w:val="auto"/>
              </w:rPr>
            </w:pPr>
            <w:r>
              <w:rPr>
                <w:rFonts w:ascii="Arial" w:cs="Arial" w:eastAsia="Arial" w:hAnsi="Arial"/>
                <w:sz w:val="14"/>
                <w:szCs w:val="14"/>
                <w:color w:val="auto"/>
              </w:rPr>
              <w:t>$3,750,501</w:t>
            </w:r>
          </w:p>
        </w:tc>
        <w:tc>
          <w:tcPr>
            <w:tcW w:w="1280" w:type="dxa"/>
            <w:vAlign w:val="bottom"/>
            <w:shd w:val="clear" w:color="auto" w:fill="F2F2F2"/>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shd w:val="clear" w:color="auto" w:fill="F2F2F2"/>
          </w:tcPr>
          <w:p>
            <w:pPr>
              <w:jc w:val="right"/>
              <w:ind w:right="48"/>
              <w:spacing w:after="0"/>
              <w:rPr>
                <w:sz w:val="20"/>
                <w:szCs w:val="20"/>
                <w:color w:val="auto"/>
              </w:rPr>
            </w:pPr>
            <w:r>
              <w:rPr>
                <w:rFonts w:ascii="Arial" w:cs="Arial" w:eastAsia="Arial" w:hAnsi="Arial"/>
                <w:sz w:val="14"/>
                <w:szCs w:val="14"/>
                <w:color w:val="auto"/>
              </w:rPr>
              <w:t>$538,877</w:t>
            </w:r>
          </w:p>
        </w:tc>
        <w:tc>
          <w:tcPr>
            <w:tcW w:w="1260" w:type="dxa"/>
            <w:vAlign w:val="bottom"/>
            <w:shd w:val="clear" w:color="auto" w:fill="F2F2F2"/>
          </w:tcPr>
          <w:p>
            <w:pPr>
              <w:jc w:val="right"/>
              <w:ind w:right="68"/>
              <w:spacing w:after="0"/>
              <w:rPr>
                <w:sz w:val="20"/>
                <w:szCs w:val="20"/>
                <w:color w:val="auto"/>
              </w:rPr>
            </w:pPr>
            <w:r>
              <w:rPr>
                <w:rFonts w:ascii="Arial" w:cs="Arial" w:eastAsia="Arial" w:hAnsi="Arial"/>
                <w:sz w:val="14"/>
                <w:szCs w:val="14"/>
                <w:color w:val="auto"/>
              </w:rPr>
              <w:t>$38,042</w:t>
            </w:r>
          </w:p>
        </w:tc>
        <w:tc>
          <w:tcPr>
            <w:tcW w:w="1200" w:type="dxa"/>
            <w:vAlign w:val="bottom"/>
            <w:shd w:val="clear" w:color="auto" w:fill="F2F2F2"/>
          </w:tcPr>
          <w:p>
            <w:pPr>
              <w:jc w:val="right"/>
              <w:ind w:right="8"/>
              <w:spacing w:after="0"/>
              <w:rPr>
                <w:sz w:val="20"/>
                <w:szCs w:val="20"/>
                <w:color w:val="auto"/>
              </w:rPr>
            </w:pPr>
            <w:r>
              <w:rPr>
                <w:rFonts w:ascii="Arial" w:cs="Arial" w:eastAsia="Arial" w:hAnsi="Arial"/>
                <w:sz w:val="14"/>
                <w:szCs w:val="14"/>
                <w:color w:val="auto"/>
              </w:rPr>
              <w:t>$4,961,459</w:t>
            </w:r>
          </w:p>
        </w:tc>
        <w:tc>
          <w:tcPr>
            <w:tcW w:w="0" w:type="dxa"/>
            <w:vAlign w:val="bottom"/>
          </w:tcPr>
          <w:p>
            <w:pPr>
              <w:spacing w:after="0"/>
              <w:rPr>
                <w:sz w:val="1"/>
                <w:szCs w:val="1"/>
                <w:color w:val="auto"/>
              </w:rPr>
            </w:pPr>
          </w:p>
        </w:tc>
      </w:tr>
      <w:tr>
        <w:trPr>
          <w:trHeight w:val="214"/>
        </w:trPr>
        <w:tc>
          <w:tcPr>
            <w:tcW w:w="1080" w:type="dxa"/>
            <w:vAlign w:val="bottom"/>
            <w:shd w:val="clear" w:color="auto" w:fill="F2F2F2"/>
          </w:tcPr>
          <w:p>
            <w:pPr>
              <w:ind w:left="20"/>
              <w:spacing w:after="0"/>
              <w:rPr>
                <w:sz w:val="20"/>
                <w:szCs w:val="20"/>
                <w:color w:val="auto"/>
              </w:rPr>
            </w:pPr>
            <w:r>
              <w:rPr>
                <w:rFonts w:ascii="Arial" w:cs="Arial" w:eastAsia="Arial" w:hAnsi="Arial"/>
                <w:sz w:val="14"/>
                <w:szCs w:val="14"/>
                <w:color w:val="auto"/>
              </w:rPr>
              <w:t>Ashkenazi</w:t>
            </w:r>
            <w:r>
              <w:rPr>
                <w:rFonts w:ascii="Arial" w:cs="Arial" w:eastAsia="Arial" w:hAnsi="Arial"/>
                <w:sz w:val="18"/>
                <w:szCs w:val="18"/>
                <w:color w:val="auto"/>
                <w:vertAlign w:val="superscript"/>
              </w:rPr>
              <w:t>6</w:t>
            </w:r>
          </w:p>
        </w:tc>
        <w:tc>
          <w:tcPr>
            <w:tcW w:w="420" w:type="dxa"/>
            <w:vAlign w:val="bottom"/>
            <w:shd w:val="clear" w:color="auto" w:fill="F2F2F2"/>
          </w:tcPr>
          <w:p>
            <w:pPr>
              <w:spacing w:after="0"/>
              <w:rPr>
                <w:sz w:val="18"/>
                <w:szCs w:val="18"/>
                <w:color w:val="auto"/>
              </w:rPr>
            </w:pPr>
          </w:p>
        </w:tc>
        <w:tc>
          <w:tcPr>
            <w:tcW w:w="980" w:type="dxa"/>
            <w:vAlign w:val="bottom"/>
            <w:shd w:val="clear" w:color="auto" w:fill="F2F2F2"/>
          </w:tcPr>
          <w:p>
            <w:pPr>
              <w:spacing w:after="0"/>
              <w:rPr>
                <w:sz w:val="18"/>
                <w:szCs w:val="18"/>
                <w:color w:val="auto"/>
              </w:rPr>
            </w:pPr>
          </w:p>
        </w:tc>
        <w:tc>
          <w:tcPr>
            <w:tcW w:w="720" w:type="dxa"/>
            <w:vAlign w:val="bottom"/>
            <w:shd w:val="clear" w:color="auto" w:fill="F2F2F2"/>
          </w:tcPr>
          <w:p>
            <w:pPr>
              <w:spacing w:after="0"/>
              <w:rPr>
                <w:sz w:val="18"/>
                <w:szCs w:val="18"/>
                <w:color w:val="auto"/>
              </w:rPr>
            </w:pPr>
          </w:p>
        </w:tc>
        <w:tc>
          <w:tcPr>
            <w:tcW w:w="160" w:type="dxa"/>
            <w:vAlign w:val="bottom"/>
            <w:shd w:val="clear" w:color="auto" w:fill="F2F2F2"/>
          </w:tcPr>
          <w:p>
            <w:pPr>
              <w:spacing w:after="0"/>
              <w:rPr>
                <w:sz w:val="18"/>
                <w:szCs w:val="18"/>
                <w:color w:val="auto"/>
              </w:rPr>
            </w:pPr>
          </w:p>
        </w:tc>
        <w:tc>
          <w:tcPr>
            <w:tcW w:w="960" w:type="dxa"/>
            <w:vAlign w:val="bottom"/>
            <w:shd w:val="clear" w:color="auto" w:fill="F2F2F2"/>
          </w:tcPr>
          <w:p>
            <w:pPr>
              <w:spacing w:after="0"/>
              <w:rPr>
                <w:sz w:val="18"/>
                <w:szCs w:val="18"/>
                <w:color w:val="auto"/>
              </w:rPr>
            </w:pPr>
          </w:p>
        </w:tc>
        <w:tc>
          <w:tcPr>
            <w:tcW w:w="1280" w:type="dxa"/>
            <w:vAlign w:val="bottom"/>
            <w:shd w:val="clear" w:color="auto" w:fill="F2F2F2"/>
          </w:tcPr>
          <w:p>
            <w:pPr>
              <w:spacing w:after="0"/>
              <w:rPr>
                <w:sz w:val="18"/>
                <w:szCs w:val="18"/>
                <w:color w:val="auto"/>
              </w:rPr>
            </w:pPr>
          </w:p>
        </w:tc>
        <w:tc>
          <w:tcPr>
            <w:tcW w:w="980" w:type="dxa"/>
            <w:vAlign w:val="bottom"/>
            <w:shd w:val="clear" w:color="auto" w:fill="F2F2F2"/>
          </w:tcPr>
          <w:p>
            <w:pPr>
              <w:spacing w:after="0"/>
              <w:rPr>
                <w:sz w:val="18"/>
                <w:szCs w:val="18"/>
                <w:color w:val="auto"/>
              </w:rPr>
            </w:pPr>
          </w:p>
        </w:tc>
        <w:tc>
          <w:tcPr>
            <w:tcW w:w="1260" w:type="dxa"/>
            <w:vAlign w:val="bottom"/>
            <w:shd w:val="clear" w:color="auto" w:fill="F2F2F2"/>
          </w:tcPr>
          <w:p>
            <w:pPr>
              <w:spacing w:after="0"/>
              <w:rPr>
                <w:sz w:val="18"/>
                <w:szCs w:val="18"/>
                <w:color w:val="auto"/>
              </w:rPr>
            </w:pPr>
          </w:p>
        </w:tc>
        <w:tc>
          <w:tcPr>
            <w:tcW w:w="1200" w:type="dxa"/>
            <w:vAlign w:val="bottom"/>
            <w:shd w:val="clear" w:color="auto" w:fill="F2F2F2"/>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1080" w:type="dxa"/>
            <w:vAlign w:val="bottom"/>
            <w:shd w:val="clear" w:color="auto" w:fill="F2F2F2"/>
          </w:tcPr>
          <w:p>
            <w:pPr>
              <w:ind w:left="20"/>
              <w:spacing w:after="0"/>
              <w:rPr>
                <w:sz w:val="20"/>
                <w:szCs w:val="20"/>
                <w:color w:val="auto"/>
              </w:rPr>
            </w:pPr>
            <w:r>
              <w:rPr>
                <w:rFonts w:ascii="Arial" w:cs="Arial" w:eastAsia="Arial" w:hAnsi="Arial"/>
                <w:sz w:val="14"/>
                <w:szCs w:val="14"/>
                <w:color w:val="auto"/>
              </w:rPr>
              <w:t>Executive Vice</w:t>
            </w:r>
          </w:p>
        </w:tc>
        <w:tc>
          <w:tcPr>
            <w:tcW w:w="420" w:type="dxa"/>
            <w:vAlign w:val="bottom"/>
            <w:shd w:val="clear" w:color="auto" w:fill="F2F2F2"/>
          </w:tcPr>
          <w:p>
            <w:pPr>
              <w:ind w:left="60"/>
              <w:spacing w:after="0"/>
              <w:rPr>
                <w:sz w:val="20"/>
                <w:szCs w:val="20"/>
                <w:color w:val="auto"/>
              </w:rPr>
            </w:pPr>
            <w:r>
              <w:rPr>
                <w:rFonts w:ascii="Arial" w:cs="Arial" w:eastAsia="Arial" w:hAnsi="Arial"/>
                <w:sz w:val="14"/>
                <w:szCs w:val="14"/>
                <w:color w:val="auto"/>
              </w:rPr>
              <w:t>2023</w:t>
            </w:r>
          </w:p>
        </w:tc>
        <w:tc>
          <w:tcPr>
            <w:tcW w:w="980" w:type="dxa"/>
            <w:vAlign w:val="bottom"/>
            <w:shd w:val="clear" w:color="auto" w:fill="F2F2F2"/>
          </w:tcPr>
          <w:p>
            <w:pPr>
              <w:jc w:val="right"/>
              <w:ind w:right="68"/>
              <w:spacing w:after="0"/>
              <w:rPr>
                <w:sz w:val="20"/>
                <w:szCs w:val="20"/>
                <w:color w:val="auto"/>
              </w:rPr>
            </w:pPr>
            <w:r>
              <w:rPr>
                <w:rFonts w:ascii="Arial" w:cs="Arial" w:eastAsia="Arial" w:hAnsi="Arial"/>
                <w:sz w:val="14"/>
                <w:szCs w:val="14"/>
                <w:color w:val="auto"/>
              </w:rPr>
              <w:t>$1,030,769</w:t>
            </w:r>
          </w:p>
        </w:tc>
        <w:tc>
          <w:tcPr>
            <w:tcW w:w="720" w:type="dxa"/>
            <w:vAlign w:val="bottom"/>
            <w:shd w:val="clear" w:color="auto" w:fill="F2F2F2"/>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shd w:val="clear" w:color="auto" w:fill="F2F2F2"/>
          </w:tcPr>
          <w:p>
            <w:pPr>
              <w:spacing w:after="0"/>
              <w:rPr>
                <w:sz w:val="16"/>
                <w:szCs w:val="16"/>
                <w:color w:val="auto"/>
              </w:rPr>
            </w:pPr>
          </w:p>
        </w:tc>
        <w:tc>
          <w:tcPr>
            <w:tcW w:w="960" w:type="dxa"/>
            <w:vAlign w:val="bottom"/>
            <w:shd w:val="clear" w:color="auto" w:fill="F2F2F2"/>
          </w:tcPr>
          <w:p>
            <w:pPr>
              <w:jc w:val="right"/>
              <w:ind w:right="48"/>
              <w:spacing w:after="0"/>
              <w:rPr>
                <w:sz w:val="20"/>
                <w:szCs w:val="20"/>
                <w:color w:val="auto"/>
              </w:rPr>
            </w:pPr>
            <w:r>
              <w:rPr>
                <w:rFonts w:ascii="Arial" w:cs="Arial" w:eastAsia="Arial" w:hAnsi="Arial"/>
                <w:sz w:val="14"/>
                <w:szCs w:val="14"/>
                <w:color w:val="auto"/>
              </w:rPr>
              <w:t>$3,689,000</w:t>
            </w:r>
          </w:p>
        </w:tc>
        <w:tc>
          <w:tcPr>
            <w:tcW w:w="1280" w:type="dxa"/>
            <w:vAlign w:val="bottom"/>
            <w:shd w:val="clear" w:color="auto" w:fill="F2F2F2"/>
          </w:tcPr>
          <w:p>
            <w:pPr>
              <w:jc w:val="right"/>
              <w:ind w:right="88"/>
              <w:spacing w:after="0"/>
              <w:rPr>
                <w:sz w:val="20"/>
                <w:szCs w:val="20"/>
                <w:color w:val="auto"/>
              </w:rPr>
            </w:pPr>
            <w:r>
              <w:rPr>
                <w:rFonts w:ascii="Arial" w:cs="Arial" w:eastAsia="Arial" w:hAnsi="Arial"/>
                <w:sz w:val="14"/>
                <w:szCs w:val="14"/>
                <w:color w:val="auto"/>
              </w:rPr>
              <w:t>$1,865,692</w:t>
            </w:r>
          </w:p>
        </w:tc>
        <w:tc>
          <w:tcPr>
            <w:tcW w:w="980" w:type="dxa"/>
            <w:vAlign w:val="bottom"/>
            <w:shd w:val="clear" w:color="auto" w:fill="F2F2F2"/>
          </w:tcPr>
          <w:p>
            <w:pPr>
              <w:jc w:val="right"/>
              <w:ind w:right="48"/>
              <w:spacing w:after="0"/>
              <w:rPr>
                <w:sz w:val="20"/>
                <w:szCs w:val="20"/>
                <w:color w:val="auto"/>
              </w:rPr>
            </w:pPr>
            <w:r>
              <w:rPr>
                <w:rFonts w:ascii="Arial" w:cs="Arial" w:eastAsia="Arial" w:hAnsi="Arial"/>
                <w:sz w:val="14"/>
                <w:szCs w:val="14"/>
                <w:color w:val="auto"/>
              </w:rPr>
              <w:t>$951,950</w:t>
            </w:r>
          </w:p>
        </w:tc>
        <w:tc>
          <w:tcPr>
            <w:tcW w:w="1260" w:type="dxa"/>
            <w:vAlign w:val="bottom"/>
            <w:shd w:val="clear" w:color="auto" w:fill="F2F2F2"/>
          </w:tcPr>
          <w:p>
            <w:pPr>
              <w:jc w:val="right"/>
              <w:ind w:right="68"/>
              <w:spacing w:after="0"/>
              <w:rPr>
                <w:sz w:val="20"/>
                <w:szCs w:val="20"/>
                <w:color w:val="auto"/>
              </w:rPr>
            </w:pPr>
            <w:r>
              <w:rPr>
                <w:rFonts w:ascii="Arial" w:cs="Arial" w:eastAsia="Arial" w:hAnsi="Arial"/>
                <w:sz w:val="14"/>
                <w:szCs w:val="14"/>
                <w:color w:val="auto"/>
              </w:rPr>
              <w:t>$61,846</w:t>
            </w:r>
          </w:p>
        </w:tc>
        <w:tc>
          <w:tcPr>
            <w:tcW w:w="1200" w:type="dxa"/>
            <w:vAlign w:val="bottom"/>
            <w:shd w:val="clear" w:color="auto" w:fill="F2F2F2"/>
          </w:tcPr>
          <w:p>
            <w:pPr>
              <w:jc w:val="right"/>
              <w:ind w:right="8"/>
              <w:spacing w:after="0"/>
              <w:rPr>
                <w:sz w:val="20"/>
                <w:szCs w:val="20"/>
                <w:color w:val="auto"/>
              </w:rPr>
            </w:pPr>
            <w:r>
              <w:rPr>
                <w:rFonts w:ascii="Arial" w:cs="Arial" w:eastAsia="Arial" w:hAnsi="Arial"/>
                <w:sz w:val="14"/>
                <w:szCs w:val="14"/>
                <w:color w:val="auto"/>
              </w:rPr>
              <w:t>$7,599,257</w:t>
            </w:r>
          </w:p>
        </w:tc>
        <w:tc>
          <w:tcPr>
            <w:tcW w:w="0" w:type="dxa"/>
            <w:vAlign w:val="bottom"/>
          </w:tcPr>
          <w:p>
            <w:pPr>
              <w:spacing w:after="0"/>
              <w:rPr>
                <w:sz w:val="1"/>
                <w:szCs w:val="1"/>
                <w:color w:val="auto"/>
              </w:rPr>
            </w:pPr>
          </w:p>
        </w:tc>
      </w:tr>
      <w:tr>
        <w:trPr>
          <w:trHeight w:val="162"/>
        </w:trPr>
        <w:tc>
          <w:tcPr>
            <w:tcW w:w="1080" w:type="dxa"/>
            <w:vAlign w:val="bottom"/>
            <w:shd w:val="clear" w:color="auto" w:fill="F2F2F2"/>
          </w:tcPr>
          <w:p>
            <w:pPr>
              <w:ind w:left="20"/>
              <w:spacing w:after="0"/>
              <w:rPr>
                <w:sz w:val="20"/>
                <w:szCs w:val="20"/>
                <w:color w:val="auto"/>
              </w:rPr>
            </w:pPr>
            <w:r>
              <w:rPr>
                <w:rFonts w:ascii="Arial" w:cs="Arial" w:eastAsia="Arial" w:hAnsi="Arial"/>
                <w:sz w:val="14"/>
                <w:szCs w:val="14"/>
                <w:color w:val="auto"/>
              </w:rPr>
              <w:t>President and</w:t>
            </w:r>
          </w:p>
        </w:tc>
        <w:tc>
          <w:tcPr>
            <w:tcW w:w="420" w:type="dxa"/>
            <w:vAlign w:val="bottom"/>
            <w:shd w:val="clear" w:color="auto" w:fill="F2F2F2"/>
          </w:tcPr>
          <w:p>
            <w:pPr>
              <w:spacing w:after="0"/>
              <w:rPr>
                <w:sz w:val="14"/>
                <w:szCs w:val="14"/>
                <w:color w:val="auto"/>
              </w:rPr>
            </w:pPr>
          </w:p>
        </w:tc>
        <w:tc>
          <w:tcPr>
            <w:tcW w:w="980" w:type="dxa"/>
            <w:vAlign w:val="bottom"/>
            <w:shd w:val="clear" w:color="auto" w:fill="F2F2F2"/>
          </w:tcPr>
          <w:p>
            <w:pPr>
              <w:spacing w:after="0"/>
              <w:rPr>
                <w:sz w:val="14"/>
                <w:szCs w:val="14"/>
                <w:color w:val="auto"/>
              </w:rPr>
            </w:pPr>
          </w:p>
        </w:tc>
        <w:tc>
          <w:tcPr>
            <w:tcW w:w="720" w:type="dxa"/>
            <w:vAlign w:val="bottom"/>
            <w:shd w:val="clear" w:color="auto" w:fill="F2F2F2"/>
          </w:tcPr>
          <w:p>
            <w:pPr>
              <w:spacing w:after="0"/>
              <w:rPr>
                <w:sz w:val="14"/>
                <w:szCs w:val="14"/>
                <w:color w:val="auto"/>
              </w:rPr>
            </w:pPr>
          </w:p>
        </w:tc>
        <w:tc>
          <w:tcPr>
            <w:tcW w:w="160" w:type="dxa"/>
            <w:vAlign w:val="bottom"/>
            <w:shd w:val="clear" w:color="auto" w:fill="F2F2F2"/>
          </w:tcPr>
          <w:p>
            <w:pPr>
              <w:spacing w:after="0"/>
              <w:rPr>
                <w:sz w:val="14"/>
                <w:szCs w:val="14"/>
                <w:color w:val="auto"/>
              </w:rPr>
            </w:pPr>
          </w:p>
        </w:tc>
        <w:tc>
          <w:tcPr>
            <w:tcW w:w="960" w:type="dxa"/>
            <w:vAlign w:val="bottom"/>
            <w:shd w:val="clear" w:color="auto" w:fill="F2F2F2"/>
          </w:tcPr>
          <w:p>
            <w:pPr>
              <w:spacing w:after="0"/>
              <w:rPr>
                <w:sz w:val="14"/>
                <w:szCs w:val="14"/>
                <w:color w:val="auto"/>
              </w:rPr>
            </w:pPr>
          </w:p>
        </w:tc>
        <w:tc>
          <w:tcPr>
            <w:tcW w:w="1280" w:type="dxa"/>
            <w:vAlign w:val="bottom"/>
            <w:shd w:val="clear" w:color="auto" w:fill="F2F2F2"/>
          </w:tcPr>
          <w:p>
            <w:pPr>
              <w:spacing w:after="0"/>
              <w:rPr>
                <w:sz w:val="14"/>
                <w:szCs w:val="14"/>
                <w:color w:val="auto"/>
              </w:rPr>
            </w:pPr>
          </w:p>
        </w:tc>
        <w:tc>
          <w:tcPr>
            <w:tcW w:w="980" w:type="dxa"/>
            <w:vAlign w:val="bottom"/>
            <w:shd w:val="clear" w:color="auto" w:fill="F2F2F2"/>
          </w:tcPr>
          <w:p>
            <w:pPr>
              <w:spacing w:after="0"/>
              <w:rPr>
                <w:sz w:val="14"/>
                <w:szCs w:val="14"/>
                <w:color w:val="auto"/>
              </w:rPr>
            </w:pPr>
          </w:p>
        </w:tc>
        <w:tc>
          <w:tcPr>
            <w:tcW w:w="1260" w:type="dxa"/>
            <w:vAlign w:val="bottom"/>
            <w:shd w:val="clear" w:color="auto" w:fill="F2F2F2"/>
          </w:tcPr>
          <w:p>
            <w:pPr>
              <w:spacing w:after="0"/>
              <w:rPr>
                <w:sz w:val="14"/>
                <w:szCs w:val="14"/>
                <w:color w:val="auto"/>
              </w:rPr>
            </w:pPr>
          </w:p>
        </w:tc>
        <w:tc>
          <w:tcPr>
            <w:tcW w:w="1200" w:type="dxa"/>
            <w:vAlign w:val="bottom"/>
            <w:shd w:val="clear" w:color="auto" w:fill="F2F2F2"/>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080" w:type="dxa"/>
            <w:vAlign w:val="bottom"/>
            <w:shd w:val="clear" w:color="auto" w:fill="F2F2F2"/>
          </w:tcPr>
          <w:p>
            <w:pPr>
              <w:ind w:left="20"/>
              <w:spacing w:after="0"/>
              <w:rPr>
                <w:sz w:val="20"/>
                <w:szCs w:val="20"/>
                <w:color w:val="auto"/>
              </w:rPr>
            </w:pPr>
            <w:r>
              <w:rPr>
                <w:rFonts w:ascii="Arial" w:cs="Arial" w:eastAsia="Arial" w:hAnsi="Arial"/>
                <w:sz w:val="14"/>
                <w:szCs w:val="14"/>
                <w:color w:val="auto"/>
              </w:rPr>
              <w:t>Chief Financial</w:t>
            </w:r>
          </w:p>
        </w:tc>
        <w:tc>
          <w:tcPr>
            <w:tcW w:w="420" w:type="dxa"/>
            <w:vAlign w:val="bottom"/>
            <w:shd w:val="clear" w:color="auto" w:fill="F2F2F2"/>
          </w:tcPr>
          <w:p>
            <w:pPr>
              <w:ind w:left="60"/>
              <w:spacing w:after="0"/>
              <w:rPr>
                <w:sz w:val="20"/>
                <w:szCs w:val="20"/>
                <w:color w:val="auto"/>
              </w:rPr>
            </w:pPr>
            <w:r>
              <w:rPr>
                <w:rFonts w:ascii="Arial" w:cs="Arial" w:eastAsia="Arial" w:hAnsi="Arial"/>
                <w:sz w:val="14"/>
                <w:szCs w:val="14"/>
                <w:color w:val="auto"/>
              </w:rPr>
              <w:t>2022</w:t>
            </w:r>
          </w:p>
        </w:tc>
        <w:tc>
          <w:tcPr>
            <w:tcW w:w="980" w:type="dxa"/>
            <w:vAlign w:val="bottom"/>
            <w:shd w:val="clear" w:color="auto" w:fill="F2F2F2"/>
          </w:tcPr>
          <w:p>
            <w:pPr>
              <w:jc w:val="right"/>
              <w:ind w:right="68"/>
              <w:spacing w:after="0"/>
              <w:rPr>
                <w:sz w:val="20"/>
                <w:szCs w:val="20"/>
                <w:color w:val="auto"/>
              </w:rPr>
            </w:pPr>
            <w:r>
              <w:rPr>
                <w:rFonts w:ascii="Arial" w:cs="Arial" w:eastAsia="Arial" w:hAnsi="Arial"/>
                <w:sz w:val="14"/>
                <w:szCs w:val="14"/>
                <w:color w:val="auto"/>
              </w:rPr>
              <w:t>$940,385</w:t>
            </w:r>
          </w:p>
        </w:tc>
        <w:tc>
          <w:tcPr>
            <w:tcW w:w="720" w:type="dxa"/>
            <w:vAlign w:val="bottom"/>
            <w:shd w:val="clear" w:color="auto" w:fill="F2F2F2"/>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shd w:val="clear" w:color="auto" w:fill="F2F2F2"/>
          </w:tcPr>
          <w:p>
            <w:pPr>
              <w:spacing w:after="0"/>
              <w:rPr>
                <w:sz w:val="16"/>
                <w:szCs w:val="16"/>
                <w:color w:val="auto"/>
              </w:rPr>
            </w:pPr>
          </w:p>
        </w:tc>
        <w:tc>
          <w:tcPr>
            <w:tcW w:w="960" w:type="dxa"/>
            <w:vAlign w:val="bottom"/>
            <w:shd w:val="clear" w:color="auto" w:fill="F2F2F2"/>
          </w:tcPr>
          <w:p>
            <w:pPr>
              <w:jc w:val="right"/>
              <w:ind w:right="48"/>
              <w:spacing w:after="0"/>
              <w:rPr>
                <w:sz w:val="20"/>
                <w:szCs w:val="20"/>
                <w:color w:val="auto"/>
              </w:rPr>
            </w:pPr>
            <w:r>
              <w:rPr>
                <w:rFonts w:ascii="Arial" w:cs="Arial" w:eastAsia="Arial" w:hAnsi="Arial"/>
                <w:sz w:val="14"/>
                <w:szCs w:val="14"/>
                <w:color w:val="auto"/>
              </w:rPr>
              <w:t>$3,135,000</w:t>
            </w:r>
          </w:p>
        </w:tc>
        <w:tc>
          <w:tcPr>
            <w:tcW w:w="1280" w:type="dxa"/>
            <w:vAlign w:val="bottom"/>
            <w:shd w:val="clear" w:color="auto" w:fill="F2F2F2"/>
          </w:tcPr>
          <w:p>
            <w:pPr>
              <w:jc w:val="right"/>
              <w:ind w:right="88"/>
              <w:spacing w:after="0"/>
              <w:rPr>
                <w:sz w:val="20"/>
                <w:szCs w:val="20"/>
                <w:color w:val="auto"/>
              </w:rPr>
            </w:pPr>
            <w:r>
              <w:rPr>
                <w:rFonts w:ascii="Arial" w:cs="Arial" w:eastAsia="Arial" w:hAnsi="Arial"/>
                <w:sz w:val="14"/>
                <w:szCs w:val="14"/>
                <w:color w:val="auto"/>
              </w:rPr>
              <w:t>$1,128,462</w:t>
            </w:r>
          </w:p>
        </w:tc>
        <w:tc>
          <w:tcPr>
            <w:tcW w:w="980" w:type="dxa"/>
            <w:vAlign w:val="bottom"/>
            <w:shd w:val="clear" w:color="auto" w:fill="F2F2F2"/>
          </w:tcPr>
          <w:p>
            <w:pPr>
              <w:jc w:val="right"/>
              <w:ind w:right="48"/>
              <w:spacing w:after="0"/>
              <w:rPr>
                <w:sz w:val="20"/>
                <w:szCs w:val="20"/>
                <w:color w:val="auto"/>
              </w:rPr>
            </w:pPr>
            <w:r>
              <w:rPr>
                <w:rFonts w:ascii="Arial" w:cs="Arial" w:eastAsia="Arial" w:hAnsi="Arial"/>
                <w:sz w:val="14"/>
                <w:szCs w:val="14"/>
                <w:color w:val="auto"/>
              </w:rPr>
              <w:t>—</w:t>
            </w:r>
          </w:p>
        </w:tc>
        <w:tc>
          <w:tcPr>
            <w:tcW w:w="1260" w:type="dxa"/>
            <w:vAlign w:val="bottom"/>
            <w:shd w:val="clear" w:color="auto" w:fill="F2F2F2"/>
          </w:tcPr>
          <w:p>
            <w:pPr>
              <w:jc w:val="right"/>
              <w:ind w:right="68"/>
              <w:spacing w:after="0"/>
              <w:rPr>
                <w:sz w:val="20"/>
                <w:szCs w:val="20"/>
                <w:color w:val="auto"/>
              </w:rPr>
            </w:pPr>
            <w:r>
              <w:rPr>
                <w:rFonts w:ascii="Arial" w:cs="Arial" w:eastAsia="Arial" w:hAnsi="Arial"/>
                <w:sz w:val="14"/>
                <w:szCs w:val="14"/>
                <w:color w:val="auto"/>
              </w:rPr>
              <w:t>$56,423</w:t>
            </w:r>
          </w:p>
        </w:tc>
        <w:tc>
          <w:tcPr>
            <w:tcW w:w="1200" w:type="dxa"/>
            <w:vAlign w:val="bottom"/>
            <w:shd w:val="clear" w:color="auto" w:fill="F2F2F2"/>
          </w:tcPr>
          <w:p>
            <w:pPr>
              <w:jc w:val="right"/>
              <w:ind w:right="8"/>
              <w:spacing w:after="0"/>
              <w:rPr>
                <w:sz w:val="20"/>
                <w:szCs w:val="20"/>
                <w:color w:val="auto"/>
              </w:rPr>
            </w:pPr>
            <w:r>
              <w:rPr>
                <w:rFonts w:ascii="Arial" w:cs="Arial" w:eastAsia="Arial" w:hAnsi="Arial"/>
                <w:sz w:val="14"/>
                <w:szCs w:val="14"/>
                <w:color w:val="auto"/>
              </w:rPr>
              <w:t>$5,260,270</w:t>
            </w:r>
          </w:p>
        </w:tc>
        <w:tc>
          <w:tcPr>
            <w:tcW w:w="0" w:type="dxa"/>
            <w:vAlign w:val="bottom"/>
          </w:tcPr>
          <w:p>
            <w:pPr>
              <w:spacing w:after="0"/>
              <w:rPr>
                <w:sz w:val="1"/>
                <w:szCs w:val="1"/>
                <w:color w:val="auto"/>
              </w:rPr>
            </w:pPr>
          </w:p>
        </w:tc>
      </w:tr>
      <w:tr>
        <w:trPr>
          <w:trHeight w:val="196"/>
        </w:trPr>
        <w:tc>
          <w:tcPr>
            <w:tcW w:w="108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4"/>
                <w:szCs w:val="14"/>
                <w:color w:val="auto"/>
              </w:rPr>
              <w:t>Officer</w:t>
            </w:r>
          </w:p>
        </w:tc>
        <w:tc>
          <w:tcPr>
            <w:tcW w:w="420" w:type="dxa"/>
            <w:vAlign w:val="bottom"/>
            <w:tcBorders>
              <w:bottom w:val="single" w:sz="8" w:color="F2F2F2"/>
            </w:tcBorders>
            <w:shd w:val="clear" w:color="auto" w:fill="F2F2F2"/>
          </w:tcPr>
          <w:p>
            <w:pPr>
              <w:spacing w:after="0"/>
              <w:rPr>
                <w:sz w:val="17"/>
                <w:szCs w:val="17"/>
                <w:color w:val="auto"/>
              </w:rPr>
            </w:pPr>
          </w:p>
        </w:tc>
        <w:tc>
          <w:tcPr>
            <w:tcW w:w="980" w:type="dxa"/>
            <w:vAlign w:val="bottom"/>
            <w:tcBorders>
              <w:bottom w:val="single" w:sz="8" w:color="F2F2F2"/>
            </w:tcBorders>
            <w:shd w:val="clear" w:color="auto" w:fill="F2F2F2"/>
          </w:tcPr>
          <w:p>
            <w:pPr>
              <w:spacing w:after="0"/>
              <w:rPr>
                <w:sz w:val="17"/>
                <w:szCs w:val="17"/>
                <w:color w:val="auto"/>
              </w:rPr>
            </w:pPr>
          </w:p>
        </w:tc>
        <w:tc>
          <w:tcPr>
            <w:tcW w:w="720" w:type="dxa"/>
            <w:vAlign w:val="bottom"/>
            <w:tcBorders>
              <w:bottom w:val="single" w:sz="8" w:color="F2F2F2"/>
            </w:tcBorders>
            <w:shd w:val="clear" w:color="auto" w:fill="F2F2F2"/>
          </w:tcPr>
          <w:p>
            <w:pPr>
              <w:spacing w:after="0"/>
              <w:rPr>
                <w:sz w:val="17"/>
                <w:szCs w:val="17"/>
                <w:color w:val="auto"/>
              </w:rPr>
            </w:pPr>
          </w:p>
        </w:tc>
        <w:tc>
          <w:tcPr>
            <w:tcW w:w="160" w:type="dxa"/>
            <w:vAlign w:val="bottom"/>
            <w:tcBorders>
              <w:bottom w:val="single" w:sz="8" w:color="F2F2F2"/>
            </w:tcBorders>
            <w:shd w:val="clear" w:color="auto" w:fill="F2F2F2"/>
          </w:tcPr>
          <w:p>
            <w:pPr>
              <w:spacing w:after="0"/>
              <w:rPr>
                <w:sz w:val="17"/>
                <w:szCs w:val="17"/>
                <w:color w:val="auto"/>
              </w:rPr>
            </w:pPr>
          </w:p>
        </w:tc>
        <w:tc>
          <w:tcPr>
            <w:tcW w:w="960" w:type="dxa"/>
            <w:vAlign w:val="bottom"/>
            <w:tcBorders>
              <w:bottom w:val="single" w:sz="8" w:color="F2F2F2"/>
            </w:tcBorders>
            <w:shd w:val="clear" w:color="auto" w:fill="F2F2F2"/>
          </w:tcPr>
          <w:p>
            <w:pPr>
              <w:spacing w:after="0"/>
              <w:rPr>
                <w:sz w:val="17"/>
                <w:szCs w:val="17"/>
                <w:color w:val="auto"/>
              </w:rPr>
            </w:pPr>
          </w:p>
        </w:tc>
        <w:tc>
          <w:tcPr>
            <w:tcW w:w="1280" w:type="dxa"/>
            <w:vAlign w:val="bottom"/>
            <w:tcBorders>
              <w:bottom w:val="single" w:sz="8" w:color="F2F2F2"/>
            </w:tcBorders>
            <w:shd w:val="clear" w:color="auto" w:fill="F2F2F2"/>
          </w:tcPr>
          <w:p>
            <w:pPr>
              <w:spacing w:after="0"/>
              <w:rPr>
                <w:sz w:val="17"/>
                <w:szCs w:val="17"/>
                <w:color w:val="auto"/>
              </w:rPr>
            </w:pPr>
          </w:p>
        </w:tc>
        <w:tc>
          <w:tcPr>
            <w:tcW w:w="980" w:type="dxa"/>
            <w:vAlign w:val="bottom"/>
            <w:tcBorders>
              <w:bottom w:val="single" w:sz="8" w:color="F2F2F2"/>
            </w:tcBorders>
            <w:shd w:val="clear" w:color="auto" w:fill="F2F2F2"/>
          </w:tcPr>
          <w:p>
            <w:pPr>
              <w:spacing w:after="0"/>
              <w:rPr>
                <w:sz w:val="17"/>
                <w:szCs w:val="17"/>
                <w:color w:val="auto"/>
              </w:rPr>
            </w:pPr>
          </w:p>
        </w:tc>
        <w:tc>
          <w:tcPr>
            <w:tcW w:w="1260" w:type="dxa"/>
            <w:vAlign w:val="bottom"/>
            <w:tcBorders>
              <w:bottom w:val="single" w:sz="8" w:color="F2F2F2"/>
            </w:tcBorders>
            <w:shd w:val="clear" w:color="auto" w:fill="F2F2F2"/>
          </w:tcPr>
          <w:p>
            <w:pPr>
              <w:spacing w:after="0"/>
              <w:rPr>
                <w:sz w:val="17"/>
                <w:szCs w:val="17"/>
                <w:color w:val="auto"/>
              </w:rPr>
            </w:pPr>
          </w:p>
        </w:tc>
        <w:tc>
          <w:tcPr>
            <w:tcW w:w="1200" w:type="dxa"/>
            <w:vAlign w:val="bottom"/>
            <w:tcBorders>
              <w:bottom w:val="single" w:sz="8" w:color="F2F2F2"/>
            </w:tcBorders>
            <w:shd w:val="clear" w:color="auto" w:fill="F2F2F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ind w:left="180" w:hanging="172"/>
        <w:spacing w:after="0"/>
        <w:tabs>
          <w:tab w:leader="none" w:pos="174" w:val="left"/>
        </w:tabs>
        <w:numPr>
          <w:ilvl w:val="0"/>
          <w:numId w:val="141"/>
        </w:numPr>
        <w:rPr>
          <w:rFonts w:ascii="Arial" w:cs="Arial" w:eastAsia="Arial" w:hAnsi="Arial"/>
          <w:sz w:val="19"/>
          <w:szCs w:val="19"/>
          <w:color w:val="auto"/>
          <w:vertAlign w:val="superscript"/>
        </w:rPr>
      </w:pPr>
      <w:r>
        <w:rPr>
          <w:rFonts w:ascii="Arial" w:cs="Arial" w:eastAsia="Arial" w:hAnsi="Arial"/>
          <w:sz w:val="14"/>
          <w:szCs w:val="14"/>
          <w:color w:val="auto"/>
        </w:rPr>
        <w:t>This column includes the grant date fair value of all equity awards granted to named executive officers computed in accordance with FASB ASC Topic 718. See Note 12 of the consolidated financial statements in the company’s Annual Report on Form 10-K for the fiscal year ended December 31, 2024, for additional detail regarding assumptions underlying the valuation of equity awards. All values in the “Stock Awards” column were based upon the probable outcome of performance conditions as of the grant date, which vary year to year.</w:t>
      </w:r>
    </w:p>
    <w:p>
      <w:pPr>
        <w:spacing w:after="0" w:line="41" w:lineRule="exact"/>
        <w:rPr>
          <w:rFonts w:ascii="Arial" w:cs="Arial" w:eastAsia="Arial" w:hAnsi="Arial"/>
          <w:sz w:val="19"/>
          <w:szCs w:val="19"/>
          <w:color w:val="auto"/>
          <w:vertAlign w:val="superscript"/>
        </w:rPr>
      </w:pPr>
    </w:p>
    <w:p>
      <w:pPr>
        <w:ind w:left="180" w:right="40"/>
        <w:spacing w:after="0" w:line="273" w:lineRule="auto"/>
        <w:rPr>
          <w:rFonts w:ascii="Arial" w:cs="Arial" w:eastAsia="Arial" w:hAnsi="Arial"/>
          <w:sz w:val="19"/>
          <w:szCs w:val="19"/>
          <w:color w:val="auto"/>
          <w:vertAlign w:val="superscript"/>
        </w:rPr>
      </w:pPr>
      <w:r>
        <w:rPr>
          <w:rFonts w:ascii="Arial" w:cs="Arial" w:eastAsia="Arial" w:hAnsi="Arial"/>
          <w:sz w:val="14"/>
          <w:szCs w:val="14"/>
          <w:color w:val="auto"/>
        </w:rPr>
        <w:t>The table below shows the target and maximum payouts (valuing the number of shares that would vest at each payout level using the grant date fair value) for the 2024-2026 shareholder value award and the 2024-2026 relative value award, each of which are included in the Summary Compensation Table above. All awards below will pay out in February 2027 and have a minimum payout of $0.</w:t>
      </w:r>
    </w:p>
    <w:p>
      <w:pPr>
        <w:sectPr>
          <w:pgSz w:w="11900" w:h="16838" w:orient="portrait"/>
          <w:cols w:equalWidth="0" w:num="1">
            <w:col w:w="11220"/>
          </w:cols>
          <w:pgMar w:left="320" w:top="1135" w:right="359" w:bottom="1440" w:gutter="0" w:footer="0" w:header="0"/>
        </w:sect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94615</wp:posOffset>
            </wp:positionV>
            <wp:extent cx="7157720" cy="42545"/>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5" w:right="359" w:bottom="1440" w:gutter="0" w:footer="0" w:header="0"/>
          <w:type w:val="continuous"/>
        </w:sectPr>
      </w:pPr>
    </w:p>
    <w:bookmarkStart w:id="66" w:name="page67"/>
    <w:bookmarkEnd w:id="66"/>
    <w:tbl>
      <w:tblPr>
        <w:tblLayout w:type="fixed"/>
        <w:tblInd w:w="660" w:type="dxa"/>
        <w:tblCellMar>
          <w:top w:w="0" w:type="dxa"/>
          <w:left w:w="0" w:type="dxa"/>
          <w:bottom w:w="0" w:type="dxa"/>
          <w:right w:w="0" w:type="dxa"/>
        </w:tblCellMar>
      </w:tblPr>
      <w:tr>
        <w:trPr>
          <w:trHeight w:val="205"/>
        </w:trPr>
        <w:tc>
          <w:tcPr>
            <w:tcW w:w="156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gridSpan w:val="2"/>
          </w:tcPr>
          <w:p>
            <w:pPr>
              <w:jc w:val="right"/>
              <w:ind w:right="648"/>
              <w:spacing w:after="0"/>
              <w:rPr>
                <w:sz w:val="20"/>
                <w:szCs w:val="20"/>
                <w:color w:val="auto"/>
              </w:rPr>
            </w:pPr>
            <w:r>
              <w:rPr>
                <w:rFonts w:ascii="Arial" w:cs="Arial" w:eastAsia="Arial" w:hAnsi="Arial"/>
                <w:sz w:val="14"/>
                <w:szCs w:val="14"/>
                <w:b w:val="1"/>
                <w:bCs w:val="1"/>
                <w:color w:val="auto"/>
              </w:rPr>
              <w:t>2024-2026 SVA</w:t>
            </w:r>
          </w:p>
        </w:tc>
        <w:tc>
          <w:tcPr>
            <w:tcW w:w="2120" w:type="dxa"/>
            <w:vAlign w:val="bottom"/>
            <w:tcBorders>
              <w:bottom w:val="single" w:sz="8" w:color="auto"/>
            </w:tcBorders>
            <w:gridSpan w:val="2"/>
          </w:tcPr>
          <w:p>
            <w:pPr>
              <w:jc w:val="right"/>
              <w:ind w:right="428"/>
              <w:spacing w:after="0"/>
              <w:rPr>
                <w:sz w:val="20"/>
                <w:szCs w:val="20"/>
                <w:color w:val="auto"/>
              </w:rPr>
            </w:pPr>
            <w:r>
              <w:rPr>
                <w:rFonts w:ascii="Arial" w:cs="Arial" w:eastAsia="Arial" w:hAnsi="Arial"/>
                <w:sz w:val="14"/>
                <w:szCs w:val="14"/>
                <w:b w:val="1"/>
                <w:bCs w:val="1"/>
                <w:color w:val="auto"/>
              </w:rPr>
              <w:t>2024-2026 RVA</w:t>
            </w:r>
          </w:p>
        </w:tc>
      </w:tr>
      <w:tr>
        <w:trPr>
          <w:trHeight w:val="237"/>
        </w:trPr>
        <w:tc>
          <w:tcPr>
            <w:tcW w:w="15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13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Target</w:t>
            </w:r>
          </w:p>
        </w:tc>
        <w:tc>
          <w:tcPr>
            <w:tcW w:w="12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Maximum</w:t>
            </w:r>
          </w:p>
        </w:tc>
        <w:tc>
          <w:tcPr>
            <w:tcW w:w="11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Target</w:t>
            </w:r>
          </w:p>
        </w:tc>
        <w:tc>
          <w:tcPr>
            <w:tcW w:w="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Maximum</w:t>
            </w:r>
          </w:p>
        </w:tc>
      </w:tr>
      <w:tr>
        <w:trPr>
          <w:trHeight w:val="223"/>
        </w:trPr>
        <w:tc>
          <w:tcPr>
            <w:tcW w:w="156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4"/>
                <w:szCs w:val="14"/>
                <w:color w:val="auto"/>
              </w:rPr>
              <w:t>Mr. Ricks</w:t>
            </w:r>
          </w:p>
        </w:tc>
        <w:tc>
          <w:tcPr>
            <w:tcW w:w="1320" w:type="dxa"/>
            <w:vAlign w:val="bottom"/>
            <w:tcBorders>
              <w:bottom w:val="single" w:sz="8" w:color="F2F2F2"/>
            </w:tcBorders>
            <w:shd w:val="clear" w:color="auto" w:fill="F2F2F2"/>
          </w:tcPr>
          <w:p>
            <w:pPr>
              <w:jc w:val="right"/>
              <w:ind w:right="48"/>
              <w:spacing w:after="0"/>
              <w:rPr>
                <w:sz w:val="20"/>
                <w:szCs w:val="20"/>
                <w:color w:val="auto"/>
              </w:rPr>
            </w:pPr>
            <w:r>
              <w:rPr>
                <w:rFonts w:ascii="Arial" w:cs="Arial" w:eastAsia="Arial" w:hAnsi="Arial"/>
                <w:sz w:val="14"/>
                <w:szCs w:val="14"/>
                <w:color w:val="auto"/>
              </w:rPr>
              <w:t>$9,875,000</w:t>
            </w:r>
          </w:p>
        </w:tc>
        <w:tc>
          <w:tcPr>
            <w:tcW w:w="1200" w:type="dxa"/>
            <w:vAlign w:val="bottom"/>
            <w:tcBorders>
              <w:bottom w:val="single" w:sz="8" w:color="F2F2F2"/>
            </w:tcBorders>
            <w:shd w:val="clear" w:color="auto" w:fill="F2F2F2"/>
          </w:tcPr>
          <w:p>
            <w:pPr>
              <w:jc w:val="right"/>
              <w:ind w:right="208"/>
              <w:spacing w:after="0"/>
              <w:rPr>
                <w:sz w:val="20"/>
                <w:szCs w:val="20"/>
                <w:color w:val="auto"/>
              </w:rPr>
            </w:pPr>
            <w:r>
              <w:rPr>
                <w:rFonts w:ascii="Arial" w:cs="Arial" w:eastAsia="Arial" w:hAnsi="Arial"/>
                <w:sz w:val="14"/>
                <w:szCs w:val="14"/>
                <w:color w:val="auto"/>
              </w:rPr>
              <w:t>$19,750,000</w:t>
            </w:r>
          </w:p>
        </w:tc>
        <w:tc>
          <w:tcPr>
            <w:tcW w:w="1140" w:type="dxa"/>
            <w:vAlign w:val="bottom"/>
            <w:tcBorders>
              <w:bottom w:val="single" w:sz="8" w:color="F2F2F2"/>
            </w:tcBorders>
            <w:shd w:val="clear" w:color="auto" w:fill="F2F2F2"/>
          </w:tcPr>
          <w:p>
            <w:pPr>
              <w:jc w:val="right"/>
              <w:ind w:right="48"/>
              <w:spacing w:after="0"/>
              <w:rPr>
                <w:sz w:val="20"/>
                <w:szCs w:val="20"/>
                <w:color w:val="auto"/>
              </w:rPr>
            </w:pPr>
            <w:r>
              <w:rPr>
                <w:rFonts w:ascii="Arial" w:cs="Arial" w:eastAsia="Arial" w:hAnsi="Arial"/>
                <w:sz w:val="14"/>
                <w:szCs w:val="14"/>
                <w:color w:val="auto"/>
              </w:rPr>
              <w:t>$9,875,000</w:t>
            </w:r>
          </w:p>
        </w:tc>
        <w:tc>
          <w:tcPr>
            <w:tcW w:w="980" w:type="dxa"/>
            <w:vAlign w:val="bottom"/>
            <w:tcBorders>
              <w:bottom w:val="single" w:sz="8" w:color="F2F2F2"/>
            </w:tcBorders>
            <w:shd w:val="clear" w:color="auto" w:fill="F2F2F2"/>
          </w:tcPr>
          <w:p>
            <w:pPr>
              <w:jc w:val="right"/>
              <w:ind w:right="8"/>
              <w:spacing w:after="0"/>
              <w:rPr>
                <w:sz w:val="20"/>
                <w:szCs w:val="20"/>
                <w:color w:val="auto"/>
              </w:rPr>
            </w:pPr>
            <w:r>
              <w:rPr>
                <w:rFonts w:ascii="Arial" w:cs="Arial" w:eastAsia="Arial" w:hAnsi="Arial"/>
                <w:sz w:val="14"/>
                <w:szCs w:val="14"/>
                <w:color w:val="auto"/>
              </w:rPr>
              <w:t>$19,750,000</w:t>
            </w:r>
          </w:p>
        </w:tc>
      </w:tr>
      <w:tr>
        <w:trPr>
          <w:trHeight w:val="235"/>
        </w:trPr>
        <w:tc>
          <w:tcPr>
            <w:tcW w:w="1560" w:type="dxa"/>
            <w:vAlign w:val="bottom"/>
          </w:tcPr>
          <w:p>
            <w:pPr>
              <w:ind w:left="20"/>
              <w:spacing w:after="0"/>
              <w:rPr>
                <w:sz w:val="20"/>
                <w:szCs w:val="20"/>
                <w:color w:val="auto"/>
              </w:rPr>
            </w:pPr>
            <w:r>
              <w:rPr>
                <w:rFonts w:ascii="Arial" w:cs="Arial" w:eastAsia="Arial" w:hAnsi="Arial"/>
                <w:sz w:val="14"/>
                <w:szCs w:val="14"/>
                <w:color w:val="auto"/>
              </w:rPr>
              <w:t>Mr. Montarce</w:t>
            </w: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$266,667</w:t>
            </w:r>
          </w:p>
        </w:tc>
        <w:tc>
          <w:tcPr>
            <w:tcW w:w="1200" w:type="dxa"/>
            <w:vAlign w:val="bottom"/>
          </w:tcPr>
          <w:p>
            <w:pPr>
              <w:jc w:val="right"/>
              <w:ind w:right="208"/>
              <w:spacing w:after="0"/>
              <w:rPr>
                <w:sz w:val="20"/>
                <w:szCs w:val="20"/>
                <w:color w:val="auto"/>
              </w:rPr>
            </w:pPr>
            <w:r>
              <w:rPr>
                <w:rFonts w:ascii="Arial" w:cs="Arial" w:eastAsia="Arial" w:hAnsi="Arial"/>
                <w:sz w:val="14"/>
                <w:szCs w:val="14"/>
                <w:color w:val="auto"/>
              </w:rPr>
              <w:t>$533,334</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$266,667</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$533,334</w:t>
            </w:r>
          </w:p>
        </w:tc>
      </w:tr>
      <w:tr>
        <w:trPr>
          <w:trHeight w:val="22"/>
        </w:trPr>
        <w:tc>
          <w:tcPr>
            <w:tcW w:w="15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37"/>
        </w:trPr>
        <w:tc>
          <w:tcPr>
            <w:tcW w:w="156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4"/>
                <w:szCs w:val="14"/>
                <w:color w:val="auto"/>
              </w:rPr>
              <w:t>Dr. Skovronsky</w:t>
            </w:r>
          </w:p>
        </w:tc>
        <w:tc>
          <w:tcPr>
            <w:tcW w:w="1320" w:type="dxa"/>
            <w:vAlign w:val="bottom"/>
            <w:tcBorders>
              <w:bottom w:val="single" w:sz="8" w:color="F2F2F2"/>
            </w:tcBorders>
            <w:shd w:val="clear" w:color="auto" w:fill="F2F2F2"/>
          </w:tcPr>
          <w:p>
            <w:pPr>
              <w:jc w:val="right"/>
              <w:ind w:right="48"/>
              <w:spacing w:after="0"/>
              <w:rPr>
                <w:sz w:val="20"/>
                <w:szCs w:val="20"/>
                <w:color w:val="auto"/>
              </w:rPr>
            </w:pPr>
            <w:r>
              <w:rPr>
                <w:rFonts w:ascii="Arial" w:cs="Arial" w:eastAsia="Arial" w:hAnsi="Arial"/>
                <w:sz w:val="14"/>
                <w:szCs w:val="14"/>
                <w:color w:val="auto"/>
              </w:rPr>
              <w:t>$3,750,000</w:t>
            </w:r>
          </w:p>
        </w:tc>
        <w:tc>
          <w:tcPr>
            <w:tcW w:w="1200" w:type="dxa"/>
            <w:vAlign w:val="bottom"/>
            <w:tcBorders>
              <w:bottom w:val="single" w:sz="8" w:color="F2F2F2"/>
            </w:tcBorders>
            <w:shd w:val="clear" w:color="auto" w:fill="F2F2F2"/>
          </w:tcPr>
          <w:p>
            <w:pPr>
              <w:jc w:val="right"/>
              <w:ind w:right="208"/>
              <w:spacing w:after="0"/>
              <w:rPr>
                <w:sz w:val="20"/>
                <w:szCs w:val="20"/>
                <w:color w:val="auto"/>
              </w:rPr>
            </w:pPr>
            <w:r>
              <w:rPr>
                <w:rFonts w:ascii="Arial" w:cs="Arial" w:eastAsia="Arial" w:hAnsi="Arial"/>
                <w:sz w:val="14"/>
                <w:szCs w:val="14"/>
                <w:color w:val="auto"/>
              </w:rPr>
              <w:t>$7,500,000</w:t>
            </w:r>
          </w:p>
        </w:tc>
        <w:tc>
          <w:tcPr>
            <w:tcW w:w="1140" w:type="dxa"/>
            <w:vAlign w:val="bottom"/>
            <w:tcBorders>
              <w:bottom w:val="single" w:sz="8" w:color="F2F2F2"/>
            </w:tcBorders>
            <w:shd w:val="clear" w:color="auto" w:fill="F2F2F2"/>
          </w:tcPr>
          <w:p>
            <w:pPr>
              <w:jc w:val="right"/>
              <w:ind w:right="48"/>
              <w:spacing w:after="0"/>
              <w:rPr>
                <w:sz w:val="20"/>
                <w:szCs w:val="20"/>
                <w:color w:val="auto"/>
              </w:rPr>
            </w:pPr>
            <w:r>
              <w:rPr>
                <w:rFonts w:ascii="Arial" w:cs="Arial" w:eastAsia="Arial" w:hAnsi="Arial"/>
                <w:sz w:val="14"/>
                <w:szCs w:val="14"/>
                <w:color w:val="auto"/>
              </w:rPr>
              <w:t>$3,750,000</w:t>
            </w:r>
          </w:p>
        </w:tc>
        <w:tc>
          <w:tcPr>
            <w:tcW w:w="980" w:type="dxa"/>
            <w:vAlign w:val="bottom"/>
            <w:tcBorders>
              <w:bottom w:val="single" w:sz="8" w:color="F2F2F2"/>
            </w:tcBorders>
            <w:shd w:val="clear" w:color="auto" w:fill="F2F2F2"/>
          </w:tcPr>
          <w:p>
            <w:pPr>
              <w:jc w:val="right"/>
              <w:ind w:right="8"/>
              <w:spacing w:after="0"/>
              <w:rPr>
                <w:sz w:val="20"/>
                <w:szCs w:val="20"/>
                <w:color w:val="auto"/>
              </w:rPr>
            </w:pPr>
            <w:r>
              <w:rPr>
                <w:rFonts w:ascii="Arial" w:cs="Arial" w:eastAsia="Arial" w:hAnsi="Arial"/>
                <w:sz w:val="14"/>
                <w:szCs w:val="14"/>
                <w:color w:val="auto"/>
              </w:rPr>
              <w:t>$7,500,000</w:t>
            </w:r>
          </w:p>
        </w:tc>
      </w:tr>
      <w:tr>
        <w:trPr>
          <w:trHeight w:val="235"/>
        </w:trPr>
        <w:tc>
          <w:tcPr>
            <w:tcW w:w="1560" w:type="dxa"/>
            <w:vAlign w:val="bottom"/>
          </w:tcPr>
          <w:p>
            <w:pPr>
              <w:ind w:left="20"/>
              <w:spacing w:after="0"/>
              <w:rPr>
                <w:sz w:val="20"/>
                <w:szCs w:val="20"/>
                <w:color w:val="auto"/>
              </w:rPr>
            </w:pPr>
            <w:r>
              <w:rPr>
                <w:rFonts w:ascii="Arial" w:cs="Arial" w:eastAsia="Arial" w:hAnsi="Arial"/>
                <w:sz w:val="14"/>
                <w:szCs w:val="14"/>
                <w:color w:val="auto"/>
              </w:rPr>
              <w:t>Ms. Hakim</w:t>
            </w: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$1,975,000</w:t>
            </w:r>
          </w:p>
        </w:tc>
        <w:tc>
          <w:tcPr>
            <w:tcW w:w="1200" w:type="dxa"/>
            <w:vAlign w:val="bottom"/>
          </w:tcPr>
          <w:p>
            <w:pPr>
              <w:jc w:val="right"/>
              <w:ind w:right="208"/>
              <w:spacing w:after="0"/>
              <w:rPr>
                <w:sz w:val="20"/>
                <w:szCs w:val="20"/>
                <w:color w:val="auto"/>
              </w:rPr>
            </w:pPr>
            <w:r>
              <w:rPr>
                <w:rFonts w:ascii="Arial" w:cs="Arial" w:eastAsia="Arial" w:hAnsi="Arial"/>
                <w:sz w:val="14"/>
                <w:szCs w:val="14"/>
                <w:color w:val="auto"/>
              </w:rPr>
              <w:t>$3,950,000</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$1,975,000</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$3,950,000</w:t>
            </w:r>
          </w:p>
        </w:tc>
      </w:tr>
      <w:tr>
        <w:trPr>
          <w:trHeight w:val="22"/>
        </w:trPr>
        <w:tc>
          <w:tcPr>
            <w:tcW w:w="15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36"/>
        </w:trPr>
        <w:tc>
          <w:tcPr>
            <w:tcW w:w="156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4"/>
                <w:szCs w:val="14"/>
                <w:color w:val="auto"/>
              </w:rPr>
              <w:t>Mr. Van Naarden</w:t>
            </w:r>
          </w:p>
        </w:tc>
        <w:tc>
          <w:tcPr>
            <w:tcW w:w="1320" w:type="dxa"/>
            <w:vAlign w:val="bottom"/>
            <w:tcBorders>
              <w:bottom w:val="single" w:sz="8" w:color="F2F2F2"/>
            </w:tcBorders>
            <w:shd w:val="clear" w:color="auto" w:fill="F2F2F2"/>
          </w:tcPr>
          <w:p>
            <w:pPr>
              <w:jc w:val="right"/>
              <w:ind w:right="48"/>
              <w:spacing w:after="0"/>
              <w:rPr>
                <w:sz w:val="20"/>
                <w:szCs w:val="20"/>
                <w:color w:val="auto"/>
              </w:rPr>
            </w:pPr>
            <w:r>
              <w:rPr>
                <w:rFonts w:ascii="Arial" w:cs="Arial" w:eastAsia="Arial" w:hAnsi="Arial"/>
                <w:sz w:val="14"/>
                <w:szCs w:val="14"/>
                <w:color w:val="auto"/>
              </w:rPr>
              <w:t>$1,350,000</w:t>
            </w:r>
          </w:p>
        </w:tc>
        <w:tc>
          <w:tcPr>
            <w:tcW w:w="1200" w:type="dxa"/>
            <w:vAlign w:val="bottom"/>
            <w:tcBorders>
              <w:bottom w:val="single" w:sz="8" w:color="F2F2F2"/>
            </w:tcBorders>
            <w:shd w:val="clear" w:color="auto" w:fill="F2F2F2"/>
          </w:tcPr>
          <w:p>
            <w:pPr>
              <w:jc w:val="right"/>
              <w:ind w:right="208"/>
              <w:spacing w:after="0"/>
              <w:rPr>
                <w:sz w:val="20"/>
                <w:szCs w:val="20"/>
                <w:color w:val="auto"/>
              </w:rPr>
            </w:pPr>
            <w:r>
              <w:rPr>
                <w:rFonts w:ascii="Arial" w:cs="Arial" w:eastAsia="Arial" w:hAnsi="Arial"/>
                <w:sz w:val="14"/>
                <w:szCs w:val="14"/>
                <w:color w:val="auto"/>
              </w:rPr>
              <w:t>$2,700,000</w:t>
            </w:r>
          </w:p>
        </w:tc>
        <w:tc>
          <w:tcPr>
            <w:tcW w:w="1140" w:type="dxa"/>
            <w:vAlign w:val="bottom"/>
            <w:tcBorders>
              <w:bottom w:val="single" w:sz="8" w:color="F2F2F2"/>
            </w:tcBorders>
            <w:shd w:val="clear" w:color="auto" w:fill="F2F2F2"/>
          </w:tcPr>
          <w:p>
            <w:pPr>
              <w:jc w:val="right"/>
              <w:ind w:right="48"/>
              <w:spacing w:after="0"/>
              <w:rPr>
                <w:sz w:val="20"/>
                <w:szCs w:val="20"/>
                <w:color w:val="auto"/>
              </w:rPr>
            </w:pPr>
            <w:r>
              <w:rPr>
                <w:rFonts w:ascii="Arial" w:cs="Arial" w:eastAsia="Arial" w:hAnsi="Arial"/>
                <w:sz w:val="14"/>
                <w:szCs w:val="14"/>
                <w:color w:val="auto"/>
              </w:rPr>
              <w:t>$1,350,000</w:t>
            </w:r>
          </w:p>
        </w:tc>
        <w:tc>
          <w:tcPr>
            <w:tcW w:w="980" w:type="dxa"/>
            <w:vAlign w:val="bottom"/>
            <w:tcBorders>
              <w:bottom w:val="single" w:sz="8" w:color="F2F2F2"/>
            </w:tcBorders>
            <w:shd w:val="clear" w:color="auto" w:fill="F2F2F2"/>
          </w:tcPr>
          <w:p>
            <w:pPr>
              <w:jc w:val="right"/>
              <w:ind w:right="8"/>
              <w:spacing w:after="0"/>
              <w:rPr>
                <w:sz w:val="20"/>
                <w:szCs w:val="20"/>
                <w:color w:val="auto"/>
              </w:rPr>
            </w:pPr>
            <w:r>
              <w:rPr>
                <w:rFonts w:ascii="Arial" w:cs="Arial" w:eastAsia="Arial" w:hAnsi="Arial"/>
                <w:sz w:val="14"/>
                <w:szCs w:val="14"/>
                <w:color w:val="auto"/>
              </w:rPr>
              <w:t>$2,700,000</w:t>
            </w:r>
          </w:p>
        </w:tc>
      </w:tr>
      <w:tr>
        <w:trPr>
          <w:trHeight w:val="235"/>
        </w:trPr>
        <w:tc>
          <w:tcPr>
            <w:tcW w:w="1560" w:type="dxa"/>
            <w:vAlign w:val="bottom"/>
          </w:tcPr>
          <w:p>
            <w:pPr>
              <w:ind w:left="20"/>
              <w:spacing w:after="0"/>
              <w:rPr>
                <w:sz w:val="20"/>
                <w:szCs w:val="20"/>
                <w:color w:val="auto"/>
              </w:rPr>
            </w:pPr>
            <w:r>
              <w:rPr>
                <w:rFonts w:ascii="Arial" w:cs="Arial" w:eastAsia="Arial" w:hAnsi="Arial"/>
                <w:sz w:val="14"/>
                <w:szCs w:val="14"/>
                <w:color w:val="auto"/>
              </w:rPr>
              <w:t>Mr. Brooks</w:t>
            </w: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$200,000</w:t>
            </w:r>
          </w:p>
        </w:tc>
        <w:tc>
          <w:tcPr>
            <w:tcW w:w="1200" w:type="dxa"/>
            <w:vAlign w:val="bottom"/>
          </w:tcPr>
          <w:p>
            <w:pPr>
              <w:jc w:val="right"/>
              <w:ind w:right="208"/>
              <w:spacing w:after="0"/>
              <w:rPr>
                <w:sz w:val="20"/>
                <w:szCs w:val="20"/>
                <w:color w:val="auto"/>
              </w:rPr>
            </w:pPr>
            <w:r>
              <w:rPr>
                <w:rFonts w:ascii="Arial" w:cs="Arial" w:eastAsia="Arial" w:hAnsi="Arial"/>
                <w:sz w:val="14"/>
                <w:szCs w:val="14"/>
                <w:color w:val="auto"/>
              </w:rPr>
              <w:t>$400,000</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$200,000</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$400,000</w:t>
            </w:r>
          </w:p>
        </w:tc>
      </w:tr>
      <w:tr>
        <w:trPr>
          <w:trHeight w:val="22"/>
        </w:trPr>
        <w:tc>
          <w:tcPr>
            <w:tcW w:w="15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37"/>
        </w:trPr>
        <w:tc>
          <w:tcPr>
            <w:tcW w:w="156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4"/>
                <w:szCs w:val="14"/>
                <w:color w:val="auto"/>
              </w:rPr>
              <w:t>Ms. Ashkenazi</w:t>
            </w:r>
          </w:p>
        </w:tc>
        <w:tc>
          <w:tcPr>
            <w:tcW w:w="1320" w:type="dxa"/>
            <w:vAlign w:val="bottom"/>
            <w:tcBorders>
              <w:bottom w:val="single" w:sz="8" w:color="F2F2F2"/>
            </w:tcBorders>
            <w:shd w:val="clear" w:color="auto" w:fill="F2F2F2"/>
          </w:tcPr>
          <w:p>
            <w:pPr>
              <w:jc w:val="right"/>
              <w:ind w:right="4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F2F2F2"/>
            </w:tcBorders>
            <w:shd w:val="clear" w:color="auto" w:fill="F2F2F2"/>
          </w:tcPr>
          <w:p>
            <w:pPr>
              <w:jc w:val="right"/>
              <w:ind w:right="20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F2F2F2"/>
            </w:tcBorders>
            <w:shd w:val="clear" w:color="auto" w:fill="F2F2F2"/>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F2F2F2"/>
            </w:tcBorders>
            <w:shd w:val="clear" w:color="auto" w:fill="F2F2F2"/>
          </w:tcPr>
          <w:p>
            <w:pPr>
              <w:jc w:val="right"/>
              <w:ind w:right="8"/>
              <w:spacing w:after="0"/>
              <w:rPr>
                <w:sz w:val="20"/>
                <w:szCs w:val="20"/>
                <w:color w:val="auto"/>
              </w:rPr>
            </w:pPr>
            <w:r>
              <w:rPr>
                <w:rFonts w:ascii="Arial" w:cs="Arial" w:eastAsia="Arial" w:hAnsi="Arial"/>
                <w:sz w:val="14"/>
                <w:szCs w:val="14"/>
                <w:color w:val="auto"/>
              </w:rPr>
              <w:t>—</w:t>
            </w:r>
          </w:p>
        </w:tc>
      </w:tr>
      <w:tr>
        <w:trPr>
          <w:trHeight w:val="20"/>
        </w:trPr>
        <w:tc>
          <w:tcPr>
            <w:tcW w:w="15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r>
    </w:tbl>
    <w:p>
      <w:pPr>
        <w:spacing w:after="0" w:line="1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1793875</wp:posOffset>
            </wp:positionH>
            <wp:positionV relativeFrom="page">
              <wp:posOffset>517525</wp:posOffset>
            </wp:positionV>
            <wp:extent cx="2768600" cy="8255"/>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ind w:left="160" w:hanging="152"/>
        <w:spacing w:after="0"/>
        <w:tabs>
          <w:tab w:leader="none" w:pos="160" w:val="left"/>
        </w:tabs>
        <w:numPr>
          <w:ilvl w:val="0"/>
          <w:numId w:val="142"/>
        </w:numPr>
        <w:rPr>
          <w:rFonts w:ascii="Arial" w:cs="Arial" w:eastAsia="Arial" w:hAnsi="Arial"/>
          <w:sz w:val="19"/>
          <w:szCs w:val="19"/>
          <w:color w:val="auto"/>
          <w:vertAlign w:val="superscript"/>
        </w:rPr>
      </w:pPr>
      <w:r>
        <w:rPr>
          <w:rFonts w:ascii="Arial" w:cs="Arial" w:eastAsia="Arial" w:hAnsi="Arial"/>
          <w:sz w:val="14"/>
          <w:szCs w:val="14"/>
          <w:color w:val="auto"/>
        </w:rPr>
        <w:t>The amounts in this column reflect payments under the Bonus Plan for performance in the years represented.</w:t>
      </w:r>
    </w:p>
    <w:p>
      <w:pPr>
        <w:spacing w:after="0" w:line="40" w:lineRule="exact"/>
        <w:rPr>
          <w:sz w:val="20"/>
          <w:szCs w:val="20"/>
          <w:color w:val="auto"/>
        </w:rPr>
      </w:pPr>
    </w:p>
    <w:p>
      <w:pPr>
        <w:ind w:left="180" w:hanging="172"/>
        <w:spacing w:after="0" w:line="272" w:lineRule="auto"/>
        <w:tabs>
          <w:tab w:leader="none" w:pos="174" w:val="left"/>
        </w:tabs>
        <w:numPr>
          <w:ilvl w:val="0"/>
          <w:numId w:val="143"/>
        </w:numPr>
        <w:rPr>
          <w:rFonts w:ascii="Arial" w:cs="Arial" w:eastAsia="Arial" w:hAnsi="Arial"/>
          <w:sz w:val="9"/>
          <w:szCs w:val="9"/>
          <w:color w:val="auto"/>
        </w:rPr>
      </w:pPr>
      <w:r>
        <w:rPr>
          <w:rFonts w:ascii="Arial" w:cs="Arial" w:eastAsia="Arial" w:hAnsi="Arial"/>
          <w:sz w:val="14"/>
          <w:szCs w:val="14"/>
          <w:color w:val="auto"/>
        </w:rPr>
        <w:t>The amounts in this column reflect the change in pension value, calculated by an actuary. The changes in pension values in 2024 were driven by changes in actuarial assumptions offset by pay changes and an additional year of credited service. The design of the pension benefit plan did not change. See the “Pension Benefits in 2024” table for information about the standard actuarial assumptions used. No named executive officer received preferential or above-market earnings on deferred compensation.</w:t>
      </w:r>
    </w:p>
    <w:p>
      <w:pPr>
        <w:ind w:left="160" w:hanging="152"/>
        <w:spacing w:after="0" w:line="229" w:lineRule="auto"/>
        <w:tabs>
          <w:tab w:leader="none" w:pos="160" w:val="left"/>
        </w:tabs>
        <w:numPr>
          <w:ilvl w:val="0"/>
          <w:numId w:val="144"/>
        </w:numPr>
        <w:rPr>
          <w:rFonts w:ascii="Arial" w:cs="Arial" w:eastAsia="Arial" w:hAnsi="Arial"/>
          <w:sz w:val="19"/>
          <w:szCs w:val="19"/>
          <w:color w:val="auto"/>
          <w:vertAlign w:val="superscript"/>
        </w:rPr>
      </w:pPr>
      <w:r>
        <w:rPr>
          <w:rFonts w:ascii="Arial" w:cs="Arial" w:eastAsia="Arial" w:hAnsi="Arial"/>
          <w:sz w:val="14"/>
          <w:szCs w:val="14"/>
          <w:color w:val="auto"/>
        </w:rPr>
        <w:t>The amounts in this column include 401(k) and Nonqualified Savings Plan company matching contributions as follows: Mr. Ricks: $101,423; Mr. Montarce: $39,878; Dr.</w:t>
      </w:r>
    </w:p>
    <w:p>
      <w:pPr>
        <w:ind w:left="180" w:right="140"/>
        <w:spacing w:after="0" w:line="264" w:lineRule="auto"/>
        <w:rPr>
          <w:rFonts w:ascii="Arial" w:cs="Arial" w:eastAsia="Arial" w:hAnsi="Arial"/>
          <w:sz w:val="19"/>
          <w:szCs w:val="19"/>
          <w:color w:val="auto"/>
          <w:vertAlign w:val="superscript"/>
        </w:rPr>
      </w:pPr>
      <w:r>
        <w:rPr>
          <w:rFonts w:ascii="Arial" w:cs="Arial" w:eastAsia="Arial" w:hAnsi="Arial"/>
          <w:sz w:val="14"/>
          <w:szCs w:val="14"/>
          <w:color w:val="auto"/>
        </w:rPr>
        <w:t>Skovronsky: $85,846; Ms. Hakim: $60,000; Mr. Van Naarden: $53,423; Mr. Brooks: $33,497; and Ms. Ashkenazi: $38,042. The amounts in this column also include $73,630 in costs related to security services for Mr. Ricks. For additional details, refer to the “Perquisites, Including Personal Security” section.</w:t>
      </w:r>
    </w:p>
    <w:p>
      <w:pPr>
        <w:spacing w:after="0" w:line="23" w:lineRule="exact"/>
        <w:rPr>
          <w:rFonts w:ascii="Arial" w:cs="Arial" w:eastAsia="Arial" w:hAnsi="Arial"/>
          <w:sz w:val="19"/>
          <w:szCs w:val="19"/>
          <w:color w:val="auto"/>
          <w:vertAlign w:val="superscript"/>
        </w:rPr>
      </w:pPr>
    </w:p>
    <w:p>
      <w:pPr>
        <w:ind w:left="180" w:right="180"/>
        <w:spacing w:after="0" w:line="266" w:lineRule="auto"/>
        <w:rPr>
          <w:rFonts w:ascii="Arial" w:cs="Arial" w:eastAsia="Arial" w:hAnsi="Arial"/>
          <w:sz w:val="19"/>
          <w:szCs w:val="19"/>
          <w:color w:val="auto"/>
          <w:vertAlign w:val="superscript"/>
        </w:rPr>
      </w:pPr>
      <w:r>
        <w:rPr>
          <w:rFonts w:ascii="Arial" w:cs="Arial" w:eastAsia="Arial" w:hAnsi="Arial"/>
          <w:sz w:val="14"/>
          <w:szCs w:val="14"/>
          <w:color w:val="auto"/>
        </w:rPr>
        <w:t>Additionally, Lilly’s global executive leadership meeting took place in Paris in conjunction with the 2024 Olympic and Paralympic Games. In addition to business strategy sessions and leadership development events with Lilly employees, executives represented Lilly, an official Team USA partner, at various events surrounding the Olympic Games. As such, this column also includes (i) costs related to ancillary non-business travel or events associated with attendance at the Paris events for: Ms. Hakim, Mr. Ricks: $35,374, Dr. Skovronsky: $35,542, and Mr. Van Naarden: $32,682, and (ii) tax reimbursements for imputed income related to this trip for: Ms. Hakim, Mr. Ricks: $27,099, Dr. Skovronsky: $28,089, and Mr. Van Naarden: $26,957. The aggregate incremental costs for travel to the Paris events are calculated based on the methodology for use of the corporate aircraft described below.</w:t>
      </w:r>
    </w:p>
    <w:p>
      <w:pPr>
        <w:spacing w:after="0" w:line="22" w:lineRule="exact"/>
        <w:rPr>
          <w:rFonts w:ascii="Arial" w:cs="Arial" w:eastAsia="Arial" w:hAnsi="Arial"/>
          <w:sz w:val="19"/>
          <w:szCs w:val="19"/>
          <w:color w:val="auto"/>
          <w:vertAlign w:val="superscript"/>
        </w:rPr>
      </w:pPr>
    </w:p>
    <w:p>
      <w:pPr>
        <w:ind w:left="180" w:right="40"/>
        <w:spacing w:after="0" w:line="267" w:lineRule="auto"/>
        <w:rPr>
          <w:rFonts w:ascii="Arial" w:cs="Arial" w:eastAsia="Arial" w:hAnsi="Arial"/>
          <w:sz w:val="19"/>
          <w:szCs w:val="19"/>
          <w:color w:val="auto"/>
          <w:vertAlign w:val="superscript"/>
        </w:rPr>
      </w:pPr>
      <w:r>
        <w:rPr>
          <w:rFonts w:ascii="Arial" w:cs="Arial" w:eastAsia="Arial" w:hAnsi="Arial"/>
          <w:sz w:val="14"/>
          <w:szCs w:val="14"/>
          <w:color w:val="auto"/>
        </w:rPr>
        <w:t>Furthermore, the value in this column for Mr. Ricks also includes $114,159 of aggregate incremental cost for his personal use of the corporate aircraft. The value for Dr. Skovronsky also reflects aggregate incremental cost of $27,503 for personal use of the corporate aircraft. The aggregate incremental costs for personal use of our aircraft are calculated based on our variable operating costs, which include crew travel expenses, on-board catering, landing fees, trip-related hangar/parking costs, fuel, trip-related maintenance, and other smaller variable costs. Because most of the use of the corporate aircraft is for business purposes, fixed costs such as aircraft purchase costs, maintenance not related to personal trips, and flight crew salaries are not included.</w:t>
      </w:r>
    </w:p>
    <w:p>
      <w:pPr>
        <w:spacing w:after="0" w:line="22" w:lineRule="exact"/>
        <w:rPr>
          <w:rFonts w:ascii="Arial" w:cs="Arial" w:eastAsia="Arial" w:hAnsi="Arial"/>
          <w:sz w:val="19"/>
          <w:szCs w:val="19"/>
          <w:color w:val="auto"/>
          <w:vertAlign w:val="superscript"/>
        </w:rPr>
      </w:pPr>
    </w:p>
    <w:p>
      <w:pPr>
        <w:ind w:left="180" w:right="120"/>
        <w:spacing w:after="0" w:line="267" w:lineRule="auto"/>
        <w:rPr>
          <w:rFonts w:ascii="Arial" w:cs="Arial" w:eastAsia="Arial" w:hAnsi="Arial"/>
          <w:sz w:val="19"/>
          <w:szCs w:val="19"/>
          <w:color w:val="auto"/>
          <w:vertAlign w:val="superscript"/>
        </w:rPr>
      </w:pPr>
      <w:r>
        <w:rPr>
          <w:rFonts w:ascii="Arial" w:cs="Arial" w:eastAsia="Arial" w:hAnsi="Arial"/>
          <w:sz w:val="14"/>
          <w:szCs w:val="14"/>
          <w:color w:val="auto"/>
        </w:rPr>
        <w:t>Finally, the value of company stock owned by Dr. Skovronsky exceeded the Hart-Scott-Rodino Antitrust Improvement Act of 1976 (“HSR”) size-of-transaction threshold limits set forth in the HSR regulations. Accordingly, Dr. Skovronsky was required to make a filing under HSR in 2024. Due to his position at the company, he is not able to rely on the passive investor exemption contained in the HSR regulations. Without this filing, Dr. Skovronsky would not be able to participate in our long-term incentive program, and therefore the Committee determined that it was appropriate for the company to reimburse Dr. Skovronsky for such expenses. The HSR filing fee for Dr. Skovronsky in 2024 was $30,000.</w:t>
      </w:r>
    </w:p>
    <w:p>
      <w:pPr>
        <w:ind w:left="160" w:hanging="152"/>
        <w:spacing w:after="0" w:line="233" w:lineRule="auto"/>
        <w:tabs>
          <w:tab w:leader="none" w:pos="160" w:val="left"/>
        </w:tabs>
        <w:numPr>
          <w:ilvl w:val="0"/>
          <w:numId w:val="145"/>
        </w:numPr>
        <w:rPr>
          <w:rFonts w:ascii="Arial" w:cs="Arial" w:eastAsia="Arial" w:hAnsi="Arial"/>
          <w:sz w:val="19"/>
          <w:szCs w:val="19"/>
          <w:color w:val="auto"/>
          <w:vertAlign w:val="superscript"/>
        </w:rPr>
      </w:pPr>
      <w:r>
        <w:rPr>
          <w:rFonts w:ascii="Arial" w:cs="Arial" w:eastAsia="Arial" w:hAnsi="Arial"/>
          <w:sz w:val="14"/>
          <w:szCs w:val="14"/>
          <w:color w:val="auto"/>
        </w:rPr>
        <w:t>Mr. Brooks received a cash retention award of $50,000 on September 23, 2024, which is repayable ratably over a two year retention period.</w:t>
      </w:r>
    </w:p>
    <w:p>
      <w:pPr>
        <w:spacing w:after="0" w:line="53" w:lineRule="exact"/>
        <w:rPr>
          <w:rFonts w:ascii="Arial" w:cs="Arial" w:eastAsia="Arial" w:hAnsi="Arial"/>
          <w:sz w:val="19"/>
          <w:szCs w:val="19"/>
          <w:color w:val="auto"/>
          <w:vertAlign w:val="superscript"/>
        </w:rPr>
      </w:pPr>
    </w:p>
    <w:p>
      <w:pPr>
        <w:spacing w:after="0"/>
        <w:rPr>
          <w:rFonts w:ascii="Arial" w:cs="Arial" w:eastAsia="Arial" w:hAnsi="Arial"/>
          <w:sz w:val="19"/>
          <w:szCs w:val="19"/>
          <w:color w:val="auto"/>
          <w:vertAlign w:val="superscript"/>
        </w:rPr>
      </w:pPr>
      <w:r>
        <w:rPr>
          <w:rFonts w:ascii="Arial" w:cs="Arial" w:eastAsia="Arial" w:hAnsi="Arial"/>
          <w:sz w:val="18"/>
          <w:szCs w:val="18"/>
          <w:color w:val="auto"/>
          <w:vertAlign w:val="superscript"/>
        </w:rPr>
        <w:t>6</w:t>
      </w:r>
      <w:r>
        <w:rPr>
          <w:rFonts w:ascii="Arial" w:cs="Arial" w:eastAsia="Arial" w:hAnsi="Arial"/>
          <w:sz w:val="14"/>
          <w:szCs w:val="14"/>
          <w:color w:val="auto"/>
        </w:rPr>
        <w:t xml:space="preserve">  Ms. Ashkenazi’s awards, including both the annual bonus and equity awards, were forfeited when she exited the company on July 30, 2024.</w:t>
      </w:r>
    </w:p>
    <w:p>
      <w:pPr>
        <w:spacing w:after="0" w:line="101" w:lineRule="exact"/>
        <w:rPr>
          <w:sz w:val="20"/>
          <w:szCs w:val="20"/>
          <w:color w:val="auto"/>
        </w:rPr>
      </w:pPr>
    </w:p>
    <w:p>
      <w:pPr>
        <w:spacing w:after="0"/>
        <w:rPr>
          <w:sz w:val="20"/>
          <w:szCs w:val="20"/>
          <w:color w:val="auto"/>
        </w:rPr>
      </w:pPr>
      <w:r>
        <w:rPr>
          <w:rFonts w:ascii="Arial" w:cs="Arial" w:eastAsia="Arial" w:hAnsi="Arial"/>
          <w:sz w:val="25"/>
          <w:szCs w:val="25"/>
          <w:b w:val="1"/>
          <w:bCs w:val="1"/>
          <w:color w:val="00A1DE"/>
        </w:rPr>
        <w:t>Grants of Plan-Based Awards During 2024</w:t>
      </w:r>
    </w:p>
    <w:p>
      <w:pPr>
        <w:spacing w:after="0" w:line="69"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The compensation framework detailed in the CD&amp;A above encompasses the Bonus Plan, a non-equity incentive plan, and the Amended and Restated 2002 Lilly Stock Plan, under which Lilly provides all equity grants.</w:t>
      </w:r>
    </w:p>
    <w:p>
      <w:pPr>
        <w:spacing w:after="0" w:line="99" w:lineRule="exact"/>
        <w:rPr>
          <w:sz w:val="20"/>
          <w:szCs w:val="20"/>
          <w:color w:val="auto"/>
        </w:rPr>
      </w:pPr>
    </w:p>
    <w:p>
      <w:pPr>
        <w:ind w:right="80"/>
        <w:spacing w:after="0" w:line="278" w:lineRule="auto"/>
        <w:rPr>
          <w:sz w:val="20"/>
          <w:szCs w:val="20"/>
          <w:color w:val="auto"/>
        </w:rPr>
      </w:pPr>
      <w:r>
        <w:rPr>
          <w:rFonts w:ascii="Arial" w:cs="Arial" w:eastAsia="Arial" w:hAnsi="Arial"/>
          <w:sz w:val="17"/>
          <w:szCs w:val="17"/>
          <w:color w:val="auto"/>
        </w:rPr>
        <w:t>To qualify for a shareholder value award or a relative value award payout, the recipient must either remain employed with the company through the end of the applicable performance period, retire after December 31 of the year of grant, or be terminated due to factors beyond his or her control, such as death, a plant closing, or workforce reduction. Additionally, annual awards to executive officers are typically bound by non-compete and non-solicitation covenants effective for one year following employment termination. Per the terms of the applicable award agreement, any breach of these covenants results in the immediate revocation of the award and forfeiture of any associated rights.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No dividends accrue on shareholder value awards or relative value awards throughout the performance period.</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67" w:name="page68"/>
    <w:bookmarkEnd w:id="67"/>
    <w:tbl>
      <w:tblPr>
        <w:tblLayout w:type="fixed"/>
        <w:tblInd w:w="460" w:type="dxa"/>
        <w:tblCellMar>
          <w:top w:w="0" w:type="dxa"/>
          <w:left w:w="0" w:type="dxa"/>
          <w:bottom w:w="0" w:type="dxa"/>
          <w:right w:w="0" w:type="dxa"/>
        </w:tblCellMar>
      </w:tblPr>
      <w:tr>
        <w:trPr>
          <w:trHeight w:val="149"/>
        </w:trPr>
        <w:tc>
          <w:tcPr>
            <w:tcW w:w="6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94"/>
              </w:rPr>
              <w:t>All Other</w:t>
            </w: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96"/>
              </w:rPr>
              <w:t>Stock or</w:t>
            </w: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6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20" w:type="dxa"/>
            <w:vAlign w:val="bottom"/>
            <w:gridSpan w:val="3"/>
          </w:tcPr>
          <w:p>
            <w:pPr>
              <w:jc w:val="center"/>
              <w:spacing w:after="0"/>
              <w:rPr>
                <w:sz w:val="20"/>
                <w:szCs w:val="20"/>
                <w:color w:val="auto"/>
              </w:rPr>
            </w:pPr>
            <w:r>
              <w:rPr>
                <w:rFonts w:ascii="Arial" w:cs="Arial" w:eastAsia="Arial" w:hAnsi="Arial"/>
                <w:sz w:val="13"/>
                <w:szCs w:val="13"/>
                <w:b w:val="1"/>
                <w:bCs w:val="1"/>
                <w:color w:val="auto"/>
                <w:w w:val="96"/>
              </w:rPr>
              <w:t>Estimated Future Payouts</w:t>
            </w:r>
          </w:p>
        </w:tc>
        <w:tc>
          <w:tcPr>
            <w:tcW w:w="222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auto"/>
                <w:w w:val="97"/>
              </w:rPr>
              <w:t>Estimated Future</w:t>
            </w: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95"/>
              </w:rPr>
              <w:t>Option</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6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740" w:type="dxa"/>
            <w:vAlign w:val="bottom"/>
            <w:gridSpan w:val="2"/>
            <w:vMerge w:val="restart"/>
          </w:tcPr>
          <w:p>
            <w:pPr>
              <w:jc w:val="center"/>
              <w:ind w:right="577"/>
              <w:spacing w:after="0"/>
              <w:rPr>
                <w:sz w:val="20"/>
                <w:szCs w:val="20"/>
                <w:color w:val="auto"/>
              </w:rPr>
            </w:pPr>
            <w:r>
              <w:rPr>
                <w:rFonts w:ascii="Arial" w:cs="Arial" w:eastAsia="Arial" w:hAnsi="Arial"/>
                <w:sz w:val="13"/>
                <w:szCs w:val="13"/>
                <w:b w:val="1"/>
                <w:bCs w:val="1"/>
                <w:color w:val="auto"/>
                <w:w w:val="95"/>
              </w:rPr>
              <w:t>Under Non-Equity</w:t>
            </w:r>
          </w:p>
        </w:tc>
        <w:tc>
          <w:tcPr>
            <w:tcW w:w="2220" w:type="dxa"/>
            <w:vAlign w:val="bottom"/>
            <w:gridSpan w:val="3"/>
            <w:vMerge w:val="continue"/>
          </w:tcPr>
          <w:p>
            <w:pPr>
              <w:spacing w:after="0"/>
              <w:rPr>
                <w:sz w:val="6"/>
                <w:szCs w:val="6"/>
                <w:color w:val="auto"/>
              </w:rPr>
            </w:pPr>
          </w:p>
        </w:tc>
        <w:tc>
          <w:tcPr>
            <w:tcW w:w="8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3"/>
              </w:rPr>
              <w:t>Awards:</w:t>
            </w:r>
          </w:p>
        </w:tc>
        <w:tc>
          <w:tcPr>
            <w:tcW w:w="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6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740" w:type="dxa"/>
            <w:vAlign w:val="bottom"/>
            <w:gridSpan w:val="2"/>
            <w:vMerge w:val="continue"/>
          </w:tcPr>
          <w:p>
            <w:pPr>
              <w:spacing w:after="0"/>
              <w:rPr>
                <w:sz w:val="6"/>
                <w:szCs w:val="6"/>
                <w:color w:val="auto"/>
              </w:rPr>
            </w:pPr>
          </w:p>
        </w:tc>
        <w:tc>
          <w:tcPr>
            <w:tcW w:w="222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auto"/>
                <w:w w:val="97"/>
              </w:rPr>
              <w:t>Payouts Under Equity</w:t>
            </w:r>
          </w:p>
        </w:tc>
        <w:tc>
          <w:tcPr>
            <w:tcW w:w="820" w:type="dxa"/>
            <w:vAlign w:val="bottom"/>
            <w:vMerge w:val="continue"/>
          </w:tcPr>
          <w:p>
            <w:pPr>
              <w:spacing w:after="0"/>
              <w:rPr>
                <w:sz w:val="6"/>
                <w:szCs w:val="6"/>
                <w:color w:val="auto"/>
              </w:rPr>
            </w:pPr>
          </w:p>
        </w:tc>
        <w:tc>
          <w:tcPr>
            <w:tcW w:w="8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Grant Date</w:t>
            </w:r>
          </w:p>
        </w:tc>
        <w:tc>
          <w:tcPr>
            <w:tcW w:w="0" w:type="dxa"/>
            <w:vAlign w:val="bottom"/>
          </w:tcPr>
          <w:p>
            <w:pPr>
              <w:spacing w:after="0"/>
              <w:rPr>
                <w:sz w:val="1"/>
                <w:szCs w:val="1"/>
                <w:color w:val="auto"/>
              </w:rPr>
            </w:pPr>
          </w:p>
        </w:tc>
      </w:tr>
      <w:tr>
        <w:trPr>
          <w:trHeight w:val="77"/>
        </w:trPr>
        <w:tc>
          <w:tcPr>
            <w:tcW w:w="6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420" w:type="dxa"/>
            <w:vAlign w:val="bottom"/>
            <w:gridSpan w:val="3"/>
            <w:vMerge w:val="restart"/>
          </w:tcPr>
          <w:p>
            <w:pPr>
              <w:jc w:val="center"/>
              <w:spacing w:after="0" w:line="148" w:lineRule="exact"/>
              <w:rPr>
                <w:sz w:val="20"/>
                <w:szCs w:val="20"/>
                <w:color w:val="auto"/>
              </w:rPr>
            </w:pPr>
            <w:r>
              <w:rPr>
                <w:rFonts w:ascii="Arial" w:cs="Arial" w:eastAsia="Arial" w:hAnsi="Arial"/>
                <w:sz w:val="13"/>
                <w:szCs w:val="13"/>
                <w:b w:val="1"/>
                <w:bCs w:val="1"/>
                <w:color w:val="auto"/>
                <w:w w:val="96"/>
              </w:rPr>
              <w:t xml:space="preserve">Incentive Plan Awards </w:t>
            </w:r>
            <w:r>
              <w:rPr>
                <w:rFonts w:ascii="Arial" w:cs="Arial" w:eastAsia="Arial" w:hAnsi="Arial"/>
                <w:sz w:val="16"/>
                <w:szCs w:val="16"/>
                <w:b w:val="1"/>
                <w:bCs w:val="1"/>
                <w:color w:val="auto"/>
                <w:w w:val="96"/>
                <w:vertAlign w:val="superscript"/>
              </w:rPr>
              <w:t>2</w:t>
            </w:r>
          </w:p>
        </w:tc>
        <w:tc>
          <w:tcPr>
            <w:tcW w:w="2220" w:type="dxa"/>
            <w:vAlign w:val="bottom"/>
            <w:gridSpan w:val="3"/>
            <w:vMerge w:val="continue"/>
          </w:tcPr>
          <w:p>
            <w:pPr>
              <w:spacing w:after="0"/>
              <w:rPr>
                <w:sz w:val="6"/>
                <w:szCs w:val="6"/>
                <w:color w:val="auto"/>
              </w:rPr>
            </w:pPr>
          </w:p>
        </w:tc>
        <w:tc>
          <w:tcPr>
            <w:tcW w:w="8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8"/>
              </w:rPr>
              <w:t>Number of</w:t>
            </w:r>
          </w:p>
        </w:tc>
        <w:tc>
          <w:tcPr>
            <w:tcW w:w="8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6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420" w:type="dxa"/>
            <w:vAlign w:val="bottom"/>
            <w:gridSpan w:val="3"/>
            <w:vMerge w:val="continue"/>
          </w:tcPr>
          <w:p>
            <w:pPr>
              <w:spacing w:after="0"/>
              <w:rPr>
                <w:sz w:val="6"/>
                <w:szCs w:val="6"/>
                <w:color w:val="auto"/>
              </w:rPr>
            </w:pPr>
          </w:p>
        </w:tc>
        <w:tc>
          <w:tcPr>
            <w:tcW w:w="222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auto"/>
                <w:w w:val="97"/>
              </w:rPr>
              <w:t>Incentive Plan Awards</w:t>
            </w:r>
          </w:p>
        </w:tc>
        <w:tc>
          <w:tcPr>
            <w:tcW w:w="820" w:type="dxa"/>
            <w:vAlign w:val="bottom"/>
            <w:vMerge w:val="continue"/>
          </w:tcPr>
          <w:p>
            <w:pPr>
              <w:spacing w:after="0"/>
              <w:rPr>
                <w:sz w:val="6"/>
                <w:szCs w:val="6"/>
                <w:color w:val="auto"/>
              </w:rPr>
            </w:pPr>
          </w:p>
        </w:tc>
        <w:tc>
          <w:tcPr>
            <w:tcW w:w="8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7"/>
              </w:rPr>
              <w:t>Fair Value of</w:t>
            </w:r>
          </w:p>
        </w:tc>
        <w:tc>
          <w:tcPr>
            <w:tcW w:w="0" w:type="dxa"/>
            <w:vAlign w:val="bottom"/>
          </w:tcPr>
          <w:p>
            <w:pPr>
              <w:spacing w:after="0"/>
              <w:rPr>
                <w:sz w:val="1"/>
                <w:szCs w:val="1"/>
                <w:color w:val="auto"/>
              </w:rPr>
            </w:pPr>
          </w:p>
        </w:tc>
      </w:tr>
      <w:tr>
        <w:trPr>
          <w:trHeight w:val="90"/>
        </w:trPr>
        <w:tc>
          <w:tcPr>
            <w:tcW w:w="6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60" w:type="dxa"/>
            <w:vAlign w:val="bottom"/>
          </w:tcPr>
          <w:p>
            <w:pPr>
              <w:spacing w:after="0"/>
              <w:rPr>
                <w:sz w:val="7"/>
                <w:szCs w:val="7"/>
                <w:color w:val="auto"/>
              </w:rPr>
            </w:pPr>
          </w:p>
        </w:tc>
        <w:tc>
          <w:tcPr>
            <w:tcW w:w="880" w:type="dxa"/>
            <w:vAlign w:val="bottom"/>
          </w:tcPr>
          <w:p>
            <w:pPr>
              <w:spacing w:after="0"/>
              <w:rPr>
                <w:sz w:val="7"/>
                <w:szCs w:val="7"/>
                <w:color w:val="auto"/>
              </w:rPr>
            </w:pPr>
          </w:p>
        </w:tc>
        <w:tc>
          <w:tcPr>
            <w:tcW w:w="2220" w:type="dxa"/>
            <w:vAlign w:val="bottom"/>
            <w:gridSpan w:val="3"/>
            <w:vMerge w:val="continue"/>
          </w:tcPr>
          <w:p>
            <w:pPr>
              <w:spacing w:after="0"/>
              <w:rPr>
                <w:sz w:val="7"/>
                <w:szCs w:val="7"/>
                <w:color w:val="auto"/>
              </w:rPr>
            </w:pPr>
          </w:p>
        </w:tc>
        <w:tc>
          <w:tcPr>
            <w:tcW w:w="820" w:type="dxa"/>
            <w:vAlign w:val="bottom"/>
            <w:vMerge w:val="restart"/>
          </w:tcPr>
          <w:p>
            <w:pPr>
              <w:jc w:val="center"/>
              <w:spacing w:after="0" w:line="144" w:lineRule="exact"/>
              <w:rPr>
                <w:sz w:val="20"/>
                <w:szCs w:val="20"/>
                <w:color w:val="auto"/>
              </w:rPr>
            </w:pPr>
            <w:r>
              <w:rPr>
                <w:rFonts w:ascii="Arial" w:cs="Arial" w:eastAsia="Arial" w:hAnsi="Arial"/>
                <w:sz w:val="13"/>
                <w:szCs w:val="13"/>
                <w:b w:val="1"/>
                <w:bCs w:val="1"/>
                <w:color w:val="auto"/>
                <w:w w:val="94"/>
              </w:rPr>
              <w:t>Shares of</w:t>
            </w:r>
          </w:p>
        </w:tc>
        <w:tc>
          <w:tcPr>
            <w:tcW w:w="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6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80" w:type="dxa"/>
            <w:vAlign w:val="bottom"/>
          </w:tcPr>
          <w:p>
            <w:pPr>
              <w:spacing w:after="0"/>
              <w:rPr>
                <w:sz w:val="4"/>
                <w:szCs w:val="4"/>
                <w:color w:val="auto"/>
              </w:rPr>
            </w:pPr>
          </w:p>
        </w:tc>
        <w:tc>
          <w:tcPr>
            <w:tcW w:w="860" w:type="dxa"/>
            <w:vAlign w:val="bottom"/>
          </w:tcPr>
          <w:p>
            <w:pPr>
              <w:spacing w:after="0"/>
              <w:rPr>
                <w:sz w:val="4"/>
                <w:szCs w:val="4"/>
                <w:color w:val="auto"/>
              </w:rPr>
            </w:pPr>
          </w:p>
        </w:tc>
        <w:tc>
          <w:tcPr>
            <w:tcW w:w="8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8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Stock and</w:t>
            </w:r>
          </w:p>
        </w:tc>
        <w:tc>
          <w:tcPr>
            <w:tcW w:w="0" w:type="dxa"/>
            <w:vAlign w:val="bottom"/>
          </w:tcPr>
          <w:p>
            <w:pPr>
              <w:spacing w:after="0"/>
              <w:rPr>
                <w:sz w:val="1"/>
                <w:szCs w:val="1"/>
                <w:color w:val="auto"/>
              </w:rPr>
            </w:pPr>
          </w:p>
        </w:tc>
      </w:tr>
      <w:tr>
        <w:trPr>
          <w:trHeight w:val="108"/>
        </w:trPr>
        <w:tc>
          <w:tcPr>
            <w:tcW w:w="6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7"/>
              </w:rPr>
              <w:t>Compensation</w:t>
            </w:r>
          </w:p>
        </w:tc>
        <w:tc>
          <w:tcPr>
            <w:tcW w:w="6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7"/>
              </w:rPr>
              <w:t>Stock,</w:t>
            </w:r>
          </w:p>
        </w:tc>
        <w:tc>
          <w:tcPr>
            <w:tcW w:w="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0"/>
        </w:trPr>
        <w:tc>
          <w:tcPr>
            <w:tcW w:w="6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20" w:type="dxa"/>
            <w:vAlign w:val="bottom"/>
            <w:vMerge w:val="continue"/>
          </w:tcPr>
          <w:p>
            <w:pPr>
              <w:spacing w:after="0"/>
              <w:rPr>
                <w:sz w:val="3"/>
                <w:szCs w:val="3"/>
                <w:color w:val="auto"/>
              </w:rPr>
            </w:pPr>
          </w:p>
        </w:tc>
        <w:tc>
          <w:tcPr>
            <w:tcW w:w="680" w:type="dxa"/>
            <w:vAlign w:val="bottom"/>
          </w:tcPr>
          <w:p>
            <w:pPr>
              <w:spacing w:after="0"/>
              <w:rPr>
                <w:sz w:val="3"/>
                <w:szCs w:val="3"/>
                <w:color w:val="auto"/>
              </w:rPr>
            </w:pPr>
          </w:p>
        </w:tc>
        <w:tc>
          <w:tcPr>
            <w:tcW w:w="860" w:type="dxa"/>
            <w:vAlign w:val="bottom"/>
          </w:tcPr>
          <w:p>
            <w:pPr>
              <w:spacing w:after="0"/>
              <w:rPr>
                <w:sz w:val="3"/>
                <w:szCs w:val="3"/>
                <w:color w:val="auto"/>
              </w:rPr>
            </w:pPr>
          </w:p>
        </w:tc>
        <w:tc>
          <w:tcPr>
            <w:tcW w:w="8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8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Option</w:t>
            </w:r>
          </w:p>
        </w:tc>
        <w:tc>
          <w:tcPr>
            <w:tcW w:w="0" w:type="dxa"/>
            <w:vAlign w:val="bottom"/>
          </w:tcPr>
          <w:p>
            <w:pPr>
              <w:spacing w:after="0"/>
              <w:rPr>
                <w:sz w:val="1"/>
                <w:szCs w:val="1"/>
                <w:color w:val="auto"/>
              </w:rPr>
            </w:pPr>
          </w:p>
        </w:tc>
      </w:tr>
      <w:tr>
        <w:trPr>
          <w:trHeight w:val="139"/>
        </w:trPr>
        <w:tc>
          <w:tcPr>
            <w:tcW w:w="6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20" w:type="dxa"/>
            <w:vAlign w:val="bottom"/>
          </w:tcPr>
          <w:p>
            <w:pPr>
              <w:jc w:val="center"/>
              <w:spacing w:after="0" w:line="139" w:lineRule="exact"/>
              <w:rPr>
                <w:sz w:val="20"/>
                <w:szCs w:val="20"/>
                <w:color w:val="auto"/>
              </w:rPr>
            </w:pPr>
            <w:r>
              <w:rPr>
                <w:rFonts w:ascii="Arial" w:cs="Arial" w:eastAsia="Arial" w:hAnsi="Arial"/>
                <w:sz w:val="13"/>
                <w:szCs w:val="13"/>
                <w:b w:val="1"/>
                <w:bCs w:val="1"/>
                <w:color w:val="auto"/>
                <w:w w:val="98"/>
              </w:rPr>
              <w:t>Committee</w:t>
            </w:r>
          </w:p>
        </w:tc>
        <w:tc>
          <w:tcPr>
            <w:tcW w:w="680" w:type="dxa"/>
            <w:vAlign w:val="bottom"/>
          </w:tcPr>
          <w:p>
            <w:pPr>
              <w:jc w:val="center"/>
              <w:ind w:left="17"/>
              <w:spacing w:after="0" w:line="139" w:lineRule="exact"/>
              <w:rPr>
                <w:sz w:val="20"/>
                <w:szCs w:val="20"/>
                <w:color w:val="auto"/>
              </w:rPr>
            </w:pPr>
            <w:r>
              <w:rPr>
                <w:rFonts w:ascii="Arial" w:cs="Arial" w:eastAsia="Arial" w:hAnsi="Arial"/>
                <w:sz w:val="13"/>
                <w:szCs w:val="13"/>
                <w:b w:val="1"/>
                <w:bCs w:val="1"/>
                <w:color w:val="auto"/>
                <w:w w:val="95"/>
              </w:rPr>
              <w:t>Threshold</w:t>
            </w:r>
          </w:p>
        </w:tc>
        <w:tc>
          <w:tcPr>
            <w:tcW w:w="860" w:type="dxa"/>
            <w:vAlign w:val="bottom"/>
          </w:tcPr>
          <w:p>
            <w:pPr>
              <w:jc w:val="center"/>
              <w:ind w:left="57"/>
              <w:spacing w:after="0" w:line="139" w:lineRule="exact"/>
              <w:rPr>
                <w:sz w:val="20"/>
                <w:szCs w:val="20"/>
                <w:color w:val="auto"/>
              </w:rPr>
            </w:pPr>
            <w:r>
              <w:rPr>
                <w:rFonts w:ascii="Arial" w:cs="Arial" w:eastAsia="Arial" w:hAnsi="Arial"/>
                <w:sz w:val="13"/>
                <w:szCs w:val="13"/>
                <w:b w:val="1"/>
                <w:bCs w:val="1"/>
                <w:color w:val="auto"/>
                <w:w w:val="95"/>
              </w:rPr>
              <w:t>Target</w:t>
            </w:r>
          </w:p>
        </w:tc>
        <w:tc>
          <w:tcPr>
            <w:tcW w:w="880" w:type="dxa"/>
            <w:vAlign w:val="bottom"/>
          </w:tcPr>
          <w:p>
            <w:pPr>
              <w:jc w:val="center"/>
              <w:ind w:left="37"/>
              <w:spacing w:after="0" w:line="139" w:lineRule="exact"/>
              <w:rPr>
                <w:sz w:val="20"/>
                <w:szCs w:val="20"/>
                <w:color w:val="auto"/>
              </w:rPr>
            </w:pPr>
            <w:r>
              <w:rPr>
                <w:rFonts w:ascii="Arial" w:cs="Arial" w:eastAsia="Arial" w:hAnsi="Arial"/>
                <w:sz w:val="13"/>
                <w:szCs w:val="13"/>
                <w:b w:val="1"/>
                <w:bCs w:val="1"/>
                <w:color w:val="auto"/>
                <w:w w:val="96"/>
              </w:rPr>
              <w:t>Maximum</w:t>
            </w:r>
          </w:p>
        </w:tc>
        <w:tc>
          <w:tcPr>
            <w:tcW w:w="760" w:type="dxa"/>
            <w:vAlign w:val="bottom"/>
          </w:tcPr>
          <w:p>
            <w:pPr>
              <w:jc w:val="right"/>
              <w:spacing w:after="0" w:line="139" w:lineRule="exact"/>
              <w:rPr>
                <w:sz w:val="20"/>
                <w:szCs w:val="20"/>
                <w:color w:val="auto"/>
              </w:rPr>
            </w:pPr>
            <w:r>
              <w:rPr>
                <w:rFonts w:ascii="Arial" w:cs="Arial" w:eastAsia="Arial" w:hAnsi="Arial"/>
                <w:sz w:val="13"/>
                <w:szCs w:val="13"/>
                <w:b w:val="1"/>
                <w:bCs w:val="1"/>
                <w:color w:val="auto"/>
              </w:rPr>
              <w:t>Threshold</w:t>
            </w:r>
          </w:p>
        </w:tc>
        <w:tc>
          <w:tcPr>
            <w:tcW w:w="720" w:type="dxa"/>
            <w:vAlign w:val="bottom"/>
          </w:tcPr>
          <w:p>
            <w:pPr>
              <w:jc w:val="center"/>
              <w:spacing w:after="0" w:line="139" w:lineRule="exact"/>
              <w:rPr>
                <w:sz w:val="20"/>
                <w:szCs w:val="20"/>
                <w:color w:val="auto"/>
              </w:rPr>
            </w:pPr>
            <w:r>
              <w:rPr>
                <w:rFonts w:ascii="Arial" w:cs="Arial" w:eastAsia="Arial" w:hAnsi="Arial"/>
                <w:sz w:val="13"/>
                <w:szCs w:val="13"/>
                <w:b w:val="1"/>
                <w:bCs w:val="1"/>
                <w:color w:val="auto"/>
                <w:w w:val="95"/>
              </w:rPr>
              <w:t>Target</w:t>
            </w:r>
          </w:p>
        </w:tc>
        <w:tc>
          <w:tcPr>
            <w:tcW w:w="740" w:type="dxa"/>
            <w:vAlign w:val="bottom"/>
          </w:tcPr>
          <w:p>
            <w:pPr>
              <w:ind w:left="80"/>
              <w:spacing w:after="0" w:line="139" w:lineRule="exact"/>
              <w:rPr>
                <w:sz w:val="20"/>
                <w:szCs w:val="20"/>
                <w:color w:val="auto"/>
              </w:rPr>
            </w:pPr>
            <w:r>
              <w:rPr>
                <w:rFonts w:ascii="Arial" w:cs="Arial" w:eastAsia="Arial" w:hAnsi="Arial"/>
                <w:sz w:val="13"/>
                <w:szCs w:val="13"/>
                <w:b w:val="1"/>
                <w:bCs w:val="1"/>
                <w:color w:val="auto"/>
              </w:rPr>
              <w:t>Maximum</w:t>
            </w:r>
          </w:p>
        </w:tc>
        <w:tc>
          <w:tcPr>
            <w:tcW w:w="820" w:type="dxa"/>
            <w:vAlign w:val="bottom"/>
          </w:tcPr>
          <w:p>
            <w:pPr>
              <w:jc w:val="center"/>
              <w:spacing w:after="0" w:line="139" w:lineRule="exact"/>
              <w:rPr>
                <w:sz w:val="20"/>
                <w:szCs w:val="20"/>
                <w:color w:val="auto"/>
              </w:rPr>
            </w:pPr>
            <w:r>
              <w:rPr>
                <w:rFonts w:ascii="Arial" w:cs="Arial" w:eastAsia="Arial" w:hAnsi="Arial"/>
                <w:sz w:val="13"/>
                <w:szCs w:val="13"/>
                <w:b w:val="1"/>
                <w:bCs w:val="1"/>
                <w:color w:val="auto"/>
                <w:w w:val="97"/>
              </w:rPr>
              <w:t>Options, or</w:t>
            </w: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40" w:type="dxa"/>
            <w:vAlign w:val="bottom"/>
          </w:tcPr>
          <w:p>
            <w:pPr>
              <w:spacing w:after="0"/>
              <w:rPr>
                <w:sz w:val="20"/>
                <w:szCs w:val="20"/>
                <w:color w:val="auto"/>
              </w:rPr>
            </w:pPr>
            <w:r>
              <w:rPr>
                <w:rFonts w:ascii="Arial" w:cs="Arial" w:eastAsia="Arial" w:hAnsi="Arial"/>
                <w:sz w:val="13"/>
                <w:szCs w:val="13"/>
                <w:b w:val="1"/>
                <w:bCs w:val="1"/>
                <w:color w:val="auto"/>
              </w:rPr>
              <w:t>Award</w:t>
            </w:r>
          </w:p>
        </w:tc>
        <w:tc>
          <w:tcPr>
            <w:tcW w:w="1000" w:type="dxa"/>
            <w:vAlign w:val="bottom"/>
          </w:tcPr>
          <w:p>
            <w:pPr>
              <w:ind w:left="260"/>
              <w:spacing w:after="0"/>
              <w:rPr>
                <w:sz w:val="20"/>
                <w:szCs w:val="20"/>
                <w:color w:val="auto"/>
              </w:rPr>
            </w:pPr>
            <w:r>
              <w:rPr>
                <w:rFonts w:ascii="Arial" w:cs="Arial" w:eastAsia="Arial" w:hAnsi="Arial"/>
                <w:sz w:val="13"/>
                <w:szCs w:val="13"/>
                <w:b w:val="1"/>
                <w:bCs w:val="1"/>
                <w:color w:val="auto"/>
                <w:w w:val="99"/>
              </w:rPr>
              <w:t>Grant Date</w:t>
            </w:r>
            <w:r>
              <w:rPr>
                <w:rFonts w:ascii="Arial" w:cs="Arial" w:eastAsia="Arial" w:hAnsi="Arial"/>
                <w:sz w:val="16"/>
                <w:szCs w:val="16"/>
                <w:b w:val="1"/>
                <w:bCs w:val="1"/>
                <w:color w:val="auto"/>
                <w:w w:val="99"/>
                <w:vertAlign w:val="superscript"/>
              </w:rPr>
              <w:t>1</w:t>
            </w:r>
          </w:p>
        </w:tc>
        <w:tc>
          <w:tcPr>
            <w:tcW w:w="1020" w:type="dxa"/>
            <w:vAlign w:val="bottom"/>
          </w:tcPr>
          <w:p>
            <w:pPr>
              <w:jc w:val="center"/>
              <w:spacing w:after="0"/>
              <w:rPr>
                <w:sz w:val="20"/>
                <w:szCs w:val="20"/>
                <w:color w:val="auto"/>
              </w:rPr>
            </w:pPr>
            <w:r>
              <w:rPr>
                <w:rFonts w:ascii="Arial" w:cs="Arial" w:eastAsia="Arial" w:hAnsi="Arial"/>
                <w:sz w:val="13"/>
                <w:szCs w:val="13"/>
                <w:b w:val="1"/>
                <w:bCs w:val="1"/>
                <w:color w:val="auto"/>
                <w:w w:val="96"/>
              </w:rPr>
              <w:t>Action Date</w:t>
            </w:r>
          </w:p>
        </w:tc>
        <w:tc>
          <w:tcPr>
            <w:tcW w:w="680" w:type="dxa"/>
            <w:vAlign w:val="bottom"/>
          </w:tcPr>
          <w:p>
            <w:pPr>
              <w:jc w:val="right"/>
              <w:ind w:right="157"/>
              <w:spacing w:after="0"/>
              <w:rPr>
                <w:sz w:val="20"/>
                <w:szCs w:val="20"/>
                <w:color w:val="auto"/>
              </w:rPr>
            </w:pPr>
            <w:r>
              <w:rPr>
                <w:rFonts w:ascii="Arial" w:cs="Arial" w:eastAsia="Arial" w:hAnsi="Arial"/>
                <w:sz w:val="13"/>
                <w:szCs w:val="13"/>
                <w:b w:val="1"/>
                <w:bCs w:val="1"/>
                <w:color w:val="auto"/>
              </w:rPr>
              <w:t>($)</w:t>
            </w:r>
          </w:p>
        </w:tc>
        <w:tc>
          <w:tcPr>
            <w:tcW w:w="860" w:type="dxa"/>
            <w:vAlign w:val="bottom"/>
          </w:tcPr>
          <w:p>
            <w:pPr>
              <w:jc w:val="right"/>
              <w:ind w:right="217"/>
              <w:spacing w:after="0"/>
              <w:rPr>
                <w:sz w:val="20"/>
                <w:szCs w:val="20"/>
                <w:color w:val="auto"/>
              </w:rPr>
            </w:pPr>
            <w:r>
              <w:rPr>
                <w:rFonts w:ascii="Arial" w:cs="Arial" w:eastAsia="Arial" w:hAnsi="Arial"/>
                <w:sz w:val="13"/>
                <w:szCs w:val="13"/>
                <w:b w:val="1"/>
                <w:bCs w:val="1"/>
                <w:color w:val="auto"/>
              </w:rPr>
              <w:t>($)</w:t>
            </w:r>
          </w:p>
        </w:tc>
        <w:tc>
          <w:tcPr>
            <w:tcW w:w="880" w:type="dxa"/>
            <w:vAlign w:val="bottom"/>
          </w:tcPr>
          <w:p>
            <w:pPr>
              <w:jc w:val="right"/>
              <w:ind w:right="257"/>
              <w:spacing w:after="0"/>
              <w:rPr>
                <w:sz w:val="20"/>
                <w:szCs w:val="20"/>
                <w:color w:val="auto"/>
              </w:rPr>
            </w:pPr>
            <w:r>
              <w:rPr>
                <w:rFonts w:ascii="Arial" w:cs="Arial" w:eastAsia="Arial" w:hAnsi="Arial"/>
                <w:sz w:val="13"/>
                <w:szCs w:val="13"/>
                <w:b w:val="1"/>
                <w:bCs w:val="1"/>
                <w:color w:val="auto"/>
              </w:rPr>
              <w:t>($)</w:t>
            </w: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 shares)</w:t>
            </w: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97"/>
              </w:rPr>
              <w:t>(# shares)</w:t>
            </w:r>
          </w:p>
        </w:tc>
        <w:tc>
          <w:tcPr>
            <w:tcW w:w="740" w:type="dxa"/>
            <w:vAlign w:val="bottom"/>
          </w:tcPr>
          <w:p>
            <w:pPr>
              <w:ind w:left="60"/>
              <w:spacing w:after="0"/>
              <w:rPr>
                <w:sz w:val="20"/>
                <w:szCs w:val="20"/>
                <w:color w:val="auto"/>
              </w:rPr>
            </w:pPr>
            <w:r>
              <w:rPr>
                <w:rFonts w:ascii="Arial" w:cs="Arial" w:eastAsia="Arial" w:hAnsi="Arial"/>
                <w:sz w:val="13"/>
                <w:szCs w:val="13"/>
                <w:b w:val="1"/>
                <w:bCs w:val="1"/>
                <w:color w:val="auto"/>
              </w:rPr>
              <w:t>(# shares)</w:t>
            </w: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98"/>
              </w:rPr>
              <w:t>Units</w:t>
            </w: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91"/>
              </w:rPr>
              <w:t xml:space="preserve">Awards </w:t>
            </w:r>
            <w:r>
              <w:rPr>
                <w:rFonts w:ascii="Arial" w:cs="Arial" w:eastAsia="Arial" w:hAnsi="Arial"/>
                <w:sz w:val="16"/>
                <w:szCs w:val="16"/>
                <w:b w:val="1"/>
                <w:bCs w:val="1"/>
                <w:color w:val="auto"/>
                <w:w w:val="91"/>
                <w:vertAlign w:val="superscript"/>
              </w:rPr>
              <w:t>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6000750" cy="17145"/>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6000750" cy="1714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8255</wp:posOffset>
            </wp:positionV>
            <wp:extent cx="8255" cy="17145"/>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8255</wp:posOffset>
            </wp:positionV>
            <wp:extent cx="8255" cy="17145"/>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8255</wp:posOffset>
            </wp:positionV>
            <wp:extent cx="8890" cy="17145"/>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-299720</wp:posOffset>
            </wp:positionV>
            <wp:extent cx="8255" cy="8255"/>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-282575</wp:posOffset>
            </wp:positionV>
            <wp:extent cx="8255" cy="8255"/>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-264795</wp:posOffset>
            </wp:positionV>
            <wp:extent cx="8255" cy="8255"/>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-248285</wp:posOffset>
            </wp:positionV>
            <wp:extent cx="8255" cy="8255"/>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-231140</wp:posOffset>
            </wp:positionV>
            <wp:extent cx="8255" cy="8890"/>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-213995</wp:posOffset>
            </wp:positionV>
            <wp:extent cx="8255" cy="8255"/>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-196850</wp:posOffset>
            </wp:positionV>
            <wp:extent cx="8255" cy="8255"/>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-179070</wp:posOffset>
            </wp:positionV>
            <wp:extent cx="8255" cy="8255"/>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-162560</wp:posOffset>
            </wp:positionV>
            <wp:extent cx="8255" cy="8255"/>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-145415</wp:posOffset>
            </wp:positionV>
            <wp:extent cx="8255" cy="8890"/>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-128270</wp:posOffset>
            </wp:positionV>
            <wp:extent cx="8255" cy="8255"/>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-111125</wp:posOffset>
            </wp:positionV>
            <wp:extent cx="8255" cy="8255"/>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-93980</wp:posOffset>
            </wp:positionV>
            <wp:extent cx="8255" cy="8890"/>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-76835</wp:posOffset>
            </wp:positionV>
            <wp:extent cx="8255" cy="8255"/>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-59690</wp:posOffset>
            </wp:positionV>
            <wp:extent cx="8255" cy="8255"/>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9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-42545</wp:posOffset>
            </wp:positionV>
            <wp:extent cx="8255" cy="8255"/>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-25400</wp:posOffset>
            </wp:positionV>
            <wp:extent cx="8255" cy="8255"/>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-8255</wp:posOffset>
            </wp:positionV>
            <wp:extent cx="8255" cy="8890"/>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-299720</wp:posOffset>
            </wp:positionV>
            <wp:extent cx="8255" cy="8255"/>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-282575</wp:posOffset>
            </wp:positionV>
            <wp:extent cx="8255" cy="8255"/>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-264795</wp:posOffset>
            </wp:positionV>
            <wp:extent cx="8255" cy="8255"/>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-248285</wp:posOffset>
            </wp:positionV>
            <wp:extent cx="8255" cy="8255"/>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-231140</wp:posOffset>
            </wp:positionV>
            <wp:extent cx="8255" cy="8890"/>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-213995</wp:posOffset>
            </wp:positionV>
            <wp:extent cx="8255" cy="8255"/>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-196850</wp:posOffset>
            </wp:positionV>
            <wp:extent cx="8255" cy="8255"/>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-179070</wp:posOffset>
            </wp:positionV>
            <wp:extent cx="8255" cy="8255"/>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-162560</wp:posOffset>
            </wp:positionV>
            <wp:extent cx="8255" cy="8255"/>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-145415</wp:posOffset>
            </wp:positionV>
            <wp:extent cx="8255" cy="8890"/>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-128270</wp:posOffset>
            </wp:positionV>
            <wp:extent cx="8255" cy="8255"/>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-111125</wp:posOffset>
            </wp:positionV>
            <wp:extent cx="8255" cy="8255"/>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-93980</wp:posOffset>
            </wp:positionV>
            <wp:extent cx="8255" cy="8890"/>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-76835</wp:posOffset>
            </wp:positionV>
            <wp:extent cx="8255" cy="8255"/>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-59690</wp:posOffset>
            </wp:positionV>
            <wp:extent cx="8255" cy="8255"/>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-42545</wp:posOffset>
            </wp:positionV>
            <wp:extent cx="8255" cy="8255"/>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-25400</wp:posOffset>
            </wp:positionV>
            <wp:extent cx="8255" cy="8255"/>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-8255</wp:posOffset>
            </wp:positionV>
            <wp:extent cx="8255" cy="8890"/>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-882650</wp:posOffset>
            </wp:positionV>
            <wp:extent cx="8255" cy="8255"/>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-864870</wp:posOffset>
            </wp:positionV>
            <wp:extent cx="8255" cy="8255"/>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-848360</wp:posOffset>
            </wp:positionV>
            <wp:extent cx="8255" cy="8255"/>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-831215</wp:posOffset>
            </wp:positionV>
            <wp:extent cx="8255" cy="8890"/>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-814070</wp:posOffset>
            </wp:positionV>
            <wp:extent cx="8255" cy="8255"/>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-796925</wp:posOffset>
            </wp:positionV>
            <wp:extent cx="8255" cy="8255"/>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-779145</wp:posOffset>
            </wp:positionV>
            <wp:extent cx="8255" cy="8255"/>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-762635</wp:posOffset>
            </wp:positionV>
            <wp:extent cx="8255" cy="8255"/>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-745490</wp:posOffset>
            </wp:positionV>
            <wp:extent cx="8255" cy="8890"/>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2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-728345</wp:posOffset>
            </wp:positionV>
            <wp:extent cx="8255" cy="8255"/>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-711200</wp:posOffset>
            </wp:positionV>
            <wp:extent cx="8255" cy="8255"/>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-693420</wp:posOffset>
            </wp:positionV>
            <wp:extent cx="8255" cy="8255"/>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-676910</wp:posOffset>
            </wp:positionV>
            <wp:extent cx="8255" cy="8255"/>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-659765</wp:posOffset>
            </wp:positionV>
            <wp:extent cx="8255" cy="8890"/>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3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-642620</wp:posOffset>
            </wp:positionV>
            <wp:extent cx="8255" cy="8255"/>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-625475</wp:posOffset>
            </wp:positionV>
            <wp:extent cx="8255" cy="8255"/>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-607695</wp:posOffset>
            </wp:positionV>
            <wp:extent cx="8255" cy="8255"/>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-591185</wp:posOffset>
            </wp:positionV>
            <wp:extent cx="8255" cy="8255"/>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-574040</wp:posOffset>
            </wp:positionV>
            <wp:extent cx="8255" cy="8890"/>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3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-556895</wp:posOffset>
            </wp:positionV>
            <wp:extent cx="8255" cy="8255"/>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-539750</wp:posOffset>
            </wp:positionV>
            <wp:extent cx="8255" cy="8255"/>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-521970</wp:posOffset>
            </wp:positionV>
            <wp:extent cx="8255" cy="8255"/>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-505460</wp:posOffset>
            </wp:positionV>
            <wp:extent cx="8255" cy="8255"/>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-488315</wp:posOffset>
            </wp:positionV>
            <wp:extent cx="8255" cy="8890"/>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4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-471170</wp:posOffset>
            </wp:positionV>
            <wp:extent cx="8255" cy="8255"/>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-454025</wp:posOffset>
            </wp:positionV>
            <wp:extent cx="8255" cy="8255"/>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-436245</wp:posOffset>
            </wp:positionV>
            <wp:extent cx="8255" cy="8255"/>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-419735</wp:posOffset>
            </wp:positionV>
            <wp:extent cx="8255" cy="8255"/>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-402590</wp:posOffset>
            </wp:positionV>
            <wp:extent cx="8255" cy="8890"/>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4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-385445</wp:posOffset>
            </wp:positionV>
            <wp:extent cx="8255" cy="8255"/>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-368300</wp:posOffset>
            </wp:positionV>
            <wp:extent cx="8255" cy="8255"/>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-350520</wp:posOffset>
            </wp:positionV>
            <wp:extent cx="8255" cy="8255"/>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-334010</wp:posOffset>
            </wp:positionV>
            <wp:extent cx="8255" cy="26035"/>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53">
                      <a:extLst>
                        <a:ext uri="{28A0092B-C50C-407E-A947-70E740481C1C}"/>
                      </a:extLst>
                    </a:blip>
                    <a:srcRect/>
                    <a:stretch>
                      <a:fillRect/>
                    </a:stretch>
                  </pic:blipFill>
                  <pic:spPr bwMode="auto">
                    <a:xfrm>
                      <a:off x="0" y="0"/>
                      <a:ext cx="8255" cy="2603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-882650</wp:posOffset>
            </wp:positionV>
            <wp:extent cx="8255" cy="8255"/>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-864870</wp:posOffset>
            </wp:positionV>
            <wp:extent cx="8255" cy="8255"/>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-848360</wp:posOffset>
            </wp:positionV>
            <wp:extent cx="8255" cy="8255"/>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-831215</wp:posOffset>
            </wp:positionV>
            <wp:extent cx="8255" cy="8890"/>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5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-814070</wp:posOffset>
            </wp:positionV>
            <wp:extent cx="8255" cy="8255"/>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-796925</wp:posOffset>
            </wp:positionV>
            <wp:extent cx="8255" cy="8255"/>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-779145</wp:posOffset>
            </wp:positionV>
            <wp:extent cx="8255" cy="8255"/>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-762635</wp:posOffset>
            </wp:positionV>
            <wp:extent cx="8255" cy="8255"/>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-745490</wp:posOffset>
            </wp:positionV>
            <wp:extent cx="8255" cy="8890"/>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6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-728345</wp:posOffset>
            </wp:positionV>
            <wp:extent cx="8255" cy="8255"/>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-711200</wp:posOffset>
            </wp:positionV>
            <wp:extent cx="8255" cy="8255"/>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0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-693420</wp:posOffset>
            </wp:positionV>
            <wp:extent cx="8255" cy="8255"/>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0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-676910</wp:posOffset>
            </wp:positionV>
            <wp:extent cx="8255" cy="8255"/>
            <wp:wrapNone/>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0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-659765</wp:posOffset>
            </wp:positionV>
            <wp:extent cx="8255" cy="8890"/>
            <wp:wrapNone/>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06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-642620</wp:posOffset>
            </wp:positionV>
            <wp:extent cx="8255" cy="8255"/>
            <wp:wrapNone/>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10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-625475</wp:posOffset>
            </wp:positionV>
            <wp:extent cx="8255" cy="8255"/>
            <wp:wrapNone/>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10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-607695</wp:posOffset>
            </wp:positionV>
            <wp:extent cx="8255" cy="8255"/>
            <wp:wrapNone/>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10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-591185</wp:posOffset>
            </wp:positionV>
            <wp:extent cx="8255" cy="8255"/>
            <wp:wrapNone/>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10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-574040</wp:posOffset>
            </wp:positionV>
            <wp:extent cx="8255" cy="8890"/>
            <wp:wrapNone/>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107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-556895</wp:posOffset>
            </wp:positionV>
            <wp:extent cx="8255" cy="8255"/>
            <wp:wrapNone/>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10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-539750</wp:posOffset>
            </wp:positionV>
            <wp:extent cx="8255" cy="8255"/>
            <wp:wrapNone/>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10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-521970</wp:posOffset>
            </wp:positionV>
            <wp:extent cx="8255" cy="8255"/>
            <wp:wrapNone/>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10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-505460</wp:posOffset>
            </wp:positionV>
            <wp:extent cx="8255" cy="8255"/>
            <wp:wrapNone/>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10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-488315</wp:posOffset>
            </wp:positionV>
            <wp:extent cx="8255" cy="8890"/>
            <wp:wrapNone/>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107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-471170</wp:posOffset>
            </wp:positionV>
            <wp:extent cx="8255" cy="8255"/>
            <wp:wrapNone/>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10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-454025</wp:posOffset>
            </wp:positionV>
            <wp:extent cx="8255" cy="8255"/>
            <wp:wrapNone/>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10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-436245</wp:posOffset>
            </wp:positionV>
            <wp:extent cx="8255" cy="8255"/>
            <wp:wrapNone/>
            <wp:docPr id="1073"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10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-419735</wp:posOffset>
            </wp:positionV>
            <wp:extent cx="8255" cy="8255"/>
            <wp:wrapNone/>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10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-402590</wp:posOffset>
            </wp:positionV>
            <wp:extent cx="8255" cy="8890"/>
            <wp:wrapNone/>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pic:cNvPicPr>
                      <a:picLocks noChangeAspect="1" noChangeArrowheads="1"/>
                    </pic:cNvPicPr>
                  </pic:nvPicPr>
                  <pic:blipFill>
                    <a:blip r:embed="rId108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-385445</wp:posOffset>
            </wp:positionV>
            <wp:extent cx="8255" cy="8255"/>
            <wp:wrapNone/>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10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-368300</wp:posOffset>
            </wp:positionV>
            <wp:extent cx="8255" cy="8255"/>
            <wp:wrapNone/>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pic:cNvPicPr>
                      <a:picLocks noChangeAspect="1" noChangeArrowheads="1"/>
                    </pic:cNvPicPr>
                  </pic:nvPicPr>
                  <pic:blipFill>
                    <a:blip r:embed="rId10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-350520</wp:posOffset>
            </wp:positionV>
            <wp:extent cx="8255" cy="8255"/>
            <wp:wrapNone/>
            <wp:docPr id="1078"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0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-334010</wp:posOffset>
            </wp:positionV>
            <wp:extent cx="8255" cy="26035"/>
            <wp:wrapNone/>
            <wp:docPr id="1079" name="Picture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pic:cNvPicPr>
                      <a:picLocks noChangeAspect="1" noChangeArrowheads="1"/>
                    </pic:cNvPicPr>
                  </pic:nvPicPr>
                  <pic:blipFill>
                    <a:blip r:embed="rId1086">
                      <a:extLst>
                        <a:ext uri="{28A0092B-C50C-407E-A947-70E740481C1C}"/>
                      </a:extLst>
                    </a:blip>
                    <a:srcRect/>
                    <a:stretch>
                      <a:fillRect/>
                    </a:stretch>
                  </pic:blipFill>
                  <pic:spPr bwMode="auto">
                    <a:xfrm>
                      <a:off x="0" y="0"/>
                      <a:ext cx="8255" cy="2603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-882650</wp:posOffset>
            </wp:positionV>
            <wp:extent cx="8890" cy="8255"/>
            <wp:wrapNone/>
            <wp:docPr id="1080"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10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-864870</wp:posOffset>
            </wp:positionV>
            <wp:extent cx="8890" cy="8255"/>
            <wp:wrapNone/>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pic:cNvPicPr>
                      <a:picLocks noChangeAspect="1" noChangeArrowheads="1"/>
                    </pic:cNvPicPr>
                  </pic:nvPicPr>
                  <pic:blipFill>
                    <a:blip r:embed="rId10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-848360</wp:posOffset>
            </wp:positionV>
            <wp:extent cx="8890" cy="8255"/>
            <wp:wrapNone/>
            <wp:docPr id="1082"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10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-831215</wp:posOffset>
            </wp:positionV>
            <wp:extent cx="8890" cy="8890"/>
            <wp:wrapNone/>
            <wp:docPr id="1083" name="Picture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pic:cNvPicPr>
                      <a:picLocks noChangeAspect="1" noChangeArrowheads="1"/>
                    </pic:cNvPicPr>
                  </pic:nvPicPr>
                  <pic:blipFill>
                    <a:blip r:embed="rId10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-814070</wp:posOffset>
            </wp:positionV>
            <wp:extent cx="8890" cy="8255"/>
            <wp:wrapNone/>
            <wp:docPr id="1084" name="Picture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pic:cNvPicPr>
                      <a:picLocks noChangeAspect="1" noChangeArrowheads="1"/>
                    </pic:cNvPicPr>
                  </pic:nvPicPr>
                  <pic:blipFill>
                    <a:blip r:embed="rId10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-796925</wp:posOffset>
            </wp:positionV>
            <wp:extent cx="8890" cy="8255"/>
            <wp:wrapNone/>
            <wp:docPr id="1085" name="Picture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pic:cNvPicPr>
                      <a:picLocks noChangeAspect="1" noChangeArrowheads="1"/>
                    </pic:cNvPicPr>
                  </pic:nvPicPr>
                  <pic:blipFill>
                    <a:blip r:embed="rId10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-779145</wp:posOffset>
            </wp:positionV>
            <wp:extent cx="8890" cy="8255"/>
            <wp:wrapNone/>
            <wp:docPr id="1086" name="Picture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10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-762635</wp:posOffset>
            </wp:positionV>
            <wp:extent cx="8890" cy="8255"/>
            <wp:wrapNone/>
            <wp:docPr id="1087" name="Picture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pic:cNvPicPr>
                      <a:picLocks noChangeAspect="1" noChangeArrowheads="1"/>
                    </pic:cNvPicPr>
                  </pic:nvPicPr>
                  <pic:blipFill>
                    <a:blip r:embed="rId10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-745490</wp:posOffset>
            </wp:positionV>
            <wp:extent cx="8890" cy="8890"/>
            <wp:wrapNone/>
            <wp:docPr id="1088" name="Picture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pic:cNvPicPr>
                      <a:picLocks noChangeAspect="1" noChangeArrowheads="1"/>
                    </pic:cNvPicPr>
                  </pic:nvPicPr>
                  <pic:blipFill>
                    <a:blip r:embed="rId10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-728345</wp:posOffset>
            </wp:positionV>
            <wp:extent cx="8890" cy="8255"/>
            <wp:wrapNone/>
            <wp:docPr id="1089" name="Picture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pic:cNvPicPr>
                      <a:picLocks noChangeAspect="1" noChangeArrowheads="1"/>
                    </pic:cNvPicPr>
                  </pic:nvPicPr>
                  <pic:blipFill>
                    <a:blip r:embed="rId10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-711200</wp:posOffset>
            </wp:positionV>
            <wp:extent cx="8890" cy="8255"/>
            <wp:wrapNone/>
            <wp:docPr id="1090" name="Picture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pic:cNvPicPr>
                      <a:picLocks noChangeAspect="1" noChangeArrowheads="1"/>
                    </pic:cNvPicPr>
                  </pic:nvPicPr>
                  <pic:blipFill>
                    <a:blip r:embed="rId10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-693420</wp:posOffset>
            </wp:positionV>
            <wp:extent cx="8890" cy="8255"/>
            <wp:wrapNone/>
            <wp:docPr id="1091" name="Picture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pic:cNvPicPr>
                      <a:picLocks noChangeAspect="1" noChangeArrowheads="1"/>
                    </pic:cNvPicPr>
                  </pic:nvPicPr>
                  <pic:blipFill>
                    <a:blip r:embed="rId10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-676910</wp:posOffset>
            </wp:positionV>
            <wp:extent cx="8890" cy="8255"/>
            <wp:wrapNone/>
            <wp:docPr id="1092" name="Picture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pic:cNvPicPr>
                      <a:picLocks noChangeAspect="1" noChangeArrowheads="1"/>
                    </pic:cNvPicPr>
                  </pic:nvPicPr>
                  <pic:blipFill>
                    <a:blip r:embed="rId10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-659765</wp:posOffset>
            </wp:positionV>
            <wp:extent cx="8890" cy="8890"/>
            <wp:wrapNone/>
            <wp:docPr id="1093" name="Picture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pic:cNvPicPr>
                      <a:picLocks noChangeAspect="1" noChangeArrowheads="1"/>
                    </pic:cNvPicPr>
                  </pic:nvPicPr>
                  <pic:blipFill>
                    <a:blip r:embed="rId11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-642620</wp:posOffset>
            </wp:positionV>
            <wp:extent cx="8890" cy="8255"/>
            <wp:wrapNone/>
            <wp:docPr id="1094" name="Pictur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pic:cNvPicPr>
                      <a:picLocks noChangeAspect="1" noChangeArrowheads="1"/>
                    </pic:cNvPicPr>
                  </pic:nvPicPr>
                  <pic:blipFill>
                    <a:blip r:embed="rId11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-625475</wp:posOffset>
            </wp:positionV>
            <wp:extent cx="8890" cy="8255"/>
            <wp:wrapNone/>
            <wp:docPr id="1095" name="Picture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pic:cNvPicPr>
                      <a:picLocks noChangeAspect="1" noChangeArrowheads="1"/>
                    </pic:cNvPicPr>
                  </pic:nvPicPr>
                  <pic:blipFill>
                    <a:blip r:embed="rId11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-607695</wp:posOffset>
            </wp:positionV>
            <wp:extent cx="8890" cy="8255"/>
            <wp:wrapNone/>
            <wp:docPr id="1096" name="Picture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pic:cNvPicPr>
                      <a:picLocks noChangeAspect="1" noChangeArrowheads="1"/>
                    </pic:cNvPicPr>
                  </pic:nvPicPr>
                  <pic:blipFill>
                    <a:blip r:embed="rId11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-591185</wp:posOffset>
            </wp:positionV>
            <wp:extent cx="8890" cy="8255"/>
            <wp:wrapNone/>
            <wp:docPr id="1097" name="Picture 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pic:cNvPicPr>
                      <a:picLocks noChangeAspect="1" noChangeArrowheads="1"/>
                    </pic:cNvPicPr>
                  </pic:nvPicPr>
                  <pic:blipFill>
                    <a:blip r:embed="rId11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-574040</wp:posOffset>
            </wp:positionV>
            <wp:extent cx="8890" cy="8890"/>
            <wp:wrapNone/>
            <wp:docPr id="1098" name="Picture 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pic:cNvPicPr>
                      <a:picLocks noChangeAspect="1" noChangeArrowheads="1"/>
                    </pic:cNvPicPr>
                  </pic:nvPicPr>
                  <pic:blipFill>
                    <a:blip r:embed="rId11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-556895</wp:posOffset>
            </wp:positionV>
            <wp:extent cx="8890" cy="8255"/>
            <wp:wrapNone/>
            <wp:docPr id="1099" name="Picture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pic:cNvPicPr>
                      <a:picLocks noChangeAspect="1" noChangeArrowheads="1"/>
                    </pic:cNvPicPr>
                  </pic:nvPicPr>
                  <pic:blipFill>
                    <a:blip r:embed="rId11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-539750</wp:posOffset>
            </wp:positionV>
            <wp:extent cx="8890" cy="8255"/>
            <wp:wrapNone/>
            <wp:docPr id="1100" name="Picture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pic:cNvPicPr>
                      <a:picLocks noChangeAspect="1" noChangeArrowheads="1"/>
                    </pic:cNvPicPr>
                  </pic:nvPicPr>
                  <pic:blipFill>
                    <a:blip r:embed="rId11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-521970</wp:posOffset>
            </wp:positionV>
            <wp:extent cx="8890" cy="8255"/>
            <wp:wrapNone/>
            <wp:docPr id="1101" name="Picture 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pic:cNvPicPr>
                      <a:picLocks noChangeAspect="1" noChangeArrowheads="1"/>
                    </pic:cNvPicPr>
                  </pic:nvPicPr>
                  <pic:blipFill>
                    <a:blip r:embed="rId11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-505460</wp:posOffset>
            </wp:positionV>
            <wp:extent cx="8890" cy="8255"/>
            <wp:wrapNone/>
            <wp:docPr id="1102" name="Picture 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pic:cNvPicPr>
                      <a:picLocks noChangeAspect="1" noChangeArrowheads="1"/>
                    </pic:cNvPicPr>
                  </pic:nvPicPr>
                  <pic:blipFill>
                    <a:blip r:embed="rId11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-488315</wp:posOffset>
            </wp:positionV>
            <wp:extent cx="8890" cy="8890"/>
            <wp:wrapNone/>
            <wp:docPr id="1103" name="Picture 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pic:cNvPicPr>
                      <a:picLocks noChangeAspect="1" noChangeArrowheads="1"/>
                    </pic:cNvPicPr>
                  </pic:nvPicPr>
                  <pic:blipFill>
                    <a:blip r:embed="rId11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-471170</wp:posOffset>
            </wp:positionV>
            <wp:extent cx="8890" cy="8255"/>
            <wp:wrapNone/>
            <wp:docPr id="1104" name="Picture 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pic:cNvPicPr>
                      <a:picLocks noChangeAspect="1" noChangeArrowheads="1"/>
                    </pic:cNvPicPr>
                  </pic:nvPicPr>
                  <pic:blipFill>
                    <a:blip r:embed="rId11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-454025</wp:posOffset>
            </wp:positionV>
            <wp:extent cx="8890" cy="8255"/>
            <wp:wrapNone/>
            <wp:docPr id="1105" name="Picture 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5"/>
                    <pic:cNvPicPr>
                      <a:picLocks noChangeAspect="1" noChangeArrowheads="1"/>
                    </pic:cNvPicPr>
                  </pic:nvPicPr>
                  <pic:blipFill>
                    <a:blip r:embed="rId11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-436245</wp:posOffset>
            </wp:positionV>
            <wp:extent cx="8890" cy="8255"/>
            <wp:wrapNone/>
            <wp:docPr id="1106" name="Picture 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pic:cNvPicPr>
                      <a:picLocks noChangeAspect="1" noChangeArrowheads="1"/>
                    </pic:cNvPicPr>
                  </pic:nvPicPr>
                  <pic:blipFill>
                    <a:blip r:embed="rId11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-419735</wp:posOffset>
            </wp:positionV>
            <wp:extent cx="8890" cy="8255"/>
            <wp:wrapNone/>
            <wp:docPr id="1107"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7"/>
                    <pic:cNvPicPr>
                      <a:picLocks noChangeAspect="1" noChangeArrowheads="1"/>
                    </pic:cNvPicPr>
                  </pic:nvPicPr>
                  <pic:blipFill>
                    <a:blip r:embed="rId11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-402590</wp:posOffset>
            </wp:positionV>
            <wp:extent cx="8890" cy="8890"/>
            <wp:wrapNone/>
            <wp:docPr id="1108" name="Picture 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pic:cNvPicPr>
                      <a:picLocks noChangeAspect="1" noChangeArrowheads="1"/>
                    </pic:cNvPicPr>
                  </pic:nvPicPr>
                  <pic:blipFill>
                    <a:blip r:embed="rId11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-385445</wp:posOffset>
            </wp:positionV>
            <wp:extent cx="8890" cy="8255"/>
            <wp:wrapNone/>
            <wp:docPr id="1109" name="Picture 1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9"/>
                    <pic:cNvPicPr>
                      <a:picLocks noChangeAspect="1" noChangeArrowheads="1"/>
                    </pic:cNvPicPr>
                  </pic:nvPicPr>
                  <pic:blipFill>
                    <a:blip r:embed="rId11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-368300</wp:posOffset>
            </wp:positionV>
            <wp:extent cx="8890" cy="8255"/>
            <wp:wrapNone/>
            <wp:docPr id="1110" name="Picture 1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0"/>
                    <pic:cNvPicPr>
                      <a:picLocks noChangeAspect="1" noChangeArrowheads="1"/>
                    </pic:cNvPicPr>
                  </pic:nvPicPr>
                  <pic:blipFill>
                    <a:blip r:embed="rId11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-350520</wp:posOffset>
            </wp:positionV>
            <wp:extent cx="8890" cy="8255"/>
            <wp:wrapNone/>
            <wp:docPr id="1111" name="Picture 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1"/>
                    <pic:cNvPicPr>
                      <a:picLocks noChangeAspect="1" noChangeArrowheads="1"/>
                    </pic:cNvPicPr>
                  </pic:nvPicPr>
                  <pic:blipFill>
                    <a:blip r:embed="rId11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-334010</wp:posOffset>
            </wp:positionV>
            <wp:extent cx="8890" cy="26035"/>
            <wp:wrapNone/>
            <wp:docPr id="1112" name="Picture 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2"/>
                    <pic:cNvPicPr>
                      <a:picLocks noChangeAspect="1" noChangeArrowheads="1"/>
                    </pic:cNvPicPr>
                  </pic:nvPicPr>
                  <pic:blipFill>
                    <a:blip r:embed="rId1119">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-299720</wp:posOffset>
            </wp:positionV>
            <wp:extent cx="8890" cy="8255"/>
            <wp:wrapNone/>
            <wp:docPr id="1113" name="Picture 1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3"/>
                    <pic:cNvPicPr>
                      <a:picLocks noChangeAspect="1" noChangeArrowheads="1"/>
                    </pic:cNvPicPr>
                  </pic:nvPicPr>
                  <pic:blipFill>
                    <a:blip r:embed="rId11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-282575</wp:posOffset>
            </wp:positionV>
            <wp:extent cx="8890" cy="8255"/>
            <wp:wrapNone/>
            <wp:docPr id="1114" name="Picture 1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4"/>
                    <pic:cNvPicPr>
                      <a:picLocks noChangeAspect="1" noChangeArrowheads="1"/>
                    </pic:cNvPicPr>
                  </pic:nvPicPr>
                  <pic:blipFill>
                    <a:blip r:embed="rId11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-264795</wp:posOffset>
            </wp:positionV>
            <wp:extent cx="8890" cy="8255"/>
            <wp:wrapNone/>
            <wp:docPr id="1115" name="Picture 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5"/>
                    <pic:cNvPicPr>
                      <a:picLocks noChangeAspect="1" noChangeArrowheads="1"/>
                    </pic:cNvPicPr>
                  </pic:nvPicPr>
                  <pic:blipFill>
                    <a:blip r:embed="rId11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-248285</wp:posOffset>
            </wp:positionV>
            <wp:extent cx="8890" cy="8255"/>
            <wp:wrapNone/>
            <wp:docPr id="1116" name="Picture 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6"/>
                    <pic:cNvPicPr>
                      <a:picLocks noChangeAspect="1" noChangeArrowheads="1"/>
                    </pic:cNvPicPr>
                  </pic:nvPicPr>
                  <pic:blipFill>
                    <a:blip r:embed="rId11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-231140</wp:posOffset>
            </wp:positionV>
            <wp:extent cx="8890" cy="8890"/>
            <wp:wrapNone/>
            <wp:docPr id="1117" name="Picture 1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7"/>
                    <pic:cNvPicPr>
                      <a:picLocks noChangeAspect="1" noChangeArrowheads="1"/>
                    </pic:cNvPicPr>
                  </pic:nvPicPr>
                  <pic:blipFill>
                    <a:blip r:embed="rId11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-213995</wp:posOffset>
            </wp:positionV>
            <wp:extent cx="8890" cy="8255"/>
            <wp:wrapNone/>
            <wp:docPr id="1118" name="Picture 1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8"/>
                    <pic:cNvPicPr>
                      <a:picLocks noChangeAspect="1" noChangeArrowheads="1"/>
                    </pic:cNvPicPr>
                  </pic:nvPicPr>
                  <pic:blipFill>
                    <a:blip r:embed="rId11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-196850</wp:posOffset>
            </wp:positionV>
            <wp:extent cx="8890" cy="8255"/>
            <wp:wrapNone/>
            <wp:docPr id="1119" name="Picture 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9"/>
                    <pic:cNvPicPr>
                      <a:picLocks noChangeAspect="1" noChangeArrowheads="1"/>
                    </pic:cNvPicPr>
                  </pic:nvPicPr>
                  <pic:blipFill>
                    <a:blip r:embed="rId11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-179070</wp:posOffset>
            </wp:positionV>
            <wp:extent cx="8890" cy="8255"/>
            <wp:wrapNone/>
            <wp:docPr id="1120" name="Picture 1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0"/>
                    <pic:cNvPicPr>
                      <a:picLocks noChangeAspect="1" noChangeArrowheads="1"/>
                    </pic:cNvPicPr>
                  </pic:nvPicPr>
                  <pic:blipFill>
                    <a:blip r:embed="rId11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-162560</wp:posOffset>
            </wp:positionV>
            <wp:extent cx="8890" cy="8255"/>
            <wp:wrapNone/>
            <wp:docPr id="1121" name="Picture 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1"/>
                    <pic:cNvPicPr>
                      <a:picLocks noChangeAspect="1" noChangeArrowheads="1"/>
                    </pic:cNvPicPr>
                  </pic:nvPicPr>
                  <pic:blipFill>
                    <a:blip r:embed="rId11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-145415</wp:posOffset>
            </wp:positionV>
            <wp:extent cx="8890" cy="8890"/>
            <wp:wrapNone/>
            <wp:docPr id="1122" name="Picture 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2"/>
                    <pic:cNvPicPr>
                      <a:picLocks noChangeAspect="1" noChangeArrowheads="1"/>
                    </pic:cNvPicPr>
                  </pic:nvPicPr>
                  <pic:blipFill>
                    <a:blip r:embed="rId11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-128270</wp:posOffset>
            </wp:positionV>
            <wp:extent cx="8890" cy="8255"/>
            <wp:wrapNone/>
            <wp:docPr id="1123" name="Picture 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3"/>
                    <pic:cNvPicPr>
                      <a:picLocks noChangeAspect="1" noChangeArrowheads="1"/>
                    </pic:cNvPicPr>
                  </pic:nvPicPr>
                  <pic:blipFill>
                    <a:blip r:embed="rId11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-111125</wp:posOffset>
            </wp:positionV>
            <wp:extent cx="8890" cy="8255"/>
            <wp:wrapNone/>
            <wp:docPr id="1124" name="Picture 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4"/>
                    <pic:cNvPicPr>
                      <a:picLocks noChangeAspect="1" noChangeArrowheads="1"/>
                    </pic:cNvPicPr>
                  </pic:nvPicPr>
                  <pic:blipFill>
                    <a:blip r:embed="rId11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-93980</wp:posOffset>
            </wp:positionV>
            <wp:extent cx="8890" cy="8890"/>
            <wp:wrapNone/>
            <wp:docPr id="1125" name="Picture 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5"/>
                    <pic:cNvPicPr>
                      <a:picLocks noChangeAspect="1" noChangeArrowheads="1"/>
                    </pic:cNvPicPr>
                  </pic:nvPicPr>
                  <pic:blipFill>
                    <a:blip r:embed="rId11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-76835</wp:posOffset>
            </wp:positionV>
            <wp:extent cx="8890" cy="8255"/>
            <wp:wrapNone/>
            <wp:docPr id="1126" name="Picture 1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6"/>
                    <pic:cNvPicPr>
                      <a:picLocks noChangeAspect="1" noChangeArrowheads="1"/>
                    </pic:cNvPicPr>
                  </pic:nvPicPr>
                  <pic:blipFill>
                    <a:blip r:embed="rId11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-59690</wp:posOffset>
            </wp:positionV>
            <wp:extent cx="8890" cy="8255"/>
            <wp:wrapNone/>
            <wp:docPr id="1127" name="Picture 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7"/>
                    <pic:cNvPicPr>
                      <a:picLocks noChangeAspect="1" noChangeArrowheads="1"/>
                    </pic:cNvPicPr>
                  </pic:nvPicPr>
                  <pic:blipFill>
                    <a:blip r:embed="rId11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-42545</wp:posOffset>
            </wp:positionV>
            <wp:extent cx="8890" cy="8255"/>
            <wp:wrapNone/>
            <wp:docPr id="1128" name="Picture 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8"/>
                    <pic:cNvPicPr>
                      <a:picLocks noChangeAspect="1" noChangeArrowheads="1"/>
                    </pic:cNvPicPr>
                  </pic:nvPicPr>
                  <pic:blipFill>
                    <a:blip r:embed="rId11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-25400</wp:posOffset>
            </wp:positionV>
            <wp:extent cx="8890" cy="8255"/>
            <wp:wrapNone/>
            <wp:docPr id="1129" name="Picture 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9"/>
                    <pic:cNvPicPr>
                      <a:picLocks noChangeAspect="1" noChangeArrowheads="1"/>
                    </pic:cNvPicPr>
                  </pic:nvPicPr>
                  <pic:blipFill>
                    <a:blip r:embed="rId11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-8255</wp:posOffset>
            </wp:positionV>
            <wp:extent cx="8890" cy="8890"/>
            <wp:wrapNone/>
            <wp:docPr id="1130" name="Picture 1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0"/>
                    <pic:cNvPicPr>
                      <a:picLocks noChangeAspect="1" noChangeArrowheads="1"/>
                    </pic:cNvPicPr>
                  </pic:nvPicPr>
                  <pic:blipFill>
                    <a:blip r:embed="rId1137">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5"/>
        </w:trPr>
        <w:tc>
          <w:tcPr>
            <w:tcW w:w="1120" w:type="dxa"/>
            <w:vAlign w:val="bottom"/>
            <w:tcBorders>
              <w:top w:val="single" w:sz="8" w:color="auto"/>
            </w:tcBorders>
            <w:gridSpan w:val="2"/>
            <w:shd w:val="clear" w:color="auto" w:fill="F2F2F2"/>
          </w:tcPr>
          <w:p>
            <w:pPr>
              <w:ind w:left="20"/>
              <w:spacing w:after="0"/>
              <w:rPr>
                <w:sz w:val="20"/>
                <w:szCs w:val="20"/>
                <w:color w:val="auto"/>
              </w:rPr>
            </w:pPr>
            <w:r>
              <w:rPr>
                <w:rFonts w:ascii="Arial" w:cs="Arial" w:eastAsia="Arial" w:hAnsi="Arial"/>
                <w:sz w:val="14"/>
                <w:szCs w:val="14"/>
                <w:color w:val="auto"/>
              </w:rPr>
              <w:t>Mr. Ricks</w:t>
            </w:r>
          </w:p>
        </w:tc>
        <w:tc>
          <w:tcPr>
            <w:tcW w:w="180" w:type="dxa"/>
            <w:vAlign w:val="bottom"/>
            <w:tcBorders>
              <w:top w:val="single" w:sz="8" w:color="auto"/>
            </w:tcBorders>
            <w:shd w:val="clear" w:color="auto" w:fill="F2F2F2"/>
          </w:tcPr>
          <w:p>
            <w:pPr>
              <w:spacing w:after="0"/>
              <w:rPr>
                <w:sz w:val="18"/>
                <w:szCs w:val="18"/>
                <w:color w:val="auto"/>
              </w:rPr>
            </w:pPr>
          </w:p>
        </w:tc>
        <w:tc>
          <w:tcPr>
            <w:tcW w:w="940" w:type="dxa"/>
            <w:vAlign w:val="bottom"/>
            <w:tcBorders>
              <w:top w:val="single" w:sz="8" w:color="auto"/>
            </w:tcBorders>
            <w:shd w:val="clear" w:color="auto" w:fill="F2F2F2"/>
          </w:tcPr>
          <w:p>
            <w:pPr>
              <w:spacing w:after="0"/>
              <w:rPr>
                <w:sz w:val="18"/>
                <w:szCs w:val="18"/>
                <w:color w:val="auto"/>
              </w:rPr>
            </w:pPr>
          </w:p>
        </w:tc>
        <w:tc>
          <w:tcPr>
            <w:tcW w:w="940" w:type="dxa"/>
            <w:vAlign w:val="bottom"/>
            <w:tcBorders>
              <w:top w:val="single" w:sz="8" w:color="auto"/>
            </w:tcBorders>
            <w:shd w:val="clear" w:color="auto" w:fill="F2F2F2"/>
          </w:tcPr>
          <w:p>
            <w:pPr>
              <w:spacing w:after="0"/>
              <w:rPr>
                <w:sz w:val="18"/>
                <w:szCs w:val="18"/>
                <w:color w:val="auto"/>
              </w:rPr>
            </w:pPr>
          </w:p>
        </w:tc>
        <w:tc>
          <w:tcPr>
            <w:tcW w:w="740" w:type="dxa"/>
            <w:vAlign w:val="bottom"/>
            <w:tcBorders>
              <w:top w:val="single" w:sz="8" w:color="auto"/>
            </w:tcBorders>
            <w:shd w:val="clear" w:color="auto" w:fill="F2F2F2"/>
          </w:tcPr>
          <w:p>
            <w:pPr>
              <w:jc w:val="right"/>
              <w:spacing w:after="0"/>
              <w:rPr>
                <w:sz w:val="20"/>
                <w:szCs w:val="20"/>
                <w:color w:val="auto"/>
              </w:rPr>
            </w:pPr>
            <w:r>
              <w:rPr>
                <w:rFonts w:ascii="Arial" w:cs="Arial" w:eastAsia="Arial" w:hAnsi="Arial"/>
                <w:sz w:val="14"/>
                <w:szCs w:val="14"/>
                <w:color w:val="auto"/>
              </w:rPr>
              <w:t>$633,894</w:t>
            </w:r>
          </w:p>
        </w:tc>
        <w:tc>
          <w:tcPr>
            <w:tcW w:w="840" w:type="dxa"/>
            <w:vAlign w:val="bottom"/>
            <w:tcBorders>
              <w:top w:val="single" w:sz="8" w:color="auto"/>
            </w:tcBorders>
            <w:shd w:val="clear" w:color="auto" w:fill="F2F2F2"/>
          </w:tcPr>
          <w:p>
            <w:pPr>
              <w:jc w:val="right"/>
              <w:spacing w:after="0"/>
              <w:rPr>
                <w:sz w:val="20"/>
                <w:szCs w:val="20"/>
                <w:color w:val="auto"/>
              </w:rPr>
            </w:pPr>
            <w:r>
              <w:rPr>
                <w:rFonts w:ascii="Arial" w:cs="Arial" w:eastAsia="Arial" w:hAnsi="Arial"/>
                <w:sz w:val="14"/>
                <w:szCs w:val="14"/>
                <w:color w:val="auto"/>
              </w:rPr>
              <w:t>$2,535,578</w:t>
            </w:r>
          </w:p>
        </w:tc>
        <w:tc>
          <w:tcPr>
            <w:tcW w:w="1660" w:type="dxa"/>
            <w:vAlign w:val="bottom"/>
            <w:tcBorders>
              <w:top w:val="single" w:sz="8" w:color="auto"/>
            </w:tcBorders>
            <w:shd w:val="clear" w:color="auto" w:fill="F2F2F2"/>
          </w:tcPr>
          <w:p>
            <w:pPr>
              <w:jc w:val="right"/>
              <w:ind w:right="788"/>
              <w:spacing w:after="0"/>
              <w:rPr>
                <w:sz w:val="20"/>
                <w:szCs w:val="20"/>
                <w:color w:val="auto"/>
              </w:rPr>
            </w:pPr>
            <w:r>
              <w:rPr>
                <w:rFonts w:ascii="Arial" w:cs="Arial" w:eastAsia="Arial" w:hAnsi="Arial"/>
                <w:sz w:val="14"/>
                <w:szCs w:val="14"/>
                <w:color w:val="auto"/>
              </w:rPr>
              <w:t>$6,338,944</w:t>
            </w:r>
          </w:p>
        </w:tc>
        <w:tc>
          <w:tcPr>
            <w:tcW w:w="700" w:type="dxa"/>
            <w:vAlign w:val="bottom"/>
            <w:tcBorders>
              <w:top w:val="single" w:sz="8" w:color="auto"/>
            </w:tcBorders>
            <w:shd w:val="clear" w:color="auto" w:fill="F2F2F2"/>
          </w:tcPr>
          <w:p>
            <w:pPr>
              <w:spacing w:after="0"/>
              <w:rPr>
                <w:sz w:val="18"/>
                <w:szCs w:val="18"/>
                <w:color w:val="auto"/>
              </w:rPr>
            </w:pPr>
          </w:p>
        </w:tc>
        <w:tc>
          <w:tcPr>
            <w:tcW w:w="1460" w:type="dxa"/>
            <w:vAlign w:val="bottom"/>
            <w:tcBorders>
              <w:top w:val="single" w:sz="8" w:color="auto"/>
            </w:tcBorders>
            <w:shd w:val="clear" w:color="auto" w:fill="F2F2F2"/>
          </w:tcPr>
          <w:p>
            <w:pPr>
              <w:spacing w:after="0"/>
              <w:rPr>
                <w:sz w:val="18"/>
                <w:szCs w:val="18"/>
                <w:color w:val="auto"/>
              </w:rPr>
            </w:pPr>
          </w:p>
        </w:tc>
        <w:tc>
          <w:tcPr>
            <w:tcW w:w="880" w:type="dxa"/>
            <w:vAlign w:val="bottom"/>
            <w:tcBorders>
              <w:top w:val="single" w:sz="8" w:color="auto"/>
            </w:tcBorders>
            <w:shd w:val="clear" w:color="auto" w:fill="F2F2F2"/>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160" w:type="dxa"/>
            <w:vAlign w:val="bottom"/>
            <w:shd w:val="clear" w:color="auto" w:fill="F2F2F2"/>
          </w:tcPr>
          <w:p>
            <w:pPr>
              <w:spacing w:after="0"/>
              <w:rPr>
                <w:sz w:val="12"/>
                <w:szCs w:val="12"/>
                <w:color w:val="auto"/>
              </w:rPr>
            </w:pPr>
          </w:p>
        </w:tc>
        <w:tc>
          <w:tcPr>
            <w:tcW w:w="960" w:type="dxa"/>
            <w:vAlign w:val="bottom"/>
            <w:vMerge w:val="restart"/>
            <w:shd w:val="clear" w:color="auto" w:fill="F2F2F2"/>
          </w:tcPr>
          <w:p>
            <w:pPr>
              <w:ind w:left="20"/>
              <w:spacing w:after="0"/>
              <w:rPr>
                <w:sz w:val="20"/>
                <w:szCs w:val="20"/>
                <w:color w:val="auto"/>
              </w:rPr>
            </w:pPr>
            <w:r>
              <w:rPr>
                <w:rFonts w:ascii="Arial" w:cs="Arial" w:eastAsia="Arial" w:hAnsi="Arial"/>
                <w:sz w:val="14"/>
                <w:szCs w:val="14"/>
                <w:color w:val="auto"/>
              </w:rPr>
              <w:t>2024-2026</w:t>
            </w:r>
          </w:p>
        </w:tc>
        <w:tc>
          <w:tcPr>
            <w:tcW w:w="180" w:type="dxa"/>
            <w:vAlign w:val="bottom"/>
            <w:shd w:val="clear" w:color="auto" w:fill="F2F2F2"/>
          </w:tcPr>
          <w:p>
            <w:pPr>
              <w:jc w:val="right"/>
              <w:ind w:right="54"/>
              <w:spacing w:after="0"/>
              <w:rPr>
                <w:sz w:val="20"/>
                <w:szCs w:val="20"/>
                <w:color w:val="auto"/>
              </w:rPr>
            </w:pPr>
            <w:r>
              <w:rPr>
                <w:rFonts w:ascii="Arial" w:cs="Arial" w:eastAsia="Arial" w:hAnsi="Arial"/>
                <w:sz w:val="9"/>
                <w:szCs w:val="9"/>
                <w:color w:val="auto"/>
              </w:rPr>
              <w:t>4</w:t>
            </w:r>
          </w:p>
        </w:tc>
        <w:tc>
          <w:tcPr>
            <w:tcW w:w="940" w:type="dxa"/>
            <w:vAlign w:val="bottom"/>
            <w:shd w:val="clear" w:color="auto" w:fill="F2F2F2"/>
          </w:tcPr>
          <w:p>
            <w:pPr>
              <w:spacing w:after="0"/>
              <w:rPr>
                <w:sz w:val="12"/>
                <w:szCs w:val="12"/>
                <w:color w:val="auto"/>
              </w:rPr>
            </w:pPr>
          </w:p>
        </w:tc>
        <w:tc>
          <w:tcPr>
            <w:tcW w:w="940" w:type="dxa"/>
            <w:vAlign w:val="bottom"/>
            <w:shd w:val="clear" w:color="auto" w:fill="F2F2F2"/>
          </w:tcPr>
          <w:p>
            <w:pPr>
              <w:spacing w:after="0"/>
              <w:rPr>
                <w:sz w:val="12"/>
                <w:szCs w:val="12"/>
                <w:color w:val="auto"/>
              </w:rPr>
            </w:pPr>
          </w:p>
        </w:tc>
        <w:tc>
          <w:tcPr>
            <w:tcW w:w="740" w:type="dxa"/>
            <w:vAlign w:val="bottom"/>
            <w:shd w:val="clear" w:color="auto" w:fill="F2F2F2"/>
          </w:tcPr>
          <w:p>
            <w:pPr>
              <w:spacing w:after="0"/>
              <w:rPr>
                <w:sz w:val="12"/>
                <w:szCs w:val="12"/>
                <w:color w:val="auto"/>
              </w:rPr>
            </w:pPr>
          </w:p>
        </w:tc>
        <w:tc>
          <w:tcPr>
            <w:tcW w:w="840" w:type="dxa"/>
            <w:vAlign w:val="bottom"/>
            <w:shd w:val="clear" w:color="auto" w:fill="F2F2F2"/>
          </w:tcPr>
          <w:p>
            <w:pPr>
              <w:spacing w:after="0"/>
              <w:rPr>
                <w:sz w:val="12"/>
                <w:szCs w:val="12"/>
                <w:color w:val="auto"/>
              </w:rPr>
            </w:pPr>
          </w:p>
        </w:tc>
        <w:tc>
          <w:tcPr>
            <w:tcW w:w="1660" w:type="dxa"/>
            <w:vAlign w:val="bottom"/>
            <w:shd w:val="clear" w:color="auto" w:fill="F2F2F2"/>
          </w:tcPr>
          <w:p>
            <w:pPr>
              <w:spacing w:after="0"/>
              <w:rPr>
                <w:sz w:val="12"/>
                <w:szCs w:val="12"/>
                <w:color w:val="auto"/>
              </w:rPr>
            </w:pPr>
          </w:p>
        </w:tc>
        <w:tc>
          <w:tcPr>
            <w:tcW w:w="700" w:type="dxa"/>
            <w:vAlign w:val="bottom"/>
            <w:shd w:val="clear" w:color="auto" w:fill="F2F2F2"/>
          </w:tcPr>
          <w:p>
            <w:pPr>
              <w:spacing w:after="0"/>
              <w:rPr>
                <w:sz w:val="12"/>
                <w:szCs w:val="12"/>
                <w:color w:val="auto"/>
              </w:rPr>
            </w:pPr>
          </w:p>
        </w:tc>
        <w:tc>
          <w:tcPr>
            <w:tcW w:w="1460" w:type="dxa"/>
            <w:vAlign w:val="bottom"/>
            <w:shd w:val="clear" w:color="auto" w:fill="F2F2F2"/>
          </w:tcPr>
          <w:p>
            <w:pPr>
              <w:spacing w:after="0"/>
              <w:rPr>
                <w:sz w:val="12"/>
                <w:szCs w:val="12"/>
                <w:color w:val="auto"/>
              </w:rPr>
            </w:pPr>
          </w:p>
        </w:tc>
        <w:tc>
          <w:tcPr>
            <w:tcW w:w="880" w:type="dxa"/>
            <w:vAlign w:val="bottom"/>
            <w:shd w:val="clear" w:color="auto" w:fill="F2F2F2"/>
          </w:tcPr>
          <w:p>
            <w:pPr>
              <w:spacing w:after="0"/>
              <w:rPr>
                <w:sz w:val="12"/>
                <w:szCs w:val="12"/>
                <w:color w:val="auto"/>
              </w:rPr>
            </w:pPr>
          </w:p>
        </w:tc>
        <w:tc>
          <w:tcPr>
            <w:tcW w:w="0" w:type="dxa"/>
            <w:vAlign w:val="bottom"/>
          </w:tcPr>
          <w:p>
            <w:pPr>
              <w:spacing w:after="0"/>
              <w:rPr>
                <w:sz w:val="1"/>
                <w:szCs w:val="1"/>
                <w:color w:val="auto"/>
              </w:rPr>
            </w:pPr>
          </w:p>
        </w:tc>
      </w:tr>
      <w:tr>
        <w:trPr>
          <w:trHeight w:val="69"/>
        </w:trPr>
        <w:tc>
          <w:tcPr>
            <w:tcW w:w="160" w:type="dxa"/>
            <w:vAlign w:val="bottom"/>
            <w:shd w:val="clear" w:color="auto" w:fill="F2F2F2"/>
          </w:tcPr>
          <w:p>
            <w:pPr>
              <w:spacing w:after="0"/>
              <w:rPr>
                <w:sz w:val="5"/>
                <w:szCs w:val="5"/>
                <w:color w:val="auto"/>
              </w:rPr>
            </w:pPr>
          </w:p>
        </w:tc>
        <w:tc>
          <w:tcPr>
            <w:tcW w:w="960" w:type="dxa"/>
            <w:vAlign w:val="bottom"/>
            <w:vMerge w:val="continue"/>
            <w:shd w:val="clear" w:color="auto" w:fill="F2F2F2"/>
          </w:tcPr>
          <w:p>
            <w:pPr>
              <w:spacing w:after="0"/>
              <w:rPr>
                <w:sz w:val="5"/>
                <w:szCs w:val="5"/>
                <w:color w:val="auto"/>
              </w:rPr>
            </w:pPr>
          </w:p>
        </w:tc>
        <w:tc>
          <w:tcPr>
            <w:tcW w:w="180" w:type="dxa"/>
            <w:vAlign w:val="bottom"/>
            <w:shd w:val="clear" w:color="auto" w:fill="F2F2F2"/>
          </w:tcPr>
          <w:p>
            <w:pPr>
              <w:spacing w:after="0"/>
              <w:rPr>
                <w:sz w:val="5"/>
                <w:szCs w:val="5"/>
                <w:color w:val="auto"/>
              </w:rPr>
            </w:pPr>
          </w:p>
        </w:tc>
        <w:tc>
          <w:tcPr>
            <w:tcW w:w="940" w:type="dxa"/>
            <w:vAlign w:val="bottom"/>
            <w:shd w:val="clear" w:color="auto" w:fill="F2F2F2"/>
          </w:tcPr>
          <w:p>
            <w:pPr>
              <w:spacing w:after="0"/>
              <w:rPr>
                <w:sz w:val="5"/>
                <w:szCs w:val="5"/>
                <w:color w:val="auto"/>
              </w:rPr>
            </w:pPr>
          </w:p>
        </w:tc>
        <w:tc>
          <w:tcPr>
            <w:tcW w:w="940" w:type="dxa"/>
            <w:vAlign w:val="bottom"/>
            <w:shd w:val="clear" w:color="auto" w:fill="F2F2F2"/>
          </w:tcPr>
          <w:p>
            <w:pPr>
              <w:spacing w:after="0"/>
              <w:rPr>
                <w:sz w:val="5"/>
                <w:szCs w:val="5"/>
                <w:color w:val="auto"/>
              </w:rPr>
            </w:pPr>
          </w:p>
        </w:tc>
        <w:tc>
          <w:tcPr>
            <w:tcW w:w="740" w:type="dxa"/>
            <w:vAlign w:val="bottom"/>
            <w:shd w:val="clear" w:color="auto" w:fill="F2F2F2"/>
          </w:tcPr>
          <w:p>
            <w:pPr>
              <w:spacing w:after="0"/>
              <w:rPr>
                <w:sz w:val="5"/>
                <w:szCs w:val="5"/>
                <w:color w:val="auto"/>
              </w:rPr>
            </w:pPr>
          </w:p>
        </w:tc>
        <w:tc>
          <w:tcPr>
            <w:tcW w:w="840" w:type="dxa"/>
            <w:vAlign w:val="bottom"/>
            <w:shd w:val="clear" w:color="auto" w:fill="F2F2F2"/>
          </w:tcPr>
          <w:p>
            <w:pPr>
              <w:spacing w:after="0"/>
              <w:rPr>
                <w:sz w:val="5"/>
                <w:szCs w:val="5"/>
                <w:color w:val="auto"/>
              </w:rPr>
            </w:pPr>
          </w:p>
        </w:tc>
        <w:tc>
          <w:tcPr>
            <w:tcW w:w="1660" w:type="dxa"/>
            <w:vAlign w:val="bottom"/>
            <w:shd w:val="clear" w:color="auto" w:fill="F2F2F2"/>
          </w:tcPr>
          <w:p>
            <w:pPr>
              <w:spacing w:after="0"/>
              <w:rPr>
                <w:sz w:val="5"/>
                <w:szCs w:val="5"/>
                <w:color w:val="auto"/>
              </w:rPr>
            </w:pPr>
          </w:p>
        </w:tc>
        <w:tc>
          <w:tcPr>
            <w:tcW w:w="700" w:type="dxa"/>
            <w:vAlign w:val="bottom"/>
            <w:shd w:val="clear" w:color="auto" w:fill="F2F2F2"/>
          </w:tcPr>
          <w:p>
            <w:pPr>
              <w:spacing w:after="0"/>
              <w:rPr>
                <w:sz w:val="5"/>
                <w:szCs w:val="5"/>
                <w:color w:val="auto"/>
              </w:rPr>
            </w:pPr>
          </w:p>
        </w:tc>
        <w:tc>
          <w:tcPr>
            <w:tcW w:w="1460" w:type="dxa"/>
            <w:vAlign w:val="bottom"/>
            <w:shd w:val="clear" w:color="auto" w:fill="F2F2F2"/>
          </w:tcPr>
          <w:p>
            <w:pPr>
              <w:spacing w:after="0"/>
              <w:rPr>
                <w:sz w:val="5"/>
                <w:szCs w:val="5"/>
                <w:color w:val="auto"/>
              </w:rPr>
            </w:pPr>
          </w:p>
        </w:tc>
        <w:tc>
          <w:tcPr>
            <w:tcW w:w="880" w:type="dxa"/>
            <w:vAlign w:val="bottom"/>
            <w:shd w:val="clear" w:color="auto" w:fill="F2F2F2"/>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160" w:type="dxa"/>
            <w:vAlign w:val="bottom"/>
            <w:shd w:val="clear" w:color="auto" w:fill="F2F2F2"/>
          </w:tcPr>
          <w:p>
            <w:pPr>
              <w:spacing w:after="0"/>
              <w:rPr>
                <w:sz w:val="16"/>
                <w:szCs w:val="16"/>
                <w:color w:val="auto"/>
              </w:rPr>
            </w:pPr>
          </w:p>
        </w:tc>
        <w:tc>
          <w:tcPr>
            <w:tcW w:w="960" w:type="dxa"/>
            <w:vAlign w:val="bottom"/>
            <w:shd w:val="clear" w:color="auto" w:fill="F2F2F2"/>
          </w:tcPr>
          <w:p>
            <w:pPr>
              <w:ind w:left="20"/>
              <w:spacing w:after="0"/>
              <w:rPr>
                <w:sz w:val="20"/>
                <w:szCs w:val="20"/>
                <w:color w:val="auto"/>
              </w:rPr>
            </w:pPr>
            <w:r>
              <w:rPr>
                <w:rFonts w:ascii="Arial" w:cs="Arial" w:eastAsia="Arial" w:hAnsi="Arial"/>
                <w:sz w:val="14"/>
                <w:szCs w:val="14"/>
                <w:color w:val="auto"/>
              </w:rPr>
              <w:t>SVA</w:t>
            </w:r>
          </w:p>
        </w:tc>
        <w:tc>
          <w:tcPr>
            <w:tcW w:w="180" w:type="dxa"/>
            <w:vAlign w:val="bottom"/>
            <w:shd w:val="clear" w:color="auto" w:fill="F2F2F2"/>
          </w:tcPr>
          <w:p>
            <w:pPr>
              <w:spacing w:after="0"/>
              <w:rPr>
                <w:sz w:val="16"/>
                <w:szCs w:val="16"/>
                <w:color w:val="auto"/>
              </w:rPr>
            </w:pPr>
          </w:p>
        </w:tc>
        <w:tc>
          <w:tcPr>
            <w:tcW w:w="940" w:type="dxa"/>
            <w:vAlign w:val="bottom"/>
            <w:shd w:val="clear" w:color="auto" w:fill="F2F2F2"/>
          </w:tcPr>
          <w:p>
            <w:pPr>
              <w:jc w:val="right"/>
              <w:ind w:right="148"/>
              <w:spacing w:after="0"/>
              <w:rPr>
                <w:sz w:val="20"/>
                <w:szCs w:val="20"/>
                <w:color w:val="auto"/>
              </w:rPr>
            </w:pPr>
            <w:r>
              <w:rPr>
                <w:rFonts w:ascii="Arial" w:cs="Arial" w:eastAsia="Arial" w:hAnsi="Arial"/>
                <w:sz w:val="14"/>
                <w:szCs w:val="14"/>
                <w:color w:val="auto"/>
              </w:rPr>
              <w:t>2/12/2024</w:t>
            </w:r>
          </w:p>
        </w:tc>
        <w:tc>
          <w:tcPr>
            <w:tcW w:w="940" w:type="dxa"/>
            <w:vAlign w:val="bottom"/>
            <w:shd w:val="clear" w:color="auto" w:fill="F2F2F2"/>
          </w:tcPr>
          <w:p>
            <w:pPr>
              <w:jc w:val="right"/>
              <w:ind w:right="8"/>
              <w:spacing w:after="0"/>
              <w:rPr>
                <w:sz w:val="20"/>
                <w:szCs w:val="20"/>
                <w:color w:val="auto"/>
              </w:rPr>
            </w:pPr>
            <w:r>
              <w:rPr>
                <w:rFonts w:ascii="Arial" w:cs="Arial" w:eastAsia="Arial" w:hAnsi="Arial"/>
                <w:sz w:val="14"/>
                <w:szCs w:val="14"/>
                <w:color w:val="auto"/>
              </w:rPr>
              <w:t>2/12/2024</w:t>
            </w:r>
          </w:p>
        </w:tc>
        <w:tc>
          <w:tcPr>
            <w:tcW w:w="740" w:type="dxa"/>
            <w:vAlign w:val="bottom"/>
            <w:shd w:val="clear" w:color="auto" w:fill="F2F2F2"/>
          </w:tcPr>
          <w:p>
            <w:pPr>
              <w:spacing w:after="0"/>
              <w:rPr>
                <w:sz w:val="16"/>
                <w:szCs w:val="16"/>
                <w:color w:val="auto"/>
              </w:rPr>
            </w:pPr>
          </w:p>
        </w:tc>
        <w:tc>
          <w:tcPr>
            <w:tcW w:w="840" w:type="dxa"/>
            <w:vAlign w:val="bottom"/>
            <w:shd w:val="clear" w:color="auto" w:fill="F2F2F2"/>
          </w:tcPr>
          <w:p>
            <w:pPr>
              <w:spacing w:after="0"/>
              <w:rPr>
                <w:sz w:val="16"/>
                <w:szCs w:val="16"/>
                <w:color w:val="auto"/>
              </w:rPr>
            </w:pPr>
          </w:p>
        </w:tc>
        <w:tc>
          <w:tcPr>
            <w:tcW w:w="1660" w:type="dxa"/>
            <w:vAlign w:val="bottom"/>
            <w:shd w:val="clear" w:color="auto" w:fill="F2F2F2"/>
          </w:tcPr>
          <w:p>
            <w:pPr>
              <w:jc w:val="right"/>
              <w:ind w:right="108"/>
              <w:spacing w:after="0"/>
              <w:rPr>
                <w:sz w:val="20"/>
                <w:szCs w:val="20"/>
                <w:color w:val="auto"/>
              </w:rPr>
            </w:pPr>
            <w:r>
              <w:rPr>
                <w:rFonts w:ascii="Arial" w:cs="Arial" w:eastAsia="Arial" w:hAnsi="Arial"/>
                <w:sz w:val="14"/>
                <w:szCs w:val="14"/>
                <w:color w:val="auto"/>
              </w:rPr>
              <w:t>4,790</w:t>
            </w:r>
          </w:p>
        </w:tc>
        <w:tc>
          <w:tcPr>
            <w:tcW w:w="700" w:type="dxa"/>
            <w:vAlign w:val="bottom"/>
            <w:shd w:val="clear" w:color="auto" w:fill="F2F2F2"/>
          </w:tcPr>
          <w:p>
            <w:pPr>
              <w:jc w:val="right"/>
              <w:ind w:right="128"/>
              <w:spacing w:after="0"/>
              <w:rPr>
                <w:sz w:val="20"/>
                <w:szCs w:val="20"/>
                <w:color w:val="auto"/>
              </w:rPr>
            </w:pPr>
            <w:r>
              <w:rPr>
                <w:rFonts w:ascii="Arial" w:cs="Arial" w:eastAsia="Arial" w:hAnsi="Arial"/>
                <w:sz w:val="14"/>
                <w:szCs w:val="14"/>
                <w:color w:val="auto"/>
              </w:rPr>
              <w:t>9,579</w:t>
            </w:r>
          </w:p>
        </w:tc>
        <w:tc>
          <w:tcPr>
            <w:tcW w:w="1460" w:type="dxa"/>
            <w:vAlign w:val="bottom"/>
            <w:shd w:val="clear" w:color="auto" w:fill="F2F2F2"/>
          </w:tcPr>
          <w:p>
            <w:pPr>
              <w:jc w:val="right"/>
              <w:ind w:right="808"/>
              <w:spacing w:after="0"/>
              <w:rPr>
                <w:sz w:val="20"/>
                <w:szCs w:val="20"/>
                <w:color w:val="auto"/>
              </w:rPr>
            </w:pPr>
            <w:r>
              <w:rPr>
                <w:rFonts w:ascii="Arial" w:cs="Arial" w:eastAsia="Arial" w:hAnsi="Arial"/>
                <w:sz w:val="14"/>
                <w:szCs w:val="14"/>
                <w:color w:val="auto"/>
              </w:rPr>
              <w:t>19,158</w:t>
            </w:r>
          </w:p>
        </w:tc>
        <w:tc>
          <w:tcPr>
            <w:tcW w:w="880" w:type="dxa"/>
            <w:vAlign w:val="bottom"/>
            <w:shd w:val="clear" w:color="auto" w:fill="F2F2F2"/>
          </w:tcPr>
          <w:p>
            <w:pPr>
              <w:jc w:val="right"/>
              <w:ind w:right="8"/>
              <w:spacing w:after="0"/>
              <w:rPr>
                <w:sz w:val="20"/>
                <w:szCs w:val="20"/>
                <w:color w:val="auto"/>
              </w:rPr>
            </w:pPr>
            <w:r>
              <w:rPr>
                <w:rFonts w:ascii="Arial" w:cs="Arial" w:eastAsia="Arial" w:hAnsi="Arial"/>
                <w:sz w:val="14"/>
                <w:szCs w:val="14"/>
                <w:color w:val="auto"/>
              </w:rPr>
              <w:t>$9,874,704</w:t>
            </w:r>
          </w:p>
        </w:tc>
        <w:tc>
          <w:tcPr>
            <w:tcW w:w="0" w:type="dxa"/>
            <w:vAlign w:val="bottom"/>
          </w:tcPr>
          <w:p>
            <w:pPr>
              <w:spacing w:after="0"/>
              <w:rPr>
                <w:sz w:val="1"/>
                <w:szCs w:val="1"/>
                <w:color w:val="auto"/>
              </w:rPr>
            </w:pPr>
          </w:p>
        </w:tc>
      </w:tr>
      <w:tr>
        <w:trPr>
          <w:trHeight w:val="146"/>
        </w:trPr>
        <w:tc>
          <w:tcPr>
            <w:tcW w:w="160" w:type="dxa"/>
            <w:vAlign w:val="bottom"/>
            <w:shd w:val="clear" w:color="auto" w:fill="F2F2F2"/>
          </w:tcPr>
          <w:p>
            <w:pPr>
              <w:spacing w:after="0"/>
              <w:rPr>
                <w:sz w:val="12"/>
                <w:szCs w:val="12"/>
                <w:color w:val="auto"/>
              </w:rPr>
            </w:pPr>
          </w:p>
        </w:tc>
        <w:tc>
          <w:tcPr>
            <w:tcW w:w="960" w:type="dxa"/>
            <w:vAlign w:val="bottom"/>
            <w:vMerge w:val="restart"/>
            <w:shd w:val="clear" w:color="auto" w:fill="F2F2F2"/>
          </w:tcPr>
          <w:p>
            <w:pPr>
              <w:ind w:left="20"/>
              <w:spacing w:after="0"/>
              <w:rPr>
                <w:sz w:val="20"/>
                <w:szCs w:val="20"/>
                <w:color w:val="auto"/>
              </w:rPr>
            </w:pPr>
            <w:r>
              <w:rPr>
                <w:rFonts w:ascii="Arial" w:cs="Arial" w:eastAsia="Arial" w:hAnsi="Arial"/>
                <w:sz w:val="14"/>
                <w:szCs w:val="14"/>
                <w:color w:val="auto"/>
              </w:rPr>
              <w:t>2024-2026</w:t>
            </w:r>
          </w:p>
        </w:tc>
        <w:tc>
          <w:tcPr>
            <w:tcW w:w="180" w:type="dxa"/>
            <w:vAlign w:val="bottom"/>
            <w:shd w:val="clear" w:color="auto" w:fill="F2F2F2"/>
          </w:tcPr>
          <w:p>
            <w:pPr>
              <w:jc w:val="right"/>
              <w:ind w:right="54"/>
              <w:spacing w:after="0"/>
              <w:rPr>
                <w:sz w:val="20"/>
                <w:szCs w:val="20"/>
                <w:color w:val="auto"/>
              </w:rPr>
            </w:pPr>
            <w:r>
              <w:rPr>
                <w:rFonts w:ascii="Arial" w:cs="Arial" w:eastAsia="Arial" w:hAnsi="Arial"/>
                <w:sz w:val="9"/>
                <w:szCs w:val="9"/>
                <w:color w:val="auto"/>
              </w:rPr>
              <w:t>5</w:t>
            </w:r>
          </w:p>
        </w:tc>
        <w:tc>
          <w:tcPr>
            <w:tcW w:w="940" w:type="dxa"/>
            <w:vAlign w:val="bottom"/>
            <w:shd w:val="clear" w:color="auto" w:fill="F2F2F2"/>
          </w:tcPr>
          <w:p>
            <w:pPr>
              <w:spacing w:after="0"/>
              <w:rPr>
                <w:sz w:val="12"/>
                <w:szCs w:val="12"/>
                <w:color w:val="auto"/>
              </w:rPr>
            </w:pPr>
          </w:p>
        </w:tc>
        <w:tc>
          <w:tcPr>
            <w:tcW w:w="940" w:type="dxa"/>
            <w:vAlign w:val="bottom"/>
            <w:shd w:val="clear" w:color="auto" w:fill="F2F2F2"/>
          </w:tcPr>
          <w:p>
            <w:pPr>
              <w:spacing w:after="0"/>
              <w:rPr>
                <w:sz w:val="12"/>
                <w:szCs w:val="12"/>
                <w:color w:val="auto"/>
              </w:rPr>
            </w:pPr>
          </w:p>
        </w:tc>
        <w:tc>
          <w:tcPr>
            <w:tcW w:w="740" w:type="dxa"/>
            <w:vAlign w:val="bottom"/>
            <w:shd w:val="clear" w:color="auto" w:fill="F2F2F2"/>
          </w:tcPr>
          <w:p>
            <w:pPr>
              <w:spacing w:after="0"/>
              <w:rPr>
                <w:sz w:val="12"/>
                <w:szCs w:val="12"/>
                <w:color w:val="auto"/>
              </w:rPr>
            </w:pPr>
          </w:p>
        </w:tc>
        <w:tc>
          <w:tcPr>
            <w:tcW w:w="840" w:type="dxa"/>
            <w:vAlign w:val="bottom"/>
            <w:shd w:val="clear" w:color="auto" w:fill="F2F2F2"/>
          </w:tcPr>
          <w:p>
            <w:pPr>
              <w:spacing w:after="0"/>
              <w:rPr>
                <w:sz w:val="12"/>
                <w:szCs w:val="12"/>
                <w:color w:val="auto"/>
              </w:rPr>
            </w:pPr>
          </w:p>
        </w:tc>
        <w:tc>
          <w:tcPr>
            <w:tcW w:w="1660" w:type="dxa"/>
            <w:vAlign w:val="bottom"/>
            <w:shd w:val="clear" w:color="auto" w:fill="F2F2F2"/>
          </w:tcPr>
          <w:p>
            <w:pPr>
              <w:spacing w:after="0"/>
              <w:rPr>
                <w:sz w:val="12"/>
                <w:szCs w:val="12"/>
                <w:color w:val="auto"/>
              </w:rPr>
            </w:pPr>
          </w:p>
        </w:tc>
        <w:tc>
          <w:tcPr>
            <w:tcW w:w="700" w:type="dxa"/>
            <w:vAlign w:val="bottom"/>
            <w:shd w:val="clear" w:color="auto" w:fill="F2F2F2"/>
          </w:tcPr>
          <w:p>
            <w:pPr>
              <w:spacing w:after="0"/>
              <w:rPr>
                <w:sz w:val="12"/>
                <w:szCs w:val="12"/>
                <w:color w:val="auto"/>
              </w:rPr>
            </w:pPr>
          </w:p>
        </w:tc>
        <w:tc>
          <w:tcPr>
            <w:tcW w:w="1460" w:type="dxa"/>
            <w:vAlign w:val="bottom"/>
            <w:shd w:val="clear" w:color="auto" w:fill="F2F2F2"/>
          </w:tcPr>
          <w:p>
            <w:pPr>
              <w:spacing w:after="0"/>
              <w:rPr>
                <w:sz w:val="12"/>
                <w:szCs w:val="12"/>
                <w:color w:val="auto"/>
              </w:rPr>
            </w:pPr>
          </w:p>
        </w:tc>
        <w:tc>
          <w:tcPr>
            <w:tcW w:w="880" w:type="dxa"/>
            <w:vAlign w:val="bottom"/>
            <w:shd w:val="clear" w:color="auto" w:fill="F2F2F2"/>
          </w:tcPr>
          <w:p>
            <w:pPr>
              <w:spacing w:after="0"/>
              <w:rPr>
                <w:sz w:val="12"/>
                <w:szCs w:val="12"/>
                <w:color w:val="auto"/>
              </w:rPr>
            </w:pPr>
          </w:p>
        </w:tc>
        <w:tc>
          <w:tcPr>
            <w:tcW w:w="0" w:type="dxa"/>
            <w:vAlign w:val="bottom"/>
          </w:tcPr>
          <w:p>
            <w:pPr>
              <w:spacing w:after="0"/>
              <w:rPr>
                <w:sz w:val="1"/>
                <w:szCs w:val="1"/>
                <w:color w:val="auto"/>
              </w:rPr>
            </w:pPr>
          </w:p>
        </w:tc>
      </w:tr>
      <w:tr>
        <w:trPr>
          <w:trHeight w:val="69"/>
        </w:trPr>
        <w:tc>
          <w:tcPr>
            <w:tcW w:w="160" w:type="dxa"/>
            <w:vAlign w:val="bottom"/>
            <w:shd w:val="clear" w:color="auto" w:fill="F2F2F2"/>
          </w:tcPr>
          <w:p>
            <w:pPr>
              <w:spacing w:after="0"/>
              <w:rPr>
                <w:sz w:val="5"/>
                <w:szCs w:val="5"/>
                <w:color w:val="auto"/>
              </w:rPr>
            </w:pPr>
          </w:p>
        </w:tc>
        <w:tc>
          <w:tcPr>
            <w:tcW w:w="960" w:type="dxa"/>
            <w:vAlign w:val="bottom"/>
            <w:vMerge w:val="continue"/>
            <w:shd w:val="clear" w:color="auto" w:fill="F2F2F2"/>
          </w:tcPr>
          <w:p>
            <w:pPr>
              <w:spacing w:after="0"/>
              <w:rPr>
                <w:sz w:val="5"/>
                <w:szCs w:val="5"/>
                <w:color w:val="auto"/>
              </w:rPr>
            </w:pPr>
          </w:p>
        </w:tc>
        <w:tc>
          <w:tcPr>
            <w:tcW w:w="180" w:type="dxa"/>
            <w:vAlign w:val="bottom"/>
            <w:shd w:val="clear" w:color="auto" w:fill="F2F2F2"/>
          </w:tcPr>
          <w:p>
            <w:pPr>
              <w:spacing w:after="0"/>
              <w:rPr>
                <w:sz w:val="5"/>
                <w:szCs w:val="5"/>
                <w:color w:val="auto"/>
              </w:rPr>
            </w:pPr>
          </w:p>
        </w:tc>
        <w:tc>
          <w:tcPr>
            <w:tcW w:w="940" w:type="dxa"/>
            <w:vAlign w:val="bottom"/>
            <w:shd w:val="clear" w:color="auto" w:fill="F2F2F2"/>
          </w:tcPr>
          <w:p>
            <w:pPr>
              <w:spacing w:after="0"/>
              <w:rPr>
                <w:sz w:val="5"/>
                <w:szCs w:val="5"/>
                <w:color w:val="auto"/>
              </w:rPr>
            </w:pPr>
          </w:p>
        </w:tc>
        <w:tc>
          <w:tcPr>
            <w:tcW w:w="940" w:type="dxa"/>
            <w:vAlign w:val="bottom"/>
            <w:shd w:val="clear" w:color="auto" w:fill="F2F2F2"/>
          </w:tcPr>
          <w:p>
            <w:pPr>
              <w:spacing w:after="0"/>
              <w:rPr>
                <w:sz w:val="5"/>
                <w:szCs w:val="5"/>
                <w:color w:val="auto"/>
              </w:rPr>
            </w:pPr>
          </w:p>
        </w:tc>
        <w:tc>
          <w:tcPr>
            <w:tcW w:w="740" w:type="dxa"/>
            <w:vAlign w:val="bottom"/>
            <w:shd w:val="clear" w:color="auto" w:fill="F2F2F2"/>
          </w:tcPr>
          <w:p>
            <w:pPr>
              <w:spacing w:after="0"/>
              <w:rPr>
                <w:sz w:val="5"/>
                <w:szCs w:val="5"/>
                <w:color w:val="auto"/>
              </w:rPr>
            </w:pPr>
          </w:p>
        </w:tc>
        <w:tc>
          <w:tcPr>
            <w:tcW w:w="840" w:type="dxa"/>
            <w:vAlign w:val="bottom"/>
            <w:shd w:val="clear" w:color="auto" w:fill="F2F2F2"/>
          </w:tcPr>
          <w:p>
            <w:pPr>
              <w:spacing w:after="0"/>
              <w:rPr>
                <w:sz w:val="5"/>
                <w:szCs w:val="5"/>
                <w:color w:val="auto"/>
              </w:rPr>
            </w:pPr>
          </w:p>
        </w:tc>
        <w:tc>
          <w:tcPr>
            <w:tcW w:w="1660" w:type="dxa"/>
            <w:vAlign w:val="bottom"/>
            <w:shd w:val="clear" w:color="auto" w:fill="F2F2F2"/>
          </w:tcPr>
          <w:p>
            <w:pPr>
              <w:spacing w:after="0"/>
              <w:rPr>
                <w:sz w:val="5"/>
                <w:szCs w:val="5"/>
                <w:color w:val="auto"/>
              </w:rPr>
            </w:pPr>
          </w:p>
        </w:tc>
        <w:tc>
          <w:tcPr>
            <w:tcW w:w="700" w:type="dxa"/>
            <w:vAlign w:val="bottom"/>
            <w:shd w:val="clear" w:color="auto" w:fill="F2F2F2"/>
          </w:tcPr>
          <w:p>
            <w:pPr>
              <w:spacing w:after="0"/>
              <w:rPr>
                <w:sz w:val="5"/>
                <w:szCs w:val="5"/>
                <w:color w:val="auto"/>
              </w:rPr>
            </w:pPr>
          </w:p>
        </w:tc>
        <w:tc>
          <w:tcPr>
            <w:tcW w:w="1460" w:type="dxa"/>
            <w:vAlign w:val="bottom"/>
            <w:shd w:val="clear" w:color="auto" w:fill="F2F2F2"/>
          </w:tcPr>
          <w:p>
            <w:pPr>
              <w:spacing w:after="0"/>
              <w:rPr>
                <w:sz w:val="5"/>
                <w:szCs w:val="5"/>
                <w:color w:val="auto"/>
              </w:rPr>
            </w:pPr>
          </w:p>
        </w:tc>
        <w:tc>
          <w:tcPr>
            <w:tcW w:w="880" w:type="dxa"/>
            <w:vAlign w:val="bottom"/>
            <w:shd w:val="clear" w:color="auto" w:fill="F2F2F2"/>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160" w:type="dxa"/>
            <w:vAlign w:val="bottom"/>
            <w:shd w:val="clear" w:color="auto" w:fill="F2F2F2"/>
          </w:tcPr>
          <w:p>
            <w:pPr>
              <w:spacing w:after="0"/>
              <w:rPr>
                <w:sz w:val="16"/>
                <w:szCs w:val="16"/>
                <w:color w:val="auto"/>
              </w:rPr>
            </w:pPr>
          </w:p>
        </w:tc>
        <w:tc>
          <w:tcPr>
            <w:tcW w:w="960" w:type="dxa"/>
            <w:vAlign w:val="bottom"/>
            <w:shd w:val="clear" w:color="auto" w:fill="F2F2F2"/>
          </w:tcPr>
          <w:p>
            <w:pPr>
              <w:ind w:left="20"/>
              <w:spacing w:after="0"/>
              <w:rPr>
                <w:sz w:val="20"/>
                <w:szCs w:val="20"/>
                <w:color w:val="auto"/>
              </w:rPr>
            </w:pPr>
            <w:r>
              <w:rPr>
                <w:rFonts w:ascii="Arial" w:cs="Arial" w:eastAsia="Arial" w:hAnsi="Arial"/>
                <w:sz w:val="14"/>
                <w:szCs w:val="14"/>
                <w:color w:val="auto"/>
              </w:rPr>
              <w:t>RVA</w:t>
            </w:r>
          </w:p>
        </w:tc>
        <w:tc>
          <w:tcPr>
            <w:tcW w:w="180" w:type="dxa"/>
            <w:vAlign w:val="bottom"/>
            <w:shd w:val="clear" w:color="auto" w:fill="F2F2F2"/>
          </w:tcPr>
          <w:p>
            <w:pPr>
              <w:spacing w:after="0"/>
              <w:rPr>
                <w:sz w:val="16"/>
                <w:szCs w:val="16"/>
                <w:color w:val="auto"/>
              </w:rPr>
            </w:pPr>
          </w:p>
        </w:tc>
        <w:tc>
          <w:tcPr>
            <w:tcW w:w="940" w:type="dxa"/>
            <w:vAlign w:val="bottom"/>
            <w:shd w:val="clear" w:color="auto" w:fill="F2F2F2"/>
          </w:tcPr>
          <w:p>
            <w:pPr>
              <w:jc w:val="right"/>
              <w:ind w:right="148"/>
              <w:spacing w:after="0"/>
              <w:rPr>
                <w:sz w:val="20"/>
                <w:szCs w:val="20"/>
                <w:color w:val="auto"/>
              </w:rPr>
            </w:pPr>
            <w:r>
              <w:rPr>
                <w:rFonts w:ascii="Arial" w:cs="Arial" w:eastAsia="Arial" w:hAnsi="Arial"/>
                <w:sz w:val="14"/>
                <w:szCs w:val="14"/>
                <w:color w:val="auto"/>
              </w:rPr>
              <w:t>2/12/2024</w:t>
            </w:r>
          </w:p>
        </w:tc>
        <w:tc>
          <w:tcPr>
            <w:tcW w:w="940" w:type="dxa"/>
            <w:vAlign w:val="bottom"/>
            <w:shd w:val="clear" w:color="auto" w:fill="F2F2F2"/>
          </w:tcPr>
          <w:p>
            <w:pPr>
              <w:jc w:val="right"/>
              <w:ind w:right="8"/>
              <w:spacing w:after="0"/>
              <w:rPr>
                <w:sz w:val="20"/>
                <w:szCs w:val="20"/>
                <w:color w:val="auto"/>
              </w:rPr>
            </w:pPr>
            <w:r>
              <w:rPr>
                <w:rFonts w:ascii="Arial" w:cs="Arial" w:eastAsia="Arial" w:hAnsi="Arial"/>
                <w:sz w:val="14"/>
                <w:szCs w:val="14"/>
                <w:color w:val="auto"/>
              </w:rPr>
              <w:t>2/12/2024</w:t>
            </w:r>
          </w:p>
        </w:tc>
        <w:tc>
          <w:tcPr>
            <w:tcW w:w="740" w:type="dxa"/>
            <w:vAlign w:val="bottom"/>
            <w:shd w:val="clear" w:color="auto" w:fill="F2F2F2"/>
          </w:tcPr>
          <w:p>
            <w:pPr>
              <w:spacing w:after="0"/>
              <w:rPr>
                <w:sz w:val="16"/>
                <w:szCs w:val="16"/>
                <w:color w:val="auto"/>
              </w:rPr>
            </w:pPr>
          </w:p>
        </w:tc>
        <w:tc>
          <w:tcPr>
            <w:tcW w:w="840" w:type="dxa"/>
            <w:vAlign w:val="bottom"/>
            <w:shd w:val="clear" w:color="auto" w:fill="F2F2F2"/>
          </w:tcPr>
          <w:p>
            <w:pPr>
              <w:spacing w:after="0"/>
              <w:rPr>
                <w:sz w:val="16"/>
                <w:szCs w:val="16"/>
                <w:color w:val="auto"/>
              </w:rPr>
            </w:pPr>
          </w:p>
        </w:tc>
        <w:tc>
          <w:tcPr>
            <w:tcW w:w="1660" w:type="dxa"/>
            <w:vAlign w:val="bottom"/>
            <w:shd w:val="clear" w:color="auto" w:fill="F2F2F2"/>
          </w:tcPr>
          <w:p>
            <w:pPr>
              <w:jc w:val="right"/>
              <w:ind w:right="108"/>
              <w:spacing w:after="0"/>
              <w:rPr>
                <w:sz w:val="20"/>
                <w:szCs w:val="20"/>
                <w:color w:val="auto"/>
              </w:rPr>
            </w:pPr>
            <w:r>
              <w:rPr>
                <w:rFonts w:ascii="Arial" w:cs="Arial" w:eastAsia="Arial" w:hAnsi="Arial"/>
                <w:sz w:val="14"/>
                <w:szCs w:val="14"/>
                <w:color w:val="auto"/>
              </w:rPr>
              <w:t>4,463</w:t>
            </w:r>
          </w:p>
        </w:tc>
        <w:tc>
          <w:tcPr>
            <w:tcW w:w="700" w:type="dxa"/>
            <w:vAlign w:val="bottom"/>
            <w:shd w:val="clear" w:color="auto" w:fill="F2F2F2"/>
          </w:tcPr>
          <w:p>
            <w:pPr>
              <w:jc w:val="right"/>
              <w:ind w:right="128"/>
              <w:spacing w:after="0"/>
              <w:rPr>
                <w:sz w:val="20"/>
                <w:szCs w:val="20"/>
                <w:color w:val="auto"/>
              </w:rPr>
            </w:pPr>
            <w:r>
              <w:rPr>
                <w:rFonts w:ascii="Arial" w:cs="Arial" w:eastAsia="Arial" w:hAnsi="Arial"/>
                <w:sz w:val="14"/>
                <w:szCs w:val="14"/>
                <w:color w:val="auto"/>
              </w:rPr>
              <w:t>8,925</w:t>
            </w:r>
          </w:p>
        </w:tc>
        <w:tc>
          <w:tcPr>
            <w:tcW w:w="1460" w:type="dxa"/>
            <w:vAlign w:val="bottom"/>
            <w:shd w:val="clear" w:color="auto" w:fill="F2F2F2"/>
          </w:tcPr>
          <w:p>
            <w:pPr>
              <w:jc w:val="right"/>
              <w:ind w:right="808"/>
              <w:spacing w:after="0"/>
              <w:rPr>
                <w:sz w:val="20"/>
                <w:szCs w:val="20"/>
                <w:color w:val="auto"/>
              </w:rPr>
            </w:pPr>
            <w:r>
              <w:rPr>
                <w:rFonts w:ascii="Arial" w:cs="Arial" w:eastAsia="Arial" w:hAnsi="Arial"/>
                <w:sz w:val="14"/>
                <w:szCs w:val="14"/>
                <w:color w:val="auto"/>
              </w:rPr>
              <w:t>17,850</w:t>
            </w:r>
          </w:p>
        </w:tc>
        <w:tc>
          <w:tcPr>
            <w:tcW w:w="880" w:type="dxa"/>
            <w:vAlign w:val="bottom"/>
            <w:shd w:val="clear" w:color="auto" w:fill="F2F2F2"/>
          </w:tcPr>
          <w:p>
            <w:pPr>
              <w:jc w:val="right"/>
              <w:ind w:right="8"/>
              <w:spacing w:after="0"/>
              <w:rPr>
                <w:sz w:val="20"/>
                <w:szCs w:val="20"/>
                <w:color w:val="auto"/>
              </w:rPr>
            </w:pPr>
            <w:r>
              <w:rPr>
                <w:rFonts w:ascii="Arial" w:cs="Arial" w:eastAsia="Arial" w:hAnsi="Arial"/>
                <w:sz w:val="14"/>
                <w:szCs w:val="14"/>
                <w:color w:val="auto"/>
              </w:rPr>
              <w:t>$9,874,620</w:t>
            </w:r>
          </w:p>
        </w:tc>
        <w:tc>
          <w:tcPr>
            <w:tcW w:w="0" w:type="dxa"/>
            <w:vAlign w:val="bottom"/>
          </w:tcPr>
          <w:p>
            <w:pPr>
              <w:spacing w:after="0"/>
              <w:rPr>
                <w:sz w:val="1"/>
                <w:szCs w:val="1"/>
                <w:color w:val="auto"/>
              </w:rPr>
            </w:pPr>
          </w:p>
        </w:tc>
      </w:tr>
      <w:tr>
        <w:trPr>
          <w:trHeight w:val="278"/>
        </w:trPr>
        <w:tc>
          <w:tcPr>
            <w:tcW w:w="160" w:type="dxa"/>
            <w:vAlign w:val="bottom"/>
            <w:shd w:val="clear" w:color="auto" w:fill="F2F2F2"/>
          </w:tcPr>
          <w:p>
            <w:pPr>
              <w:spacing w:after="0"/>
              <w:rPr>
                <w:sz w:val="24"/>
                <w:szCs w:val="24"/>
                <w:color w:val="auto"/>
              </w:rPr>
            </w:pPr>
          </w:p>
        </w:tc>
        <w:tc>
          <w:tcPr>
            <w:tcW w:w="960" w:type="dxa"/>
            <w:vAlign w:val="bottom"/>
            <w:shd w:val="clear" w:color="auto" w:fill="F2F2F2"/>
          </w:tcPr>
          <w:p>
            <w:pPr>
              <w:spacing w:after="0"/>
              <w:rPr>
                <w:sz w:val="24"/>
                <w:szCs w:val="24"/>
                <w:color w:val="auto"/>
              </w:rPr>
            </w:pPr>
          </w:p>
        </w:tc>
        <w:tc>
          <w:tcPr>
            <w:tcW w:w="180" w:type="dxa"/>
            <w:vAlign w:val="bottom"/>
            <w:shd w:val="clear" w:color="auto" w:fill="F2F2F2"/>
          </w:tcPr>
          <w:p>
            <w:pPr>
              <w:spacing w:after="0"/>
              <w:rPr>
                <w:sz w:val="24"/>
                <w:szCs w:val="24"/>
                <w:color w:val="auto"/>
              </w:rPr>
            </w:pPr>
          </w:p>
        </w:tc>
        <w:tc>
          <w:tcPr>
            <w:tcW w:w="940" w:type="dxa"/>
            <w:vAlign w:val="bottom"/>
            <w:shd w:val="clear" w:color="auto" w:fill="F2F2F2"/>
          </w:tcPr>
          <w:p>
            <w:pPr>
              <w:spacing w:after="0"/>
              <w:rPr>
                <w:sz w:val="24"/>
                <w:szCs w:val="24"/>
                <w:color w:val="auto"/>
              </w:rPr>
            </w:pPr>
          </w:p>
        </w:tc>
        <w:tc>
          <w:tcPr>
            <w:tcW w:w="940" w:type="dxa"/>
            <w:vAlign w:val="bottom"/>
            <w:shd w:val="clear" w:color="auto" w:fill="F2F2F2"/>
          </w:tcPr>
          <w:p>
            <w:pPr>
              <w:spacing w:after="0"/>
              <w:rPr>
                <w:sz w:val="24"/>
                <w:szCs w:val="24"/>
                <w:color w:val="auto"/>
              </w:rPr>
            </w:pPr>
          </w:p>
        </w:tc>
        <w:tc>
          <w:tcPr>
            <w:tcW w:w="740" w:type="dxa"/>
            <w:vAlign w:val="bottom"/>
            <w:shd w:val="clear" w:color="auto" w:fill="F2F2F2"/>
          </w:tcPr>
          <w:p>
            <w:pPr>
              <w:spacing w:after="0"/>
              <w:rPr>
                <w:sz w:val="24"/>
                <w:szCs w:val="24"/>
                <w:color w:val="auto"/>
              </w:rPr>
            </w:pPr>
          </w:p>
        </w:tc>
        <w:tc>
          <w:tcPr>
            <w:tcW w:w="840" w:type="dxa"/>
            <w:vAlign w:val="bottom"/>
            <w:shd w:val="clear" w:color="auto" w:fill="F2F2F2"/>
          </w:tcPr>
          <w:p>
            <w:pPr>
              <w:spacing w:after="0"/>
              <w:rPr>
                <w:sz w:val="24"/>
                <w:szCs w:val="24"/>
                <w:color w:val="auto"/>
              </w:rPr>
            </w:pPr>
          </w:p>
        </w:tc>
        <w:tc>
          <w:tcPr>
            <w:tcW w:w="1660" w:type="dxa"/>
            <w:vAlign w:val="bottom"/>
            <w:shd w:val="clear" w:color="auto" w:fill="F2F2F2"/>
          </w:tcPr>
          <w:p>
            <w:pPr>
              <w:spacing w:after="0"/>
              <w:rPr>
                <w:sz w:val="24"/>
                <w:szCs w:val="24"/>
                <w:color w:val="auto"/>
              </w:rPr>
            </w:pPr>
          </w:p>
        </w:tc>
        <w:tc>
          <w:tcPr>
            <w:tcW w:w="700" w:type="dxa"/>
            <w:vAlign w:val="bottom"/>
            <w:shd w:val="clear" w:color="auto" w:fill="F2F2F2"/>
          </w:tcPr>
          <w:p>
            <w:pPr>
              <w:spacing w:after="0"/>
              <w:rPr>
                <w:sz w:val="24"/>
                <w:szCs w:val="24"/>
                <w:color w:val="auto"/>
              </w:rPr>
            </w:pPr>
          </w:p>
        </w:tc>
        <w:tc>
          <w:tcPr>
            <w:tcW w:w="1460" w:type="dxa"/>
            <w:vAlign w:val="bottom"/>
            <w:shd w:val="clear" w:color="auto" w:fill="F2F2F2"/>
          </w:tcPr>
          <w:p>
            <w:pPr>
              <w:spacing w:after="0"/>
              <w:rPr>
                <w:sz w:val="24"/>
                <w:szCs w:val="24"/>
                <w:color w:val="auto"/>
              </w:rPr>
            </w:pPr>
          </w:p>
        </w:tc>
        <w:tc>
          <w:tcPr>
            <w:tcW w:w="880" w:type="dxa"/>
            <w:vAlign w:val="bottom"/>
            <w:shd w:val="clear" w:color="auto" w:fill="F2F2F2"/>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1120" w:type="dxa"/>
            <w:vAlign w:val="bottom"/>
            <w:gridSpan w:val="2"/>
          </w:tcPr>
          <w:p>
            <w:pPr>
              <w:ind w:left="20"/>
              <w:spacing w:after="0"/>
              <w:rPr>
                <w:sz w:val="20"/>
                <w:szCs w:val="20"/>
                <w:color w:val="auto"/>
              </w:rPr>
            </w:pPr>
            <w:r>
              <w:rPr>
                <w:rFonts w:ascii="Arial" w:cs="Arial" w:eastAsia="Arial" w:hAnsi="Arial"/>
                <w:sz w:val="14"/>
                <w:szCs w:val="14"/>
                <w:color w:val="auto"/>
              </w:rPr>
              <w:t>Mr. Montarce</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$123,840</w:t>
            </w:r>
          </w:p>
        </w:tc>
        <w:tc>
          <w:tcPr>
            <w:tcW w:w="840" w:type="dxa"/>
            <w:vAlign w:val="bottom"/>
          </w:tcPr>
          <w:p>
            <w:pPr>
              <w:jc w:val="right"/>
              <w:spacing w:after="0"/>
              <w:rPr>
                <w:sz w:val="20"/>
                <w:szCs w:val="20"/>
                <w:color w:val="auto"/>
              </w:rPr>
            </w:pPr>
            <w:r>
              <w:rPr>
                <w:rFonts w:ascii="Arial" w:cs="Arial" w:eastAsia="Arial" w:hAnsi="Arial"/>
                <w:sz w:val="14"/>
                <w:szCs w:val="14"/>
                <w:color w:val="auto"/>
              </w:rPr>
              <w:t>$495,359</w:t>
            </w:r>
          </w:p>
        </w:tc>
        <w:tc>
          <w:tcPr>
            <w:tcW w:w="1660" w:type="dxa"/>
            <w:vAlign w:val="bottom"/>
          </w:tcPr>
          <w:p>
            <w:pPr>
              <w:jc w:val="right"/>
              <w:ind w:right="788"/>
              <w:spacing w:after="0"/>
              <w:rPr>
                <w:sz w:val="20"/>
                <w:szCs w:val="20"/>
                <w:color w:val="auto"/>
              </w:rPr>
            </w:pPr>
            <w:r>
              <w:rPr>
                <w:rFonts w:ascii="Arial" w:cs="Arial" w:eastAsia="Arial" w:hAnsi="Arial"/>
                <w:sz w:val="14"/>
                <w:szCs w:val="14"/>
                <w:color w:val="auto"/>
              </w:rPr>
              <w:t>$1,238,398</w:t>
            </w:r>
          </w:p>
        </w:tc>
        <w:tc>
          <w:tcPr>
            <w:tcW w:w="7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6"/>
        </w:trPr>
        <w:tc>
          <w:tcPr>
            <w:tcW w:w="1120" w:type="dxa"/>
            <w:vAlign w:val="bottom"/>
            <w:gridSpan w:val="2"/>
            <w:vMerge w:val="restart"/>
          </w:tcPr>
          <w:p>
            <w:pPr>
              <w:ind w:left="180"/>
              <w:spacing w:after="0"/>
              <w:rPr>
                <w:sz w:val="20"/>
                <w:szCs w:val="20"/>
                <w:color w:val="auto"/>
              </w:rPr>
            </w:pPr>
            <w:r>
              <w:rPr>
                <w:rFonts w:ascii="Arial" w:cs="Arial" w:eastAsia="Arial" w:hAnsi="Arial"/>
                <w:sz w:val="14"/>
                <w:szCs w:val="14"/>
                <w:color w:val="auto"/>
              </w:rPr>
              <w:t>2024-2026</w:t>
            </w:r>
          </w:p>
        </w:tc>
        <w:tc>
          <w:tcPr>
            <w:tcW w:w="180" w:type="dxa"/>
            <w:vAlign w:val="bottom"/>
          </w:tcPr>
          <w:p>
            <w:pPr>
              <w:jc w:val="right"/>
              <w:ind w:right="54"/>
              <w:spacing w:after="0"/>
              <w:rPr>
                <w:sz w:val="20"/>
                <w:szCs w:val="20"/>
                <w:color w:val="auto"/>
              </w:rPr>
            </w:pPr>
            <w:r>
              <w:rPr>
                <w:rFonts w:ascii="Arial" w:cs="Arial" w:eastAsia="Arial" w:hAnsi="Arial"/>
                <w:sz w:val="9"/>
                <w:szCs w:val="9"/>
                <w:color w:val="auto"/>
              </w:rPr>
              <w:t>4</w:t>
            </w:r>
          </w:p>
        </w:tc>
        <w:tc>
          <w:tcPr>
            <w:tcW w:w="9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9"/>
        </w:trPr>
        <w:tc>
          <w:tcPr>
            <w:tcW w:w="112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940" w:type="dxa"/>
            <w:vAlign w:val="bottom"/>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46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160" w:type="dxa"/>
            <w:vAlign w:val="bottom"/>
          </w:tcPr>
          <w:p>
            <w:pPr>
              <w:spacing w:after="0"/>
              <w:rPr>
                <w:sz w:val="16"/>
                <w:szCs w:val="16"/>
                <w:color w:val="auto"/>
              </w:rPr>
            </w:pPr>
          </w:p>
        </w:tc>
        <w:tc>
          <w:tcPr>
            <w:tcW w:w="960" w:type="dxa"/>
            <w:vAlign w:val="bottom"/>
          </w:tcPr>
          <w:p>
            <w:pPr>
              <w:ind w:left="20"/>
              <w:spacing w:after="0"/>
              <w:rPr>
                <w:sz w:val="20"/>
                <w:szCs w:val="20"/>
                <w:color w:val="auto"/>
              </w:rPr>
            </w:pPr>
            <w:r>
              <w:rPr>
                <w:rFonts w:ascii="Arial" w:cs="Arial" w:eastAsia="Arial" w:hAnsi="Arial"/>
                <w:sz w:val="14"/>
                <w:szCs w:val="14"/>
                <w:color w:val="auto"/>
              </w:rPr>
              <w:t>SVA</w:t>
            </w:r>
          </w:p>
        </w:tc>
        <w:tc>
          <w:tcPr>
            <w:tcW w:w="180" w:type="dxa"/>
            <w:vAlign w:val="bottom"/>
          </w:tcPr>
          <w:p>
            <w:pPr>
              <w:spacing w:after="0"/>
              <w:rPr>
                <w:sz w:val="16"/>
                <w:szCs w:val="16"/>
                <w:color w:val="auto"/>
              </w:rPr>
            </w:pPr>
          </w:p>
        </w:tc>
        <w:tc>
          <w:tcPr>
            <w:tcW w:w="940" w:type="dxa"/>
            <w:vAlign w:val="bottom"/>
          </w:tcPr>
          <w:p>
            <w:pPr>
              <w:jc w:val="right"/>
              <w:ind w:right="148"/>
              <w:spacing w:after="0"/>
              <w:rPr>
                <w:sz w:val="20"/>
                <w:szCs w:val="20"/>
                <w:color w:val="auto"/>
              </w:rPr>
            </w:pPr>
            <w:r>
              <w:rPr>
                <w:rFonts w:ascii="Arial" w:cs="Arial" w:eastAsia="Arial" w:hAnsi="Arial"/>
                <w:sz w:val="14"/>
                <w:szCs w:val="14"/>
                <w:color w:val="auto"/>
              </w:rPr>
              <w:t>2/12/2024</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2/12/2024</w:t>
            </w: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60" w:type="dxa"/>
            <w:vAlign w:val="bottom"/>
          </w:tcPr>
          <w:p>
            <w:pPr>
              <w:jc w:val="right"/>
              <w:ind w:right="48"/>
              <w:spacing w:after="0"/>
              <w:rPr>
                <w:sz w:val="20"/>
                <w:szCs w:val="20"/>
                <w:color w:val="auto"/>
              </w:rPr>
            </w:pPr>
            <w:r>
              <w:rPr>
                <w:rFonts w:ascii="Arial" w:cs="Arial" w:eastAsia="Arial" w:hAnsi="Arial"/>
                <w:sz w:val="14"/>
                <w:szCs w:val="14"/>
                <w:color w:val="auto"/>
              </w:rPr>
              <w:t>130</w:t>
            </w: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259</w:t>
            </w:r>
          </w:p>
        </w:tc>
        <w:tc>
          <w:tcPr>
            <w:tcW w:w="1460" w:type="dxa"/>
            <w:vAlign w:val="bottom"/>
          </w:tcPr>
          <w:p>
            <w:pPr>
              <w:jc w:val="right"/>
              <w:ind w:right="748"/>
              <w:spacing w:after="0"/>
              <w:rPr>
                <w:sz w:val="20"/>
                <w:szCs w:val="20"/>
                <w:color w:val="auto"/>
              </w:rPr>
            </w:pPr>
            <w:r>
              <w:rPr>
                <w:rFonts w:ascii="Arial" w:cs="Arial" w:eastAsia="Arial" w:hAnsi="Arial"/>
                <w:sz w:val="14"/>
                <w:szCs w:val="14"/>
                <w:color w:val="auto"/>
              </w:rPr>
              <w:t>518</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$266,995</w:t>
            </w:r>
          </w:p>
        </w:tc>
        <w:tc>
          <w:tcPr>
            <w:tcW w:w="0" w:type="dxa"/>
            <w:vAlign w:val="bottom"/>
          </w:tcPr>
          <w:p>
            <w:pPr>
              <w:spacing w:after="0"/>
              <w:rPr>
                <w:sz w:val="1"/>
                <w:szCs w:val="1"/>
                <w:color w:val="auto"/>
              </w:rPr>
            </w:pPr>
          </w:p>
        </w:tc>
      </w:tr>
      <w:tr>
        <w:trPr>
          <w:trHeight w:val="146"/>
        </w:trPr>
        <w:tc>
          <w:tcPr>
            <w:tcW w:w="1120" w:type="dxa"/>
            <w:vAlign w:val="bottom"/>
            <w:gridSpan w:val="2"/>
            <w:vMerge w:val="restart"/>
          </w:tcPr>
          <w:p>
            <w:pPr>
              <w:ind w:left="180"/>
              <w:spacing w:after="0"/>
              <w:rPr>
                <w:sz w:val="20"/>
                <w:szCs w:val="20"/>
                <w:color w:val="auto"/>
              </w:rPr>
            </w:pPr>
            <w:r>
              <w:rPr>
                <w:rFonts w:ascii="Arial" w:cs="Arial" w:eastAsia="Arial" w:hAnsi="Arial"/>
                <w:sz w:val="14"/>
                <w:szCs w:val="14"/>
                <w:color w:val="auto"/>
              </w:rPr>
              <w:t>2024-2026</w:t>
            </w:r>
          </w:p>
        </w:tc>
        <w:tc>
          <w:tcPr>
            <w:tcW w:w="180" w:type="dxa"/>
            <w:vAlign w:val="bottom"/>
          </w:tcPr>
          <w:p>
            <w:pPr>
              <w:jc w:val="right"/>
              <w:ind w:right="54"/>
              <w:spacing w:after="0"/>
              <w:rPr>
                <w:sz w:val="20"/>
                <w:szCs w:val="20"/>
                <w:color w:val="auto"/>
              </w:rPr>
            </w:pPr>
            <w:r>
              <w:rPr>
                <w:rFonts w:ascii="Arial" w:cs="Arial" w:eastAsia="Arial" w:hAnsi="Arial"/>
                <w:sz w:val="9"/>
                <w:szCs w:val="9"/>
                <w:color w:val="auto"/>
              </w:rPr>
              <w:t>5</w:t>
            </w:r>
          </w:p>
        </w:tc>
        <w:tc>
          <w:tcPr>
            <w:tcW w:w="9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9"/>
        </w:trPr>
        <w:tc>
          <w:tcPr>
            <w:tcW w:w="112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940" w:type="dxa"/>
            <w:vAlign w:val="bottom"/>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46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160" w:type="dxa"/>
            <w:vAlign w:val="bottom"/>
          </w:tcPr>
          <w:p>
            <w:pPr>
              <w:spacing w:after="0"/>
              <w:rPr>
                <w:sz w:val="16"/>
                <w:szCs w:val="16"/>
                <w:color w:val="auto"/>
              </w:rPr>
            </w:pPr>
          </w:p>
        </w:tc>
        <w:tc>
          <w:tcPr>
            <w:tcW w:w="960" w:type="dxa"/>
            <w:vAlign w:val="bottom"/>
          </w:tcPr>
          <w:p>
            <w:pPr>
              <w:ind w:left="20"/>
              <w:spacing w:after="0"/>
              <w:rPr>
                <w:sz w:val="20"/>
                <w:szCs w:val="20"/>
                <w:color w:val="auto"/>
              </w:rPr>
            </w:pPr>
            <w:r>
              <w:rPr>
                <w:rFonts w:ascii="Arial" w:cs="Arial" w:eastAsia="Arial" w:hAnsi="Arial"/>
                <w:sz w:val="14"/>
                <w:szCs w:val="14"/>
                <w:color w:val="auto"/>
              </w:rPr>
              <w:t>RVA</w:t>
            </w:r>
          </w:p>
        </w:tc>
        <w:tc>
          <w:tcPr>
            <w:tcW w:w="180" w:type="dxa"/>
            <w:vAlign w:val="bottom"/>
          </w:tcPr>
          <w:p>
            <w:pPr>
              <w:spacing w:after="0"/>
              <w:rPr>
                <w:sz w:val="16"/>
                <w:szCs w:val="16"/>
                <w:color w:val="auto"/>
              </w:rPr>
            </w:pPr>
          </w:p>
        </w:tc>
        <w:tc>
          <w:tcPr>
            <w:tcW w:w="940" w:type="dxa"/>
            <w:vAlign w:val="bottom"/>
          </w:tcPr>
          <w:p>
            <w:pPr>
              <w:jc w:val="right"/>
              <w:ind w:right="148"/>
              <w:spacing w:after="0"/>
              <w:rPr>
                <w:sz w:val="20"/>
                <w:szCs w:val="20"/>
                <w:color w:val="auto"/>
              </w:rPr>
            </w:pPr>
            <w:r>
              <w:rPr>
                <w:rFonts w:ascii="Arial" w:cs="Arial" w:eastAsia="Arial" w:hAnsi="Arial"/>
                <w:sz w:val="14"/>
                <w:szCs w:val="14"/>
                <w:color w:val="auto"/>
              </w:rPr>
              <w:t>2/12/2024</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2/12/2024</w:t>
            </w: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60" w:type="dxa"/>
            <w:vAlign w:val="bottom"/>
          </w:tcPr>
          <w:p>
            <w:pPr>
              <w:jc w:val="right"/>
              <w:ind w:right="48"/>
              <w:spacing w:after="0"/>
              <w:rPr>
                <w:sz w:val="20"/>
                <w:szCs w:val="20"/>
                <w:color w:val="auto"/>
              </w:rPr>
            </w:pPr>
            <w:r>
              <w:rPr>
                <w:rFonts w:ascii="Arial" w:cs="Arial" w:eastAsia="Arial" w:hAnsi="Arial"/>
                <w:sz w:val="14"/>
                <w:szCs w:val="14"/>
                <w:color w:val="auto"/>
              </w:rPr>
              <w:t>121</w:t>
            </w: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241</w:t>
            </w:r>
          </w:p>
        </w:tc>
        <w:tc>
          <w:tcPr>
            <w:tcW w:w="1460" w:type="dxa"/>
            <w:vAlign w:val="bottom"/>
          </w:tcPr>
          <w:p>
            <w:pPr>
              <w:jc w:val="right"/>
              <w:ind w:right="748"/>
              <w:spacing w:after="0"/>
              <w:rPr>
                <w:sz w:val="20"/>
                <w:szCs w:val="20"/>
                <w:color w:val="auto"/>
              </w:rPr>
            </w:pPr>
            <w:r>
              <w:rPr>
                <w:rFonts w:ascii="Arial" w:cs="Arial" w:eastAsia="Arial" w:hAnsi="Arial"/>
                <w:sz w:val="14"/>
                <w:szCs w:val="14"/>
                <w:color w:val="auto"/>
              </w:rPr>
              <w:t>482</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$266,642</w:t>
            </w:r>
          </w:p>
        </w:tc>
        <w:tc>
          <w:tcPr>
            <w:tcW w:w="0" w:type="dxa"/>
            <w:vAlign w:val="bottom"/>
          </w:tcPr>
          <w:p>
            <w:pPr>
              <w:spacing w:after="0"/>
              <w:rPr>
                <w:sz w:val="1"/>
                <w:szCs w:val="1"/>
                <w:color w:val="auto"/>
              </w:rPr>
            </w:pPr>
          </w:p>
        </w:tc>
      </w:tr>
      <w:tr>
        <w:trPr>
          <w:trHeight w:val="146"/>
        </w:trPr>
        <w:tc>
          <w:tcPr>
            <w:tcW w:w="160" w:type="dxa"/>
            <w:vAlign w:val="bottom"/>
          </w:tcPr>
          <w:p>
            <w:pPr>
              <w:spacing w:after="0"/>
              <w:rPr>
                <w:sz w:val="12"/>
                <w:szCs w:val="12"/>
                <w:color w:val="auto"/>
              </w:rPr>
            </w:pPr>
          </w:p>
        </w:tc>
        <w:tc>
          <w:tcPr>
            <w:tcW w:w="960" w:type="dxa"/>
            <w:vAlign w:val="bottom"/>
            <w:vMerge w:val="restart"/>
          </w:tcPr>
          <w:p>
            <w:pPr>
              <w:ind w:left="20"/>
              <w:spacing w:after="0"/>
              <w:rPr>
                <w:sz w:val="20"/>
                <w:szCs w:val="20"/>
                <w:color w:val="auto"/>
              </w:rPr>
            </w:pPr>
            <w:r>
              <w:rPr>
                <w:rFonts w:ascii="Arial" w:cs="Arial" w:eastAsia="Arial" w:hAnsi="Arial"/>
                <w:sz w:val="14"/>
                <w:szCs w:val="14"/>
                <w:color w:val="auto"/>
              </w:rPr>
              <w:t>2024 RSU</w:t>
            </w:r>
          </w:p>
        </w:tc>
        <w:tc>
          <w:tcPr>
            <w:tcW w:w="180" w:type="dxa"/>
            <w:vAlign w:val="bottom"/>
          </w:tcPr>
          <w:p>
            <w:pPr>
              <w:jc w:val="right"/>
              <w:ind w:right="54"/>
              <w:spacing w:after="0"/>
              <w:rPr>
                <w:sz w:val="20"/>
                <w:szCs w:val="20"/>
                <w:color w:val="auto"/>
              </w:rPr>
            </w:pPr>
            <w:r>
              <w:rPr>
                <w:rFonts w:ascii="Arial" w:cs="Arial" w:eastAsia="Arial" w:hAnsi="Arial"/>
                <w:sz w:val="9"/>
                <w:szCs w:val="9"/>
                <w:color w:val="auto"/>
              </w:rPr>
              <w:t>6</w:t>
            </w:r>
          </w:p>
        </w:tc>
        <w:tc>
          <w:tcPr>
            <w:tcW w:w="9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9"/>
        </w:trPr>
        <w:tc>
          <w:tcPr>
            <w:tcW w:w="16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940" w:type="dxa"/>
            <w:vAlign w:val="bottom"/>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46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160" w:type="dxa"/>
            <w:vAlign w:val="bottom"/>
          </w:tcPr>
          <w:p>
            <w:pPr>
              <w:spacing w:after="0"/>
              <w:rPr>
                <w:sz w:val="16"/>
                <w:szCs w:val="16"/>
                <w:color w:val="auto"/>
              </w:rPr>
            </w:pPr>
          </w:p>
        </w:tc>
        <w:tc>
          <w:tcPr>
            <w:tcW w:w="960" w:type="dxa"/>
            <w:vAlign w:val="bottom"/>
          </w:tcPr>
          <w:p>
            <w:pPr>
              <w:ind w:left="20"/>
              <w:spacing w:after="0"/>
              <w:rPr>
                <w:sz w:val="20"/>
                <w:szCs w:val="20"/>
                <w:color w:val="auto"/>
              </w:rPr>
            </w:pPr>
            <w:r>
              <w:rPr>
                <w:rFonts w:ascii="Arial" w:cs="Arial" w:eastAsia="Arial" w:hAnsi="Arial"/>
                <w:sz w:val="14"/>
                <w:szCs w:val="14"/>
                <w:color w:val="auto"/>
              </w:rPr>
              <w:t>3YR</w:t>
            </w:r>
          </w:p>
        </w:tc>
        <w:tc>
          <w:tcPr>
            <w:tcW w:w="180" w:type="dxa"/>
            <w:vAlign w:val="bottom"/>
          </w:tcPr>
          <w:p>
            <w:pPr>
              <w:spacing w:after="0"/>
              <w:rPr>
                <w:sz w:val="16"/>
                <w:szCs w:val="16"/>
                <w:color w:val="auto"/>
              </w:rPr>
            </w:pPr>
          </w:p>
        </w:tc>
        <w:tc>
          <w:tcPr>
            <w:tcW w:w="940" w:type="dxa"/>
            <w:vAlign w:val="bottom"/>
          </w:tcPr>
          <w:p>
            <w:pPr>
              <w:jc w:val="right"/>
              <w:ind w:right="148"/>
              <w:spacing w:after="0"/>
              <w:rPr>
                <w:sz w:val="20"/>
                <w:szCs w:val="20"/>
                <w:color w:val="auto"/>
              </w:rPr>
            </w:pPr>
            <w:r>
              <w:rPr>
                <w:rFonts w:ascii="Arial" w:cs="Arial" w:eastAsia="Arial" w:hAnsi="Arial"/>
                <w:sz w:val="14"/>
                <w:szCs w:val="14"/>
                <w:color w:val="auto"/>
              </w:rPr>
              <w:t>2/12/2024</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8/7/2023</w:t>
            </w: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60" w:type="dxa"/>
            <w:vAlign w:val="bottom"/>
          </w:tcPr>
          <w:p>
            <w:pPr>
              <w:jc w:val="right"/>
              <w:ind w:right="8"/>
              <w:spacing w:after="0"/>
              <w:rPr>
                <w:sz w:val="20"/>
                <w:szCs w:val="20"/>
                <w:color w:val="auto"/>
              </w:rPr>
            </w:pPr>
            <w:r>
              <w:rPr>
                <w:rFonts w:ascii="Arial" w:cs="Arial" w:eastAsia="Arial" w:hAnsi="Arial"/>
                <w:sz w:val="14"/>
                <w:szCs w:val="14"/>
                <w:color w:val="auto"/>
              </w:rPr>
              <w:t>371</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$266,664</w:t>
            </w:r>
          </w:p>
        </w:tc>
        <w:tc>
          <w:tcPr>
            <w:tcW w:w="0" w:type="dxa"/>
            <w:vAlign w:val="bottom"/>
          </w:tcPr>
          <w:p>
            <w:pPr>
              <w:spacing w:after="0"/>
              <w:rPr>
                <w:sz w:val="1"/>
                <w:szCs w:val="1"/>
                <w:color w:val="auto"/>
              </w:rPr>
            </w:pPr>
          </w:p>
        </w:tc>
      </w:tr>
      <w:tr>
        <w:trPr>
          <w:trHeight w:val="215"/>
        </w:trPr>
        <w:tc>
          <w:tcPr>
            <w:tcW w:w="160" w:type="dxa"/>
            <w:vAlign w:val="bottom"/>
          </w:tcPr>
          <w:p>
            <w:pPr>
              <w:spacing w:after="0"/>
              <w:rPr>
                <w:sz w:val="18"/>
                <w:szCs w:val="18"/>
                <w:color w:val="auto"/>
              </w:rPr>
            </w:pPr>
          </w:p>
        </w:tc>
        <w:tc>
          <w:tcPr>
            <w:tcW w:w="960" w:type="dxa"/>
            <w:vAlign w:val="bottom"/>
          </w:tcPr>
          <w:p>
            <w:pPr>
              <w:ind w:left="20"/>
              <w:spacing w:after="0"/>
              <w:rPr>
                <w:sz w:val="20"/>
                <w:szCs w:val="20"/>
                <w:color w:val="auto"/>
              </w:rPr>
            </w:pPr>
            <w:r>
              <w:rPr>
                <w:rFonts w:ascii="Arial" w:cs="Arial" w:eastAsia="Arial" w:hAnsi="Arial"/>
                <w:sz w:val="14"/>
                <w:szCs w:val="14"/>
                <w:color w:val="auto"/>
              </w:rPr>
              <w:t>2024 RSU</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160" w:type="dxa"/>
            <w:vAlign w:val="bottom"/>
          </w:tcPr>
          <w:p>
            <w:pPr>
              <w:spacing w:after="0"/>
              <w:rPr>
                <w:sz w:val="10"/>
                <w:szCs w:val="10"/>
                <w:color w:val="auto"/>
              </w:rPr>
            </w:pPr>
          </w:p>
        </w:tc>
        <w:tc>
          <w:tcPr>
            <w:tcW w:w="960" w:type="dxa"/>
            <w:vAlign w:val="bottom"/>
            <w:vMerge w:val="restart"/>
          </w:tcPr>
          <w:p>
            <w:pPr>
              <w:ind w:left="20"/>
              <w:spacing w:after="0"/>
              <w:rPr>
                <w:sz w:val="20"/>
                <w:szCs w:val="20"/>
                <w:color w:val="auto"/>
              </w:rPr>
            </w:pPr>
            <w:r>
              <w:rPr>
                <w:rFonts w:ascii="Arial" w:cs="Arial" w:eastAsia="Arial" w:hAnsi="Arial"/>
                <w:sz w:val="14"/>
                <w:szCs w:val="14"/>
                <w:color w:val="auto"/>
              </w:rPr>
              <w:t>2YR</w:t>
            </w:r>
          </w:p>
        </w:tc>
        <w:tc>
          <w:tcPr>
            <w:tcW w:w="180" w:type="dxa"/>
            <w:vAlign w:val="bottom"/>
          </w:tcPr>
          <w:p>
            <w:pPr>
              <w:jc w:val="right"/>
              <w:ind w:right="54"/>
              <w:spacing w:after="0"/>
              <w:rPr>
                <w:sz w:val="20"/>
                <w:szCs w:val="20"/>
                <w:color w:val="auto"/>
              </w:rPr>
            </w:pPr>
            <w:r>
              <w:rPr>
                <w:rFonts w:ascii="Arial" w:cs="Arial" w:eastAsia="Arial" w:hAnsi="Arial"/>
                <w:sz w:val="9"/>
                <w:szCs w:val="9"/>
                <w:color w:val="auto"/>
              </w:rPr>
              <w:t>6</w:t>
            </w:r>
          </w:p>
        </w:tc>
        <w:tc>
          <w:tcPr>
            <w:tcW w:w="940" w:type="dxa"/>
            <w:vAlign w:val="bottom"/>
            <w:vMerge w:val="restart"/>
          </w:tcPr>
          <w:p>
            <w:pPr>
              <w:jc w:val="right"/>
              <w:ind w:right="148"/>
              <w:spacing w:after="0"/>
              <w:rPr>
                <w:sz w:val="20"/>
                <w:szCs w:val="20"/>
                <w:color w:val="auto"/>
              </w:rPr>
            </w:pPr>
            <w:r>
              <w:rPr>
                <w:rFonts w:ascii="Arial" w:cs="Arial" w:eastAsia="Arial" w:hAnsi="Arial"/>
                <w:sz w:val="14"/>
                <w:szCs w:val="14"/>
                <w:color w:val="auto"/>
              </w:rPr>
              <w:t>2/12/2024</w:t>
            </w:r>
          </w:p>
        </w:tc>
        <w:tc>
          <w:tcPr>
            <w:tcW w:w="940" w:type="dxa"/>
            <w:vAlign w:val="bottom"/>
            <w:vMerge w:val="restart"/>
          </w:tcPr>
          <w:p>
            <w:pPr>
              <w:jc w:val="right"/>
              <w:ind w:right="8"/>
              <w:spacing w:after="0"/>
              <w:rPr>
                <w:sz w:val="20"/>
                <w:szCs w:val="20"/>
                <w:color w:val="auto"/>
              </w:rPr>
            </w:pPr>
            <w:r>
              <w:rPr>
                <w:rFonts w:ascii="Arial" w:cs="Arial" w:eastAsia="Arial" w:hAnsi="Arial"/>
                <w:sz w:val="14"/>
                <w:szCs w:val="14"/>
                <w:color w:val="auto"/>
              </w:rPr>
              <w:t>8/7/2023</w:t>
            </w:r>
          </w:p>
        </w:tc>
        <w:tc>
          <w:tcPr>
            <w:tcW w:w="7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60" w:type="dxa"/>
            <w:vAlign w:val="bottom"/>
            <w:vMerge w:val="restart"/>
          </w:tcPr>
          <w:p>
            <w:pPr>
              <w:jc w:val="right"/>
              <w:ind w:right="8"/>
              <w:spacing w:after="0"/>
              <w:rPr>
                <w:sz w:val="20"/>
                <w:szCs w:val="20"/>
                <w:color w:val="auto"/>
              </w:rPr>
            </w:pPr>
            <w:r>
              <w:rPr>
                <w:rFonts w:ascii="Arial" w:cs="Arial" w:eastAsia="Arial" w:hAnsi="Arial"/>
                <w:sz w:val="14"/>
                <w:szCs w:val="14"/>
                <w:color w:val="auto"/>
              </w:rPr>
              <w:t>368</w:t>
            </w:r>
          </w:p>
        </w:tc>
        <w:tc>
          <w:tcPr>
            <w:tcW w:w="880" w:type="dxa"/>
            <w:vAlign w:val="bottom"/>
            <w:vMerge w:val="restart"/>
          </w:tcPr>
          <w:p>
            <w:pPr>
              <w:jc w:val="right"/>
              <w:ind w:right="8"/>
              <w:spacing w:after="0"/>
              <w:rPr>
                <w:sz w:val="20"/>
                <w:szCs w:val="20"/>
                <w:color w:val="auto"/>
              </w:rPr>
            </w:pPr>
            <w:r>
              <w:rPr>
                <w:rFonts w:ascii="Arial" w:cs="Arial" w:eastAsia="Arial" w:hAnsi="Arial"/>
                <w:sz w:val="14"/>
                <w:szCs w:val="14"/>
                <w:color w:val="auto"/>
              </w:rPr>
              <w:t>$266,833</w:t>
            </w:r>
          </w:p>
        </w:tc>
        <w:tc>
          <w:tcPr>
            <w:tcW w:w="0" w:type="dxa"/>
            <w:vAlign w:val="bottom"/>
          </w:tcPr>
          <w:p>
            <w:pPr>
              <w:spacing w:after="0"/>
              <w:rPr>
                <w:sz w:val="1"/>
                <w:szCs w:val="1"/>
                <w:color w:val="auto"/>
              </w:rPr>
            </w:pPr>
          </w:p>
        </w:tc>
      </w:tr>
      <w:tr>
        <w:trPr>
          <w:trHeight w:val="72"/>
        </w:trPr>
        <w:tc>
          <w:tcPr>
            <w:tcW w:w="16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146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1120" w:type="dxa"/>
            <w:vAlign w:val="bottom"/>
            <w:gridSpan w:val="2"/>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1120" w:type="dxa"/>
            <w:vAlign w:val="bottom"/>
            <w:gridSpan w:val="2"/>
            <w:shd w:val="clear" w:color="auto" w:fill="F2F2F2"/>
          </w:tcPr>
          <w:p>
            <w:pPr>
              <w:ind w:left="20"/>
              <w:spacing w:after="0"/>
              <w:rPr>
                <w:sz w:val="20"/>
                <w:szCs w:val="20"/>
                <w:color w:val="auto"/>
              </w:rPr>
            </w:pPr>
            <w:r>
              <w:rPr>
                <w:rFonts w:ascii="Arial" w:cs="Arial" w:eastAsia="Arial" w:hAnsi="Arial"/>
                <w:sz w:val="14"/>
                <w:szCs w:val="14"/>
                <w:color w:val="auto"/>
              </w:rPr>
              <w:t>Dr. Skovronsky</w:t>
            </w:r>
          </w:p>
        </w:tc>
        <w:tc>
          <w:tcPr>
            <w:tcW w:w="180" w:type="dxa"/>
            <w:vAlign w:val="bottom"/>
            <w:shd w:val="clear" w:color="auto" w:fill="F2F2F2"/>
          </w:tcPr>
          <w:p>
            <w:pPr>
              <w:spacing w:after="0"/>
              <w:rPr>
                <w:sz w:val="20"/>
                <w:szCs w:val="20"/>
                <w:color w:val="auto"/>
              </w:rPr>
            </w:pPr>
          </w:p>
        </w:tc>
        <w:tc>
          <w:tcPr>
            <w:tcW w:w="940" w:type="dxa"/>
            <w:vAlign w:val="bottom"/>
            <w:shd w:val="clear" w:color="auto" w:fill="F2F2F2"/>
          </w:tcPr>
          <w:p>
            <w:pPr>
              <w:spacing w:after="0"/>
              <w:rPr>
                <w:sz w:val="20"/>
                <w:szCs w:val="20"/>
                <w:color w:val="auto"/>
              </w:rPr>
            </w:pPr>
          </w:p>
        </w:tc>
        <w:tc>
          <w:tcPr>
            <w:tcW w:w="940" w:type="dxa"/>
            <w:vAlign w:val="bottom"/>
            <w:shd w:val="clear" w:color="auto" w:fill="F2F2F2"/>
          </w:tcPr>
          <w:p>
            <w:pPr>
              <w:spacing w:after="0"/>
              <w:rPr>
                <w:sz w:val="20"/>
                <w:szCs w:val="20"/>
                <w:color w:val="auto"/>
              </w:rPr>
            </w:pPr>
          </w:p>
        </w:tc>
        <w:tc>
          <w:tcPr>
            <w:tcW w:w="740" w:type="dxa"/>
            <w:vAlign w:val="bottom"/>
            <w:shd w:val="clear" w:color="auto" w:fill="F2F2F2"/>
          </w:tcPr>
          <w:p>
            <w:pPr>
              <w:jc w:val="right"/>
              <w:spacing w:after="0"/>
              <w:rPr>
                <w:sz w:val="20"/>
                <w:szCs w:val="20"/>
                <w:color w:val="auto"/>
              </w:rPr>
            </w:pPr>
            <w:r>
              <w:rPr>
                <w:rFonts w:ascii="Arial" w:cs="Arial" w:eastAsia="Arial" w:hAnsi="Arial"/>
                <w:sz w:val="14"/>
                <w:szCs w:val="14"/>
                <w:color w:val="auto"/>
              </w:rPr>
              <w:t>$357,692</w:t>
            </w:r>
          </w:p>
        </w:tc>
        <w:tc>
          <w:tcPr>
            <w:tcW w:w="840" w:type="dxa"/>
            <w:vAlign w:val="bottom"/>
            <w:shd w:val="clear" w:color="auto" w:fill="F2F2F2"/>
          </w:tcPr>
          <w:p>
            <w:pPr>
              <w:jc w:val="right"/>
              <w:spacing w:after="0"/>
              <w:rPr>
                <w:sz w:val="20"/>
                <w:szCs w:val="20"/>
                <w:color w:val="auto"/>
              </w:rPr>
            </w:pPr>
            <w:r>
              <w:rPr>
                <w:rFonts w:ascii="Arial" w:cs="Arial" w:eastAsia="Arial" w:hAnsi="Arial"/>
                <w:sz w:val="14"/>
                <w:szCs w:val="14"/>
                <w:color w:val="auto"/>
              </w:rPr>
              <w:t>$1,430,769</w:t>
            </w:r>
          </w:p>
        </w:tc>
        <w:tc>
          <w:tcPr>
            <w:tcW w:w="1660" w:type="dxa"/>
            <w:vAlign w:val="bottom"/>
            <w:shd w:val="clear" w:color="auto" w:fill="F2F2F2"/>
          </w:tcPr>
          <w:p>
            <w:pPr>
              <w:jc w:val="right"/>
              <w:ind w:right="788"/>
              <w:spacing w:after="0"/>
              <w:rPr>
                <w:sz w:val="20"/>
                <w:szCs w:val="20"/>
                <w:color w:val="auto"/>
              </w:rPr>
            </w:pPr>
            <w:r>
              <w:rPr>
                <w:rFonts w:ascii="Arial" w:cs="Arial" w:eastAsia="Arial" w:hAnsi="Arial"/>
                <w:sz w:val="14"/>
                <w:szCs w:val="14"/>
                <w:color w:val="auto"/>
              </w:rPr>
              <w:t>$3,576,923</w:t>
            </w:r>
          </w:p>
        </w:tc>
        <w:tc>
          <w:tcPr>
            <w:tcW w:w="700" w:type="dxa"/>
            <w:vAlign w:val="bottom"/>
            <w:shd w:val="clear" w:color="auto" w:fill="F2F2F2"/>
          </w:tcPr>
          <w:p>
            <w:pPr>
              <w:spacing w:after="0"/>
              <w:rPr>
                <w:sz w:val="20"/>
                <w:szCs w:val="20"/>
                <w:color w:val="auto"/>
              </w:rPr>
            </w:pPr>
          </w:p>
        </w:tc>
        <w:tc>
          <w:tcPr>
            <w:tcW w:w="1460" w:type="dxa"/>
            <w:vAlign w:val="bottom"/>
            <w:shd w:val="clear" w:color="auto" w:fill="F2F2F2"/>
          </w:tcPr>
          <w:p>
            <w:pPr>
              <w:spacing w:after="0"/>
              <w:rPr>
                <w:sz w:val="20"/>
                <w:szCs w:val="20"/>
                <w:color w:val="auto"/>
              </w:rPr>
            </w:pPr>
          </w:p>
        </w:tc>
        <w:tc>
          <w:tcPr>
            <w:tcW w:w="880" w:type="dxa"/>
            <w:vAlign w:val="bottom"/>
            <w:shd w:val="clear" w:color="auto" w:fill="F2F2F2"/>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60" w:type="dxa"/>
            <w:vAlign w:val="bottom"/>
            <w:shd w:val="clear" w:color="auto" w:fill="F2F2F2"/>
          </w:tcPr>
          <w:p>
            <w:pPr>
              <w:spacing w:after="0"/>
              <w:rPr>
                <w:sz w:val="18"/>
                <w:szCs w:val="18"/>
                <w:color w:val="auto"/>
              </w:rPr>
            </w:pPr>
          </w:p>
        </w:tc>
        <w:tc>
          <w:tcPr>
            <w:tcW w:w="960" w:type="dxa"/>
            <w:vAlign w:val="bottom"/>
            <w:shd w:val="clear" w:color="auto" w:fill="F2F2F2"/>
          </w:tcPr>
          <w:p>
            <w:pPr>
              <w:ind w:left="20"/>
              <w:spacing w:after="0"/>
              <w:rPr>
                <w:sz w:val="20"/>
                <w:szCs w:val="20"/>
                <w:color w:val="auto"/>
              </w:rPr>
            </w:pPr>
            <w:r>
              <w:rPr>
                <w:rFonts w:ascii="Arial" w:cs="Arial" w:eastAsia="Arial" w:hAnsi="Arial"/>
                <w:sz w:val="14"/>
                <w:szCs w:val="14"/>
                <w:color w:val="auto"/>
              </w:rPr>
              <w:t>2024-2026</w:t>
            </w:r>
          </w:p>
        </w:tc>
        <w:tc>
          <w:tcPr>
            <w:tcW w:w="180" w:type="dxa"/>
            <w:vAlign w:val="bottom"/>
            <w:shd w:val="clear" w:color="auto" w:fill="F2F2F2"/>
          </w:tcPr>
          <w:p>
            <w:pPr>
              <w:spacing w:after="0"/>
              <w:rPr>
                <w:sz w:val="18"/>
                <w:szCs w:val="18"/>
                <w:color w:val="auto"/>
              </w:rPr>
            </w:pPr>
          </w:p>
        </w:tc>
        <w:tc>
          <w:tcPr>
            <w:tcW w:w="940" w:type="dxa"/>
            <w:vAlign w:val="bottom"/>
            <w:shd w:val="clear" w:color="auto" w:fill="F2F2F2"/>
          </w:tcPr>
          <w:p>
            <w:pPr>
              <w:spacing w:after="0"/>
              <w:rPr>
                <w:sz w:val="18"/>
                <w:szCs w:val="18"/>
                <w:color w:val="auto"/>
              </w:rPr>
            </w:pPr>
          </w:p>
        </w:tc>
        <w:tc>
          <w:tcPr>
            <w:tcW w:w="940" w:type="dxa"/>
            <w:vAlign w:val="bottom"/>
            <w:shd w:val="clear" w:color="auto" w:fill="F2F2F2"/>
          </w:tcPr>
          <w:p>
            <w:pPr>
              <w:spacing w:after="0"/>
              <w:rPr>
                <w:sz w:val="18"/>
                <w:szCs w:val="18"/>
                <w:color w:val="auto"/>
              </w:rPr>
            </w:pPr>
          </w:p>
        </w:tc>
        <w:tc>
          <w:tcPr>
            <w:tcW w:w="740" w:type="dxa"/>
            <w:vAlign w:val="bottom"/>
            <w:shd w:val="clear" w:color="auto" w:fill="F2F2F2"/>
          </w:tcPr>
          <w:p>
            <w:pPr>
              <w:spacing w:after="0"/>
              <w:rPr>
                <w:sz w:val="18"/>
                <w:szCs w:val="18"/>
                <w:color w:val="auto"/>
              </w:rPr>
            </w:pPr>
          </w:p>
        </w:tc>
        <w:tc>
          <w:tcPr>
            <w:tcW w:w="840" w:type="dxa"/>
            <w:vAlign w:val="bottom"/>
            <w:shd w:val="clear" w:color="auto" w:fill="F2F2F2"/>
          </w:tcPr>
          <w:p>
            <w:pPr>
              <w:spacing w:after="0"/>
              <w:rPr>
                <w:sz w:val="18"/>
                <w:szCs w:val="18"/>
                <w:color w:val="auto"/>
              </w:rPr>
            </w:pPr>
          </w:p>
        </w:tc>
        <w:tc>
          <w:tcPr>
            <w:tcW w:w="1660" w:type="dxa"/>
            <w:vAlign w:val="bottom"/>
            <w:shd w:val="clear" w:color="auto" w:fill="F2F2F2"/>
          </w:tcPr>
          <w:p>
            <w:pPr>
              <w:spacing w:after="0"/>
              <w:rPr>
                <w:sz w:val="18"/>
                <w:szCs w:val="18"/>
                <w:color w:val="auto"/>
              </w:rPr>
            </w:pPr>
          </w:p>
        </w:tc>
        <w:tc>
          <w:tcPr>
            <w:tcW w:w="700" w:type="dxa"/>
            <w:vAlign w:val="bottom"/>
            <w:shd w:val="clear" w:color="auto" w:fill="F2F2F2"/>
          </w:tcPr>
          <w:p>
            <w:pPr>
              <w:spacing w:after="0"/>
              <w:rPr>
                <w:sz w:val="18"/>
                <w:szCs w:val="18"/>
                <w:color w:val="auto"/>
              </w:rPr>
            </w:pPr>
          </w:p>
        </w:tc>
        <w:tc>
          <w:tcPr>
            <w:tcW w:w="1460" w:type="dxa"/>
            <w:vAlign w:val="bottom"/>
            <w:shd w:val="clear" w:color="auto" w:fill="F2F2F2"/>
          </w:tcPr>
          <w:p>
            <w:pPr>
              <w:spacing w:after="0"/>
              <w:rPr>
                <w:sz w:val="18"/>
                <w:szCs w:val="18"/>
                <w:color w:val="auto"/>
              </w:rPr>
            </w:pPr>
          </w:p>
        </w:tc>
        <w:tc>
          <w:tcPr>
            <w:tcW w:w="880" w:type="dxa"/>
            <w:vAlign w:val="bottom"/>
            <w:shd w:val="clear" w:color="auto" w:fill="F2F2F2"/>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160" w:type="dxa"/>
            <w:vAlign w:val="bottom"/>
            <w:shd w:val="clear" w:color="auto" w:fill="F2F2F2"/>
          </w:tcPr>
          <w:p>
            <w:pPr>
              <w:spacing w:after="0"/>
              <w:rPr>
                <w:sz w:val="10"/>
                <w:szCs w:val="10"/>
                <w:color w:val="auto"/>
              </w:rPr>
            </w:pPr>
          </w:p>
        </w:tc>
        <w:tc>
          <w:tcPr>
            <w:tcW w:w="960" w:type="dxa"/>
            <w:vAlign w:val="bottom"/>
            <w:vMerge w:val="restart"/>
            <w:shd w:val="clear" w:color="auto" w:fill="F2F2F2"/>
          </w:tcPr>
          <w:p>
            <w:pPr>
              <w:ind w:left="20"/>
              <w:spacing w:after="0"/>
              <w:rPr>
                <w:sz w:val="20"/>
                <w:szCs w:val="20"/>
                <w:color w:val="auto"/>
              </w:rPr>
            </w:pPr>
            <w:r>
              <w:rPr>
                <w:rFonts w:ascii="Arial" w:cs="Arial" w:eastAsia="Arial" w:hAnsi="Arial"/>
                <w:sz w:val="14"/>
                <w:szCs w:val="14"/>
                <w:color w:val="auto"/>
              </w:rPr>
              <w:t>SVA</w:t>
            </w:r>
          </w:p>
        </w:tc>
        <w:tc>
          <w:tcPr>
            <w:tcW w:w="180" w:type="dxa"/>
            <w:vAlign w:val="bottom"/>
            <w:shd w:val="clear" w:color="auto" w:fill="F2F2F2"/>
          </w:tcPr>
          <w:p>
            <w:pPr>
              <w:jc w:val="right"/>
              <w:ind w:right="54"/>
              <w:spacing w:after="0"/>
              <w:rPr>
                <w:sz w:val="20"/>
                <w:szCs w:val="20"/>
                <w:color w:val="auto"/>
              </w:rPr>
            </w:pPr>
            <w:r>
              <w:rPr>
                <w:rFonts w:ascii="Arial" w:cs="Arial" w:eastAsia="Arial" w:hAnsi="Arial"/>
                <w:sz w:val="9"/>
                <w:szCs w:val="9"/>
                <w:color w:val="auto"/>
              </w:rPr>
              <w:t>4</w:t>
            </w:r>
          </w:p>
        </w:tc>
        <w:tc>
          <w:tcPr>
            <w:tcW w:w="940" w:type="dxa"/>
            <w:vAlign w:val="bottom"/>
            <w:vMerge w:val="restart"/>
            <w:shd w:val="clear" w:color="auto" w:fill="F2F2F2"/>
          </w:tcPr>
          <w:p>
            <w:pPr>
              <w:jc w:val="right"/>
              <w:ind w:right="148"/>
              <w:spacing w:after="0"/>
              <w:rPr>
                <w:sz w:val="20"/>
                <w:szCs w:val="20"/>
                <w:color w:val="auto"/>
              </w:rPr>
            </w:pPr>
            <w:r>
              <w:rPr>
                <w:rFonts w:ascii="Arial" w:cs="Arial" w:eastAsia="Arial" w:hAnsi="Arial"/>
                <w:sz w:val="14"/>
                <w:szCs w:val="14"/>
                <w:color w:val="auto"/>
              </w:rPr>
              <w:t>2/12/2024</w:t>
            </w:r>
          </w:p>
        </w:tc>
        <w:tc>
          <w:tcPr>
            <w:tcW w:w="940" w:type="dxa"/>
            <w:vAlign w:val="bottom"/>
            <w:vMerge w:val="restart"/>
            <w:shd w:val="clear" w:color="auto" w:fill="F2F2F2"/>
          </w:tcPr>
          <w:p>
            <w:pPr>
              <w:jc w:val="right"/>
              <w:ind w:right="8"/>
              <w:spacing w:after="0"/>
              <w:rPr>
                <w:sz w:val="20"/>
                <w:szCs w:val="20"/>
                <w:color w:val="auto"/>
              </w:rPr>
            </w:pPr>
            <w:r>
              <w:rPr>
                <w:rFonts w:ascii="Arial" w:cs="Arial" w:eastAsia="Arial" w:hAnsi="Arial"/>
                <w:sz w:val="14"/>
                <w:szCs w:val="14"/>
                <w:color w:val="auto"/>
              </w:rPr>
              <w:t>2/12/2024</w:t>
            </w:r>
          </w:p>
        </w:tc>
        <w:tc>
          <w:tcPr>
            <w:tcW w:w="740" w:type="dxa"/>
            <w:vAlign w:val="bottom"/>
            <w:shd w:val="clear" w:color="auto" w:fill="F2F2F2"/>
          </w:tcPr>
          <w:p>
            <w:pPr>
              <w:spacing w:after="0"/>
              <w:rPr>
                <w:sz w:val="10"/>
                <w:szCs w:val="10"/>
                <w:color w:val="auto"/>
              </w:rPr>
            </w:pPr>
          </w:p>
        </w:tc>
        <w:tc>
          <w:tcPr>
            <w:tcW w:w="840" w:type="dxa"/>
            <w:vAlign w:val="bottom"/>
            <w:shd w:val="clear" w:color="auto" w:fill="F2F2F2"/>
          </w:tcPr>
          <w:p>
            <w:pPr>
              <w:spacing w:after="0"/>
              <w:rPr>
                <w:sz w:val="10"/>
                <w:szCs w:val="10"/>
                <w:color w:val="auto"/>
              </w:rPr>
            </w:pPr>
          </w:p>
        </w:tc>
        <w:tc>
          <w:tcPr>
            <w:tcW w:w="1660" w:type="dxa"/>
            <w:vAlign w:val="bottom"/>
            <w:vMerge w:val="restart"/>
            <w:shd w:val="clear" w:color="auto" w:fill="F2F2F2"/>
          </w:tcPr>
          <w:p>
            <w:pPr>
              <w:jc w:val="right"/>
              <w:ind w:right="48"/>
              <w:spacing w:after="0"/>
              <w:rPr>
                <w:sz w:val="20"/>
                <w:szCs w:val="20"/>
                <w:color w:val="auto"/>
              </w:rPr>
            </w:pPr>
            <w:r>
              <w:rPr>
                <w:rFonts w:ascii="Arial" w:cs="Arial" w:eastAsia="Arial" w:hAnsi="Arial"/>
                <w:sz w:val="14"/>
                <w:szCs w:val="14"/>
                <w:color w:val="auto"/>
              </w:rPr>
              <w:t>1,819</w:t>
            </w:r>
          </w:p>
        </w:tc>
        <w:tc>
          <w:tcPr>
            <w:tcW w:w="700" w:type="dxa"/>
            <w:vAlign w:val="bottom"/>
            <w:vMerge w:val="restart"/>
            <w:shd w:val="clear" w:color="auto" w:fill="F2F2F2"/>
          </w:tcPr>
          <w:p>
            <w:pPr>
              <w:jc w:val="right"/>
              <w:ind w:right="68"/>
              <w:spacing w:after="0"/>
              <w:rPr>
                <w:sz w:val="20"/>
                <w:szCs w:val="20"/>
                <w:color w:val="auto"/>
              </w:rPr>
            </w:pPr>
            <w:r>
              <w:rPr>
                <w:rFonts w:ascii="Arial" w:cs="Arial" w:eastAsia="Arial" w:hAnsi="Arial"/>
                <w:sz w:val="14"/>
                <w:szCs w:val="14"/>
                <w:color w:val="auto"/>
              </w:rPr>
              <w:t>3,638</w:t>
            </w:r>
          </w:p>
        </w:tc>
        <w:tc>
          <w:tcPr>
            <w:tcW w:w="1460" w:type="dxa"/>
            <w:vAlign w:val="bottom"/>
            <w:vMerge w:val="restart"/>
            <w:shd w:val="clear" w:color="auto" w:fill="F2F2F2"/>
          </w:tcPr>
          <w:p>
            <w:pPr>
              <w:jc w:val="right"/>
              <w:ind w:right="748"/>
              <w:spacing w:after="0"/>
              <w:rPr>
                <w:sz w:val="20"/>
                <w:szCs w:val="20"/>
                <w:color w:val="auto"/>
              </w:rPr>
            </w:pPr>
            <w:r>
              <w:rPr>
                <w:rFonts w:ascii="Arial" w:cs="Arial" w:eastAsia="Arial" w:hAnsi="Arial"/>
                <w:sz w:val="14"/>
                <w:szCs w:val="14"/>
                <w:color w:val="auto"/>
              </w:rPr>
              <w:t>7,276</w:t>
            </w:r>
          </w:p>
        </w:tc>
        <w:tc>
          <w:tcPr>
            <w:tcW w:w="880" w:type="dxa"/>
            <w:vAlign w:val="bottom"/>
            <w:vMerge w:val="restart"/>
            <w:shd w:val="clear" w:color="auto" w:fill="F2F2F2"/>
          </w:tcPr>
          <w:p>
            <w:pPr>
              <w:jc w:val="right"/>
              <w:ind w:right="8"/>
              <w:spacing w:after="0"/>
              <w:rPr>
                <w:sz w:val="20"/>
                <w:szCs w:val="20"/>
                <w:color w:val="auto"/>
              </w:rPr>
            </w:pPr>
            <w:r>
              <w:rPr>
                <w:rFonts w:ascii="Arial" w:cs="Arial" w:eastAsia="Arial" w:hAnsi="Arial"/>
                <w:sz w:val="14"/>
                <w:szCs w:val="14"/>
                <w:color w:val="auto"/>
              </w:rPr>
              <w:t>$3,750,305</w:t>
            </w:r>
          </w:p>
        </w:tc>
        <w:tc>
          <w:tcPr>
            <w:tcW w:w="0" w:type="dxa"/>
            <w:vAlign w:val="bottom"/>
          </w:tcPr>
          <w:p>
            <w:pPr>
              <w:spacing w:after="0"/>
              <w:rPr>
                <w:sz w:val="1"/>
                <w:szCs w:val="1"/>
                <w:color w:val="auto"/>
              </w:rPr>
            </w:pPr>
          </w:p>
        </w:tc>
      </w:tr>
      <w:tr>
        <w:trPr>
          <w:trHeight w:val="72"/>
        </w:trPr>
        <w:tc>
          <w:tcPr>
            <w:tcW w:w="160" w:type="dxa"/>
            <w:vAlign w:val="bottom"/>
            <w:shd w:val="clear" w:color="auto" w:fill="F2F2F2"/>
          </w:tcPr>
          <w:p>
            <w:pPr>
              <w:spacing w:after="0"/>
              <w:rPr>
                <w:sz w:val="6"/>
                <w:szCs w:val="6"/>
                <w:color w:val="auto"/>
              </w:rPr>
            </w:pPr>
          </w:p>
        </w:tc>
        <w:tc>
          <w:tcPr>
            <w:tcW w:w="960" w:type="dxa"/>
            <w:vAlign w:val="bottom"/>
            <w:vMerge w:val="continue"/>
            <w:shd w:val="clear" w:color="auto" w:fill="F2F2F2"/>
          </w:tcPr>
          <w:p>
            <w:pPr>
              <w:spacing w:after="0"/>
              <w:rPr>
                <w:sz w:val="6"/>
                <w:szCs w:val="6"/>
                <w:color w:val="auto"/>
              </w:rPr>
            </w:pPr>
          </w:p>
        </w:tc>
        <w:tc>
          <w:tcPr>
            <w:tcW w:w="180" w:type="dxa"/>
            <w:vAlign w:val="bottom"/>
            <w:shd w:val="clear" w:color="auto" w:fill="F2F2F2"/>
          </w:tcPr>
          <w:p>
            <w:pPr>
              <w:spacing w:after="0"/>
              <w:rPr>
                <w:sz w:val="6"/>
                <w:szCs w:val="6"/>
                <w:color w:val="auto"/>
              </w:rPr>
            </w:pPr>
          </w:p>
        </w:tc>
        <w:tc>
          <w:tcPr>
            <w:tcW w:w="940" w:type="dxa"/>
            <w:vAlign w:val="bottom"/>
            <w:vMerge w:val="continue"/>
            <w:shd w:val="clear" w:color="auto" w:fill="F2F2F2"/>
          </w:tcPr>
          <w:p>
            <w:pPr>
              <w:spacing w:after="0"/>
              <w:rPr>
                <w:sz w:val="6"/>
                <w:szCs w:val="6"/>
                <w:color w:val="auto"/>
              </w:rPr>
            </w:pPr>
          </w:p>
        </w:tc>
        <w:tc>
          <w:tcPr>
            <w:tcW w:w="940" w:type="dxa"/>
            <w:vAlign w:val="bottom"/>
            <w:vMerge w:val="continue"/>
            <w:shd w:val="clear" w:color="auto" w:fill="F2F2F2"/>
          </w:tcPr>
          <w:p>
            <w:pPr>
              <w:spacing w:after="0"/>
              <w:rPr>
                <w:sz w:val="6"/>
                <w:szCs w:val="6"/>
                <w:color w:val="auto"/>
              </w:rPr>
            </w:pPr>
          </w:p>
        </w:tc>
        <w:tc>
          <w:tcPr>
            <w:tcW w:w="740" w:type="dxa"/>
            <w:vAlign w:val="bottom"/>
            <w:shd w:val="clear" w:color="auto" w:fill="F2F2F2"/>
          </w:tcPr>
          <w:p>
            <w:pPr>
              <w:spacing w:after="0"/>
              <w:rPr>
                <w:sz w:val="6"/>
                <w:szCs w:val="6"/>
                <w:color w:val="auto"/>
              </w:rPr>
            </w:pPr>
          </w:p>
        </w:tc>
        <w:tc>
          <w:tcPr>
            <w:tcW w:w="840" w:type="dxa"/>
            <w:vAlign w:val="bottom"/>
            <w:shd w:val="clear" w:color="auto" w:fill="F2F2F2"/>
          </w:tcPr>
          <w:p>
            <w:pPr>
              <w:spacing w:after="0"/>
              <w:rPr>
                <w:sz w:val="6"/>
                <w:szCs w:val="6"/>
                <w:color w:val="auto"/>
              </w:rPr>
            </w:pPr>
          </w:p>
        </w:tc>
        <w:tc>
          <w:tcPr>
            <w:tcW w:w="1660" w:type="dxa"/>
            <w:vAlign w:val="bottom"/>
            <w:vMerge w:val="continue"/>
            <w:shd w:val="clear" w:color="auto" w:fill="F2F2F2"/>
          </w:tcPr>
          <w:p>
            <w:pPr>
              <w:spacing w:after="0"/>
              <w:rPr>
                <w:sz w:val="6"/>
                <w:szCs w:val="6"/>
                <w:color w:val="auto"/>
              </w:rPr>
            </w:pPr>
          </w:p>
        </w:tc>
        <w:tc>
          <w:tcPr>
            <w:tcW w:w="700" w:type="dxa"/>
            <w:vAlign w:val="bottom"/>
            <w:vMerge w:val="continue"/>
            <w:shd w:val="clear" w:color="auto" w:fill="F2F2F2"/>
          </w:tcPr>
          <w:p>
            <w:pPr>
              <w:spacing w:after="0"/>
              <w:rPr>
                <w:sz w:val="6"/>
                <w:szCs w:val="6"/>
                <w:color w:val="auto"/>
              </w:rPr>
            </w:pPr>
          </w:p>
        </w:tc>
        <w:tc>
          <w:tcPr>
            <w:tcW w:w="1460" w:type="dxa"/>
            <w:vAlign w:val="bottom"/>
            <w:vMerge w:val="continue"/>
            <w:shd w:val="clear" w:color="auto" w:fill="F2F2F2"/>
          </w:tcPr>
          <w:p>
            <w:pPr>
              <w:spacing w:after="0"/>
              <w:rPr>
                <w:sz w:val="6"/>
                <w:szCs w:val="6"/>
                <w:color w:val="auto"/>
              </w:rPr>
            </w:pPr>
          </w:p>
        </w:tc>
        <w:tc>
          <w:tcPr>
            <w:tcW w:w="880" w:type="dxa"/>
            <w:vAlign w:val="bottom"/>
            <w:vMerge w:val="continue"/>
            <w:shd w:val="clear" w:color="auto" w:fill="F2F2F2"/>
          </w:tcPr>
          <w:p>
            <w:pPr>
              <w:spacing w:after="0"/>
              <w:rPr>
                <w:sz w:val="6"/>
                <w:szCs w:val="6"/>
                <w:color w:val="auto"/>
              </w:rPr>
            </w:pPr>
          </w:p>
        </w:tc>
        <w:tc>
          <w:tcPr>
            <w:tcW w:w="0" w:type="dxa"/>
            <w:vAlign w:val="bottom"/>
          </w:tcPr>
          <w:p>
            <w:pPr>
              <w:spacing w:after="0"/>
              <w:rPr>
                <w:sz w:val="1"/>
                <w:szCs w:val="1"/>
                <w:color w:val="auto"/>
              </w:rPr>
            </w:pPr>
          </w:p>
        </w:tc>
      </w:tr>
      <w:tr>
        <w:trPr>
          <w:trHeight w:val="215"/>
        </w:trPr>
        <w:tc>
          <w:tcPr>
            <w:tcW w:w="160" w:type="dxa"/>
            <w:vAlign w:val="bottom"/>
            <w:shd w:val="clear" w:color="auto" w:fill="F2F2F2"/>
          </w:tcPr>
          <w:p>
            <w:pPr>
              <w:spacing w:after="0"/>
              <w:rPr>
                <w:sz w:val="18"/>
                <w:szCs w:val="18"/>
                <w:color w:val="auto"/>
              </w:rPr>
            </w:pPr>
          </w:p>
        </w:tc>
        <w:tc>
          <w:tcPr>
            <w:tcW w:w="960" w:type="dxa"/>
            <w:vAlign w:val="bottom"/>
            <w:shd w:val="clear" w:color="auto" w:fill="F2F2F2"/>
          </w:tcPr>
          <w:p>
            <w:pPr>
              <w:ind w:left="20"/>
              <w:spacing w:after="0"/>
              <w:rPr>
                <w:sz w:val="20"/>
                <w:szCs w:val="20"/>
                <w:color w:val="auto"/>
              </w:rPr>
            </w:pPr>
            <w:r>
              <w:rPr>
                <w:rFonts w:ascii="Arial" w:cs="Arial" w:eastAsia="Arial" w:hAnsi="Arial"/>
                <w:sz w:val="14"/>
                <w:szCs w:val="14"/>
                <w:color w:val="auto"/>
              </w:rPr>
              <w:t>2024-2026</w:t>
            </w:r>
          </w:p>
        </w:tc>
        <w:tc>
          <w:tcPr>
            <w:tcW w:w="180" w:type="dxa"/>
            <w:vAlign w:val="bottom"/>
            <w:shd w:val="clear" w:color="auto" w:fill="F2F2F2"/>
          </w:tcPr>
          <w:p>
            <w:pPr>
              <w:spacing w:after="0"/>
              <w:rPr>
                <w:sz w:val="18"/>
                <w:szCs w:val="18"/>
                <w:color w:val="auto"/>
              </w:rPr>
            </w:pPr>
          </w:p>
        </w:tc>
        <w:tc>
          <w:tcPr>
            <w:tcW w:w="940" w:type="dxa"/>
            <w:vAlign w:val="bottom"/>
            <w:shd w:val="clear" w:color="auto" w:fill="F2F2F2"/>
          </w:tcPr>
          <w:p>
            <w:pPr>
              <w:spacing w:after="0"/>
              <w:rPr>
                <w:sz w:val="18"/>
                <w:szCs w:val="18"/>
                <w:color w:val="auto"/>
              </w:rPr>
            </w:pPr>
          </w:p>
        </w:tc>
        <w:tc>
          <w:tcPr>
            <w:tcW w:w="940" w:type="dxa"/>
            <w:vAlign w:val="bottom"/>
            <w:shd w:val="clear" w:color="auto" w:fill="F2F2F2"/>
          </w:tcPr>
          <w:p>
            <w:pPr>
              <w:spacing w:after="0"/>
              <w:rPr>
                <w:sz w:val="18"/>
                <w:szCs w:val="18"/>
                <w:color w:val="auto"/>
              </w:rPr>
            </w:pPr>
          </w:p>
        </w:tc>
        <w:tc>
          <w:tcPr>
            <w:tcW w:w="740" w:type="dxa"/>
            <w:vAlign w:val="bottom"/>
            <w:shd w:val="clear" w:color="auto" w:fill="F2F2F2"/>
          </w:tcPr>
          <w:p>
            <w:pPr>
              <w:spacing w:after="0"/>
              <w:rPr>
                <w:sz w:val="18"/>
                <w:szCs w:val="18"/>
                <w:color w:val="auto"/>
              </w:rPr>
            </w:pPr>
          </w:p>
        </w:tc>
        <w:tc>
          <w:tcPr>
            <w:tcW w:w="840" w:type="dxa"/>
            <w:vAlign w:val="bottom"/>
            <w:shd w:val="clear" w:color="auto" w:fill="F2F2F2"/>
          </w:tcPr>
          <w:p>
            <w:pPr>
              <w:spacing w:after="0"/>
              <w:rPr>
                <w:sz w:val="18"/>
                <w:szCs w:val="18"/>
                <w:color w:val="auto"/>
              </w:rPr>
            </w:pPr>
          </w:p>
        </w:tc>
        <w:tc>
          <w:tcPr>
            <w:tcW w:w="1660" w:type="dxa"/>
            <w:vAlign w:val="bottom"/>
            <w:shd w:val="clear" w:color="auto" w:fill="F2F2F2"/>
          </w:tcPr>
          <w:p>
            <w:pPr>
              <w:spacing w:after="0"/>
              <w:rPr>
                <w:sz w:val="18"/>
                <w:szCs w:val="18"/>
                <w:color w:val="auto"/>
              </w:rPr>
            </w:pPr>
          </w:p>
        </w:tc>
        <w:tc>
          <w:tcPr>
            <w:tcW w:w="700" w:type="dxa"/>
            <w:vAlign w:val="bottom"/>
            <w:shd w:val="clear" w:color="auto" w:fill="F2F2F2"/>
          </w:tcPr>
          <w:p>
            <w:pPr>
              <w:spacing w:after="0"/>
              <w:rPr>
                <w:sz w:val="18"/>
                <w:szCs w:val="18"/>
                <w:color w:val="auto"/>
              </w:rPr>
            </w:pPr>
          </w:p>
        </w:tc>
        <w:tc>
          <w:tcPr>
            <w:tcW w:w="1460" w:type="dxa"/>
            <w:vAlign w:val="bottom"/>
            <w:shd w:val="clear" w:color="auto" w:fill="F2F2F2"/>
          </w:tcPr>
          <w:p>
            <w:pPr>
              <w:spacing w:after="0"/>
              <w:rPr>
                <w:sz w:val="18"/>
                <w:szCs w:val="18"/>
                <w:color w:val="auto"/>
              </w:rPr>
            </w:pPr>
          </w:p>
        </w:tc>
        <w:tc>
          <w:tcPr>
            <w:tcW w:w="880" w:type="dxa"/>
            <w:vAlign w:val="bottom"/>
            <w:shd w:val="clear" w:color="auto" w:fill="F2F2F2"/>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160" w:type="dxa"/>
            <w:vAlign w:val="bottom"/>
            <w:shd w:val="clear" w:color="auto" w:fill="F2F2F2"/>
          </w:tcPr>
          <w:p>
            <w:pPr>
              <w:spacing w:after="0"/>
              <w:rPr>
                <w:sz w:val="10"/>
                <w:szCs w:val="10"/>
                <w:color w:val="auto"/>
              </w:rPr>
            </w:pPr>
          </w:p>
        </w:tc>
        <w:tc>
          <w:tcPr>
            <w:tcW w:w="960" w:type="dxa"/>
            <w:vAlign w:val="bottom"/>
            <w:vMerge w:val="restart"/>
            <w:shd w:val="clear" w:color="auto" w:fill="F2F2F2"/>
          </w:tcPr>
          <w:p>
            <w:pPr>
              <w:ind w:left="20"/>
              <w:spacing w:after="0"/>
              <w:rPr>
                <w:sz w:val="20"/>
                <w:szCs w:val="20"/>
                <w:color w:val="auto"/>
              </w:rPr>
            </w:pPr>
            <w:r>
              <w:rPr>
                <w:rFonts w:ascii="Arial" w:cs="Arial" w:eastAsia="Arial" w:hAnsi="Arial"/>
                <w:sz w:val="14"/>
                <w:szCs w:val="14"/>
                <w:color w:val="auto"/>
              </w:rPr>
              <w:t>RVA</w:t>
            </w:r>
          </w:p>
        </w:tc>
        <w:tc>
          <w:tcPr>
            <w:tcW w:w="180" w:type="dxa"/>
            <w:vAlign w:val="bottom"/>
            <w:shd w:val="clear" w:color="auto" w:fill="F2F2F2"/>
          </w:tcPr>
          <w:p>
            <w:pPr>
              <w:jc w:val="right"/>
              <w:ind w:right="54"/>
              <w:spacing w:after="0"/>
              <w:rPr>
                <w:sz w:val="20"/>
                <w:szCs w:val="20"/>
                <w:color w:val="auto"/>
              </w:rPr>
            </w:pPr>
            <w:r>
              <w:rPr>
                <w:rFonts w:ascii="Arial" w:cs="Arial" w:eastAsia="Arial" w:hAnsi="Arial"/>
                <w:sz w:val="9"/>
                <w:szCs w:val="9"/>
                <w:color w:val="auto"/>
              </w:rPr>
              <w:t>5</w:t>
            </w:r>
          </w:p>
        </w:tc>
        <w:tc>
          <w:tcPr>
            <w:tcW w:w="940" w:type="dxa"/>
            <w:vAlign w:val="bottom"/>
            <w:vMerge w:val="restart"/>
            <w:shd w:val="clear" w:color="auto" w:fill="F2F2F2"/>
          </w:tcPr>
          <w:p>
            <w:pPr>
              <w:jc w:val="right"/>
              <w:ind w:right="148"/>
              <w:spacing w:after="0"/>
              <w:rPr>
                <w:sz w:val="20"/>
                <w:szCs w:val="20"/>
                <w:color w:val="auto"/>
              </w:rPr>
            </w:pPr>
            <w:r>
              <w:rPr>
                <w:rFonts w:ascii="Arial" w:cs="Arial" w:eastAsia="Arial" w:hAnsi="Arial"/>
                <w:sz w:val="14"/>
                <w:szCs w:val="14"/>
                <w:color w:val="auto"/>
              </w:rPr>
              <w:t>2/12/2024</w:t>
            </w:r>
          </w:p>
        </w:tc>
        <w:tc>
          <w:tcPr>
            <w:tcW w:w="940" w:type="dxa"/>
            <w:vAlign w:val="bottom"/>
            <w:vMerge w:val="restart"/>
            <w:shd w:val="clear" w:color="auto" w:fill="F2F2F2"/>
          </w:tcPr>
          <w:p>
            <w:pPr>
              <w:jc w:val="right"/>
              <w:ind w:right="8"/>
              <w:spacing w:after="0"/>
              <w:rPr>
                <w:sz w:val="20"/>
                <w:szCs w:val="20"/>
                <w:color w:val="auto"/>
              </w:rPr>
            </w:pPr>
            <w:r>
              <w:rPr>
                <w:rFonts w:ascii="Arial" w:cs="Arial" w:eastAsia="Arial" w:hAnsi="Arial"/>
                <w:sz w:val="14"/>
                <w:szCs w:val="14"/>
                <w:color w:val="auto"/>
              </w:rPr>
              <w:t>2/12/2024</w:t>
            </w:r>
          </w:p>
        </w:tc>
        <w:tc>
          <w:tcPr>
            <w:tcW w:w="740" w:type="dxa"/>
            <w:vAlign w:val="bottom"/>
            <w:shd w:val="clear" w:color="auto" w:fill="F2F2F2"/>
          </w:tcPr>
          <w:p>
            <w:pPr>
              <w:spacing w:after="0"/>
              <w:rPr>
                <w:sz w:val="10"/>
                <w:szCs w:val="10"/>
                <w:color w:val="auto"/>
              </w:rPr>
            </w:pPr>
          </w:p>
        </w:tc>
        <w:tc>
          <w:tcPr>
            <w:tcW w:w="840" w:type="dxa"/>
            <w:vAlign w:val="bottom"/>
            <w:shd w:val="clear" w:color="auto" w:fill="F2F2F2"/>
          </w:tcPr>
          <w:p>
            <w:pPr>
              <w:spacing w:after="0"/>
              <w:rPr>
                <w:sz w:val="10"/>
                <w:szCs w:val="10"/>
                <w:color w:val="auto"/>
              </w:rPr>
            </w:pPr>
          </w:p>
        </w:tc>
        <w:tc>
          <w:tcPr>
            <w:tcW w:w="1660" w:type="dxa"/>
            <w:vAlign w:val="bottom"/>
            <w:vMerge w:val="restart"/>
            <w:shd w:val="clear" w:color="auto" w:fill="F2F2F2"/>
          </w:tcPr>
          <w:p>
            <w:pPr>
              <w:jc w:val="right"/>
              <w:ind w:right="48"/>
              <w:spacing w:after="0"/>
              <w:rPr>
                <w:sz w:val="20"/>
                <w:szCs w:val="20"/>
                <w:color w:val="auto"/>
              </w:rPr>
            </w:pPr>
            <w:r>
              <w:rPr>
                <w:rFonts w:ascii="Arial" w:cs="Arial" w:eastAsia="Arial" w:hAnsi="Arial"/>
                <w:sz w:val="14"/>
                <w:szCs w:val="14"/>
                <w:color w:val="auto"/>
              </w:rPr>
              <w:t>1,695</w:t>
            </w:r>
          </w:p>
        </w:tc>
        <w:tc>
          <w:tcPr>
            <w:tcW w:w="700" w:type="dxa"/>
            <w:vAlign w:val="bottom"/>
            <w:vMerge w:val="restart"/>
            <w:shd w:val="clear" w:color="auto" w:fill="F2F2F2"/>
          </w:tcPr>
          <w:p>
            <w:pPr>
              <w:jc w:val="right"/>
              <w:ind w:right="68"/>
              <w:spacing w:after="0"/>
              <w:rPr>
                <w:sz w:val="20"/>
                <w:szCs w:val="20"/>
                <w:color w:val="auto"/>
              </w:rPr>
            </w:pPr>
            <w:r>
              <w:rPr>
                <w:rFonts w:ascii="Arial" w:cs="Arial" w:eastAsia="Arial" w:hAnsi="Arial"/>
                <w:sz w:val="14"/>
                <w:szCs w:val="14"/>
                <w:color w:val="auto"/>
              </w:rPr>
              <w:t>3,389</w:t>
            </w:r>
          </w:p>
        </w:tc>
        <w:tc>
          <w:tcPr>
            <w:tcW w:w="1460" w:type="dxa"/>
            <w:vAlign w:val="bottom"/>
            <w:vMerge w:val="restart"/>
            <w:shd w:val="clear" w:color="auto" w:fill="F2F2F2"/>
          </w:tcPr>
          <w:p>
            <w:pPr>
              <w:jc w:val="right"/>
              <w:ind w:right="748"/>
              <w:spacing w:after="0"/>
              <w:rPr>
                <w:sz w:val="20"/>
                <w:szCs w:val="20"/>
                <w:color w:val="auto"/>
              </w:rPr>
            </w:pPr>
            <w:r>
              <w:rPr>
                <w:rFonts w:ascii="Arial" w:cs="Arial" w:eastAsia="Arial" w:hAnsi="Arial"/>
                <w:sz w:val="14"/>
                <w:szCs w:val="14"/>
                <w:color w:val="auto"/>
              </w:rPr>
              <w:t>6,778</w:t>
            </w:r>
          </w:p>
        </w:tc>
        <w:tc>
          <w:tcPr>
            <w:tcW w:w="880" w:type="dxa"/>
            <w:vAlign w:val="bottom"/>
            <w:vMerge w:val="restart"/>
            <w:shd w:val="clear" w:color="auto" w:fill="F2F2F2"/>
          </w:tcPr>
          <w:p>
            <w:pPr>
              <w:jc w:val="right"/>
              <w:ind w:right="8"/>
              <w:spacing w:after="0"/>
              <w:rPr>
                <w:sz w:val="20"/>
                <w:szCs w:val="20"/>
                <w:color w:val="auto"/>
              </w:rPr>
            </w:pPr>
            <w:r>
              <w:rPr>
                <w:rFonts w:ascii="Arial" w:cs="Arial" w:eastAsia="Arial" w:hAnsi="Arial"/>
                <w:sz w:val="14"/>
                <w:szCs w:val="14"/>
                <w:color w:val="auto"/>
              </w:rPr>
              <w:t>$3,749,590</w:t>
            </w:r>
          </w:p>
        </w:tc>
        <w:tc>
          <w:tcPr>
            <w:tcW w:w="0" w:type="dxa"/>
            <w:vAlign w:val="bottom"/>
          </w:tcPr>
          <w:p>
            <w:pPr>
              <w:spacing w:after="0"/>
              <w:rPr>
                <w:sz w:val="1"/>
                <w:szCs w:val="1"/>
                <w:color w:val="auto"/>
              </w:rPr>
            </w:pPr>
          </w:p>
        </w:tc>
      </w:tr>
      <w:tr>
        <w:trPr>
          <w:trHeight w:val="72"/>
        </w:trPr>
        <w:tc>
          <w:tcPr>
            <w:tcW w:w="160" w:type="dxa"/>
            <w:vAlign w:val="bottom"/>
            <w:shd w:val="clear" w:color="auto" w:fill="F2F2F2"/>
          </w:tcPr>
          <w:p>
            <w:pPr>
              <w:spacing w:after="0"/>
              <w:rPr>
                <w:sz w:val="6"/>
                <w:szCs w:val="6"/>
                <w:color w:val="auto"/>
              </w:rPr>
            </w:pPr>
          </w:p>
        </w:tc>
        <w:tc>
          <w:tcPr>
            <w:tcW w:w="960" w:type="dxa"/>
            <w:vAlign w:val="bottom"/>
            <w:vMerge w:val="continue"/>
            <w:shd w:val="clear" w:color="auto" w:fill="F2F2F2"/>
          </w:tcPr>
          <w:p>
            <w:pPr>
              <w:spacing w:after="0"/>
              <w:rPr>
                <w:sz w:val="6"/>
                <w:szCs w:val="6"/>
                <w:color w:val="auto"/>
              </w:rPr>
            </w:pPr>
          </w:p>
        </w:tc>
        <w:tc>
          <w:tcPr>
            <w:tcW w:w="180" w:type="dxa"/>
            <w:vAlign w:val="bottom"/>
            <w:shd w:val="clear" w:color="auto" w:fill="F2F2F2"/>
          </w:tcPr>
          <w:p>
            <w:pPr>
              <w:spacing w:after="0"/>
              <w:rPr>
                <w:sz w:val="6"/>
                <w:szCs w:val="6"/>
                <w:color w:val="auto"/>
              </w:rPr>
            </w:pPr>
          </w:p>
        </w:tc>
        <w:tc>
          <w:tcPr>
            <w:tcW w:w="940" w:type="dxa"/>
            <w:vAlign w:val="bottom"/>
            <w:vMerge w:val="continue"/>
            <w:shd w:val="clear" w:color="auto" w:fill="F2F2F2"/>
          </w:tcPr>
          <w:p>
            <w:pPr>
              <w:spacing w:after="0"/>
              <w:rPr>
                <w:sz w:val="6"/>
                <w:szCs w:val="6"/>
                <w:color w:val="auto"/>
              </w:rPr>
            </w:pPr>
          </w:p>
        </w:tc>
        <w:tc>
          <w:tcPr>
            <w:tcW w:w="940" w:type="dxa"/>
            <w:vAlign w:val="bottom"/>
            <w:vMerge w:val="continue"/>
            <w:shd w:val="clear" w:color="auto" w:fill="F2F2F2"/>
          </w:tcPr>
          <w:p>
            <w:pPr>
              <w:spacing w:after="0"/>
              <w:rPr>
                <w:sz w:val="6"/>
                <w:szCs w:val="6"/>
                <w:color w:val="auto"/>
              </w:rPr>
            </w:pPr>
          </w:p>
        </w:tc>
        <w:tc>
          <w:tcPr>
            <w:tcW w:w="740" w:type="dxa"/>
            <w:vAlign w:val="bottom"/>
            <w:shd w:val="clear" w:color="auto" w:fill="F2F2F2"/>
          </w:tcPr>
          <w:p>
            <w:pPr>
              <w:spacing w:after="0"/>
              <w:rPr>
                <w:sz w:val="6"/>
                <w:szCs w:val="6"/>
                <w:color w:val="auto"/>
              </w:rPr>
            </w:pPr>
          </w:p>
        </w:tc>
        <w:tc>
          <w:tcPr>
            <w:tcW w:w="840" w:type="dxa"/>
            <w:vAlign w:val="bottom"/>
            <w:shd w:val="clear" w:color="auto" w:fill="F2F2F2"/>
          </w:tcPr>
          <w:p>
            <w:pPr>
              <w:spacing w:after="0"/>
              <w:rPr>
                <w:sz w:val="6"/>
                <w:szCs w:val="6"/>
                <w:color w:val="auto"/>
              </w:rPr>
            </w:pPr>
          </w:p>
        </w:tc>
        <w:tc>
          <w:tcPr>
            <w:tcW w:w="1660" w:type="dxa"/>
            <w:vAlign w:val="bottom"/>
            <w:vMerge w:val="continue"/>
            <w:shd w:val="clear" w:color="auto" w:fill="F2F2F2"/>
          </w:tcPr>
          <w:p>
            <w:pPr>
              <w:spacing w:after="0"/>
              <w:rPr>
                <w:sz w:val="6"/>
                <w:szCs w:val="6"/>
                <w:color w:val="auto"/>
              </w:rPr>
            </w:pPr>
          </w:p>
        </w:tc>
        <w:tc>
          <w:tcPr>
            <w:tcW w:w="700" w:type="dxa"/>
            <w:vAlign w:val="bottom"/>
            <w:vMerge w:val="continue"/>
            <w:shd w:val="clear" w:color="auto" w:fill="F2F2F2"/>
          </w:tcPr>
          <w:p>
            <w:pPr>
              <w:spacing w:after="0"/>
              <w:rPr>
                <w:sz w:val="6"/>
                <w:szCs w:val="6"/>
                <w:color w:val="auto"/>
              </w:rPr>
            </w:pPr>
          </w:p>
        </w:tc>
        <w:tc>
          <w:tcPr>
            <w:tcW w:w="1460" w:type="dxa"/>
            <w:vAlign w:val="bottom"/>
            <w:vMerge w:val="continue"/>
            <w:shd w:val="clear" w:color="auto" w:fill="F2F2F2"/>
          </w:tcPr>
          <w:p>
            <w:pPr>
              <w:spacing w:after="0"/>
              <w:rPr>
                <w:sz w:val="6"/>
                <w:szCs w:val="6"/>
                <w:color w:val="auto"/>
              </w:rPr>
            </w:pPr>
          </w:p>
        </w:tc>
        <w:tc>
          <w:tcPr>
            <w:tcW w:w="880" w:type="dxa"/>
            <w:vAlign w:val="bottom"/>
            <w:vMerge w:val="continue"/>
            <w:shd w:val="clear" w:color="auto" w:fill="F2F2F2"/>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160" w:type="dxa"/>
            <w:vAlign w:val="bottom"/>
            <w:shd w:val="clear" w:color="auto" w:fill="F2F2F2"/>
          </w:tcPr>
          <w:p>
            <w:pPr>
              <w:spacing w:after="0"/>
              <w:rPr>
                <w:sz w:val="24"/>
                <w:szCs w:val="24"/>
                <w:color w:val="auto"/>
              </w:rPr>
            </w:pPr>
          </w:p>
        </w:tc>
        <w:tc>
          <w:tcPr>
            <w:tcW w:w="960" w:type="dxa"/>
            <w:vAlign w:val="bottom"/>
            <w:shd w:val="clear" w:color="auto" w:fill="F2F2F2"/>
          </w:tcPr>
          <w:p>
            <w:pPr>
              <w:spacing w:after="0"/>
              <w:rPr>
                <w:sz w:val="24"/>
                <w:szCs w:val="24"/>
                <w:color w:val="auto"/>
              </w:rPr>
            </w:pPr>
          </w:p>
        </w:tc>
        <w:tc>
          <w:tcPr>
            <w:tcW w:w="180" w:type="dxa"/>
            <w:vAlign w:val="bottom"/>
            <w:shd w:val="clear" w:color="auto" w:fill="F2F2F2"/>
          </w:tcPr>
          <w:p>
            <w:pPr>
              <w:spacing w:after="0"/>
              <w:rPr>
                <w:sz w:val="24"/>
                <w:szCs w:val="24"/>
                <w:color w:val="auto"/>
              </w:rPr>
            </w:pPr>
          </w:p>
        </w:tc>
        <w:tc>
          <w:tcPr>
            <w:tcW w:w="940" w:type="dxa"/>
            <w:vAlign w:val="bottom"/>
            <w:shd w:val="clear" w:color="auto" w:fill="F2F2F2"/>
          </w:tcPr>
          <w:p>
            <w:pPr>
              <w:spacing w:after="0"/>
              <w:rPr>
                <w:sz w:val="24"/>
                <w:szCs w:val="24"/>
                <w:color w:val="auto"/>
              </w:rPr>
            </w:pPr>
          </w:p>
        </w:tc>
        <w:tc>
          <w:tcPr>
            <w:tcW w:w="940" w:type="dxa"/>
            <w:vAlign w:val="bottom"/>
            <w:shd w:val="clear" w:color="auto" w:fill="F2F2F2"/>
          </w:tcPr>
          <w:p>
            <w:pPr>
              <w:spacing w:after="0"/>
              <w:rPr>
                <w:sz w:val="24"/>
                <w:szCs w:val="24"/>
                <w:color w:val="auto"/>
              </w:rPr>
            </w:pPr>
          </w:p>
        </w:tc>
        <w:tc>
          <w:tcPr>
            <w:tcW w:w="740" w:type="dxa"/>
            <w:vAlign w:val="bottom"/>
            <w:shd w:val="clear" w:color="auto" w:fill="F2F2F2"/>
          </w:tcPr>
          <w:p>
            <w:pPr>
              <w:spacing w:after="0"/>
              <w:rPr>
                <w:sz w:val="24"/>
                <w:szCs w:val="24"/>
                <w:color w:val="auto"/>
              </w:rPr>
            </w:pPr>
          </w:p>
        </w:tc>
        <w:tc>
          <w:tcPr>
            <w:tcW w:w="840" w:type="dxa"/>
            <w:vAlign w:val="bottom"/>
            <w:shd w:val="clear" w:color="auto" w:fill="F2F2F2"/>
          </w:tcPr>
          <w:p>
            <w:pPr>
              <w:spacing w:after="0"/>
              <w:rPr>
                <w:sz w:val="24"/>
                <w:szCs w:val="24"/>
                <w:color w:val="auto"/>
              </w:rPr>
            </w:pPr>
          </w:p>
        </w:tc>
        <w:tc>
          <w:tcPr>
            <w:tcW w:w="1660" w:type="dxa"/>
            <w:vAlign w:val="bottom"/>
            <w:shd w:val="clear" w:color="auto" w:fill="F2F2F2"/>
          </w:tcPr>
          <w:p>
            <w:pPr>
              <w:spacing w:after="0"/>
              <w:rPr>
                <w:sz w:val="24"/>
                <w:szCs w:val="24"/>
                <w:color w:val="auto"/>
              </w:rPr>
            </w:pPr>
          </w:p>
        </w:tc>
        <w:tc>
          <w:tcPr>
            <w:tcW w:w="700" w:type="dxa"/>
            <w:vAlign w:val="bottom"/>
            <w:shd w:val="clear" w:color="auto" w:fill="F2F2F2"/>
          </w:tcPr>
          <w:p>
            <w:pPr>
              <w:spacing w:after="0"/>
              <w:rPr>
                <w:sz w:val="24"/>
                <w:szCs w:val="24"/>
                <w:color w:val="auto"/>
              </w:rPr>
            </w:pPr>
          </w:p>
        </w:tc>
        <w:tc>
          <w:tcPr>
            <w:tcW w:w="1460" w:type="dxa"/>
            <w:vAlign w:val="bottom"/>
            <w:shd w:val="clear" w:color="auto" w:fill="F2F2F2"/>
          </w:tcPr>
          <w:p>
            <w:pPr>
              <w:spacing w:after="0"/>
              <w:rPr>
                <w:sz w:val="24"/>
                <w:szCs w:val="24"/>
                <w:color w:val="auto"/>
              </w:rPr>
            </w:pPr>
          </w:p>
        </w:tc>
        <w:tc>
          <w:tcPr>
            <w:tcW w:w="880" w:type="dxa"/>
            <w:vAlign w:val="bottom"/>
            <w:shd w:val="clear" w:color="auto" w:fill="F2F2F2"/>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1120" w:type="dxa"/>
            <w:vAlign w:val="bottom"/>
            <w:gridSpan w:val="2"/>
          </w:tcPr>
          <w:p>
            <w:pPr>
              <w:ind w:left="20"/>
              <w:spacing w:after="0"/>
              <w:rPr>
                <w:sz w:val="20"/>
                <w:szCs w:val="20"/>
                <w:color w:val="auto"/>
              </w:rPr>
            </w:pPr>
            <w:r>
              <w:rPr>
                <w:rFonts w:ascii="Arial" w:cs="Arial" w:eastAsia="Arial" w:hAnsi="Arial"/>
                <w:sz w:val="14"/>
                <w:szCs w:val="14"/>
                <w:color w:val="auto"/>
              </w:rPr>
              <w:t>Ms. Hakim</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$250,000</w:t>
            </w:r>
          </w:p>
        </w:tc>
        <w:tc>
          <w:tcPr>
            <w:tcW w:w="840" w:type="dxa"/>
            <w:vAlign w:val="bottom"/>
          </w:tcPr>
          <w:p>
            <w:pPr>
              <w:jc w:val="right"/>
              <w:spacing w:after="0"/>
              <w:rPr>
                <w:sz w:val="20"/>
                <w:szCs w:val="20"/>
                <w:color w:val="auto"/>
              </w:rPr>
            </w:pPr>
            <w:r>
              <w:rPr>
                <w:rFonts w:ascii="Arial" w:cs="Arial" w:eastAsia="Arial" w:hAnsi="Arial"/>
                <w:sz w:val="14"/>
                <w:szCs w:val="14"/>
                <w:color w:val="auto"/>
              </w:rPr>
              <w:t>$1,000,000</w:t>
            </w:r>
          </w:p>
        </w:tc>
        <w:tc>
          <w:tcPr>
            <w:tcW w:w="1660" w:type="dxa"/>
            <w:vAlign w:val="bottom"/>
          </w:tcPr>
          <w:p>
            <w:pPr>
              <w:jc w:val="right"/>
              <w:ind w:right="788"/>
              <w:spacing w:after="0"/>
              <w:rPr>
                <w:sz w:val="20"/>
                <w:szCs w:val="20"/>
                <w:color w:val="auto"/>
              </w:rPr>
            </w:pPr>
            <w:r>
              <w:rPr>
                <w:rFonts w:ascii="Arial" w:cs="Arial" w:eastAsia="Arial" w:hAnsi="Arial"/>
                <w:sz w:val="14"/>
                <w:szCs w:val="14"/>
                <w:color w:val="auto"/>
              </w:rPr>
              <w:t>$2,500,000</w:t>
            </w:r>
          </w:p>
        </w:tc>
        <w:tc>
          <w:tcPr>
            <w:tcW w:w="7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120" w:type="dxa"/>
            <w:vAlign w:val="bottom"/>
            <w:gridSpan w:val="2"/>
          </w:tcPr>
          <w:p>
            <w:pPr>
              <w:ind w:left="180"/>
              <w:spacing w:after="0"/>
              <w:rPr>
                <w:sz w:val="20"/>
                <w:szCs w:val="20"/>
                <w:color w:val="auto"/>
              </w:rPr>
            </w:pPr>
            <w:r>
              <w:rPr>
                <w:rFonts w:ascii="Arial" w:cs="Arial" w:eastAsia="Arial" w:hAnsi="Arial"/>
                <w:sz w:val="14"/>
                <w:szCs w:val="14"/>
                <w:color w:val="auto"/>
              </w:rPr>
              <w:t>2024-2026</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160" w:type="dxa"/>
            <w:vAlign w:val="bottom"/>
          </w:tcPr>
          <w:p>
            <w:pPr>
              <w:spacing w:after="0"/>
              <w:rPr>
                <w:sz w:val="10"/>
                <w:szCs w:val="10"/>
                <w:color w:val="auto"/>
              </w:rPr>
            </w:pPr>
          </w:p>
        </w:tc>
        <w:tc>
          <w:tcPr>
            <w:tcW w:w="960" w:type="dxa"/>
            <w:vAlign w:val="bottom"/>
            <w:vMerge w:val="restart"/>
          </w:tcPr>
          <w:p>
            <w:pPr>
              <w:ind w:left="20"/>
              <w:spacing w:after="0"/>
              <w:rPr>
                <w:sz w:val="20"/>
                <w:szCs w:val="20"/>
                <w:color w:val="auto"/>
              </w:rPr>
            </w:pPr>
            <w:r>
              <w:rPr>
                <w:rFonts w:ascii="Arial" w:cs="Arial" w:eastAsia="Arial" w:hAnsi="Arial"/>
                <w:sz w:val="14"/>
                <w:szCs w:val="14"/>
                <w:color w:val="auto"/>
              </w:rPr>
              <w:t>SVA</w:t>
            </w:r>
          </w:p>
        </w:tc>
        <w:tc>
          <w:tcPr>
            <w:tcW w:w="180" w:type="dxa"/>
            <w:vAlign w:val="bottom"/>
          </w:tcPr>
          <w:p>
            <w:pPr>
              <w:jc w:val="right"/>
              <w:ind w:right="54"/>
              <w:spacing w:after="0"/>
              <w:rPr>
                <w:sz w:val="20"/>
                <w:szCs w:val="20"/>
                <w:color w:val="auto"/>
              </w:rPr>
            </w:pPr>
            <w:r>
              <w:rPr>
                <w:rFonts w:ascii="Arial" w:cs="Arial" w:eastAsia="Arial" w:hAnsi="Arial"/>
                <w:sz w:val="9"/>
                <w:szCs w:val="9"/>
                <w:color w:val="auto"/>
              </w:rPr>
              <w:t>4</w:t>
            </w:r>
          </w:p>
        </w:tc>
        <w:tc>
          <w:tcPr>
            <w:tcW w:w="940" w:type="dxa"/>
            <w:vAlign w:val="bottom"/>
            <w:vMerge w:val="restart"/>
          </w:tcPr>
          <w:p>
            <w:pPr>
              <w:jc w:val="right"/>
              <w:ind w:right="148"/>
              <w:spacing w:after="0"/>
              <w:rPr>
                <w:sz w:val="20"/>
                <w:szCs w:val="20"/>
                <w:color w:val="auto"/>
              </w:rPr>
            </w:pPr>
            <w:r>
              <w:rPr>
                <w:rFonts w:ascii="Arial" w:cs="Arial" w:eastAsia="Arial" w:hAnsi="Arial"/>
                <w:sz w:val="14"/>
                <w:szCs w:val="14"/>
                <w:color w:val="auto"/>
              </w:rPr>
              <w:t>2/12/2024</w:t>
            </w:r>
          </w:p>
        </w:tc>
        <w:tc>
          <w:tcPr>
            <w:tcW w:w="940" w:type="dxa"/>
            <w:vAlign w:val="bottom"/>
            <w:vMerge w:val="restart"/>
          </w:tcPr>
          <w:p>
            <w:pPr>
              <w:jc w:val="right"/>
              <w:ind w:right="8"/>
              <w:spacing w:after="0"/>
              <w:rPr>
                <w:sz w:val="20"/>
                <w:szCs w:val="20"/>
                <w:color w:val="auto"/>
              </w:rPr>
            </w:pPr>
            <w:r>
              <w:rPr>
                <w:rFonts w:ascii="Arial" w:cs="Arial" w:eastAsia="Arial" w:hAnsi="Arial"/>
                <w:sz w:val="14"/>
                <w:szCs w:val="14"/>
                <w:color w:val="auto"/>
              </w:rPr>
              <w:t>2/12/2024</w:t>
            </w:r>
          </w:p>
        </w:tc>
        <w:tc>
          <w:tcPr>
            <w:tcW w:w="7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60" w:type="dxa"/>
            <w:vAlign w:val="bottom"/>
            <w:vMerge w:val="restart"/>
          </w:tcPr>
          <w:p>
            <w:pPr>
              <w:jc w:val="right"/>
              <w:ind w:right="48"/>
              <w:spacing w:after="0"/>
              <w:rPr>
                <w:sz w:val="20"/>
                <w:szCs w:val="20"/>
                <w:color w:val="auto"/>
              </w:rPr>
            </w:pPr>
            <w:r>
              <w:rPr>
                <w:rFonts w:ascii="Arial" w:cs="Arial" w:eastAsia="Arial" w:hAnsi="Arial"/>
                <w:sz w:val="14"/>
                <w:szCs w:val="14"/>
                <w:color w:val="auto"/>
              </w:rPr>
              <w:t>958</w:t>
            </w:r>
          </w:p>
        </w:tc>
        <w:tc>
          <w:tcPr>
            <w:tcW w:w="700" w:type="dxa"/>
            <w:vAlign w:val="bottom"/>
            <w:vMerge w:val="restart"/>
          </w:tcPr>
          <w:p>
            <w:pPr>
              <w:jc w:val="right"/>
              <w:ind w:right="68"/>
              <w:spacing w:after="0"/>
              <w:rPr>
                <w:sz w:val="20"/>
                <w:szCs w:val="20"/>
                <w:color w:val="auto"/>
              </w:rPr>
            </w:pPr>
            <w:r>
              <w:rPr>
                <w:rFonts w:ascii="Arial" w:cs="Arial" w:eastAsia="Arial" w:hAnsi="Arial"/>
                <w:sz w:val="14"/>
                <w:szCs w:val="14"/>
                <w:color w:val="auto"/>
              </w:rPr>
              <w:t>1,916</w:t>
            </w:r>
          </w:p>
        </w:tc>
        <w:tc>
          <w:tcPr>
            <w:tcW w:w="1460" w:type="dxa"/>
            <w:vAlign w:val="bottom"/>
            <w:vMerge w:val="restart"/>
          </w:tcPr>
          <w:p>
            <w:pPr>
              <w:jc w:val="right"/>
              <w:ind w:right="748"/>
              <w:spacing w:after="0"/>
              <w:rPr>
                <w:sz w:val="20"/>
                <w:szCs w:val="20"/>
                <w:color w:val="auto"/>
              </w:rPr>
            </w:pPr>
            <w:r>
              <w:rPr>
                <w:rFonts w:ascii="Arial" w:cs="Arial" w:eastAsia="Arial" w:hAnsi="Arial"/>
                <w:sz w:val="14"/>
                <w:szCs w:val="14"/>
                <w:color w:val="auto"/>
              </w:rPr>
              <w:t>3,832</w:t>
            </w:r>
          </w:p>
        </w:tc>
        <w:tc>
          <w:tcPr>
            <w:tcW w:w="880" w:type="dxa"/>
            <w:vAlign w:val="bottom"/>
            <w:vMerge w:val="restart"/>
          </w:tcPr>
          <w:p>
            <w:pPr>
              <w:jc w:val="right"/>
              <w:ind w:right="8"/>
              <w:spacing w:after="0"/>
              <w:rPr>
                <w:sz w:val="20"/>
                <w:szCs w:val="20"/>
                <w:color w:val="auto"/>
              </w:rPr>
            </w:pPr>
            <w:r>
              <w:rPr>
                <w:rFonts w:ascii="Arial" w:cs="Arial" w:eastAsia="Arial" w:hAnsi="Arial"/>
                <w:sz w:val="14"/>
                <w:szCs w:val="14"/>
                <w:color w:val="auto"/>
              </w:rPr>
              <w:t>$1,975,147</w:t>
            </w:r>
          </w:p>
        </w:tc>
        <w:tc>
          <w:tcPr>
            <w:tcW w:w="0" w:type="dxa"/>
            <w:vAlign w:val="bottom"/>
          </w:tcPr>
          <w:p>
            <w:pPr>
              <w:spacing w:after="0"/>
              <w:rPr>
                <w:sz w:val="1"/>
                <w:szCs w:val="1"/>
                <w:color w:val="auto"/>
              </w:rPr>
            </w:pPr>
          </w:p>
        </w:tc>
      </w:tr>
      <w:tr>
        <w:trPr>
          <w:trHeight w:val="72"/>
        </w:trPr>
        <w:tc>
          <w:tcPr>
            <w:tcW w:w="16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6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5"/>
        </w:trPr>
        <w:tc>
          <w:tcPr>
            <w:tcW w:w="1120" w:type="dxa"/>
            <w:vAlign w:val="bottom"/>
            <w:gridSpan w:val="2"/>
          </w:tcPr>
          <w:p>
            <w:pPr>
              <w:ind w:left="180"/>
              <w:spacing w:after="0"/>
              <w:rPr>
                <w:sz w:val="20"/>
                <w:szCs w:val="20"/>
                <w:color w:val="auto"/>
              </w:rPr>
            </w:pPr>
            <w:r>
              <w:rPr>
                <w:rFonts w:ascii="Arial" w:cs="Arial" w:eastAsia="Arial" w:hAnsi="Arial"/>
                <w:sz w:val="14"/>
                <w:szCs w:val="14"/>
                <w:color w:val="auto"/>
              </w:rPr>
              <w:t>2024-2026</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160" w:type="dxa"/>
            <w:vAlign w:val="bottom"/>
          </w:tcPr>
          <w:p>
            <w:pPr>
              <w:spacing w:after="0"/>
              <w:rPr>
                <w:sz w:val="10"/>
                <w:szCs w:val="10"/>
                <w:color w:val="auto"/>
              </w:rPr>
            </w:pPr>
          </w:p>
        </w:tc>
        <w:tc>
          <w:tcPr>
            <w:tcW w:w="960" w:type="dxa"/>
            <w:vAlign w:val="bottom"/>
            <w:vMerge w:val="restart"/>
          </w:tcPr>
          <w:p>
            <w:pPr>
              <w:ind w:left="20"/>
              <w:spacing w:after="0"/>
              <w:rPr>
                <w:sz w:val="20"/>
                <w:szCs w:val="20"/>
                <w:color w:val="auto"/>
              </w:rPr>
            </w:pPr>
            <w:r>
              <w:rPr>
                <w:rFonts w:ascii="Arial" w:cs="Arial" w:eastAsia="Arial" w:hAnsi="Arial"/>
                <w:sz w:val="14"/>
                <w:szCs w:val="14"/>
                <w:color w:val="auto"/>
              </w:rPr>
              <w:t>RVA</w:t>
            </w:r>
          </w:p>
        </w:tc>
        <w:tc>
          <w:tcPr>
            <w:tcW w:w="180" w:type="dxa"/>
            <w:vAlign w:val="bottom"/>
          </w:tcPr>
          <w:p>
            <w:pPr>
              <w:jc w:val="right"/>
              <w:ind w:right="54"/>
              <w:spacing w:after="0"/>
              <w:rPr>
                <w:sz w:val="20"/>
                <w:szCs w:val="20"/>
                <w:color w:val="auto"/>
              </w:rPr>
            </w:pPr>
            <w:r>
              <w:rPr>
                <w:rFonts w:ascii="Arial" w:cs="Arial" w:eastAsia="Arial" w:hAnsi="Arial"/>
                <w:sz w:val="9"/>
                <w:szCs w:val="9"/>
                <w:color w:val="auto"/>
              </w:rPr>
              <w:t>5</w:t>
            </w:r>
          </w:p>
        </w:tc>
        <w:tc>
          <w:tcPr>
            <w:tcW w:w="940" w:type="dxa"/>
            <w:vAlign w:val="bottom"/>
            <w:vMerge w:val="restart"/>
          </w:tcPr>
          <w:p>
            <w:pPr>
              <w:jc w:val="right"/>
              <w:ind w:right="148"/>
              <w:spacing w:after="0"/>
              <w:rPr>
                <w:sz w:val="20"/>
                <w:szCs w:val="20"/>
                <w:color w:val="auto"/>
              </w:rPr>
            </w:pPr>
            <w:r>
              <w:rPr>
                <w:rFonts w:ascii="Arial" w:cs="Arial" w:eastAsia="Arial" w:hAnsi="Arial"/>
                <w:sz w:val="14"/>
                <w:szCs w:val="14"/>
                <w:color w:val="auto"/>
              </w:rPr>
              <w:t>2/12/2024</w:t>
            </w:r>
          </w:p>
        </w:tc>
        <w:tc>
          <w:tcPr>
            <w:tcW w:w="940" w:type="dxa"/>
            <w:vAlign w:val="bottom"/>
            <w:vMerge w:val="restart"/>
          </w:tcPr>
          <w:p>
            <w:pPr>
              <w:jc w:val="right"/>
              <w:ind w:right="8"/>
              <w:spacing w:after="0"/>
              <w:rPr>
                <w:sz w:val="20"/>
                <w:szCs w:val="20"/>
                <w:color w:val="auto"/>
              </w:rPr>
            </w:pPr>
            <w:r>
              <w:rPr>
                <w:rFonts w:ascii="Arial" w:cs="Arial" w:eastAsia="Arial" w:hAnsi="Arial"/>
                <w:sz w:val="14"/>
                <w:szCs w:val="14"/>
                <w:color w:val="auto"/>
              </w:rPr>
              <w:t>2/12/2024</w:t>
            </w:r>
          </w:p>
        </w:tc>
        <w:tc>
          <w:tcPr>
            <w:tcW w:w="7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60" w:type="dxa"/>
            <w:vAlign w:val="bottom"/>
            <w:vMerge w:val="restart"/>
          </w:tcPr>
          <w:p>
            <w:pPr>
              <w:jc w:val="right"/>
              <w:ind w:right="48"/>
              <w:spacing w:after="0"/>
              <w:rPr>
                <w:sz w:val="20"/>
                <w:szCs w:val="20"/>
                <w:color w:val="auto"/>
              </w:rPr>
            </w:pPr>
            <w:r>
              <w:rPr>
                <w:rFonts w:ascii="Arial" w:cs="Arial" w:eastAsia="Arial" w:hAnsi="Arial"/>
                <w:sz w:val="14"/>
                <w:szCs w:val="14"/>
                <w:color w:val="auto"/>
              </w:rPr>
              <w:t>893</w:t>
            </w:r>
          </w:p>
        </w:tc>
        <w:tc>
          <w:tcPr>
            <w:tcW w:w="700" w:type="dxa"/>
            <w:vAlign w:val="bottom"/>
            <w:vMerge w:val="restart"/>
          </w:tcPr>
          <w:p>
            <w:pPr>
              <w:jc w:val="right"/>
              <w:ind w:right="68"/>
              <w:spacing w:after="0"/>
              <w:rPr>
                <w:sz w:val="20"/>
                <w:szCs w:val="20"/>
                <w:color w:val="auto"/>
              </w:rPr>
            </w:pPr>
            <w:r>
              <w:rPr>
                <w:rFonts w:ascii="Arial" w:cs="Arial" w:eastAsia="Arial" w:hAnsi="Arial"/>
                <w:sz w:val="14"/>
                <w:szCs w:val="14"/>
                <w:color w:val="auto"/>
              </w:rPr>
              <w:t>1,785</w:t>
            </w:r>
          </w:p>
        </w:tc>
        <w:tc>
          <w:tcPr>
            <w:tcW w:w="1460" w:type="dxa"/>
            <w:vAlign w:val="bottom"/>
            <w:vMerge w:val="restart"/>
          </w:tcPr>
          <w:p>
            <w:pPr>
              <w:jc w:val="right"/>
              <w:ind w:right="748"/>
              <w:spacing w:after="0"/>
              <w:rPr>
                <w:sz w:val="20"/>
                <w:szCs w:val="20"/>
                <w:color w:val="auto"/>
              </w:rPr>
            </w:pPr>
            <w:r>
              <w:rPr>
                <w:rFonts w:ascii="Arial" w:cs="Arial" w:eastAsia="Arial" w:hAnsi="Arial"/>
                <w:sz w:val="14"/>
                <w:szCs w:val="14"/>
                <w:color w:val="auto"/>
              </w:rPr>
              <w:t>3,570</w:t>
            </w:r>
          </w:p>
        </w:tc>
        <w:tc>
          <w:tcPr>
            <w:tcW w:w="880" w:type="dxa"/>
            <w:vAlign w:val="bottom"/>
            <w:vMerge w:val="restart"/>
          </w:tcPr>
          <w:p>
            <w:pPr>
              <w:jc w:val="right"/>
              <w:ind w:right="8"/>
              <w:spacing w:after="0"/>
              <w:rPr>
                <w:sz w:val="20"/>
                <w:szCs w:val="20"/>
                <w:color w:val="auto"/>
              </w:rPr>
            </w:pPr>
            <w:r>
              <w:rPr>
                <w:rFonts w:ascii="Arial" w:cs="Arial" w:eastAsia="Arial" w:hAnsi="Arial"/>
                <w:sz w:val="14"/>
                <w:szCs w:val="14"/>
                <w:color w:val="auto"/>
              </w:rPr>
              <w:t>$1,974,924</w:t>
            </w:r>
          </w:p>
        </w:tc>
        <w:tc>
          <w:tcPr>
            <w:tcW w:w="0" w:type="dxa"/>
            <w:vAlign w:val="bottom"/>
          </w:tcPr>
          <w:p>
            <w:pPr>
              <w:spacing w:after="0"/>
              <w:rPr>
                <w:sz w:val="1"/>
                <w:szCs w:val="1"/>
                <w:color w:val="auto"/>
              </w:rPr>
            </w:pPr>
          </w:p>
        </w:tc>
      </w:tr>
      <w:tr>
        <w:trPr>
          <w:trHeight w:val="72"/>
        </w:trPr>
        <w:tc>
          <w:tcPr>
            <w:tcW w:w="16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6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1120" w:type="dxa"/>
            <w:vAlign w:val="bottom"/>
            <w:gridSpan w:val="2"/>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1120" w:type="dxa"/>
            <w:vAlign w:val="bottom"/>
            <w:gridSpan w:val="2"/>
            <w:shd w:val="clear" w:color="auto" w:fill="F2F2F2"/>
          </w:tcPr>
          <w:p>
            <w:pPr>
              <w:ind w:left="20"/>
              <w:spacing w:after="0"/>
              <w:rPr>
                <w:sz w:val="20"/>
                <w:szCs w:val="20"/>
                <w:color w:val="auto"/>
              </w:rPr>
            </w:pPr>
            <w:r>
              <w:rPr>
                <w:rFonts w:ascii="Arial" w:cs="Arial" w:eastAsia="Arial" w:hAnsi="Arial"/>
                <w:sz w:val="14"/>
                <w:szCs w:val="14"/>
                <w:color w:val="auto"/>
              </w:rPr>
              <w:t>Mr. Van Naarden</w:t>
            </w:r>
          </w:p>
        </w:tc>
        <w:tc>
          <w:tcPr>
            <w:tcW w:w="180" w:type="dxa"/>
            <w:vAlign w:val="bottom"/>
            <w:shd w:val="clear" w:color="auto" w:fill="F2F2F2"/>
          </w:tcPr>
          <w:p>
            <w:pPr>
              <w:spacing w:after="0"/>
              <w:rPr>
                <w:sz w:val="20"/>
                <w:szCs w:val="20"/>
                <w:color w:val="auto"/>
              </w:rPr>
            </w:pPr>
          </w:p>
        </w:tc>
        <w:tc>
          <w:tcPr>
            <w:tcW w:w="940" w:type="dxa"/>
            <w:vAlign w:val="bottom"/>
            <w:shd w:val="clear" w:color="auto" w:fill="F2F2F2"/>
          </w:tcPr>
          <w:p>
            <w:pPr>
              <w:spacing w:after="0"/>
              <w:rPr>
                <w:sz w:val="20"/>
                <w:szCs w:val="20"/>
                <w:color w:val="auto"/>
              </w:rPr>
            </w:pPr>
          </w:p>
        </w:tc>
        <w:tc>
          <w:tcPr>
            <w:tcW w:w="940" w:type="dxa"/>
            <w:vAlign w:val="bottom"/>
            <w:shd w:val="clear" w:color="auto" w:fill="F2F2F2"/>
          </w:tcPr>
          <w:p>
            <w:pPr>
              <w:spacing w:after="0"/>
              <w:rPr>
                <w:sz w:val="20"/>
                <w:szCs w:val="20"/>
                <w:color w:val="auto"/>
              </w:rPr>
            </w:pPr>
          </w:p>
        </w:tc>
        <w:tc>
          <w:tcPr>
            <w:tcW w:w="740" w:type="dxa"/>
            <w:vAlign w:val="bottom"/>
            <w:shd w:val="clear" w:color="auto" w:fill="F2F2F2"/>
          </w:tcPr>
          <w:p>
            <w:pPr>
              <w:jc w:val="right"/>
              <w:spacing w:after="0"/>
              <w:rPr>
                <w:sz w:val="20"/>
                <w:szCs w:val="20"/>
                <w:color w:val="auto"/>
              </w:rPr>
            </w:pPr>
            <w:r>
              <w:rPr>
                <w:rFonts w:ascii="Arial" w:cs="Arial" w:eastAsia="Arial" w:hAnsi="Arial"/>
                <w:sz w:val="14"/>
                <w:szCs w:val="14"/>
                <w:color w:val="auto"/>
              </w:rPr>
              <w:t>$222,596</w:t>
            </w:r>
          </w:p>
        </w:tc>
        <w:tc>
          <w:tcPr>
            <w:tcW w:w="840" w:type="dxa"/>
            <w:vAlign w:val="bottom"/>
            <w:shd w:val="clear" w:color="auto" w:fill="F2F2F2"/>
          </w:tcPr>
          <w:p>
            <w:pPr>
              <w:jc w:val="right"/>
              <w:spacing w:after="0"/>
              <w:rPr>
                <w:sz w:val="20"/>
                <w:szCs w:val="20"/>
                <w:color w:val="auto"/>
              </w:rPr>
            </w:pPr>
            <w:r>
              <w:rPr>
                <w:rFonts w:ascii="Arial" w:cs="Arial" w:eastAsia="Arial" w:hAnsi="Arial"/>
                <w:sz w:val="14"/>
                <w:szCs w:val="14"/>
                <w:color w:val="auto"/>
              </w:rPr>
              <w:t>$890,385</w:t>
            </w:r>
          </w:p>
        </w:tc>
        <w:tc>
          <w:tcPr>
            <w:tcW w:w="1660" w:type="dxa"/>
            <w:vAlign w:val="bottom"/>
            <w:shd w:val="clear" w:color="auto" w:fill="F2F2F2"/>
          </w:tcPr>
          <w:p>
            <w:pPr>
              <w:jc w:val="right"/>
              <w:ind w:right="788"/>
              <w:spacing w:after="0"/>
              <w:rPr>
                <w:sz w:val="20"/>
                <w:szCs w:val="20"/>
                <w:color w:val="auto"/>
              </w:rPr>
            </w:pPr>
            <w:r>
              <w:rPr>
                <w:rFonts w:ascii="Arial" w:cs="Arial" w:eastAsia="Arial" w:hAnsi="Arial"/>
                <w:sz w:val="14"/>
                <w:szCs w:val="14"/>
                <w:color w:val="auto"/>
              </w:rPr>
              <w:t>$2,225,963</w:t>
            </w:r>
          </w:p>
        </w:tc>
        <w:tc>
          <w:tcPr>
            <w:tcW w:w="700" w:type="dxa"/>
            <w:vAlign w:val="bottom"/>
            <w:shd w:val="clear" w:color="auto" w:fill="F2F2F2"/>
          </w:tcPr>
          <w:p>
            <w:pPr>
              <w:spacing w:after="0"/>
              <w:rPr>
                <w:sz w:val="20"/>
                <w:szCs w:val="20"/>
                <w:color w:val="auto"/>
              </w:rPr>
            </w:pPr>
          </w:p>
        </w:tc>
        <w:tc>
          <w:tcPr>
            <w:tcW w:w="1460" w:type="dxa"/>
            <w:vAlign w:val="bottom"/>
            <w:shd w:val="clear" w:color="auto" w:fill="F2F2F2"/>
          </w:tcPr>
          <w:p>
            <w:pPr>
              <w:spacing w:after="0"/>
              <w:rPr>
                <w:sz w:val="20"/>
                <w:szCs w:val="20"/>
                <w:color w:val="auto"/>
              </w:rPr>
            </w:pPr>
          </w:p>
        </w:tc>
        <w:tc>
          <w:tcPr>
            <w:tcW w:w="880" w:type="dxa"/>
            <w:vAlign w:val="bottom"/>
            <w:shd w:val="clear" w:color="auto" w:fill="F2F2F2"/>
          </w:tcPr>
          <w:p>
            <w:pPr>
              <w:spacing w:after="0"/>
              <w:rPr>
                <w:sz w:val="20"/>
                <w:szCs w:val="20"/>
                <w:color w:val="auto"/>
              </w:rPr>
            </w:pPr>
          </w:p>
        </w:tc>
        <w:tc>
          <w:tcPr>
            <w:tcW w:w="0" w:type="dxa"/>
            <w:vAlign w:val="bottom"/>
          </w:tcPr>
          <w:p>
            <w:pPr>
              <w:spacing w:after="0"/>
              <w:rPr>
                <w:sz w:val="1"/>
                <w:szCs w:val="1"/>
                <w:color w:val="auto"/>
              </w:rPr>
            </w:pPr>
          </w:p>
        </w:tc>
      </w:tr>
      <w:tr>
        <w:trPr>
          <w:trHeight w:val="146"/>
        </w:trPr>
        <w:tc>
          <w:tcPr>
            <w:tcW w:w="160" w:type="dxa"/>
            <w:vAlign w:val="bottom"/>
            <w:shd w:val="clear" w:color="auto" w:fill="F2F2F2"/>
          </w:tcPr>
          <w:p>
            <w:pPr>
              <w:spacing w:after="0"/>
              <w:rPr>
                <w:sz w:val="12"/>
                <w:szCs w:val="12"/>
                <w:color w:val="auto"/>
              </w:rPr>
            </w:pPr>
          </w:p>
        </w:tc>
        <w:tc>
          <w:tcPr>
            <w:tcW w:w="960" w:type="dxa"/>
            <w:vAlign w:val="bottom"/>
            <w:vMerge w:val="restart"/>
            <w:shd w:val="clear" w:color="auto" w:fill="F2F2F2"/>
          </w:tcPr>
          <w:p>
            <w:pPr>
              <w:ind w:left="20"/>
              <w:spacing w:after="0"/>
              <w:rPr>
                <w:sz w:val="20"/>
                <w:szCs w:val="20"/>
                <w:color w:val="auto"/>
              </w:rPr>
            </w:pPr>
            <w:r>
              <w:rPr>
                <w:rFonts w:ascii="Arial" w:cs="Arial" w:eastAsia="Arial" w:hAnsi="Arial"/>
                <w:sz w:val="14"/>
                <w:szCs w:val="14"/>
                <w:color w:val="auto"/>
              </w:rPr>
              <w:t>2024-2026</w:t>
            </w:r>
          </w:p>
        </w:tc>
        <w:tc>
          <w:tcPr>
            <w:tcW w:w="180" w:type="dxa"/>
            <w:vAlign w:val="bottom"/>
            <w:shd w:val="clear" w:color="auto" w:fill="F2F2F2"/>
          </w:tcPr>
          <w:p>
            <w:pPr>
              <w:jc w:val="right"/>
              <w:ind w:right="54"/>
              <w:spacing w:after="0"/>
              <w:rPr>
                <w:sz w:val="20"/>
                <w:szCs w:val="20"/>
                <w:color w:val="auto"/>
              </w:rPr>
            </w:pPr>
            <w:r>
              <w:rPr>
                <w:rFonts w:ascii="Arial" w:cs="Arial" w:eastAsia="Arial" w:hAnsi="Arial"/>
                <w:sz w:val="9"/>
                <w:szCs w:val="9"/>
                <w:color w:val="auto"/>
              </w:rPr>
              <w:t>4</w:t>
            </w:r>
          </w:p>
        </w:tc>
        <w:tc>
          <w:tcPr>
            <w:tcW w:w="940" w:type="dxa"/>
            <w:vAlign w:val="bottom"/>
            <w:shd w:val="clear" w:color="auto" w:fill="F2F2F2"/>
          </w:tcPr>
          <w:p>
            <w:pPr>
              <w:spacing w:after="0"/>
              <w:rPr>
                <w:sz w:val="12"/>
                <w:szCs w:val="12"/>
                <w:color w:val="auto"/>
              </w:rPr>
            </w:pPr>
          </w:p>
        </w:tc>
        <w:tc>
          <w:tcPr>
            <w:tcW w:w="940" w:type="dxa"/>
            <w:vAlign w:val="bottom"/>
            <w:shd w:val="clear" w:color="auto" w:fill="F2F2F2"/>
          </w:tcPr>
          <w:p>
            <w:pPr>
              <w:spacing w:after="0"/>
              <w:rPr>
                <w:sz w:val="12"/>
                <w:szCs w:val="12"/>
                <w:color w:val="auto"/>
              </w:rPr>
            </w:pPr>
          </w:p>
        </w:tc>
        <w:tc>
          <w:tcPr>
            <w:tcW w:w="740" w:type="dxa"/>
            <w:vAlign w:val="bottom"/>
            <w:shd w:val="clear" w:color="auto" w:fill="F2F2F2"/>
          </w:tcPr>
          <w:p>
            <w:pPr>
              <w:spacing w:after="0"/>
              <w:rPr>
                <w:sz w:val="12"/>
                <w:szCs w:val="12"/>
                <w:color w:val="auto"/>
              </w:rPr>
            </w:pPr>
          </w:p>
        </w:tc>
        <w:tc>
          <w:tcPr>
            <w:tcW w:w="840" w:type="dxa"/>
            <w:vAlign w:val="bottom"/>
            <w:shd w:val="clear" w:color="auto" w:fill="F2F2F2"/>
          </w:tcPr>
          <w:p>
            <w:pPr>
              <w:spacing w:after="0"/>
              <w:rPr>
                <w:sz w:val="12"/>
                <w:szCs w:val="12"/>
                <w:color w:val="auto"/>
              </w:rPr>
            </w:pPr>
          </w:p>
        </w:tc>
        <w:tc>
          <w:tcPr>
            <w:tcW w:w="1660" w:type="dxa"/>
            <w:vAlign w:val="bottom"/>
            <w:shd w:val="clear" w:color="auto" w:fill="F2F2F2"/>
          </w:tcPr>
          <w:p>
            <w:pPr>
              <w:spacing w:after="0"/>
              <w:rPr>
                <w:sz w:val="12"/>
                <w:szCs w:val="12"/>
                <w:color w:val="auto"/>
              </w:rPr>
            </w:pPr>
          </w:p>
        </w:tc>
        <w:tc>
          <w:tcPr>
            <w:tcW w:w="700" w:type="dxa"/>
            <w:vAlign w:val="bottom"/>
            <w:shd w:val="clear" w:color="auto" w:fill="F2F2F2"/>
          </w:tcPr>
          <w:p>
            <w:pPr>
              <w:spacing w:after="0"/>
              <w:rPr>
                <w:sz w:val="12"/>
                <w:szCs w:val="12"/>
                <w:color w:val="auto"/>
              </w:rPr>
            </w:pPr>
          </w:p>
        </w:tc>
        <w:tc>
          <w:tcPr>
            <w:tcW w:w="1460" w:type="dxa"/>
            <w:vAlign w:val="bottom"/>
            <w:shd w:val="clear" w:color="auto" w:fill="F2F2F2"/>
          </w:tcPr>
          <w:p>
            <w:pPr>
              <w:spacing w:after="0"/>
              <w:rPr>
                <w:sz w:val="12"/>
                <w:szCs w:val="12"/>
                <w:color w:val="auto"/>
              </w:rPr>
            </w:pPr>
          </w:p>
        </w:tc>
        <w:tc>
          <w:tcPr>
            <w:tcW w:w="880" w:type="dxa"/>
            <w:vAlign w:val="bottom"/>
            <w:shd w:val="clear" w:color="auto" w:fill="F2F2F2"/>
          </w:tcPr>
          <w:p>
            <w:pPr>
              <w:spacing w:after="0"/>
              <w:rPr>
                <w:sz w:val="12"/>
                <w:szCs w:val="12"/>
                <w:color w:val="auto"/>
              </w:rPr>
            </w:pPr>
          </w:p>
        </w:tc>
        <w:tc>
          <w:tcPr>
            <w:tcW w:w="0" w:type="dxa"/>
            <w:vAlign w:val="bottom"/>
          </w:tcPr>
          <w:p>
            <w:pPr>
              <w:spacing w:after="0"/>
              <w:rPr>
                <w:sz w:val="1"/>
                <w:szCs w:val="1"/>
                <w:color w:val="auto"/>
              </w:rPr>
            </w:pPr>
          </w:p>
        </w:tc>
      </w:tr>
      <w:tr>
        <w:trPr>
          <w:trHeight w:val="69"/>
        </w:trPr>
        <w:tc>
          <w:tcPr>
            <w:tcW w:w="160" w:type="dxa"/>
            <w:vAlign w:val="bottom"/>
            <w:shd w:val="clear" w:color="auto" w:fill="F2F2F2"/>
          </w:tcPr>
          <w:p>
            <w:pPr>
              <w:spacing w:after="0"/>
              <w:rPr>
                <w:sz w:val="5"/>
                <w:szCs w:val="5"/>
                <w:color w:val="auto"/>
              </w:rPr>
            </w:pPr>
          </w:p>
        </w:tc>
        <w:tc>
          <w:tcPr>
            <w:tcW w:w="960" w:type="dxa"/>
            <w:vAlign w:val="bottom"/>
            <w:vMerge w:val="continue"/>
            <w:shd w:val="clear" w:color="auto" w:fill="F2F2F2"/>
          </w:tcPr>
          <w:p>
            <w:pPr>
              <w:spacing w:after="0"/>
              <w:rPr>
                <w:sz w:val="5"/>
                <w:szCs w:val="5"/>
                <w:color w:val="auto"/>
              </w:rPr>
            </w:pPr>
          </w:p>
        </w:tc>
        <w:tc>
          <w:tcPr>
            <w:tcW w:w="180" w:type="dxa"/>
            <w:vAlign w:val="bottom"/>
            <w:shd w:val="clear" w:color="auto" w:fill="F2F2F2"/>
          </w:tcPr>
          <w:p>
            <w:pPr>
              <w:spacing w:after="0"/>
              <w:rPr>
                <w:sz w:val="5"/>
                <w:szCs w:val="5"/>
                <w:color w:val="auto"/>
              </w:rPr>
            </w:pPr>
          </w:p>
        </w:tc>
        <w:tc>
          <w:tcPr>
            <w:tcW w:w="940" w:type="dxa"/>
            <w:vAlign w:val="bottom"/>
            <w:shd w:val="clear" w:color="auto" w:fill="F2F2F2"/>
          </w:tcPr>
          <w:p>
            <w:pPr>
              <w:spacing w:after="0"/>
              <w:rPr>
                <w:sz w:val="5"/>
                <w:szCs w:val="5"/>
                <w:color w:val="auto"/>
              </w:rPr>
            </w:pPr>
          </w:p>
        </w:tc>
        <w:tc>
          <w:tcPr>
            <w:tcW w:w="940" w:type="dxa"/>
            <w:vAlign w:val="bottom"/>
            <w:shd w:val="clear" w:color="auto" w:fill="F2F2F2"/>
          </w:tcPr>
          <w:p>
            <w:pPr>
              <w:spacing w:after="0"/>
              <w:rPr>
                <w:sz w:val="5"/>
                <w:szCs w:val="5"/>
                <w:color w:val="auto"/>
              </w:rPr>
            </w:pPr>
          </w:p>
        </w:tc>
        <w:tc>
          <w:tcPr>
            <w:tcW w:w="740" w:type="dxa"/>
            <w:vAlign w:val="bottom"/>
            <w:shd w:val="clear" w:color="auto" w:fill="F2F2F2"/>
          </w:tcPr>
          <w:p>
            <w:pPr>
              <w:spacing w:after="0"/>
              <w:rPr>
                <w:sz w:val="5"/>
                <w:szCs w:val="5"/>
                <w:color w:val="auto"/>
              </w:rPr>
            </w:pPr>
          </w:p>
        </w:tc>
        <w:tc>
          <w:tcPr>
            <w:tcW w:w="840" w:type="dxa"/>
            <w:vAlign w:val="bottom"/>
            <w:shd w:val="clear" w:color="auto" w:fill="F2F2F2"/>
          </w:tcPr>
          <w:p>
            <w:pPr>
              <w:spacing w:after="0"/>
              <w:rPr>
                <w:sz w:val="5"/>
                <w:szCs w:val="5"/>
                <w:color w:val="auto"/>
              </w:rPr>
            </w:pPr>
          </w:p>
        </w:tc>
        <w:tc>
          <w:tcPr>
            <w:tcW w:w="1660" w:type="dxa"/>
            <w:vAlign w:val="bottom"/>
            <w:shd w:val="clear" w:color="auto" w:fill="F2F2F2"/>
          </w:tcPr>
          <w:p>
            <w:pPr>
              <w:spacing w:after="0"/>
              <w:rPr>
                <w:sz w:val="5"/>
                <w:szCs w:val="5"/>
                <w:color w:val="auto"/>
              </w:rPr>
            </w:pPr>
          </w:p>
        </w:tc>
        <w:tc>
          <w:tcPr>
            <w:tcW w:w="700" w:type="dxa"/>
            <w:vAlign w:val="bottom"/>
            <w:shd w:val="clear" w:color="auto" w:fill="F2F2F2"/>
          </w:tcPr>
          <w:p>
            <w:pPr>
              <w:spacing w:after="0"/>
              <w:rPr>
                <w:sz w:val="5"/>
                <w:szCs w:val="5"/>
                <w:color w:val="auto"/>
              </w:rPr>
            </w:pPr>
          </w:p>
        </w:tc>
        <w:tc>
          <w:tcPr>
            <w:tcW w:w="1460" w:type="dxa"/>
            <w:vAlign w:val="bottom"/>
            <w:shd w:val="clear" w:color="auto" w:fill="F2F2F2"/>
          </w:tcPr>
          <w:p>
            <w:pPr>
              <w:spacing w:after="0"/>
              <w:rPr>
                <w:sz w:val="5"/>
                <w:szCs w:val="5"/>
                <w:color w:val="auto"/>
              </w:rPr>
            </w:pPr>
          </w:p>
        </w:tc>
        <w:tc>
          <w:tcPr>
            <w:tcW w:w="880" w:type="dxa"/>
            <w:vAlign w:val="bottom"/>
            <w:shd w:val="clear" w:color="auto" w:fill="F2F2F2"/>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160" w:type="dxa"/>
            <w:vAlign w:val="bottom"/>
            <w:shd w:val="clear" w:color="auto" w:fill="F2F2F2"/>
          </w:tcPr>
          <w:p>
            <w:pPr>
              <w:spacing w:after="0"/>
              <w:rPr>
                <w:sz w:val="16"/>
                <w:szCs w:val="16"/>
                <w:color w:val="auto"/>
              </w:rPr>
            </w:pPr>
          </w:p>
        </w:tc>
        <w:tc>
          <w:tcPr>
            <w:tcW w:w="960" w:type="dxa"/>
            <w:vAlign w:val="bottom"/>
            <w:shd w:val="clear" w:color="auto" w:fill="F2F2F2"/>
          </w:tcPr>
          <w:p>
            <w:pPr>
              <w:ind w:left="20"/>
              <w:spacing w:after="0"/>
              <w:rPr>
                <w:sz w:val="20"/>
                <w:szCs w:val="20"/>
                <w:color w:val="auto"/>
              </w:rPr>
            </w:pPr>
            <w:r>
              <w:rPr>
                <w:rFonts w:ascii="Arial" w:cs="Arial" w:eastAsia="Arial" w:hAnsi="Arial"/>
                <w:sz w:val="14"/>
                <w:szCs w:val="14"/>
                <w:color w:val="auto"/>
              </w:rPr>
              <w:t>SVA</w:t>
            </w:r>
          </w:p>
        </w:tc>
        <w:tc>
          <w:tcPr>
            <w:tcW w:w="180" w:type="dxa"/>
            <w:vAlign w:val="bottom"/>
            <w:shd w:val="clear" w:color="auto" w:fill="F2F2F2"/>
          </w:tcPr>
          <w:p>
            <w:pPr>
              <w:spacing w:after="0"/>
              <w:rPr>
                <w:sz w:val="16"/>
                <w:szCs w:val="16"/>
                <w:color w:val="auto"/>
              </w:rPr>
            </w:pPr>
          </w:p>
        </w:tc>
        <w:tc>
          <w:tcPr>
            <w:tcW w:w="940" w:type="dxa"/>
            <w:vAlign w:val="bottom"/>
            <w:shd w:val="clear" w:color="auto" w:fill="F2F2F2"/>
          </w:tcPr>
          <w:p>
            <w:pPr>
              <w:jc w:val="right"/>
              <w:ind w:right="148"/>
              <w:spacing w:after="0"/>
              <w:rPr>
                <w:sz w:val="20"/>
                <w:szCs w:val="20"/>
                <w:color w:val="auto"/>
              </w:rPr>
            </w:pPr>
            <w:r>
              <w:rPr>
                <w:rFonts w:ascii="Arial" w:cs="Arial" w:eastAsia="Arial" w:hAnsi="Arial"/>
                <w:sz w:val="14"/>
                <w:szCs w:val="14"/>
                <w:color w:val="auto"/>
              </w:rPr>
              <w:t>2/12/2024</w:t>
            </w:r>
          </w:p>
        </w:tc>
        <w:tc>
          <w:tcPr>
            <w:tcW w:w="940" w:type="dxa"/>
            <w:vAlign w:val="bottom"/>
            <w:shd w:val="clear" w:color="auto" w:fill="F2F2F2"/>
          </w:tcPr>
          <w:p>
            <w:pPr>
              <w:jc w:val="right"/>
              <w:ind w:right="8"/>
              <w:spacing w:after="0"/>
              <w:rPr>
                <w:sz w:val="20"/>
                <w:szCs w:val="20"/>
                <w:color w:val="auto"/>
              </w:rPr>
            </w:pPr>
            <w:r>
              <w:rPr>
                <w:rFonts w:ascii="Arial" w:cs="Arial" w:eastAsia="Arial" w:hAnsi="Arial"/>
                <w:sz w:val="14"/>
                <w:szCs w:val="14"/>
                <w:color w:val="auto"/>
              </w:rPr>
              <w:t>2/12/2024</w:t>
            </w:r>
          </w:p>
        </w:tc>
        <w:tc>
          <w:tcPr>
            <w:tcW w:w="740" w:type="dxa"/>
            <w:vAlign w:val="bottom"/>
            <w:shd w:val="clear" w:color="auto" w:fill="F2F2F2"/>
          </w:tcPr>
          <w:p>
            <w:pPr>
              <w:spacing w:after="0"/>
              <w:rPr>
                <w:sz w:val="16"/>
                <w:szCs w:val="16"/>
                <w:color w:val="auto"/>
              </w:rPr>
            </w:pPr>
          </w:p>
        </w:tc>
        <w:tc>
          <w:tcPr>
            <w:tcW w:w="840" w:type="dxa"/>
            <w:vAlign w:val="bottom"/>
            <w:shd w:val="clear" w:color="auto" w:fill="F2F2F2"/>
          </w:tcPr>
          <w:p>
            <w:pPr>
              <w:spacing w:after="0"/>
              <w:rPr>
                <w:sz w:val="16"/>
                <w:szCs w:val="16"/>
                <w:color w:val="auto"/>
              </w:rPr>
            </w:pPr>
          </w:p>
        </w:tc>
        <w:tc>
          <w:tcPr>
            <w:tcW w:w="1660" w:type="dxa"/>
            <w:vAlign w:val="bottom"/>
            <w:shd w:val="clear" w:color="auto" w:fill="F2F2F2"/>
          </w:tcPr>
          <w:p>
            <w:pPr>
              <w:jc w:val="right"/>
              <w:ind w:right="48"/>
              <w:spacing w:after="0"/>
              <w:rPr>
                <w:sz w:val="20"/>
                <w:szCs w:val="20"/>
                <w:color w:val="auto"/>
              </w:rPr>
            </w:pPr>
            <w:r>
              <w:rPr>
                <w:rFonts w:ascii="Arial" w:cs="Arial" w:eastAsia="Arial" w:hAnsi="Arial"/>
                <w:sz w:val="14"/>
                <w:szCs w:val="14"/>
                <w:color w:val="auto"/>
              </w:rPr>
              <w:t>655</w:t>
            </w:r>
          </w:p>
        </w:tc>
        <w:tc>
          <w:tcPr>
            <w:tcW w:w="700" w:type="dxa"/>
            <w:vAlign w:val="bottom"/>
            <w:shd w:val="clear" w:color="auto" w:fill="F2F2F2"/>
          </w:tcPr>
          <w:p>
            <w:pPr>
              <w:jc w:val="right"/>
              <w:ind w:right="68"/>
              <w:spacing w:after="0"/>
              <w:rPr>
                <w:sz w:val="20"/>
                <w:szCs w:val="20"/>
                <w:color w:val="auto"/>
              </w:rPr>
            </w:pPr>
            <w:r>
              <w:rPr>
                <w:rFonts w:ascii="Arial" w:cs="Arial" w:eastAsia="Arial" w:hAnsi="Arial"/>
                <w:sz w:val="14"/>
                <w:szCs w:val="14"/>
                <w:color w:val="auto"/>
              </w:rPr>
              <w:t>1,310</w:t>
            </w:r>
          </w:p>
        </w:tc>
        <w:tc>
          <w:tcPr>
            <w:tcW w:w="1460" w:type="dxa"/>
            <w:vAlign w:val="bottom"/>
            <w:shd w:val="clear" w:color="auto" w:fill="F2F2F2"/>
          </w:tcPr>
          <w:p>
            <w:pPr>
              <w:jc w:val="right"/>
              <w:ind w:right="748"/>
              <w:spacing w:after="0"/>
              <w:rPr>
                <w:sz w:val="20"/>
                <w:szCs w:val="20"/>
                <w:color w:val="auto"/>
              </w:rPr>
            </w:pPr>
            <w:r>
              <w:rPr>
                <w:rFonts w:ascii="Arial" w:cs="Arial" w:eastAsia="Arial" w:hAnsi="Arial"/>
                <w:sz w:val="14"/>
                <w:szCs w:val="14"/>
                <w:color w:val="auto"/>
              </w:rPr>
              <w:t>2,620</w:t>
            </w:r>
          </w:p>
        </w:tc>
        <w:tc>
          <w:tcPr>
            <w:tcW w:w="880" w:type="dxa"/>
            <w:vAlign w:val="bottom"/>
            <w:shd w:val="clear" w:color="auto" w:fill="F2F2F2"/>
          </w:tcPr>
          <w:p>
            <w:pPr>
              <w:jc w:val="right"/>
              <w:ind w:right="8"/>
              <w:spacing w:after="0"/>
              <w:rPr>
                <w:sz w:val="20"/>
                <w:szCs w:val="20"/>
                <w:color w:val="auto"/>
              </w:rPr>
            </w:pPr>
            <w:r>
              <w:rPr>
                <w:rFonts w:ascii="Arial" w:cs="Arial" w:eastAsia="Arial" w:hAnsi="Arial"/>
                <w:sz w:val="14"/>
                <w:szCs w:val="14"/>
                <w:color w:val="auto"/>
              </w:rPr>
              <w:t>$1,350,440</w:t>
            </w:r>
          </w:p>
        </w:tc>
        <w:tc>
          <w:tcPr>
            <w:tcW w:w="0" w:type="dxa"/>
            <w:vAlign w:val="bottom"/>
          </w:tcPr>
          <w:p>
            <w:pPr>
              <w:spacing w:after="0"/>
              <w:rPr>
                <w:sz w:val="1"/>
                <w:szCs w:val="1"/>
                <w:color w:val="auto"/>
              </w:rPr>
            </w:pPr>
          </w:p>
        </w:tc>
      </w:tr>
      <w:tr>
        <w:trPr>
          <w:trHeight w:val="146"/>
        </w:trPr>
        <w:tc>
          <w:tcPr>
            <w:tcW w:w="160" w:type="dxa"/>
            <w:vAlign w:val="bottom"/>
            <w:shd w:val="clear" w:color="auto" w:fill="F2F2F2"/>
          </w:tcPr>
          <w:p>
            <w:pPr>
              <w:spacing w:after="0"/>
              <w:rPr>
                <w:sz w:val="12"/>
                <w:szCs w:val="12"/>
                <w:color w:val="auto"/>
              </w:rPr>
            </w:pPr>
          </w:p>
        </w:tc>
        <w:tc>
          <w:tcPr>
            <w:tcW w:w="960" w:type="dxa"/>
            <w:vAlign w:val="bottom"/>
            <w:vMerge w:val="restart"/>
            <w:shd w:val="clear" w:color="auto" w:fill="F2F2F2"/>
          </w:tcPr>
          <w:p>
            <w:pPr>
              <w:ind w:left="20"/>
              <w:spacing w:after="0"/>
              <w:rPr>
                <w:sz w:val="20"/>
                <w:szCs w:val="20"/>
                <w:color w:val="auto"/>
              </w:rPr>
            </w:pPr>
            <w:r>
              <w:rPr>
                <w:rFonts w:ascii="Arial" w:cs="Arial" w:eastAsia="Arial" w:hAnsi="Arial"/>
                <w:sz w:val="14"/>
                <w:szCs w:val="14"/>
                <w:color w:val="auto"/>
              </w:rPr>
              <w:t>2024-2026</w:t>
            </w:r>
          </w:p>
        </w:tc>
        <w:tc>
          <w:tcPr>
            <w:tcW w:w="180" w:type="dxa"/>
            <w:vAlign w:val="bottom"/>
            <w:shd w:val="clear" w:color="auto" w:fill="F2F2F2"/>
          </w:tcPr>
          <w:p>
            <w:pPr>
              <w:jc w:val="right"/>
              <w:ind w:right="54"/>
              <w:spacing w:after="0"/>
              <w:rPr>
                <w:sz w:val="20"/>
                <w:szCs w:val="20"/>
                <w:color w:val="auto"/>
              </w:rPr>
            </w:pPr>
            <w:r>
              <w:rPr>
                <w:rFonts w:ascii="Arial" w:cs="Arial" w:eastAsia="Arial" w:hAnsi="Arial"/>
                <w:sz w:val="9"/>
                <w:szCs w:val="9"/>
                <w:color w:val="auto"/>
              </w:rPr>
              <w:t>5</w:t>
            </w:r>
          </w:p>
        </w:tc>
        <w:tc>
          <w:tcPr>
            <w:tcW w:w="940" w:type="dxa"/>
            <w:vAlign w:val="bottom"/>
            <w:shd w:val="clear" w:color="auto" w:fill="F2F2F2"/>
          </w:tcPr>
          <w:p>
            <w:pPr>
              <w:spacing w:after="0"/>
              <w:rPr>
                <w:sz w:val="12"/>
                <w:szCs w:val="12"/>
                <w:color w:val="auto"/>
              </w:rPr>
            </w:pPr>
          </w:p>
        </w:tc>
        <w:tc>
          <w:tcPr>
            <w:tcW w:w="940" w:type="dxa"/>
            <w:vAlign w:val="bottom"/>
            <w:shd w:val="clear" w:color="auto" w:fill="F2F2F2"/>
          </w:tcPr>
          <w:p>
            <w:pPr>
              <w:spacing w:after="0"/>
              <w:rPr>
                <w:sz w:val="12"/>
                <w:szCs w:val="12"/>
                <w:color w:val="auto"/>
              </w:rPr>
            </w:pPr>
          </w:p>
        </w:tc>
        <w:tc>
          <w:tcPr>
            <w:tcW w:w="740" w:type="dxa"/>
            <w:vAlign w:val="bottom"/>
            <w:shd w:val="clear" w:color="auto" w:fill="F2F2F2"/>
          </w:tcPr>
          <w:p>
            <w:pPr>
              <w:spacing w:after="0"/>
              <w:rPr>
                <w:sz w:val="12"/>
                <w:szCs w:val="12"/>
                <w:color w:val="auto"/>
              </w:rPr>
            </w:pPr>
          </w:p>
        </w:tc>
        <w:tc>
          <w:tcPr>
            <w:tcW w:w="840" w:type="dxa"/>
            <w:vAlign w:val="bottom"/>
            <w:shd w:val="clear" w:color="auto" w:fill="F2F2F2"/>
          </w:tcPr>
          <w:p>
            <w:pPr>
              <w:spacing w:after="0"/>
              <w:rPr>
                <w:sz w:val="12"/>
                <w:szCs w:val="12"/>
                <w:color w:val="auto"/>
              </w:rPr>
            </w:pPr>
          </w:p>
        </w:tc>
        <w:tc>
          <w:tcPr>
            <w:tcW w:w="1660" w:type="dxa"/>
            <w:vAlign w:val="bottom"/>
            <w:shd w:val="clear" w:color="auto" w:fill="F2F2F2"/>
          </w:tcPr>
          <w:p>
            <w:pPr>
              <w:spacing w:after="0"/>
              <w:rPr>
                <w:sz w:val="12"/>
                <w:szCs w:val="12"/>
                <w:color w:val="auto"/>
              </w:rPr>
            </w:pPr>
          </w:p>
        </w:tc>
        <w:tc>
          <w:tcPr>
            <w:tcW w:w="700" w:type="dxa"/>
            <w:vAlign w:val="bottom"/>
            <w:shd w:val="clear" w:color="auto" w:fill="F2F2F2"/>
          </w:tcPr>
          <w:p>
            <w:pPr>
              <w:spacing w:after="0"/>
              <w:rPr>
                <w:sz w:val="12"/>
                <w:szCs w:val="12"/>
                <w:color w:val="auto"/>
              </w:rPr>
            </w:pPr>
          </w:p>
        </w:tc>
        <w:tc>
          <w:tcPr>
            <w:tcW w:w="1460" w:type="dxa"/>
            <w:vAlign w:val="bottom"/>
            <w:shd w:val="clear" w:color="auto" w:fill="F2F2F2"/>
          </w:tcPr>
          <w:p>
            <w:pPr>
              <w:spacing w:after="0"/>
              <w:rPr>
                <w:sz w:val="12"/>
                <w:szCs w:val="12"/>
                <w:color w:val="auto"/>
              </w:rPr>
            </w:pPr>
          </w:p>
        </w:tc>
        <w:tc>
          <w:tcPr>
            <w:tcW w:w="880" w:type="dxa"/>
            <w:vAlign w:val="bottom"/>
            <w:shd w:val="clear" w:color="auto" w:fill="F2F2F2"/>
          </w:tcPr>
          <w:p>
            <w:pPr>
              <w:spacing w:after="0"/>
              <w:rPr>
                <w:sz w:val="12"/>
                <w:szCs w:val="12"/>
                <w:color w:val="auto"/>
              </w:rPr>
            </w:pPr>
          </w:p>
        </w:tc>
        <w:tc>
          <w:tcPr>
            <w:tcW w:w="0" w:type="dxa"/>
            <w:vAlign w:val="bottom"/>
          </w:tcPr>
          <w:p>
            <w:pPr>
              <w:spacing w:after="0"/>
              <w:rPr>
                <w:sz w:val="1"/>
                <w:szCs w:val="1"/>
                <w:color w:val="auto"/>
              </w:rPr>
            </w:pPr>
          </w:p>
        </w:tc>
      </w:tr>
      <w:tr>
        <w:trPr>
          <w:trHeight w:val="69"/>
        </w:trPr>
        <w:tc>
          <w:tcPr>
            <w:tcW w:w="160" w:type="dxa"/>
            <w:vAlign w:val="bottom"/>
            <w:shd w:val="clear" w:color="auto" w:fill="F2F2F2"/>
          </w:tcPr>
          <w:p>
            <w:pPr>
              <w:spacing w:after="0"/>
              <w:rPr>
                <w:sz w:val="5"/>
                <w:szCs w:val="5"/>
                <w:color w:val="auto"/>
              </w:rPr>
            </w:pPr>
          </w:p>
        </w:tc>
        <w:tc>
          <w:tcPr>
            <w:tcW w:w="960" w:type="dxa"/>
            <w:vAlign w:val="bottom"/>
            <w:vMerge w:val="continue"/>
            <w:shd w:val="clear" w:color="auto" w:fill="F2F2F2"/>
          </w:tcPr>
          <w:p>
            <w:pPr>
              <w:spacing w:after="0"/>
              <w:rPr>
                <w:sz w:val="5"/>
                <w:szCs w:val="5"/>
                <w:color w:val="auto"/>
              </w:rPr>
            </w:pPr>
          </w:p>
        </w:tc>
        <w:tc>
          <w:tcPr>
            <w:tcW w:w="180" w:type="dxa"/>
            <w:vAlign w:val="bottom"/>
            <w:shd w:val="clear" w:color="auto" w:fill="F2F2F2"/>
          </w:tcPr>
          <w:p>
            <w:pPr>
              <w:spacing w:after="0"/>
              <w:rPr>
                <w:sz w:val="5"/>
                <w:szCs w:val="5"/>
                <w:color w:val="auto"/>
              </w:rPr>
            </w:pPr>
          </w:p>
        </w:tc>
        <w:tc>
          <w:tcPr>
            <w:tcW w:w="940" w:type="dxa"/>
            <w:vAlign w:val="bottom"/>
            <w:shd w:val="clear" w:color="auto" w:fill="F2F2F2"/>
          </w:tcPr>
          <w:p>
            <w:pPr>
              <w:spacing w:after="0"/>
              <w:rPr>
                <w:sz w:val="5"/>
                <w:szCs w:val="5"/>
                <w:color w:val="auto"/>
              </w:rPr>
            </w:pPr>
          </w:p>
        </w:tc>
        <w:tc>
          <w:tcPr>
            <w:tcW w:w="940" w:type="dxa"/>
            <w:vAlign w:val="bottom"/>
            <w:shd w:val="clear" w:color="auto" w:fill="F2F2F2"/>
          </w:tcPr>
          <w:p>
            <w:pPr>
              <w:spacing w:after="0"/>
              <w:rPr>
                <w:sz w:val="5"/>
                <w:szCs w:val="5"/>
                <w:color w:val="auto"/>
              </w:rPr>
            </w:pPr>
          </w:p>
        </w:tc>
        <w:tc>
          <w:tcPr>
            <w:tcW w:w="740" w:type="dxa"/>
            <w:vAlign w:val="bottom"/>
            <w:shd w:val="clear" w:color="auto" w:fill="F2F2F2"/>
          </w:tcPr>
          <w:p>
            <w:pPr>
              <w:spacing w:after="0"/>
              <w:rPr>
                <w:sz w:val="5"/>
                <w:szCs w:val="5"/>
                <w:color w:val="auto"/>
              </w:rPr>
            </w:pPr>
          </w:p>
        </w:tc>
        <w:tc>
          <w:tcPr>
            <w:tcW w:w="840" w:type="dxa"/>
            <w:vAlign w:val="bottom"/>
            <w:shd w:val="clear" w:color="auto" w:fill="F2F2F2"/>
          </w:tcPr>
          <w:p>
            <w:pPr>
              <w:spacing w:after="0"/>
              <w:rPr>
                <w:sz w:val="5"/>
                <w:szCs w:val="5"/>
                <w:color w:val="auto"/>
              </w:rPr>
            </w:pPr>
          </w:p>
        </w:tc>
        <w:tc>
          <w:tcPr>
            <w:tcW w:w="1660" w:type="dxa"/>
            <w:vAlign w:val="bottom"/>
            <w:shd w:val="clear" w:color="auto" w:fill="F2F2F2"/>
          </w:tcPr>
          <w:p>
            <w:pPr>
              <w:spacing w:after="0"/>
              <w:rPr>
                <w:sz w:val="5"/>
                <w:szCs w:val="5"/>
                <w:color w:val="auto"/>
              </w:rPr>
            </w:pPr>
          </w:p>
        </w:tc>
        <w:tc>
          <w:tcPr>
            <w:tcW w:w="700" w:type="dxa"/>
            <w:vAlign w:val="bottom"/>
            <w:shd w:val="clear" w:color="auto" w:fill="F2F2F2"/>
          </w:tcPr>
          <w:p>
            <w:pPr>
              <w:spacing w:after="0"/>
              <w:rPr>
                <w:sz w:val="5"/>
                <w:szCs w:val="5"/>
                <w:color w:val="auto"/>
              </w:rPr>
            </w:pPr>
          </w:p>
        </w:tc>
        <w:tc>
          <w:tcPr>
            <w:tcW w:w="1460" w:type="dxa"/>
            <w:vAlign w:val="bottom"/>
            <w:shd w:val="clear" w:color="auto" w:fill="F2F2F2"/>
          </w:tcPr>
          <w:p>
            <w:pPr>
              <w:spacing w:after="0"/>
              <w:rPr>
                <w:sz w:val="5"/>
                <w:szCs w:val="5"/>
                <w:color w:val="auto"/>
              </w:rPr>
            </w:pPr>
          </w:p>
        </w:tc>
        <w:tc>
          <w:tcPr>
            <w:tcW w:w="880" w:type="dxa"/>
            <w:vAlign w:val="bottom"/>
            <w:shd w:val="clear" w:color="auto" w:fill="F2F2F2"/>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160" w:type="dxa"/>
            <w:vAlign w:val="bottom"/>
            <w:shd w:val="clear" w:color="auto" w:fill="F2F2F2"/>
          </w:tcPr>
          <w:p>
            <w:pPr>
              <w:spacing w:after="0"/>
              <w:rPr>
                <w:sz w:val="16"/>
                <w:szCs w:val="16"/>
                <w:color w:val="auto"/>
              </w:rPr>
            </w:pPr>
          </w:p>
        </w:tc>
        <w:tc>
          <w:tcPr>
            <w:tcW w:w="960" w:type="dxa"/>
            <w:vAlign w:val="bottom"/>
            <w:shd w:val="clear" w:color="auto" w:fill="F2F2F2"/>
          </w:tcPr>
          <w:p>
            <w:pPr>
              <w:ind w:left="20"/>
              <w:spacing w:after="0"/>
              <w:rPr>
                <w:sz w:val="20"/>
                <w:szCs w:val="20"/>
                <w:color w:val="auto"/>
              </w:rPr>
            </w:pPr>
            <w:r>
              <w:rPr>
                <w:rFonts w:ascii="Arial" w:cs="Arial" w:eastAsia="Arial" w:hAnsi="Arial"/>
                <w:sz w:val="14"/>
                <w:szCs w:val="14"/>
                <w:color w:val="auto"/>
              </w:rPr>
              <w:t>RVA</w:t>
            </w:r>
          </w:p>
        </w:tc>
        <w:tc>
          <w:tcPr>
            <w:tcW w:w="180" w:type="dxa"/>
            <w:vAlign w:val="bottom"/>
            <w:shd w:val="clear" w:color="auto" w:fill="F2F2F2"/>
          </w:tcPr>
          <w:p>
            <w:pPr>
              <w:spacing w:after="0"/>
              <w:rPr>
                <w:sz w:val="16"/>
                <w:szCs w:val="16"/>
                <w:color w:val="auto"/>
              </w:rPr>
            </w:pPr>
          </w:p>
        </w:tc>
        <w:tc>
          <w:tcPr>
            <w:tcW w:w="940" w:type="dxa"/>
            <w:vAlign w:val="bottom"/>
            <w:shd w:val="clear" w:color="auto" w:fill="F2F2F2"/>
          </w:tcPr>
          <w:p>
            <w:pPr>
              <w:jc w:val="right"/>
              <w:ind w:right="148"/>
              <w:spacing w:after="0"/>
              <w:rPr>
                <w:sz w:val="20"/>
                <w:szCs w:val="20"/>
                <w:color w:val="auto"/>
              </w:rPr>
            </w:pPr>
            <w:r>
              <w:rPr>
                <w:rFonts w:ascii="Arial" w:cs="Arial" w:eastAsia="Arial" w:hAnsi="Arial"/>
                <w:sz w:val="14"/>
                <w:szCs w:val="14"/>
                <w:color w:val="auto"/>
              </w:rPr>
              <w:t>2/12/2024</w:t>
            </w:r>
          </w:p>
        </w:tc>
        <w:tc>
          <w:tcPr>
            <w:tcW w:w="940" w:type="dxa"/>
            <w:vAlign w:val="bottom"/>
            <w:shd w:val="clear" w:color="auto" w:fill="F2F2F2"/>
          </w:tcPr>
          <w:p>
            <w:pPr>
              <w:jc w:val="right"/>
              <w:ind w:right="8"/>
              <w:spacing w:after="0"/>
              <w:rPr>
                <w:sz w:val="20"/>
                <w:szCs w:val="20"/>
                <w:color w:val="auto"/>
              </w:rPr>
            </w:pPr>
            <w:r>
              <w:rPr>
                <w:rFonts w:ascii="Arial" w:cs="Arial" w:eastAsia="Arial" w:hAnsi="Arial"/>
                <w:sz w:val="14"/>
                <w:szCs w:val="14"/>
                <w:color w:val="auto"/>
              </w:rPr>
              <w:t>2/12/2024</w:t>
            </w:r>
          </w:p>
        </w:tc>
        <w:tc>
          <w:tcPr>
            <w:tcW w:w="740" w:type="dxa"/>
            <w:vAlign w:val="bottom"/>
            <w:shd w:val="clear" w:color="auto" w:fill="F2F2F2"/>
          </w:tcPr>
          <w:p>
            <w:pPr>
              <w:spacing w:after="0"/>
              <w:rPr>
                <w:sz w:val="16"/>
                <w:szCs w:val="16"/>
                <w:color w:val="auto"/>
              </w:rPr>
            </w:pPr>
          </w:p>
        </w:tc>
        <w:tc>
          <w:tcPr>
            <w:tcW w:w="840" w:type="dxa"/>
            <w:vAlign w:val="bottom"/>
            <w:shd w:val="clear" w:color="auto" w:fill="F2F2F2"/>
          </w:tcPr>
          <w:p>
            <w:pPr>
              <w:spacing w:after="0"/>
              <w:rPr>
                <w:sz w:val="16"/>
                <w:szCs w:val="16"/>
                <w:color w:val="auto"/>
              </w:rPr>
            </w:pPr>
          </w:p>
        </w:tc>
        <w:tc>
          <w:tcPr>
            <w:tcW w:w="1660" w:type="dxa"/>
            <w:vAlign w:val="bottom"/>
            <w:shd w:val="clear" w:color="auto" w:fill="F2F2F2"/>
          </w:tcPr>
          <w:p>
            <w:pPr>
              <w:jc w:val="right"/>
              <w:ind w:right="48"/>
              <w:spacing w:after="0"/>
              <w:rPr>
                <w:sz w:val="20"/>
                <w:szCs w:val="20"/>
                <w:color w:val="auto"/>
              </w:rPr>
            </w:pPr>
            <w:r>
              <w:rPr>
                <w:rFonts w:ascii="Arial" w:cs="Arial" w:eastAsia="Arial" w:hAnsi="Arial"/>
                <w:sz w:val="14"/>
                <w:szCs w:val="14"/>
                <w:color w:val="auto"/>
              </w:rPr>
              <w:t>610</w:t>
            </w:r>
          </w:p>
        </w:tc>
        <w:tc>
          <w:tcPr>
            <w:tcW w:w="700" w:type="dxa"/>
            <w:vAlign w:val="bottom"/>
            <w:shd w:val="clear" w:color="auto" w:fill="F2F2F2"/>
          </w:tcPr>
          <w:p>
            <w:pPr>
              <w:jc w:val="right"/>
              <w:ind w:right="68"/>
              <w:spacing w:after="0"/>
              <w:rPr>
                <w:sz w:val="20"/>
                <w:szCs w:val="20"/>
                <w:color w:val="auto"/>
              </w:rPr>
            </w:pPr>
            <w:r>
              <w:rPr>
                <w:rFonts w:ascii="Arial" w:cs="Arial" w:eastAsia="Arial" w:hAnsi="Arial"/>
                <w:sz w:val="14"/>
                <w:szCs w:val="14"/>
                <w:color w:val="auto"/>
              </w:rPr>
              <w:t>1,220</w:t>
            </w:r>
          </w:p>
        </w:tc>
        <w:tc>
          <w:tcPr>
            <w:tcW w:w="1460" w:type="dxa"/>
            <w:vAlign w:val="bottom"/>
            <w:shd w:val="clear" w:color="auto" w:fill="F2F2F2"/>
          </w:tcPr>
          <w:p>
            <w:pPr>
              <w:jc w:val="right"/>
              <w:ind w:right="748"/>
              <w:spacing w:after="0"/>
              <w:rPr>
                <w:sz w:val="20"/>
                <w:szCs w:val="20"/>
                <w:color w:val="auto"/>
              </w:rPr>
            </w:pPr>
            <w:r>
              <w:rPr>
                <w:rFonts w:ascii="Arial" w:cs="Arial" w:eastAsia="Arial" w:hAnsi="Arial"/>
                <w:sz w:val="14"/>
                <w:szCs w:val="14"/>
                <w:color w:val="auto"/>
              </w:rPr>
              <w:t>2,440</w:t>
            </w:r>
          </w:p>
        </w:tc>
        <w:tc>
          <w:tcPr>
            <w:tcW w:w="880" w:type="dxa"/>
            <w:vAlign w:val="bottom"/>
            <w:shd w:val="clear" w:color="auto" w:fill="F2F2F2"/>
          </w:tcPr>
          <w:p>
            <w:pPr>
              <w:jc w:val="right"/>
              <w:ind w:right="8"/>
              <w:spacing w:after="0"/>
              <w:rPr>
                <w:sz w:val="20"/>
                <w:szCs w:val="20"/>
                <w:color w:val="auto"/>
              </w:rPr>
            </w:pPr>
            <w:r>
              <w:rPr>
                <w:rFonts w:ascii="Arial" w:cs="Arial" w:eastAsia="Arial" w:hAnsi="Arial"/>
                <w:sz w:val="14"/>
                <w:szCs w:val="14"/>
                <w:color w:val="auto"/>
              </w:rPr>
              <w:t>$1,349,808</w:t>
            </w:r>
          </w:p>
        </w:tc>
        <w:tc>
          <w:tcPr>
            <w:tcW w:w="0" w:type="dxa"/>
            <w:vAlign w:val="bottom"/>
          </w:tcPr>
          <w:p>
            <w:pPr>
              <w:spacing w:after="0"/>
              <w:rPr>
                <w:sz w:val="1"/>
                <w:szCs w:val="1"/>
                <w:color w:val="auto"/>
              </w:rPr>
            </w:pPr>
          </w:p>
        </w:tc>
      </w:tr>
      <w:tr>
        <w:trPr>
          <w:trHeight w:val="278"/>
        </w:trPr>
        <w:tc>
          <w:tcPr>
            <w:tcW w:w="160" w:type="dxa"/>
            <w:vAlign w:val="bottom"/>
            <w:shd w:val="clear" w:color="auto" w:fill="F2F2F2"/>
          </w:tcPr>
          <w:p>
            <w:pPr>
              <w:spacing w:after="0"/>
              <w:rPr>
                <w:sz w:val="24"/>
                <w:szCs w:val="24"/>
                <w:color w:val="auto"/>
              </w:rPr>
            </w:pPr>
          </w:p>
        </w:tc>
        <w:tc>
          <w:tcPr>
            <w:tcW w:w="960" w:type="dxa"/>
            <w:vAlign w:val="bottom"/>
            <w:shd w:val="clear" w:color="auto" w:fill="F2F2F2"/>
          </w:tcPr>
          <w:p>
            <w:pPr>
              <w:spacing w:after="0"/>
              <w:rPr>
                <w:sz w:val="24"/>
                <w:szCs w:val="24"/>
                <w:color w:val="auto"/>
              </w:rPr>
            </w:pPr>
          </w:p>
        </w:tc>
        <w:tc>
          <w:tcPr>
            <w:tcW w:w="180" w:type="dxa"/>
            <w:vAlign w:val="bottom"/>
            <w:shd w:val="clear" w:color="auto" w:fill="F2F2F2"/>
          </w:tcPr>
          <w:p>
            <w:pPr>
              <w:spacing w:after="0"/>
              <w:rPr>
                <w:sz w:val="24"/>
                <w:szCs w:val="24"/>
                <w:color w:val="auto"/>
              </w:rPr>
            </w:pPr>
          </w:p>
        </w:tc>
        <w:tc>
          <w:tcPr>
            <w:tcW w:w="940" w:type="dxa"/>
            <w:vAlign w:val="bottom"/>
            <w:shd w:val="clear" w:color="auto" w:fill="F2F2F2"/>
          </w:tcPr>
          <w:p>
            <w:pPr>
              <w:spacing w:after="0"/>
              <w:rPr>
                <w:sz w:val="24"/>
                <w:szCs w:val="24"/>
                <w:color w:val="auto"/>
              </w:rPr>
            </w:pPr>
          </w:p>
        </w:tc>
        <w:tc>
          <w:tcPr>
            <w:tcW w:w="940" w:type="dxa"/>
            <w:vAlign w:val="bottom"/>
            <w:shd w:val="clear" w:color="auto" w:fill="F2F2F2"/>
          </w:tcPr>
          <w:p>
            <w:pPr>
              <w:spacing w:after="0"/>
              <w:rPr>
                <w:sz w:val="24"/>
                <w:szCs w:val="24"/>
                <w:color w:val="auto"/>
              </w:rPr>
            </w:pPr>
          </w:p>
        </w:tc>
        <w:tc>
          <w:tcPr>
            <w:tcW w:w="740" w:type="dxa"/>
            <w:vAlign w:val="bottom"/>
            <w:shd w:val="clear" w:color="auto" w:fill="F2F2F2"/>
          </w:tcPr>
          <w:p>
            <w:pPr>
              <w:spacing w:after="0"/>
              <w:rPr>
                <w:sz w:val="24"/>
                <w:szCs w:val="24"/>
                <w:color w:val="auto"/>
              </w:rPr>
            </w:pPr>
          </w:p>
        </w:tc>
        <w:tc>
          <w:tcPr>
            <w:tcW w:w="840" w:type="dxa"/>
            <w:vAlign w:val="bottom"/>
            <w:shd w:val="clear" w:color="auto" w:fill="F2F2F2"/>
          </w:tcPr>
          <w:p>
            <w:pPr>
              <w:spacing w:after="0"/>
              <w:rPr>
                <w:sz w:val="24"/>
                <w:szCs w:val="24"/>
                <w:color w:val="auto"/>
              </w:rPr>
            </w:pPr>
          </w:p>
        </w:tc>
        <w:tc>
          <w:tcPr>
            <w:tcW w:w="1660" w:type="dxa"/>
            <w:vAlign w:val="bottom"/>
            <w:shd w:val="clear" w:color="auto" w:fill="F2F2F2"/>
          </w:tcPr>
          <w:p>
            <w:pPr>
              <w:spacing w:after="0"/>
              <w:rPr>
                <w:sz w:val="24"/>
                <w:szCs w:val="24"/>
                <w:color w:val="auto"/>
              </w:rPr>
            </w:pPr>
          </w:p>
        </w:tc>
        <w:tc>
          <w:tcPr>
            <w:tcW w:w="700" w:type="dxa"/>
            <w:vAlign w:val="bottom"/>
            <w:shd w:val="clear" w:color="auto" w:fill="F2F2F2"/>
          </w:tcPr>
          <w:p>
            <w:pPr>
              <w:spacing w:after="0"/>
              <w:rPr>
                <w:sz w:val="24"/>
                <w:szCs w:val="24"/>
                <w:color w:val="auto"/>
              </w:rPr>
            </w:pPr>
          </w:p>
        </w:tc>
        <w:tc>
          <w:tcPr>
            <w:tcW w:w="1460" w:type="dxa"/>
            <w:vAlign w:val="bottom"/>
            <w:shd w:val="clear" w:color="auto" w:fill="F2F2F2"/>
          </w:tcPr>
          <w:p>
            <w:pPr>
              <w:spacing w:after="0"/>
              <w:rPr>
                <w:sz w:val="24"/>
                <w:szCs w:val="24"/>
                <w:color w:val="auto"/>
              </w:rPr>
            </w:pPr>
          </w:p>
        </w:tc>
        <w:tc>
          <w:tcPr>
            <w:tcW w:w="880" w:type="dxa"/>
            <w:vAlign w:val="bottom"/>
            <w:shd w:val="clear" w:color="auto" w:fill="F2F2F2"/>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1120" w:type="dxa"/>
            <w:vAlign w:val="bottom"/>
            <w:gridSpan w:val="2"/>
          </w:tcPr>
          <w:p>
            <w:pPr>
              <w:ind w:left="20"/>
              <w:spacing w:after="0"/>
              <w:rPr>
                <w:sz w:val="20"/>
                <w:szCs w:val="20"/>
                <w:color w:val="auto"/>
              </w:rPr>
            </w:pPr>
            <w:r>
              <w:rPr>
                <w:rFonts w:ascii="Arial" w:cs="Arial" w:eastAsia="Arial" w:hAnsi="Arial"/>
                <w:sz w:val="14"/>
                <w:szCs w:val="14"/>
                <w:color w:val="auto"/>
              </w:rPr>
              <w:t>Mr. Brooks</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$74,184</w:t>
            </w:r>
          </w:p>
        </w:tc>
        <w:tc>
          <w:tcPr>
            <w:tcW w:w="840" w:type="dxa"/>
            <w:vAlign w:val="bottom"/>
          </w:tcPr>
          <w:p>
            <w:pPr>
              <w:jc w:val="right"/>
              <w:spacing w:after="0"/>
              <w:rPr>
                <w:sz w:val="20"/>
                <w:szCs w:val="20"/>
                <w:color w:val="auto"/>
              </w:rPr>
            </w:pPr>
            <w:r>
              <w:rPr>
                <w:rFonts w:ascii="Arial" w:cs="Arial" w:eastAsia="Arial" w:hAnsi="Arial"/>
                <w:sz w:val="14"/>
                <w:szCs w:val="14"/>
                <w:color w:val="auto"/>
              </w:rPr>
              <w:t>$296,738</w:t>
            </w:r>
          </w:p>
        </w:tc>
        <w:tc>
          <w:tcPr>
            <w:tcW w:w="1660" w:type="dxa"/>
            <w:vAlign w:val="bottom"/>
          </w:tcPr>
          <w:p>
            <w:pPr>
              <w:jc w:val="right"/>
              <w:ind w:right="788"/>
              <w:spacing w:after="0"/>
              <w:rPr>
                <w:sz w:val="20"/>
                <w:szCs w:val="20"/>
                <w:color w:val="auto"/>
              </w:rPr>
            </w:pPr>
            <w:r>
              <w:rPr>
                <w:rFonts w:ascii="Arial" w:cs="Arial" w:eastAsia="Arial" w:hAnsi="Arial"/>
                <w:sz w:val="14"/>
                <w:szCs w:val="14"/>
                <w:color w:val="auto"/>
              </w:rPr>
              <w:t>$741,844</w:t>
            </w:r>
          </w:p>
        </w:tc>
        <w:tc>
          <w:tcPr>
            <w:tcW w:w="7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120" w:type="dxa"/>
            <w:vAlign w:val="bottom"/>
            <w:gridSpan w:val="2"/>
          </w:tcPr>
          <w:p>
            <w:pPr>
              <w:ind w:left="180"/>
              <w:spacing w:after="0"/>
              <w:rPr>
                <w:sz w:val="20"/>
                <w:szCs w:val="20"/>
                <w:color w:val="auto"/>
              </w:rPr>
            </w:pPr>
            <w:r>
              <w:rPr>
                <w:rFonts w:ascii="Arial" w:cs="Arial" w:eastAsia="Arial" w:hAnsi="Arial"/>
                <w:sz w:val="14"/>
                <w:szCs w:val="14"/>
                <w:color w:val="auto"/>
              </w:rPr>
              <w:t>2024-2026</w:t>
            </w:r>
          </w:p>
        </w:tc>
        <w:tc>
          <w:tcPr>
            <w:tcW w:w="180" w:type="dxa"/>
            <w:vAlign w:val="bottom"/>
            <w:vMerge w:val="restart"/>
          </w:tcPr>
          <w:p>
            <w:pPr>
              <w:jc w:val="right"/>
              <w:ind w:right="54"/>
              <w:spacing w:after="0"/>
              <w:rPr>
                <w:sz w:val="20"/>
                <w:szCs w:val="20"/>
                <w:color w:val="auto"/>
              </w:rPr>
            </w:pPr>
            <w:r>
              <w:rPr>
                <w:rFonts w:ascii="Arial" w:cs="Arial" w:eastAsia="Arial" w:hAnsi="Arial"/>
                <w:sz w:val="9"/>
                <w:szCs w:val="9"/>
                <w:color w:val="auto"/>
              </w:rPr>
              <w:t>4</w:t>
            </w:r>
          </w:p>
        </w:tc>
        <w:tc>
          <w:tcPr>
            <w:tcW w:w="9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3"/>
        </w:trPr>
        <w:tc>
          <w:tcPr>
            <w:tcW w:w="160" w:type="dxa"/>
            <w:vAlign w:val="bottom"/>
          </w:tcPr>
          <w:p>
            <w:pPr>
              <w:spacing w:after="0"/>
              <w:rPr>
                <w:sz w:val="8"/>
                <w:szCs w:val="8"/>
                <w:color w:val="auto"/>
              </w:rPr>
            </w:pPr>
          </w:p>
        </w:tc>
        <w:tc>
          <w:tcPr>
            <w:tcW w:w="960" w:type="dxa"/>
            <w:vAlign w:val="bottom"/>
            <w:vMerge w:val="restart"/>
          </w:tcPr>
          <w:p>
            <w:pPr>
              <w:ind w:left="20"/>
              <w:spacing w:after="0"/>
              <w:rPr>
                <w:sz w:val="20"/>
                <w:szCs w:val="20"/>
                <w:color w:val="auto"/>
              </w:rPr>
            </w:pPr>
            <w:r>
              <w:rPr>
                <w:rFonts w:ascii="Arial" w:cs="Arial" w:eastAsia="Arial" w:hAnsi="Arial"/>
                <w:sz w:val="14"/>
                <w:szCs w:val="14"/>
                <w:color w:val="auto"/>
              </w:rPr>
              <w:t>SVA</w:t>
            </w:r>
          </w:p>
        </w:tc>
        <w:tc>
          <w:tcPr>
            <w:tcW w:w="180" w:type="dxa"/>
            <w:vAlign w:val="bottom"/>
            <w:vMerge w:val="continue"/>
          </w:tcPr>
          <w:p>
            <w:pPr>
              <w:spacing w:after="0"/>
              <w:rPr>
                <w:sz w:val="8"/>
                <w:szCs w:val="8"/>
                <w:color w:val="auto"/>
              </w:rPr>
            </w:pPr>
          </w:p>
        </w:tc>
        <w:tc>
          <w:tcPr>
            <w:tcW w:w="940" w:type="dxa"/>
            <w:vAlign w:val="bottom"/>
            <w:vMerge w:val="restart"/>
          </w:tcPr>
          <w:p>
            <w:pPr>
              <w:jc w:val="right"/>
              <w:ind w:right="148"/>
              <w:spacing w:after="0"/>
              <w:rPr>
                <w:sz w:val="20"/>
                <w:szCs w:val="20"/>
                <w:color w:val="auto"/>
              </w:rPr>
            </w:pPr>
            <w:r>
              <w:rPr>
                <w:rFonts w:ascii="Arial" w:cs="Arial" w:eastAsia="Arial" w:hAnsi="Arial"/>
                <w:sz w:val="14"/>
                <w:szCs w:val="14"/>
                <w:color w:val="auto"/>
              </w:rPr>
              <w:t>2/12/2024</w:t>
            </w:r>
          </w:p>
        </w:tc>
        <w:tc>
          <w:tcPr>
            <w:tcW w:w="940" w:type="dxa"/>
            <w:vAlign w:val="bottom"/>
            <w:vMerge w:val="restart"/>
          </w:tcPr>
          <w:p>
            <w:pPr>
              <w:jc w:val="right"/>
              <w:ind w:right="8"/>
              <w:spacing w:after="0"/>
              <w:rPr>
                <w:sz w:val="20"/>
                <w:szCs w:val="20"/>
                <w:color w:val="auto"/>
              </w:rPr>
            </w:pPr>
            <w:r>
              <w:rPr>
                <w:rFonts w:ascii="Arial" w:cs="Arial" w:eastAsia="Arial" w:hAnsi="Arial"/>
                <w:sz w:val="14"/>
                <w:szCs w:val="14"/>
                <w:color w:val="auto"/>
              </w:rPr>
              <w:t>2/12/2024</w:t>
            </w:r>
          </w:p>
        </w:tc>
        <w:tc>
          <w:tcPr>
            <w:tcW w:w="7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60" w:type="dxa"/>
            <w:vAlign w:val="bottom"/>
            <w:vMerge w:val="restart"/>
          </w:tcPr>
          <w:p>
            <w:pPr>
              <w:jc w:val="right"/>
              <w:ind w:right="48"/>
              <w:spacing w:after="0"/>
              <w:rPr>
                <w:sz w:val="20"/>
                <w:szCs w:val="20"/>
                <w:color w:val="auto"/>
              </w:rPr>
            </w:pPr>
            <w:r>
              <w:rPr>
                <w:rFonts w:ascii="Arial" w:cs="Arial" w:eastAsia="Arial" w:hAnsi="Arial"/>
                <w:sz w:val="14"/>
                <w:szCs w:val="14"/>
                <w:color w:val="auto"/>
              </w:rPr>
              <w:t>97</w:t>
            </w:r>
          </w:p>
        </w:tc>
        <w:tc>
          <w:tcPr>
            <w:tcW w:w="700" w:type="dxa"/>
            <w:vAlign w:val="bottom"/>
            <w:vMerge w:val="restart"/>
          </w:tcPr>
          <w:p>
            <w:pPr>
              <w:jc w:val="right"/>
              <w:ind w:right="68"/>
              <w:spacing w:after="0"/>
              <w:rPr>
                <w:sz w:val="20"/>
                <w:szCs w:val="20"/>
                <w:color w:val="auto"/>
              </w:rPr>
            </w:pPr>
            <w:r>
              <w:rPr>
                <w:rFonts w:ascii="Arial" w:cs="Arial" w:eastAsia="Arial" w:hAnsi="Arial"/>
                <w:sz w:val="14"/>
                <w:szCs w:val="14"/>
                <w:color w:val="auto"/>
              </w:rPr>
              <w:t>194</w:t>
            </w:r>
          </w:p>
        </w:tc>
        <w:tc>
          <w:tcPr>
            <w:tcW w:w="1460" w:type="dxa"/>
            <w:vAlign w:val="bottom"/>
            <w:vMerge w:val="restart"/>
          </w:tcPr>
          <w:p>
            <w:pPr>
              <w:jc w:val="right"/>
              <w:ind w:right="748"/>
              <w:spacing w:after="0"/>
              <w:rPr>
                <w:sz w:val="20"/>
                <w:szCs w:val="20"/>
                <w:color w:val="auto"/>
              </w:rPr>
            </w:pPr>
            <w:r>
              <w:rPr>
                <w:rFonts w:ascii="Arial" w:cs="Arial" w:eastAsia="Arial" w:hAnsi="Arial"/>
                <w:sz w:val="14"/>
                <w:szCs w:val="14"/>
                <w:color w:val="auto"/>
              </w:rPr>
              <w:t>388</w:t>
            </w:r>
          </w:p>
        </w:tc>
        <w:tc>
          <w:tcPr>
            <w:tcW w:w="880" w:type="dxa"/>
            <w:vAlign w:val="bottom"/>
            <w:vMerge w:val="restart"/>
          </w:tcPr>
          <w:p>
            <w:pPr>
              <w:jc w:val="right"/>
              <w:ind w:right="8"/>
              <w:spacing w:after="0"/>
              <w:rPr>
                <w:sz w:val="20"/>
                <w:szCs w:val="20"/>
                <w:color w:val="auto"/>
              </w:rPr>
            </w:pPr>
            <w:r>
              <w:rPr>
                <w:rFonts w:ascii="Arial" w:cs="Arial" w:eastAsia="Arial" w:hAnsi="Arial"/>
                <w:sz w:val="14"/>
                <w:szCs w:val="14"/>
                <w:color w:val="auto"/>
              </w:rPr>
              <w:t>$199,989</w:t>
            </w:r>
          </w:p>
        </w:tc>
        <w:tc>
          <w:tcPr>
            <w:tcW w:w="0" w:type="dxa"/>
            <w:vAlign w:val="bottom"/>
          </w:tcPr>
          <w:p>
            <w:pPr>
              <w:spacing w:after="0"/>
              <w:rPr>
                <w:sz w:val="1"/>
                <w:szCs w:val="1"/>
                <w:color w:val="auto"/>
              </w:rPr>
            </w:pPr>
          </w:p>
        </w:tc>
      </w:tr>
      <w:tr>
        <w:trPr>
          <w:trHeight w:val="97"/>
        </w:trPr>
        <w:tc>
          <w:tcPr>
            <w:tcW w:w="16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7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146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1120" w:type="dxa"/>
            <w:vAlign w:val="bottom"/>
            <w:gridSpan w:val="2"/>
          </w:tcPr>
          <w:p>
            <w:pPr>
              <w:ind w:left="180"/>
              <w:spacing w:after="0"/>
              <w:rPr>
                <w:sz w:val="20"/>
                <w:szCs w:val="20"/>
                <w:color w:val="auto"/>
              </w:rPr>
            </w:pPr>
            <w:r>
              <w:rPr>
                <w:rFonts w:ascii="Arial" w:cs="Arial" w:eastAsia="Arial" w:hAnsi="Arial"/>
                <w:sz w:val="14"/>
                <w:szCs w:val="14"/>
                <w:color w:val="auto"/>
              </w:rPr>
              <w:t>2024-2026</w:t>
            </w:r>
          </w:p>
        </w:tc>
        <w:tc>
          <w:tcPr>
            <w:tcW w:w="180" w:type="dxa"/>
            <w:vAlign w:val="bottom"/>
            <w:vMerge w:val="restart"/>
          </w:tcPr>
          <w:p>
            <w:pPr>
              <w:jc w:val="right"/>
              <w:ind w:right="54"/>
              <w:spacing w:after="0"/>
              <w:rPr>
                <w:sz w:val="20"/>
                <w:szCs w:val="20"/>
                <w:color w:val="auto"/>
              </w:rPr>
            </w:pPr>
            <w:r>
              <w:rPr>
                <w:rFonts w:ascii="Arial" w:cs="Arial" w:eastAsia="Arial" w:hAnsi="Arial"/>
                <w:sz w:val="9"/>
                <w:szCs w:val="9"/>
                <w:color w:val="auto"/>
              </w:rPr>
              <w:t>5</w:t>
            </w:r>
          </w:p>
        </w:tc>
        <w:tc>
          <w:tcPr>
            <w:tcW w:w="9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3"/>
        </w:trPr>
        <w:tc>
          <w:tcPr>
            <w:tcW w:w="160" w:type="dxa"/>
            <w:vAlign w:val="bottom"/>
          </w:tcPr>
          <w:p>
            <w:pPr>
              <w:spacing w:after="0"/>
              <w:rPr>
                <w:sz w:val="8"/>
                <w:szCs w:val="8"/>
                <w:color w:val="auto"/>
              </w:rPr>
            </w:pPr>
          </w:p>
        </w:tc>
        <w:tc>
          <w:tcPr>
            <w:tcW w:w="960" w:type="dxa"/>
            <w:vAlign w:val="bottom"/>
            <w:vMerge w:val="restart"/>
          </w:tcPr>
          <w:p>
            <w:pPr>
              <w:ind w:left="20"/>
              <w:spacing w:after="0"/>
              <w:rPr>
                <w:sz w:val="20"/>
                <w:szCs w:val="20"/>
                <w:color w:val="auto"/>
              </w:rPr>
            </w:pPr>
            <w:r>
              <w:rPr>
                <w:rFonts w:ascii="Arial" w:cs="Arial" w:eastAsia="Arial" w:hAnsi="Arial"/>
                <w:sz w:val="14"/>
                <w:szCs w:val="14"/>
                <w:color w:val="auto"/>
              </w:rPr>
              <w:t>RVA</w:t>
            </w:r>
          </w:p>
        </w:tc>
        <w:tc>
          <w:tcPr>
            <w:tcW w:w="180" w:type="dxa"/>
            <w:vAlign w:val="bottom"/>
            <w:vMerge w:val="continue"/>
          </w:tcPr>
          <w:p>
            <w:pPr>
              <w:spacing w:after="0"/>
              <w:rPr>
                <w:sz w:val="8"/>
                <w:szCs w:val="8"/>
                <w:color w:val="auto"/>
              </w:rPr>
            </w:pPr>
          </w:p>
        </w:tc>
        <w:tc>
          <w:tcPr>
            <w:tcW w:w="940" w:type="dxa"/>
            <w:vAlign w:val="bottom"/>
            <w:vMerge w:val="restart"/>
          </w:tcPr>
          <w:p>
            <w:pPr>
              <w:jc w:val="right"/>
              <w:ind w:right="148"/>
              <w:spacing w:after="0"/>
              <w:rPr>
                <w:sz w:val="20"/>
                <w:szCs w:val="20"/>
                <w:color w:val="auto"/>
              </w:rPr>
            </w:pPr>
            <w:r>
              <w:rPr>
                <w:rFonts w:ascii="Arial" w:cs="Arial" w:eastAsia="Arial" w:hAnsi="Arial"/>
                <w:sz w:val="14"/>
                <w:szCs w:val="14"/>
                <w:color w:val="auto"/>
              </w:rPr>
              <w:t>2/12/2024</w:t>
            </w:r>
          </w:p>
        </w:tc>
        <w:tc>
          <w:tcPr>
            <w:tcW w:w="940" w:type="dxa"/>
            <w:vAlign w:val="bottom"/>
            <w:vMerge w:val="restart"/>
          </w:tcPr>
          <w:p>
            <w:pPr>
              <w:jc w:val="right"/>
              <w:ind w:right="8"/>
              <w:spacing w:after="0"/>
              <w:rPr>
                <w:sz w:val="20"/>
                <w:szCs w:val="20"/>
                <w:color w:val="auto"/>
              </w:rPr>
            </w:pPr>
            <w:r>
              <w:rPr>
                <w:rFonts w:ascii="Arial" w:cs="Arial" w:eastAsia="Arial" w:hAnsi="Arial"/>
                <w:sz w:val="14"/>
                <w:szCs w:val="14"/>
                <w:color w:val="auto"/>
              </w:rPr>
              <w:t>2/12/2024</w:t>
            </w:r>
          </w:p>
        </w:tc>
        <w:tc>
          <w:tcPr>
            <w:tcW w:w="7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60" w:type="dxa"/>
            <w:vAlign w:val="bottom"/>
            <w:vMerge w:val="restart"/>
          </w:tcPr>
          <w:p>
            <w:pPr>
              <w:jc w:val="right"/>
              <w:ind w:right="48"/>
              <w:spacing w:after="0"/>
              <w:rPr>
                <w:sz w:val="20"/>
                <w:szCs w:val="20"/>
                <w:color w:val="auto"/>
              </w:rPr>
            </w:pPr>
            <w:r>
              <w:rPr>
                <w:rFonts w:ascii="Arial" w:cs="Arial" w:eastAsia="Arial" w:hAnsi="Arial"/>
                <w:sz w:val="14"/>
                <w:szCs w:val="14"/>
                <w:color w:val="auto"/>
              </w:rPr>
              <w:t>91</w:t>
            </w:r>
          </w:p>
        </w:tc>
        <w:tc>
          <w:tcPr>
            <w:tcW w:w="700" w:type="dxa"/>
            <w:vAlign w:val="bottom"/>
            <w:vMerge w:val="restart"/>
          </w:tcPr>
          <w:p>
            <w:pPr>
              <w:jc w:val="right"/>
              <w:ind w:right="68"/>
              <w:spacing w:after="0"/>
              <w:rPr>
                <w:sz w:val="20"/>
                <w:szCs w:val="20"/>
                <w:color w:val="auto"/>
              </w:rPr>
            </w:pPr>
            <w:r>
              <w:rPr>
                <w:rFonts w:ascii="Arial" w:cs="Arial" w:eastAsia="Arial" w:hAnsi="Arial"/>
                <w:sz w:val="14"/>
                <w:szCs w:val="14"/>
                <w:color w:val="auto"/>
              </w:rPr>
              <w:t>181</w:t>
            </w:r>
          </w:p>
        </w:tc>
        <w:tc>
          <w:tcPr>
            <w:tcW w:w="1460" w:type="dxa"/>
            <w:vAlign w:val="bottom"/>
            <w:vMerge w:val="restart"/>
          </w:tcPr>
          <w:p>
            <w:pPr>
              <w:jc w:val="right"/>
              <w:ind w:right="748"/>
              <w:spacing w:after="0"/>
              <w:rPr>
                <w:sz w:val="20"/>
                <w:szCs w:val="20"/>
                <w:color w:val="auto"/>
              </w:rPr>
            </w:pPr>
            <w:r>
              <w:rPr>
                <w:rFonts w:ascii="Arial" w:cs="Arial" w:eastAsia="Arial" w:hAnsi="Arial"/>
                <w:sz w:val="14"/>
                <w:szCs w:val="14"/>
                <w:color w:val="auto"/>
              </w:rPr>
              <w:t>362</w:t>
            </w:r>
          </w:p>
        </w:tc>
        <w:tc>
          <w:tcPr>
            <w:tcW w:w="880" w:type="dxa"/>
            <w:vAlign w:val="bottom"/>
            <w:vMerge w:val="restart"/>
          </w:tcPr>
          <w:p>
            <w:pPr>
              <w:jc w:val="right"/>
              <w:ind w:right="8"/>
              <w:spacing w:after="0"/>
              <w:rPr>
                <w:sz w:val="20"/>
                <w:szCs w:val="20"/>
                <w:color w:val="auto"/>
              </w:rPr>
            </w:pPr>
            <w:r>
              <w:rPr>
                <w:rFonts w:ascii="Arial" w:cs="Arial" w:eastAsia="Arial" w:hAnsi="Arial"/>
                <w:sz w:val="14"/>
                <w:szCs w:val="14"/>
                <w:color w:val="auto"/>
              </w:rPr>
              <w:t>$200,258</w:t>
            </w:r>
          </w:p>
        </w:tc>
        <w:tc>
          <w:tcPr>
            <w:tcW w:w="0" w:type="dxa"/>
            <w:vAlign w:val="bottom"/>
          </w:tcPr>
          <w:p>
            <w:pPr>
              <w:spacing w:after="0"/>
              <w:rPr>
                <w:sz w:val="1"/>
                <w:szCs w:val="1"/>
                <w:color w:val="auto"/>
              </w:rPr>
            </w:pPr>
          </w:p>
        </w:tc>
      </w:tr>
      <w:tr>
        <w:trPr>
          <w:trHeight w:val="97"/>
        </w:trPr>
        <w:tc>
          <w:tcPr>
            <w:tcW w:w="16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7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146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160" w:type="dxa"/>
            <w:vAlign w:val="bottom"/>
          </w:tcPr>
          <w:p>
            <w:pPr>
              <w:spacing w:after="0"/>
              <w:rPr>
                <w:sz w:val="18"/>
                <w:szCs w:val="18"/>
                <w:color w:val="auto"/>
              </w:rPr>
            </w:pPr>
          </w:p>
        </w:tc>
        <w:tc>
          <w:tcPr>
            <w:tcW w:w="960" w:type="dxa"/>
            <w:vAlign w:val="bottom"/>
          </w:tcPr>
          <w:p>
            <w:pPr>
              <w:ind w:left="20"/>
              <w:spacing w:after="0"/>
              <w:rPr>
                <w:sz w:val="20"/>
                <w:szCs w:val="20"/>
                <w:color w:val="auto"/>
              </w:rPr>
            </w:pPr>
            <w:r>
              <w:rPr>
                <w:rFonts w:ascii="Arial" w:cs="Arial" w:eastAsia="Arial" w:hAnsi="Arial"/>
                <w:sz w:val="14"/>
                <w:szCs w:val="14"/>
                <w:color w:val="auto"/>
              </w:rPr>
              <w:t>2024 RSU</w:t>
            </w:r>
          </w:p>
        </w:tc>
        <w:tc>
          <w:tcPr>
            <w:tcW w:w="180" w:type="dxa"/>
            <w:vAlign w:val="bottom"/>
            <w:vMerge w:val="restart"/>
          </w:tcPr>
          <w:p>
            <w:pPr>
              <w:jc w:val="right"/>
              <w:ind w:right="54"/>
              <w:spacing w:after="0"/>
              <w:rPr>
                <w:sz w:val="20"/>
                <w:szCs w:val="20"/>
                <w:color w:val="auto"/>
              </w:rPr>
            </w:pPr>
            <w:r>
              <w:rPr>
                <w:rFonts w:ascii="Arial" w:cs="Arial" w:eastAsia="Arial" w:hAnsi="Arial"/>
                <w:sz w:val="9"/>
                <w:szCs w:val="9"/>
                <w:color w:val="auto"/>
              </w:rPr>
              <w:t>6</w:t>
            </w:r>
          </w:p>
        </w:tc>
        <w:tc>
          <w:tcPr>
            <w:tcW w:w="9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3"/>
        </w:trPr>
        <w:tc>
          <w:tcPr>
            <w:tcW w:w="160" w:type="dxa"/>
            <w:vAlign w:val="bottom"/>
          </w:tcPr>
          <w:p>
            <w:pPr>
              <w:spacing w:after="0"/>
              <w:rPr>
                <w:sz w:val="8"/>
                <w:szCs w:val="8"/>
                <w:color w:val="auto"/>
              </w:rPr>
            </w:pPr>
          </w:p>
        </w:tc>
        <w:tc>
          <w:tcPr>
            <w:tcW w:w="960" w:type="dxa"/>
            <w:vAlign w:val="bottom"/>
            <w:vMerge w:val="restart"/>
          </w:tcPr>
          <w:p>
            <w:pPr>
              <w:ind w:left="20"/>
              <w:spacing w:after="0"/>
              <w:rPr>
                <w:sz w:val="20"/>
                <w:szCs w:val="20"/>
                <w:color w:val="auto"/>
              </w:rPr>
            </w:pPr>
            <w:r>
              <w:rPr>
                <w:rFonts w:ascii="Arial" w:cs="Arial" w:eastAsia="Arial" w:hAnsi="Arial"/>
                <w:sz w:val="14"/>
                <w:szCs w:val="14"/>
                <w:color w:val="auto"/>
              </w:rPr>
              <w:t>3YR</w:t>
            </w:r>
          </w:p>
        </w:tc>
        <w:tc>
          <w:tcPr>
            <w:tcW w:w="180" w:type="dxa"/>
            <w:vAlign w:val="bottom"/>
            <w:vMerge w:val="continue"/>
          </w:tcPr>
          <w:p>
            <w:pPr>
              <w:spacing w:after="0"/>
              <w:rPr>
                <w:sz w:val="8"/>
                <w:szCs w:val="8"/>
                <w:color w:val="auto"/>
              </w:rPr>
            </w:pPr>
          </w:p>
        </w:tc>
        <w:tc>
          <w:tcPr>
            <w:tcW w:w="940" w:type="dxa"/>
            <w:vAlign w:val="bottom"/>
            <w:vMerge w:val="restart"/>
          </w:tcPr>
          <w:p>
            <w:pPr>
              <w:jc w:val="right"/>
              <w:ind w:right="148"/>
              <w:spacing w:after="0"/>
              <w:rPr>
                <w:sz w:val="20"/>
                <w:szCs w:val="20"/>
                <w:color w:val="auto"/>
              </w:rPr>
            </w:pPr>
            <w:r>
              <w:rPr>
                <w:rFonts w:ascii="Arial" w:cs="Arial" w:eastAsia="Arial" w:hAnsi="Arial"/>
                <w:sz w:val="14"/>
                <w:szCs w:val="14"/>
                <w:color w:val="auto"/>
              </w:rPr>
              <w:t>2/12/2024</w:t>
            </w:r>
          </w:p>
        </w:tc>
        <w:tc>
          <w:tcPr>
            <w:tcW w:w="940" w:type="dxa"/>
            <w:vAlign w:val="bottom"/>
            <w:vMerge w:val="restart"/>
          </w:tcPr>
          <w:p>
            <w:pPr>
              <w:jc w:val="right"/>
              <w:ind w:right="8"/>
              <w:spacing w:after="0"/>
              <w:rPr>
                <w:sz w:val="20"/>
                <w:szCs w:val="20"/>
                <w:color w:val="auto"/>
              </w:rPr>
            </w:pPr>
            <w:r>
              <w:rPr>
                <w:rFonts w:ascii="Arial" w:cs="Arial" w:eastAsia="Arial" w:hAnsi="Arial"/>
                <w:sz w:val="14"/>
                <w:szCs w:val="14"/>
                <w:color w:val="auto"/>
              </w:rPr>
              <w:t>8/7/2023</w:t>
            </w:r>
          </w:p>
        </w:tc>
        <w:tc>
          <w:tcPr>
            <w:tcW w:w="7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60" w:type="dxa"/>
            <w:vAlign w:val="bottom"/>
            <w:vMerge w:val="restart"/>
          </w:tcPr>
          <w:p>
            <w:pPr>
              <w:jc w:val="right"/>
              <w:ind w:right="8"/>
              <w:spacing w:after="0"/>
              <w:rPr>
                <w:sz w:val="20"/>
                <w:szCs w:val="20"/>
                <w:color w:val="auto"/>
              </w:rPr>
            </w:pPr>
            <w:r>
              <w:rPr>
                <w:rFonts w:ascii="Arial" w:cs="Arial" w:eastAsia="Arial" w:hAnsi="Arial"/>
                <w:sz w:val="14"/>
                <w:szCs w:val="14"/>
                <w:color w:val="auto"/>
              </w:rPr>
              <w:t>278</w:t>
            </w:r>
          </w:p>
        </w:tc>
        <w:tc>
          <w:tcPr>
            <w:tcW w:w="880" w:type="dxa"/>
            <w:vAlign w:val="bottom"/>
            <w:vMerge w:val="restart"/>
          </w:tcPr>
          <w:p>
            <w:pPr>
              <w:jc w:val="right"/>
              <w:ind w:right="8"/>
              <w:spacing w:after="0"/>
              <w:rPr>
                <w:sz w:val="20"/>
                <w:szCs w:val="20"/>
                <w:color w:val="auto"/>
              </w:rPr>
            </w:pPr>
            <w:r>
              <w:rPr>
                <w:rFonts w:ascii="Arial" w:cs="Arial" w:eastAsia="Arial" w:hAnsi="Arial"/>
                <w:sz w:val="14"/>
                <w:szCs w:val="14"/>
                <w:color w:val="auto"/>
              </w:rPr>
              <w:t>$199,818</w:t>
            </w:r>
          </w:p>
        </w:tc>
        <w:tc>
          <w:tcPr>
            <w:tcW w:w="0" w:type="dxa"/>
            <w:vAlign w:val="bottom"/>
          </w:tcPr>
          <w:p>
            <w:pPr>
              <w:spacing w:after="0"/>
              <w:rPr>
                <w:sz w:val="1"/>
                <w:szCs w:val="1"/>
                <w:color w:val="auto"/>
              </w:rPr>
            </w:pPr>
          </w:p>
        </w:tc>
      </w:tr>
      <w:tr>
        <w:trPr>
          <w:trHeight w:val="97"/>
        </w:trPr>
        <w:tc>
          <w:tcPr>
            <w:tcW w:w="16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7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6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160" w:type="dxa"/>
            <w:vAlign w:val="bottom"/>
          </w:tcPr>
          <w:p>
            <w:pPr>
              <w:spacing w:after="0"/>
              <w:rPr>
                <w:sz w:val="18"/>
                <w:szCs w:val="18"/>
                <w:color w:val="auto"/>
              </w:rPr>
            </w:pPr>
          </w:p>
        </w:tc>
        <w:tc>
          <w:tcPr>
            <w:tcW w:w="960" w:type="dxa"/>
            <w:vAlign w:val="bottom"/>
          </w:tcPr>
          <w:p>
            <w:pPr>
              <w:ind w:left="20"/>
              <w:spacing w:after="0"/>
              <w:rPr>
                <w:sz w:val="20"/>
                <w:szCs w:val="20"/>
                <w:color w:val="auto"/>
              </w:rPr>
            </w:pPr>
            <w:r>
              <w:rPr>
                <w:rFonts w:ascii="Arial" w:cs="Arial" w:eastAsia="Arial" w:hAnsi="Arial"/>
                <w:sz w:val="14"/>
                <w:szCs w:val="14"/>
                <w:color w:val="auto"/>
              </w:rPr>
              <w:t>2024 RSU</w:t>
            </w:r>
          </w:p>
        </w:tc>
        <w:tc>
          <w:tcPr>
            <w:tcW w:w="180" w:type="dxa"/>
            <w:vAlign w:val="bottom"/>
            <w:vMerge w:val="restart"/>
          </w:tcPr>
          <w:p>
            <w:pPr>
              <w:jc w:val="right"/>
              <w:ind w:right="54"/>
              <w:spacing w:after="0"/>
              <w:rPr>
                <w:sz w:val="20"/>
                <w:szCs w:val="20"/>
                <w:color w:val="auto"/>
              </w:rPr>
            </w:pPr>
            <w:r>
              <w:rPr>
                <w:rFonts w:ascii="Arial" w:cs="Arial" w:eastAsia="Arial" w:hAnsi="Arial"/>
                <w:sz w:val="9"/>
                <w:szCs w:val="9"/>
                <w:color w:val="auto"/>
              </w:rPr>
              <w:t>6</w:t>
            </w:r>
          </w:p>
        </w:tc>
        <w:tc>
          <w:tcPr>
            <w:tcW w:w="9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3"/>
        </w:trPr>
        <w:tc>
          <w:tcPr>
            <w:tcW w:w="160" w:type="dxa"/>
            <w:vAlign w:val="bottom"/>
          </w:tcPr>
          <w:p>
            <w:pPr>
              <w:spacing w:after="0"/>
              <w:rPr>
                <w:sz w:val="8"/>
                <w:szCs w:val="8"/>
                <w:color w:val="auto"/>
              </w:rPr>
            </w:pPr>
          </w:p>
        </w:tc>
        <w:tc>
          <w:tcPr>
            <w:tcW w:w="960" w:type="dxa"/>
            <w:vAlign w:val="bottom"/>
            <w:vMerge w:val="restart"/>
          </w:tcPr>
          <w:p>
            <w:pPr>
              <w:ind w:left="20"/>
              <w:spacing w:after="0"/>
              <w:rPr>
                <w:sz w:val="20"/>
                <w:szCs w:val="20"/>
                <w:color w:val="auto"/>
              </w:rPr>
            </w:pPr>
            <w:r>
              <w:rPr>
                <w:rFonts w:ascii="Arial" w:cs="Arial" w:eastAsia="Arial" w:hAnsi="Arial"/>
                <w:sz w:val="14"/>
                <w:szCs w:val="14"/>
                <w:color w:val="auto"/>
              </w:rPr>
              <w:t>2YR</w:t>
            </w:r>
          </w:p>
        </w:tc>
        <w:tc>
          <w:tcPr>
            <w:tcW w:w="180" w:type="dxa"/>
            <w:vAlign w:val="bottom"/>
            <w:vMerge w:val="continue"/>
          </w:tcPr>
          <w:p>
            <w:pPr>
              <w:spacing w:after="0"/>
              <w:rPr>
                <w:sz w:val="8"/>
                <w:szCs w:val="8"/>
                <w:color w:val="auto"/>
              </w:rPr>
            </w:pPr>
          </w:p>
        </w:tc>
        <w:tc>
          <w:tcPr>
            <w:tcW w:w="940" w:type="dxa"/>
            <w:vAlign w:val="bottom"/>
            <w:vMerge w:val="restart"/>
          </w:tcPr>
          <w:p>
            <w:pPr>
              <w:jc w:val="right"/>
              <w:ind w:right="148"/>
              <w:spacing w:after="0"/>
              <w:rPr>
                <w:sz w:val="20"/>
                <w:szCs w:val="20"/>
                <w:color w:val="auto"/>
              </w:rPr>
            </w:pPr>
            <w:r>
              <w:rPr>
                <w:rFonts w:ascii="Arial" w:cs="Arial" w:eastAsia="Arial" w:hAnsi="Arial"/>
                <w:sz w:val="14"/>
                <w:szCs w:val="14"/>
                <w:color w:val="auto"/>
              </w:rPr>
              <w:t>2/12/2024</w:t>
            </w:r>
          </w:p>
        </w:tc>
        <w:tc>
          <w:tcPr>
            <w:tcW w:w="940" w:type="dxa"/>
            <w:vAlign w:val="bottom"/>
            <w:vMerge w:val="restart"/>
          </w:tcPr>
          <w:p>
            <w:pPr>
              <w:jc w:val="right"/>
              <w:ind w:right="8"/>
              <w:spacing w:after="0"/>
              <w:rPr>
                <w:sz w:val="20"/>
                <w:szCs w:val="20"/>
                <w:color w:val="auto"/>
              </w:rPr>
            </w:pPr>
            <w:r>
              <w:rPr>
                <w:rFonts w:ascii="Arial" w:cs="Arial" w:eastAsia="Arial" w:hAnsi="Arial"/>
                <w:sz w:val="14"/>
                <w:szCs w:val="14"/>
                <w:color w:val="auto"/>
              </w:rPr>
              <w:t>8/7/2023</w:t>
            </w:r>
          </w:p>
        </w:tc>
        <w:tc>
          <w:tcPr>
            <w:tcW w:w="7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60" w:type="dxa"/>
            <w:vAlign w:val="bottom"/>
            <w:vMerge w:val="restart"/>
          </w:tcPr>
          <w:p>
            <w:pPr>
              <w:jc w:val="right"/>
              <w:ind w:right="8"/>
              <w:spacing w:after="0"/>
              <w:rPr>
                <w:sz w:val="20"/>
                <w:szCs w:val="20"/>
                <w:color w:val="auto"/>
              </w:rPr>
            </w:pPr>
            <w:r>
              <w:rPr>
                <w:rFonts w:ascii="Arial" w:cs="Arial" w:eastAsia="Arial" w:hAnsi="Arial"/>
                <w:sz w:val="14"/>
                <w:szCs w:val="14"/>
                <w:color w:val="auto"/>
              </w:rPr>
              <w:t>276</w:t>
            </w:r>
          </w:p>
        </w:tc>
        <w:tc>
          <w:tcPr>
            <w:tcW w:w="880" w:type="dxa"/>
            <w:vAlign w:val="bottom"/>
            <w:vMerge w:val="restart"/>
          </w:tcPr>
          <w:p>
            <w:pPr>
              <w:jc w:val="right"/>
              <w:ind w:right="8"/>
              <w:spacing w:after="0"/>
              <w:rPr>
                <w:sz w:val="20"/>
                <w:szCs w:val="20"/>
                <w:color w:val="auto"/>
              </w:rPr>
            </w:pPr>
            <w:r>
              <w:rPr>
                <w:rFonts w:ascii="Arial" w:cs="Arial" w:eastAsia="Arial" w:hAnsi="Arial"/>
                <w:sz w:val="14"/>
                <w:szCs w:val="14"/>
                <w:color w:val="auto"/>
              </w:rPr>
              <w:t>$200,125</w:t>
            </w:r>
          </w:p>
        </w:tc>
        <w:tc>
          <w:tcPr>
            <w:tcW w:w="0" w:type="dxa"/>
            <w:vAlign w:val="bottom"/>
          </w:tcPr>
          <w:p>
            <w:pPr>
              <w:spacing w:after="0"/>
              <w:rPr>
                <w:sz w:val="1"/>
                <w:szCs w:val="1"/>
                <w:color w:val="auto"/>
              </w:rPr>
            </w:pPr>
          </w:p>
        </w:tc>
      </w:tr>
      <w:tr>
        <w:trPr>
          <w:trHeight w:val="97"/>
        </w:trPr>
        <w:tc>
          <w:tcPr>
            <w:tcW w:w="16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7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6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5"/>
        </w:trPr>
        <w:tc>
          <w:tcPr>
            <w:tcW w:w="160" w:type="dxa"/>
            <w:vAlign w:val="bottom"/>
          </w:tcPr>
          <w:p>
            <w:pPr>
              <w:spacing w:after="0"/>
              <w:rPr>
                <w:sz w:val="16"/>
                <w:szCs w:val="16"/>
                <w:color w:val="auto"/>
              </w:rPr>
            </w:pPr>
          </w:p>
        </w:tc>
        <w:tc>
          <w:tcPr>
            <w:tcW w:w="960" w:type="dxa"/>
            <w:vAlign w:val="bottom"/>
          </w:tcPr>
          <w:p>
            <w:pPr>
              <w:ind w:left="20"/>
              <w:spacing w:after="0"/>
              <w:rPr>
                <w:sz w:val="20"/>
                <w:szCs w:val="20"/>
                <w:color w:val="auto"/>
              </w:rPr>
            </w:pPr>
            <w:r>
              <w:rPr>
                <w:rFonts w:ascii="Arial" w:cs="Arial" w:eastAsia="Arial" w:hAnsi="Arial"/>
                <w:sz w:val="14"/>
                <w:szCs w:val="14"/>
                <w:color w:val="auto"/>
              </w:rPr>
              <w:t>2024 RSU</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160" w:type="dxa"/>
            <w:vAlign w:val="bottom"/>
          </w:tcPr>
          <w:p>
            <w:pPr>
              <w:spacing w:after="0"/>
              <w:rPr>
                <w:sz w:val="21"/>
                <w:szCs w:val="21"/>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color w:val="auto"/>
              </w:rPr>
              <w:t xml:space="preserve">3YR, Special  </w:t>
            </w:r>
            <w:r>
              <w:rPr>
                <w:rFonts w:ascii="Arial" w:cs="Arial" w:eastAsia="Arial" w:hAnsi="Arial"/>
                <w:sz w:val="18"/>
                <w:szCs w:val="18"/>
                <w:color w:val="auto"/>
                <w:vertAlign w:val="superscript"/>
              </w:rPr>
              <w:t>7</w:t>
            </w:r>
          </w:p>
        </w:tc>
        <w:tc>
          <w:tcPr>
            <w:tcW w:w="940" w:type="dxa"/>
            <w:vAlign w:val="bottom"/>
          </w:tcPr>
          <w:p>
            <w:pPr>
              <w:jc w:val="right"/>
              <w:ind w:right="148"/>
              <w:spacing w:after="0"/>
              <w:rPr>
                <w:sz w:val="20"/>
                <w:szCs w:val="20"/>
                <w:color w:val="auto"/>
              </w:rPr>
            </w:pPr>
            <w:r>
              <w:rPr>
                <w:rFonts w:ascii="Arial" w:cs="Arial" w:eastAsia="Arial" w:hAnsi="Arial"/>
                <w:sz w:val="14"/>
                <w:szCs w:val="14"/>
                <w:color w:val="auto"/>
              </w:rPr>
              <w:t>10/1/2024</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9/11/2024</w:t>
            </w:r>
          </w:p>
        </w:tc>
        <w:tc>
          <w:tcPr>
            <w:tcW w:w="7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60" w:type="dxa"/>
            <w:vAlign w:val="bottom"/>
          </w:tcPr>
          <w:p>
            <w:pPr>
              <w:jc w:val="right"/>
              <w:ind w:right="8"/>
              <w:spacing w:after="0"/>
              <w:rPr>
                <w:sz w:val="20"/>
                <w:szCs w:val="20"/>
                <w:color w:val="auto"/>
              </w:rPr>
            </w:pPr>
            <w:r>
              <w:rPr>
                <w:rFonts w:ascii="Arial" w:cs="Arial" w:eastAsia="Arial" w:hAnsi="Arial"/>
                <w:sz w:val="14"/>
                <w:szCs w:val="14"/>
                <w:color w:val="auto"/>
              </w:rPr>
              <w:t>565.304</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$500,000</w:t>
            </w:r>
          </w:p>
        </w:tc>
        <w:tc>
          <w:tcPr>
            <w:tcW w:w="0" w:type="dxa"/>
            <w:vAlign w:val="bottom"/>
          </w:tcPr>
          <w:p>
            <w:pPr>
              <w:spacing w:after="0"/>
              <w:rPr>
                <w:sz w:val="1"/>
                <w:szCs w:val="1"/>
                <w:color w:val="auto"/>
              </w:rPr>
            </w:pPr>
          </w:p>
        </w:tc>
      </w:tr>
      <w:tr>
        <w:trPr>
          <w:trHeight w:val="248"/>
        </w:trPr>
        <w:tc>
          <w:tcPr>
            <w:tcW w:w="1120" w:type="dxa"/>
            <w:vAlign w:val="bottom"/>
            <w:gridSpan w:val="2"/>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1120" w:type="dxa"/>
            <w:vAlign w:val="bottom"/>
            <w:gridSpan w:val="2"/>
            <w:shd w:val="clear" w:color="auto" w:fill="F2F2F2"/>
          </w:tcPr>
          <w:p>
            <w:pPr>
              <w:ind w:left="20"/>
              <w:spacing w:after="0"/>
              <w:rPr>
                <w:sz w:val="20"/>
                <w:szCs w:val="20"/>
                <w:color w:val="auto"/>
              </w:rPr>
            </w:pPr>
            <w:r>
              <w:rPr>
                <w:rFonts w:ascii="Arial" w:cs="Arial" w:eastAsia="Arial" w:hAnsi="Arial"/>
                <w:sz w:val="14"/>
                <w:szCs w:val="14"/>
                <w:color w:val="auto"/>
              </w:rPr>
              <w:t>Ms. Ashkenazi</w:t>
            </w:r>
          </w:p>
        </w:tc>
        <w:tc>
          <w:tcPr>
            <w:tcW w:w="180" w:type="dxa"/>
            <w:vAlign w:val="bottom"/>
            <w:shd w:val="clear" w:color="auto" w:fill="F2F2F2"/>
          </w:tcPr>
          <w:p>
            <w:pPr>
              <w:spacing w:after="0"/>
              <w:rPr>
                <w:sz w:val="20"/>
                <w:szCs w:val="20"/>
                <w:color w:val="auto"/>
              </w:rPr>
            </w:pPr>
          </w:p>
        </w:tc>
        <w:tc>
          <w:tcPr>
            <w:tcW w:w="940" w:type="dxa"/>
            <w:vAlign w:val="bottom"/>
            <w:shd w:val="clear" w:color="auto" w:fill="F2F2F2"/>
          </w:tcPr>
          <w:p>
            <w:pPr>
              <w:spacing w:after="0"/>
              <w:rPr>
                <w:sz w:val="20"/>
                <w:szCs w:val="20"/>
                <w:color w:val="auto"/>
              </w:rPr>
            </w:pPr>
          </w:p>
        </w:tc>
        <w:tc>
          <w:tcPr>
            <w:tcW w:w="940" w:type="dxa"/>
            <w:vAlign w:val="bottom"/>
            <w:shd w:val="clear" w:color="auto" w:fill="F2F2F2"/>
          </w:tcPr>
          <w:p>
            <w:pPr>
              <w:spacing w:after="0"/>
              <w:rPr>
                <w:sz w:val="20"/>
                <w:szCs w:val="20"/>
                <w:color w:val="auto"/>
              </w:rPr>
            </w:pPr>
          </w:p>
        </w:tc>
        <w:tc>
          <w:tcPr>
            <w:tcW w:w="740" w:type="dxa"/>
            <w:vAlign w:val="bottom"/>
            <w:shd w:val="clear" w:color="auto" w:fill="F2F2F2"/>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shd w:val="clear" w:color="auto" w:fill="F2F2F2"/>
          </w:tcPr>
          <w:p>
            <w:pPr>
              <w:jc w:val="right"/>
              <w:ind w:right="48"/>
              <w:spacing w:after="0"/>
              <w:rPr>
                <w:sz w:val="20"/>
                <w:szCs w:val="20"/>
                <w:color w:val="auto"/>
              </w:rPr>
            </w:pPr>
            <w:r>
              <w:rPr>
                <w:rFonts w:ascii="Arial" w:cs="Arial" w:eastAsia="Arial" w:hAnsi="Arial"/>
                <w:sz w:val="14"/>
                <w:szCs w:val="14"/>
                <w:color w:val="auto"/>
              </w:rPr>
              <w:t>—</w:t>
            </w:r>
          </w:p>
        </w:tc>
        <w:tc>
          <w:tcPr>
            <w:tcW w:w="1660" w:type="dxa"/>
            <w:vAlign w:val="bottom"/>
            <w:shd w:val="clear" w:color="auto" w:fill="F2F2F2"/>
          </w:tcPr>
          <w:p>
            <w:pPr>
              <w:jc w:val="right"/>
              <w:ind w:right="868"/>
              <w:spacing w:after="0"/>
              <w:rPr>
                <w:sz w:val="20"/>
                <w:szCs w:val="20"/>
                <w:color w:val="auto"/>
              </w:rPr>
            </w:pPr>
            <w:r>
              <w:rPr>
                <w:rFonts w:ascii="Arial" w:cs="Arial" w:eastAsia="Arial" w:hAnsi="Arial"/>
                <w:sz w:val="14"/>
                <w:szCs w:val="14"/>
                <w:color w:val="auto"/>
              </w:rPr>
              <w:t>—</w:t>
            </w:r>
          </w:p>
        </w:tc>
        <w:tc>
          <w:tcPr>
            <w:tcW w:w="700" w:type="dxa"/>
            <w:vAlign w:val="bottom"/>
            <w:shd w:val="clear" w:color="auto" w:fill="F2F2F2"/>
          </w:tcPr>
          <w:p>
            <w:pPr>
              <w:spacing w:after="0"/>
              <w:rPr>
                <w:sz w:val="20"/>
                <w:szCs w:val="20"/>
                <w:color w:val="auto"/>
              </w:rPr>
            </w:pPr>
          </w:p>
        </w:tc>
        <w:tc>
          <w:tcPr>
            <w:tcW w:w="1460" w:type="dxa"/>
            <w:vAlign w:val="bottom"/>
            <w:shd w:val="clear" w:color="auto" w:fill="F2F2F2"/>
          </w:tcPr>
          <w:p>
            <w:pPr>
              <w:spacing w:after="0"/>
              <w:rPr>
                <w:sz w:val="20"/>
                <w:szCs w:val="20"/>
                <w:color w:val="auto"/>
              </w:rPr>
            </w:pPr>
          </w:p>
        </w:tc>
        <w:tc>
          <w:tcPr>
            <w:tcW w:w="880" w:type="dxa"/>
            <w:vAlign w:val="bottom"/>
            <w:shd w:val="clear" w:color="auto" w:fill="F2F2F2"/>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60" w:type="dxa"/>
            <w:vAlign w:val="bottom"/>
            <w:shd w:val="clear" w:color="auto" w:fill="F2F2F2"/>
          </w:tcPr>
          <w:p>
            <w:pPr>
              <w:spacing w:after="0"/>
              <w:rPr>
                <w:sz w:val="18"/>
                <w:szCs w:val="18"/>
                <w:color w:val="auto"/>
              </w:rPr>
            </w:pPr>
          </w:p>
        </w:tc>
        <w:tc>
          <w:tcPr>
            <w:tcW w:w="960" w:type="dxa"/>
            <w:vAlign w:val="bottom"/>
            <w:shd w:val="clear" w:color="auto" w:fill="F2F2F2"/>
          </w:tcPr>
          <w:p>
            <w:pPr>
              <w:ind w:left="20"/>
              <w:spacing w:after="0"/>
              <w:rPr>
                <w:sz w:val="20"/>
                <w:szCs w:val="20"/>
                <w:color w:val="auto"/>
              </w:rPr>
            </w:pPr>
            <w:r>
              <w:rPr>
                <w:rFonts w:ascii="Arial" w:cs="Arial" w:eastAsia="Arial" w:hAnsi="Arial"/>
                <w:sz w:val="14"/>
                <w:szCs w:val="14"/>
                <w:color w:val="auto"/>
              </w:rPr>
              <w:t>2024-2026</w:t>
            </w:r>
          </w:p>
        </w:tc>
        <w:tc>
          <w:tcPr>
            <w:tcW w:w="180" w:type="dxa"/>
            <w:vAlign w:val="bottom"/>
            <w:vMerge w:val="restart"/>
            <w:shd w:val="clear" w:color="auto" w:fill="F2F2F2"/>
          </w:tcPr>
          <w:p>
            <w:pPr>
              <w:jc w:val="right"/>
              <w:ind w:right="54"/>
              <w:spacing w:after="0"/>
              <w:rPr>
                <w:sz w:val="20"/>
                <w:szCs w:val="20"/>
                <w:color w:val="auto"/>
              </w:rPr>
            </w:pPr>
            <w:r>
              <w:rPr>
                <w:rFonts w:ascii="Arial" w:cs="Arial" w:eastAsia="Arial" w:hAnsi="Arial"/>
                <w:sz w:val="9"/>
                <w:szCs w:val="9"/>
                <w:color w:val="auto"/>
              </w:rPr>
              <w:t>4</w:t>
            </w:r>
          </w:p>
        </w:tc>
        <w:tc>
          <w:tcPr>
            <w:tcW w:w="940" w:type="dxa"/>
            <w:vAlign w:val="bottom"/>
            <w:shd w:val="clear" w:color="auto" w:fill="F2F2F2"/>
          </w:tcPr>
          <w:p>
            <w:pPr>
              <w:spacing w:after="0"/>
              <w:rPr>
                <w:sz w:val="18"/>
                <w:szCs w:val="18"/>
                <w:color w:val="auto"/>
              </w:rPr>
            </w:pPr>
          </w:p>
        </w:tc>
        <w:tc>
          <w:tcPr>
            <w:tcW w:w="940" w:type="dxa"/>
            <w:vAlign w:val="bottom"/>
            <w:shd w:val="clear" w:color="auto" w:fill="F2F2F2"/>
          </w:tcPr>
          <w:p>
            <w:pPr>
              <w:spacing w:after="0"/>
              <w:rPr>
                <w:sz w:val="18"/>
                <w:szCs w:val="18"/>
                <w:color w:val="auto"/>
              </w:rPr>
            </w:pPr>
          </w:p>
        </w:tc>
        <w:tc>
          <w:tcPr>
            <w:tcW w:w="740" w:type="dxa"/>
            <w:vAlign w:val="bottom"/>
            <w:shd w:val="clear" w:color="auto" w:fill="F2F2F2"/>
          </w:tcPr>
          <w:p>
            <w:pPr>
              <w:spacing w:after="0"/>
              <w:rPr>
                <w:sz w:val="18"/>
                <w:szCs w:val="18"/>
                <w:color w:val="auto"/>
              </w:rPr>
            </w:pPr>
          </w:p>
        </w:tc>
        <w:tc>
          <w:tcPr>
            <w:tcW w:w="840" w:type="dxa"/>
            <w:vAlign w:val="bottom"/>
            <w:shd w:val="clear" w:color="auto" w:fill="F2F2F2"/>
          </w:tcPr>
          <w:p>
            <w:pPr>
              <w:spacing w:after="0"/>
              <w:rPr>
                <w:sz w:val="18"/>
                <w:szCs w:val="18"/>
                <w:color w:val="auto"/>
              </w:rPr>
            </w:pPr>
          </w:p>
        </w:tc>
        <w:tc>
          <w:tcPr>
            <w:tcW w:w="1660" w:type="dxa"/>
            <w:vAlign w:val="bottom"/>
            <w:shd w:val="clear" w:color="auto" w:fill="F2F2F2"/>
          </w:tcPr>
          <w:p>
            <w:pPr>
              <w:spacing w:after="0"/>
              <w:rPr>
                <w:sz w:val="18"/>
                <w:szCs w:val="18"/>
                <w:color w:val="auto"/>
              </w:rPr>
            </w:pPr>
          </w:p>
        </w:tc>
        <w:tc>
          <w:tcPr>
            <w:tcW w:w="700" w:type="dxa"/>
            <w:vAlign w:val="bottom"/>
            <w:shd w:val="clear" w:color="auto" w:fill="F2F2F2"/>
          </w:tcPr>
          <w:p>
            <w:pPr>
              <w:spacing w:after="0"/>
              <w:rPr>
                <w:sz w:val="18"/>
                <w:szCs w:val="18"/>
                <w:color w:val="auto"/>
              </w:rPr>
            </w:pPr>
          </w:p>
        </w:tc>
        <w:tc>
          <w:tcPr>
            <w:tcW w:w="1460" w:type="dxa"/>
            <w:vAlign w:val="bottom"/>
            <w:shd w:val="clear" w:color="auto" w:fill="F2F2F2"/>
          </w:tcPr>
          <w:p>
            <w:pPr>
              <w:spacing w:after="0"/>
              <w:rPr>
                <w:sz w:val="18"/>
                <w:szCs w:val="18"/>
                <w:color w:val="auto"/>
              </w:rPr>
            </w:pPr>
          </w:p>
        </w:tc>
        <w:tc>
          <w:tcPr>
            <w:tcW w:w="880" w:type="dxa"/>
            <w:vAlign w:val="bottom"/>
            <w:shd w:val="clear" w:color="auto" w:fill="F2F2F2"/>
          </w:tcPr>
          <w:p>
            <w:pPr>
              <w:spacing w:after="0"/>
              <w:rPr>
                <w:sz w:val="18"/>
                <w:szCs w:val="18"/>
                <w:color w:val="auto"/>
              </w:rPr>
            </w:pPr>
          </w:p>
        </w:tc>
        <w:tc>
          <w:tcPr>
            <w:tcW w:w="0" w:type="dxa"/>
            <w:vAlign w:val="bottom"/>
          </w:tcPr>
          <w:p>
            <w:pPr>
              <w:spacing w:after="0"/>
              <w:rPr>
                <w:sz w:val="1"/>
                <w:szCs w:val="1"/>
                <w:color w:val="auto"/>
              </w:rPr>
            </w:pPr>
          </w:p>
        </w:tc>
      </w:tr>
      <w:tr>
        <w:trPr>
          <w:trHeight w:val="93"/>
        </w:trPr>
        <w:tc>
          <w:tcPr>
            <w:tcW w:w="160" w:type="dxa"/>
            <w:vAlign w:val="bottom"/>
            <w:shd w:val="clear" w:color="auto" w:fill="F2F2F2"/>
          </w:tcPr>
          <w:p>
            <w:pPr>
              <w:spacing w:after="0"/>
              <w:rPr>
                <w:sz w:val="8"/>
                <w:szCs w:val="8"/>
                <w:color w:val="auto"/>
              </w:rPr>
            </w:pPr>
          </w:p>
        </w:tc>
        <w:tc>
          <w:tcPr>
            <w:tcW w:w="960" w:type="dxa"/>
            <w:vAlign w:val="bottom"/>
            <w:vMerge w:val="restart"/>
            <w:shd w:val="clear" w:color="auto" w:fill="F2F2F2"/>
          </w:tcPr>
          <w:p>
            <w:pPr>
              <w:ind w:left="20"/>
              <w:spacing w:after="0"/>
              <w:rPr>
                <w:sz w:val="20"/>
                <w:szCs w:val="20"/>
                <w:color w:val="auto"/>
              </w:rPr>
            </w:pPr>
            <w:r>
              <w:rPr>
                <w:rFonts w:ascii="Arial" w:cs="Arial" w:eastAsia="Arial" w:hAnsi="Arial"/>
                <w:sz w:val="14"/>
                <w:szCs w:val="14"/>
                <w:color w:val="auto"/>
              </w:rPr>
              <w:t>SVA</w:t>
            </w:r>
          </w:p>
        </w:tc>
        <w:tc>
          <w:tcPr>
            <w:tcW w:w="180" w:type="dxa"/>
            <w:vAlign w:val="bottom"/>
            <w:vMerge w:val="continue"/>
            <w:shd w:val="clear" w:color="auto" w:fill="F2F2F2"/>
          </w:tcPr>
          <w:p>
            <w:pPr>
              <w:spacing w:after="0"/>
              <w:rPr>
                <w:sz w:val="8"/>
                <w:szCs w:val="8"/>
                <w:color w:val="auto"/>
              </w:rPr>
            </w:pPr>
          </w:p>
        </w:tc>
        <w:tc>
          <w:tcPr>
            <w:tcW w:w="940" w:type="dxa"/>
            <w:vAlign w:val="bottom"/>
            <w:vMerge w:val="restart"/>
            <w:shd w:val="clear" w:color="auto" w:fill="F2F2F2"/>
          </w:tcPr>
          <w:p>
            <w:pPr>
              <w:jc w:val="right"/>
              <w:ind w:right="148"/>
              <w:spacing w:after="0"/>
              <w:rPr>
                <w:sz w:val="20"/>
                <w:szCs w:val="20"/>
                <w:color w:val="auto"/>
              </w:rPr>
            </w:pPr>
            <w:r>
              <w:rPr>
                <w:rFonts w:ascii="Arial" w:cs="Arial" w:eastAsia="Arial" w:hAnsi="Arial"/>
                <w:sz w:val="14"/>
                <w:szCs w:val="14"/>
                <w:color w:val="auto"/>
              </w:rPr>
              <w:t>2/12/2024</w:t>
            </w:r>
          </w:p>
        </w:tc>
        <w:tc>
          <w:tcPr>
            <w:tcW w:w="940" w:type="dxa"/>
            <w:vAlign w:val="bottom"/>
            <w:vMerge w:val="restart"/>
            <w:shd w:val="clear" w:color="auto" w:fill="F2F2F2"/>
          </w:tcPr>
          <w:p>
            <w:pPr>
              <w:jc w:val="right"/>
              <w:ind w:right="8"/>
              <w:spacing w:after="0"/>
              <w:rPr>
                <w:sz w:val="20"/>
                <w:szCs w:val="20"/>
                <w:color w:val="auto"/>
              </w:rPr>
            </w:pPr>
            <w:r>
              <w:rPr>
                <w:rFonts w:ascii="Arial" w:cs="Arial" w:eastAsia="Arial" w:hAnsi="Arial"/>
                <w:sz w:val="14"/>
                <w:szCs w:val="14"/>
                <w:color w:val="auto"/>
              </w:rPr>
              <w:t>2/12/2024</w:t>
            </w:r>
          </w:p>
        </w:tc>
        <w:tc>
          <w:tcPr>
            <w:tcW w:w="740" w:type="dxa"/>
            <w:vAlign w:val="bottom"/>
            <w:shd w:val="clear" w:color="auto" w:fill="F2F2F2"/>
          </w:tcPr>
          <w:p>
            <w:pPr>
              <w:spacing w:after="0"/>
              <w:rPr>
                <w:sz w:val="8"/>
                <w:szCs w:val="8"/>
                <w:color w:val="auto"/>
              </w:rPr>
            </w:pPr>
          </w:p>
        </w:tc>
        <w:tc>
          <w:tcPr>
            <w:tcW w:w="840" w:type="dxa"/>
            <w:vAlign w:val="bottom"/>
            <w:shd w:val="clear" w:color="auto" w:fill="F2F2F2"/>
          </w:tcPr>
          <w:p>
            <w:pPr>
              <w:spacing w:after="0"/>
              <w:rPr>
                <w:sz w:val="8"/>
                <w:szCs w:val="8"/>
                <w:color w:val="auto"/>
              </w:rPr>
            </w:pPr>
          </w:p>
        </w:tc>
        <w:tc>
          <w:tcPr>
            <w:tcW w:w="1660" w:type="dxa"/>
            <w:vAlign w:val="bottom"/>
            <w:vMerge w:val="restart"/>
            <w:shd w:val="clear" w:color="auto" w:fill="F2F2F2"/>
          </w:tcPr>
          <w:p>
            <w:pPr>
              <w:jc w:val="right"/>
              <w:ind w:right="108"/>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F2F2F2"/>
          </w:tcPr>
          <w:p>
            <w:pPr>
              <w:jc w:val="right"/>
              <w:ind w:right="128"/>
              <w:spacing w:after="0"/>
              <w:rPr>
                <w:sz w:val="20"/>
                <w:szCs w:val="20"/>
                <w:color w:val="auto"/>
              </w:rPr>
            </w:pPr>
            <w:r>
              <w:rPr>
                <w:rFonts w:ascii="Arial" w:cs="Arial" w:eastAsia="Arial" w:hAnsi="Arial"/>
                <w:sz w:val="14"/>
                <w:szCs w:val="14"/>
                <w:color w:val="auto"/>
              </w:rPr>
              <w:t>—</w:t>
            </w:r>
          </w:p>
        </w:tc>
        <w:tc>
          <w:tcPr>
            <w:tcW w:w="1460" w:type="dxa"/>
            <w:vAlign w:val="bottom"/>
            <w:vMerge w:val="restart"/>
            <w:shd w:val="clear" w:color="auto" w:fill="F2F2F2"/>
          </w:tcPr>
          <w:p>
            <w:pPr>
              <w:jc w:val="right"/>
              <w:ind w:right="808"/>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F2F2F2"/>
          </w:tcPr>
          <w:p>
            <w:pPr>
              <w:jc w:val="right"/>
              <w:ind w:right="8"/>
              <w:spacing w:after="0"/>
              <w:rPr>
                <w:sz w:val="20"/>
                <w:szCs w:val="20"/>
                <w:color w:val="auto"/>
              </w:rPr>
            </w:pPr>
            <w:r>
              <w:rPr>
                <w:rFonts w:ascii="Arial" w:cs="Arial" w:eastAsia="Arial" w:hAnsi="Arial"/>
                <w:sz w:val="14"/>
                <w:szCs w:val="14"/>
                <w:color w:val="auto"/>
              </w:rPr>
              <w:t>$1,875,153</w:t>
            </w:r>
          </w:p>
        </w:tc>
        <w:tc>
          <w:tcPr>
            <w:tcW w:w="0" w:type="dxa"/>
            <w:vAlign w:val="bottom"/>
          </w:tcPr>
          <w:p>
            <w:pPr>
              <w:spacing w:after="0"/>
              <w:rPr>
                <w:sz w:val="1"/>
                <w:szCs w:val="1"/>
                <w:color w:val="auto"/>
              </w:rPr>
            </w:pPr>
          </w:p>
        </w:tc>
      </w:tr>
      <w:tr>
        <w:trPr>
          <w:trHeight w:val="97"/>
        </w:trPr>
        <w:tc>
          <w:tcPr>
            <w:tcW w:w="160" w:type="dxa"/>
            <w:vAlign w:val="bottom"/>
            <w:shd w:val="clear" w:color="auto" w:fill="F2F2F2"/>
          </w:tcPr>
          <w:p>
            <w:pPr>
              <w:spacing w:after="0"/>
              <w:rPr>
                <w:sz w:val="8"/>
                <w:szCs w:val="8"/>
                <w:color w:val="auto"/>
              </w:rPr>
            </w:pPr>
          </w:p>
        </w:tc>
        <w:tc>
          <w:tcPr>
            <w:tcW w:w="960" w:type="dxa"/>
            <w:vAlign w:val="bottom"/>
            <w:vMerge w:val="continue"/>
            <w:shd w:val="clear" w:color="auto" w:fill="F2F2F2"/>
          </w:tcPr>
          <w:p>
            <w:pPr>
              <w:spacing w:after="0"/>
              <w:rPr>
                <w:sz w:val="8"/>
                <w:szCs w:val="8"/>
                <w:color w:val="auto"/>
              </w:rPr>
            </w:pPr>
          </w:p>
        </w:tc>
        <w:tc>
          <w:tcPr>
            <w:tcW w:w="180" w:type="dxa"/>
            <w:vAlign w:val="bottom"/>
            <w:shd w:val="clear" w:color="auto" w:fill="F2F2F2"/>
          </w:tcPr>
          <w:p>
            <w:pPr>
              <w:spacing w:after="0"/>
              <w:rPr>
                <w:sz w:val="8"/>
                <w:szCs w:val="8"/>
                <w:color w:val="auto"/>
              </w:rPr>
            </w:pPr>
          </w:p>
        </w:tc>
        <w:tc>
          <w:tcPr>
            <w:tcW w:w="940" w:type="dxa"/>
            <w:vAlign w:val="bottom"/>
            <w:vMerge w:val="continue"/>
            <w:shd w:val="clear" w:color="auto" w:fill="F2F2F2"/>
          </w:tcPr>
          <w:p>
            <w:pPr>
              <w:spacing w:after="0"/>
              <w:rPr>
                <w:sz w:val="8"/>
                <w:szCs w:val="8"/>
                <w:color w:val="auto"/>
              </w:rPr>
            </w:pPr>
          </w:p>
        </w:tc>
        <w:tc>
          <w:tcPr>
            <w:tcW w:w="940" w:type="dxa"/>
            <w:vAlign w:val="bottom"/>
            <w:vMerge w:val="continue"/>
            <w:shd w:val="clear" w:color="auto" w:fill="F2F2F2"/>
          </w:tcPr>
          <w:p>
            <w:pPr>
              <w:spacing w:after="0"/>
              <w:rPr>
                <w:sz w:val="8"/>
                <w:szCs w:val="8"/>
                <w:color w:val="auto"/>
              </w:rPr>
            </w:pPr>
          </w:p>
        </w:tc>
        <w:tc>
          <w:tcPr>
            <w:tcW w:w="740" w:type="dxa"/>
            <w:vAlign w:val="bottom"/>
            <w:shd w:val="clear" w:color="auto" w:fill="F2F2F2"/>
          </w:tcPr>
          <w:p>
            <w:pPr>
              <w:spacing w:after="0"/>
              <w:rPr>
                <w:sz w:val="8"/>
                <w:szCs w:val="8"/>
                <w:color w:val="auto"/>
              </w:rPr>
            </w:pPr>
          </w:p>
        </w:tc>
        <w:tc>
          <w:tcPr>
            <w:tcW w:w="840" w:type="dxa"/>
            <w:vAlign w:val="bottom"/>
            <w:shd w:val="clear" w:color="auto" w:fill="F2F2F2"/>
          </w:tcPr>
          <w:p>
            <w:pPr>
              <w:spacing w:after="0"/>
              <w:rPr>
                <w:sz w:val="8"/>
                <w:szCs w:val="8"/>
                <w:color w:val="auto"/>
              </w:rPr>
            </w:pPr>
          </w:p>
        </w:tc>
        <w:tc>
          <w:tcPr>
            <w:tcW w:w="1660" w:type="dxa"/>
            <w:vAlign w:val="bottom"/>
            <w:vMerge w:val="continue"/>
            <w:shd w:val="clear" w:color="auto" w:fill="F2F2F2"/>
          </w:tcPr>
          <w:p>
            <w:pPr>
              <w:spacing w:after="0"/>
              <w:rPr>
                <w:sz w:val="8"/>
                <w:szCs w:val="8"/>
                <w:color w:val="auto"/>
              </w:rPr>
            </w:pPr>
          </w:p>
        </w:tc>
        <w:tc>
          <w:tcPr>
            <w:tcW w:w="700" w:type="dxa"/>
            <w:vAlign w:val="bottom"/>
            <w:vMerge w:val="continue"/>
            <w:shd w:val="clear" w:color="auto" w:fill="F2F2F2"/>
          </w:tcPr>
          <w:p>
            <w:pPr>
              <w:spacing w:after="0"/>
              <w:rPr>
                <w:sz w:val="8"/>
                <w:szCs w:val="8"/>
                <w:color w:val="auto"/>
              </w:rPr>
            </w:pPr>
          </w:p>
        </w:tc>
        <w:tc>
          <w:tcPr>
            <w:tcW w:w="1460" w:type="dxa"/>
            <w:vAlign w:val="bottom"/>
            <w:vMerge w:val="continue"/>
            <w:shd w:val="clear" w:color="auto" w:fill="F2F2F2"/>
          </w:tcPr>
          <w:p>
            <w:pPr>
              <w:spacing w:after="0"/>
              <w:rPr>
                <w:sz w:val="8"/>
                <w:szCs w:val="8"/>
                <w:color w:val="auto"/>
              </w:rPr>
            </w:pPr>
          </w:p>
        </w:tc>
        <w:tc>
          <w:tcPr>
            <w:tcW w:w="880" w:type="dxa"/>
            <w:vAlign w:val="bottom"/>
            <w:vMerge w:val="continue"/>
            <w:shd w:val="clear" w:color="auto" w:fill="F2F2F2"/>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160" w:type="dxa"/>
            <w:vAlign w:val="bottom"/>
            <w:shd w:val="clear" w:color="auto" w:fill="F2F2F2"/>
          </w:tcPr>
          <w:p>
            <w:pPr>
              <w:spacing w:after="0"/>
              <w:rPr>
                <w:sz w:val="18"/>
                <w:szCs w:val="18"/>
                <w:color w:val="auto"/>
              </w:rPr>
            </w:pPr>
          </w:p>
        </w:tc>
        <w:tc>
          <w:tcPr>
            <w:tcW w:w="960" w:type="dxa"/>
            <w:vAlign w:val="bottom"/>
            <w:shd w:val="clear" w:color="auto" w:fill="F2F2F2"/>
          </w:tcPr>
          <w:p>
            <w:pPr>
              <w:ind w:left="20"/>
              <w:spacing w:after="0"/>
              <w:rPr>
                <w:sz w:val="20"/>
                <w:szCs w:val="20"/>
                <w:color w:val="auto"/>
              </w:rPr>
            </w:pPr>
            <w:r>
              <w:rPr>
                <w:rFonts w:ascii="Arial" w:cs="Arial" w:eastAsia="Arial" w:hAnsi="Arial"/>
                <w:sz w:val="14"/>
                <w:szCs w:val="14"/>
                <w:color w:val="auto"/>
              </w:rPr>
              <w:t>2024-2026</w:t>
            </w:r>
          </w:p>
        </w:tc>
        <w:tc>
          <w:tcPr>
            <w:tcW w:w="180" w:type="dxa"/>
            <w:vAlign w:val="bottom"/>
            <w:vMerge w:val="restart"/>
            <w:shd w:val="clear" w:color="auto" w:fill="F2F2F2"/>
          </w:tcPr>
          <w:p>
            <w:pPr>
              <w:jc w:val="right"/>
              <w:ind w:right="54"/>
              <w:spacing w:after="0"/>
              <w:rPr>
                <w:sz w:val="20"/>
                <w:szCs w:val="20"/>
                <w:color w:val="auto"/>
              </w:rPr>
            </w:pPr>
            <w:r>
              <w:rPr>
                <w:rFonts w:ascii="Arial" w:cs="Arial" w:eastAsia="Arial" w:hAnsi="Arial"/>
                <w:sz w:val="9"/>
                <w:szCs w:val="9"/>
                <w:color w:val="auto"/>
              </w:rPr>
              <w:t>5</w:t>
            </w:r>
          </w:p>
        </w:tc>
        <w:tc>
          <w:tcPr>
            <w:tcW w:w="940" w:type="dxa"/>
            <w:vAlign w:val="bottom"/>
            <w:shd w:val="clear" w:color="auto" w:fill="F2F2F2"/>
          </w:tcPr>
          <w:p>
            <w:pPr>
              <w:spacing w:after="0"/>
              <w:rPr>
                <w:sz w:val="18"/>
                <w:szCs w:val="18"/>
                <w:color w:val="auto"/>
              </w:rPr>
            </w:pPr>
          </w:p>
        </w:tc>
        <w:tc>
          <w:tcPr>
            <w:tcW w:w="940" w:type="dxa"/>
            <w:vAlign w:val="bottom"/>
            <w:shd w:val="clear" w:color="auto" w:fill="F2F2F2"/>
          </w:tcPr>
          <w:p>
            <w:pPr>
              <w:spacing w:after="0"/>
              <w:rPr>
                <w:sz w:val="18"/>
                <w:szCs w:val="18"/>
                <w:color w:val="auto"/>
              </w:rPr>
            </w:pPr>
          </w:p>
        </w:tc>
        <w:tc>
          <w:tcPr>
            <w:tcW w:w="740" w:type="dxa"/>
            <w:vAlign w:val="bottom"/>
            <w:shd w:val="clear" w:color="auto" w:fill="F2F2F2"/>
          </w:tcPr>
          <w:p>
            <w:pPr>
              <w:spacing w:after="0"/>
              <w:rPr>
                <w:sz w:val="18"/>
                <w:szCs w:val="18"/>
                <w:color w:val="auto"/>
              </w:rPr>
            </w:pPr>
          </w:p>
        </w:tc>
        <w:tc>
          <w:tcPr>
            <w:tcW w:w="840" w:type="dxa"/>
            <w:vAlign w:val="bottom"/>
            <w:shd w:val="clear" w:color="auto" w:fill="F2F2F2"/>
          </w:tcPr>
          <w:p>
            <w:pPr>
              <w:spacing w:after="0"/>
              <w:rPr>
                <w:sz w:val="18"/>
                <w:szCs w:val="18"/>
                <w:color w:val="auto"/>
              </w:rPr>
            </w:pPr>
          </w:p>
        </w:tc>
        <w:tc>
          <w:tcPr>
            <w:tcW w:w="1660" w:type="dxa"/>
            <w:vAlign w:val="bottom"/>
            <w:shd w:val="clear" w:color="auto" w:fill="F2F2F2"/>
          </w:tcPr>
          <w:p>
            <w:pPr>
              <w:spacing w:after="0"/>
              <w:rPr>
                <w:sz w:val="18"/>
                <w:szCs w:val="18"/>
                <w:color w:val="auto"/>
              </w:rPr>
            </w:pPr>
          </w:p>
        </w:tc>
        <w:tc>
          <w:tcPr>
            <w:tcW w:w="700" w:type="dxa"/>
            <w:vAlign w:val="bottom"/>
            <w:shd w:val="clear" w:color="auto" w:fill="F2F2F2"/>
          </w:tcPr>
          <w:p>
            <w:pPr>
              <w:spacing w:after="0"/>
              <w:rPr>
                <w:sz w:val="18"/>
                <w:szCs w:val="18"/>
                <w:color w:val="auto"/>
              </w:rPr>
            </w:pPr>
          </w:p>
        </w:tc>
        <w:tc>
          <w:tcPr>
            <w:tcW w:w="1460" w:type="dxa"/>
            <w:vAlign w:val="bottom"/>
            <w:shd w:val="clear" w:color="auto" w:fill="F2F2F2"/>
          </w:tcPr>
          <w:p>
            <w:pPr>
              <w:spacing w:after="0"/>
              <w:rPr>
                <w:sz w:val="18"/>
                <w:szCs w:val="18"/>
                <w:color w:val="auto"/>
              </w:rPr>
            </w:pPr>
          </w:p>
        </w:tc>
        <w:tc>
          <w:tcPr>
            <w:tcW w:w="880" w:type="dxa"/>
            <w:vAlign w:val="bottom"/>
            <w:shd w:val="clear" w:color="auto" w:fill="F2F2F2"/>
          </w:tcPr>
          <w:p>
            <w:pPr>
              <w:spacing w:after="0"/>
              <w:rPr>
                <w:sz w:val="18"/>
                <w:szCs w:val="18"/>
                <w:color w:val="auto"/>
              </w:rPr>
            </w:pPr>
          </w:p>
        </w:tc>
        <w:tc>
          <w:tcPr>
            <w:tcW w:w="0" w:type="dxa"/>
            <w:vAlign w:val="bottom"/>
          </w:tcPr>
          <w:p>
            <w:pPr>
              <w:spacing w:after="0"/>
              <w:rPr>
                <w:sz w:val="1"/>
                <w:szCs w:val="1"/>
                <w:color w:val="auto"/>
              </w:rPr>
            </w:pPr>
          </w:p>
        </w:tc>
      </w:tr>
      <w:tr>
        <w:trPr>
          <w:trHeight w:val="93"/>
        </w:trPr>
        <w:tc>
          <w:tcPr>
            <w:tcW w:w="160" w:type="dxa"/>
            <w:vAlign w:val="bottom"/>
            <w:shd w:val="clear" w:color="auto" w:fill="F2F2F2"/>
          </w:tcPr>
          <w:p>
            <w:pPr>
              <w:spacing w:after="0"/>
              <w:rPr>
                <w:sz w:val="8"/>
                <w:szCs w:val="8"/>
                <w:color w:val="auto"/>
              </w:rPr>
            </w:pPr>
          </w:p>
        </w:tc>
        <w:tc>
          <w:tcPr>
            <w:tcW w:w="960" w:type="dxa"/>
            <w:vAlign w:val="bottom"/>
            <w:vMerge w:val="restart"/>
            <w:shd w:val="clear" w:color="auto" w:fill="F2F2F2"/>
          </w:tcPr>
          <w:p>
            <w:pPr>
              <w:ind w:left="20"/>
              <w:spacing w:after="0"/>
              <w:rPr>
                <w:sz w:val="20"/>
                <w:szCs w:val="20"/>
                <w:color w:val="auto"/>
              </w:rPr>
            </w:pPr>
            <w:r>
              <w:rPr>
                <w:rFonts w:ascii="Arial" w:cs="Arial" w:eastAsia="Arial" w:hAnsi="Arial"/>
                <w:sz w:val="14"/>
                <w:szCs w:val="14"/>
                <w:color w:val="auto"/>
              </w:rPr>
              <w:t>RVA</w:t>
            </w:r>
          </w:p>
        </w:tc>
        <w:tc>
          <w:tcPr>
            <w:tcW w:w="180" w:type="dxa"/>
            <w:vAlign w:val="bottom"/>
            <w:vMerge w:val="continue"/>
            <w:shd w:val="clear" w:color="auto" w:fill="F2F2F2"/>
          </w:tcPr>
          <w:p>
            <w:pPr>
              <w:spacing w:after="0"/>
              <w:rPr>
                <w:sz w:val="8"/>
                <w:szCs w:val="8"/>
                <w:color w:val="auto"/>
              </w:rPr>
            </w:pPr>
          </w:p>
        </w:tc>
        <w:tc>
          <w:tcPr>
            <w:tcW w:w="940" w:type="dxa"/>
            <w:vAlign w:val="bottom"/>
            <w:vMerge w:val="restart"/>
            <w:shd w:val="clear" w:color="auto" w:fill="F2F2F2"/>
          </w:tcPr>
          <w:p>
            <w:pPr>
              <w:jc w:val="right"/>
              <w:ind w:right="148"/>
              <w:spacing w:after="0"/>
              <w:rPr>
                <w:sz w:val="20"/>
                <w:szCs w:val="20"/>
                <w:color w:val="auto"/>
              </w:rPr>
            </w:pPr>
            <w:r>
              <w:rPr>
                <w:rFonts w:ascii="Arial" w:cs="Arial" w:eastAsia="Arial" w:hAnsi="Arial"/>
                <w:sz w:val="14"/>
                <w:szCs w:val="14"/>
                <w:color w:val="auto"/>
              </w:rPr>
              <w:t>2/12/2024</w:t>
            </w:r>
          </w:p>
        </w:tc>
        <w:tc>
          <w:tcPr>
            <w:tcW w:w="940" w:type="dxa"/>
            <w:vAlign w:val="bottom"/>
            <w:vMerge w:val="restart"/>
            <w:shd w:val="clear" w:color="auto" w:fill="F2F2F2"/>
          </w:tcPr>
          <w:p>
            <w:pPr>
              <w:jc w:val="right"/>
              <w:ind w:right="8"/>
              <w:spacing w:after="0"/>
              <w:rPr>
                <w:sz w:val="20"/>
                <w:szCs w:val="20"/>
                <w:color w:val="auto"/>
              </w:rPr>
            </w:pPr>
            <w:r>
              <w:rPr>
                <w:rFonts w:ascii="Arial" w:cs="Arial" w:eastAsia="Arial" w:hAnsi="Arial"/>
                <w:sz w:val="14"/>
                <w:szCs w:val="14"/>
                <w:color w:val="auto"/>
              </w:rPr>
              <w:t>2/12/2024</w:t>
            </w:r>
          </w:p>
        </w:tc>
        <w:tc>
          <w:tcPr>
            <w:tcW w:w="740" w:type="dxa"/>
            <w:vAlign w:val="bottom"/>
            <w:shd w:val="clear" w:color="auto" w:fill="F2F2F2"/>
          </w:tcPr>
          <w:p>
            <w:pPr>
              <w:spacing w:after="0"/>
              <w:rPr>
                <w:sz w:val="8"/>
                <w:szCs w:val="8"/>
                <w:color w:val="auto"/>
              </w:rPr>
            </w:pPr>
          </w:p>
        </w:tc>
        <w:tc>
          <w:tcPr>
            <w:tcW w:w="840" w:type="dxa"/>
            <w:vAlign w:val="bottom"/>
            <w:shd w:val="clear" w:color="auto" w:fill="F2F2F2"/>
          </w:tcPr>
          <w:p>
            <w:pPr>
              <w:spacing w:after="0"/>
              <w:rPr>
                <w:sz w:val="8"/>
                <w:szCs w:val="8"/>
                <w:color w:val="auto"/>
              </w:rPr>
            </w:pPr>
          </w:p>
        </w:tc>
        <w:tc>
          <w:tcPr>
            <w:tcW w:w="1660" w:type="dxa"/>
            <w:vAlign w:val="bottom"/>
            <w:vMerge w:val="restart"/>
            <w:shd w:val="clear" w:color="auto" w:fill="F2F2F2"/>
          </w:tcPr>
          <w:p>
            <w:pPr>
              <w:jc w:val="right"/>
              <w:ind w:right="108"/>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F2F2F2"/>
          </w:tcPr>
          <w:p>
            <w:pPr>
              <w:jc w:val="right"/>
              <w:ind w:right="128"/>
              <w:spacing w:after="0"/>
              <w:rPr>
                <w:sz w:val="20"/>
                <w:szCs w:val="20"/>
                <w:color w:val="auto"/>
              </w:rPr>
            </w:pPr>
            <w:r>
              <w:rPr>
                <w:rFonts w:ascii="Arial" w:cs="Arial" w:eastAsia="Arial" w:hAnsi="Arial"/>
                <w:sz w:val="14"/>
                <w:szCs w:val="14"/>
                <w:color w:val="auto"/>
              </w:rPr>
              <w:t>—</w:t>
            </w:r>
          </w:p>
        </w:tc>
        <w:tc>
          <w:tcPr>
            <w:tcW w:w="1460" w:type="dxa"/>
            <w:vAlign w:val="bottom"/>
            <w:vMerge w:val="restart"/>
            <w:shd w:val="clear" w:color="auto" w:fill="F2F2F2"/>
          </w:tcPr>
          <w:p>
            <w:pPr>
              <w:jc w:val="right"/>
              <w:ind w:right="808"/>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F2F2F2"/>
          </w:tcPr>
          <w:p>
            <w:pPr>
              <w:jc w:val="right"/>
              <w:ind w:right="8"/>
              <w:spacing w:after="0"/>
              <w:rPr>
                <w:sz w:val="20"/>
                <w:szCs w:val="20"/>
                <w:color w:val="auto"/>
              </w:rPr>
            </w:pPr>
            <w:r>
              <w:rPr>
                <w:rFonts w:ascii="Arial" w:cs="Arial" w:eastAsia="Arial" w:hAnsi="Arial"/>
                <w:sz w:val="14"/>
                <w:szCs w:val="14"/>
                <w:color w:val="auto"/>
              </w:rPr>
              <w:t>$1,875,348</w:t>
            </w:r>
          </w:p>
        </w:tc>
        <w:tc>
          <w:tcPr>
            <w:tcW w:w="0" w:type="dxa"/>
            <w:vAlign w:val="bottom"/>
          </w:tcPr>
          <w:p>
            <w:pPr>
              <w:spacing w:after="0"/>
              <w:rPr>
                <w:sz w:val="1"/>
                <w:szCs w:val="1"/>
                <w:color w:val="auto"/>
              </w:rPr>
            </w:pPr>
          </w:p>
        </w:tc>
      </w:tr>
      <w:tr>
        <w:trPr>
          <w:trHeight w:val="97"/>
        </w:trPr>
        <w:tc>
          <w:tcPr>
            <w:tcW w:w="160" w:type="dxa"/>
            <w:vAlign w:val="bottom"/>
            <w:shd w:val="clear" w:color="auto" w:fill="F2F2F2"/>
          </w:tcPr>
          <w:p>
            <w:pPr>
              <w:spacing w:after="0"/>
              <w:rPr>
                <w:sz w:val="8"/>
                <w:szCs w:val="8"/>
                <w:color w:val="auto"/>
              </w:rPr>
            </w:pPr>
          </w:p>
        </w:tc>
        <w:tc>
          <w:tcPr>
            <w:tcW w:w="960" w:type="dxa"/>
            <w:vAlign w:val="bottom"/>
            <w:vMerge w:val="continue"/>
            <w:shd w:val="clear" w:color="auto" w:fill="F2F2F2"/>
          </w:tcPr>
          <w:p>
            <w:pPr>
              <w:spacing w:after="0"/>
              <w:rPr>
                <w:sz w:val="8"/>
                <w:szCs w:val="8"/>
                <w:color w:val="auto"/>
              </w:rPr>
            </w:pPr>
          </w:p>
        </w:tc>
        <w:tc>
          <w:tcPr>
            <w:tcW w:w="180" w:type="dxa"/>
            <w:vAlign w:val="bottom"/>
            <w:shd w:val="clear" w:color="auto" w:fill="F2F2F2"/>
          </w:tcPr>
          <w:p>
            <w:pPr>
              <w:spacing w:after="0"/>
              <w:rPr>
                <w:sz w:val="8"/>
                <w:szCs w:val="8"/>
                <w:color w:val="auto"/>
              </w:rPr>
            </w:pPr>
          </w:p>
        </w:tc>
        <w:tc>
          <w:tcPr>
            <w:tcW w:w="940" w:type="dxa"/>
            <w:vAlign w:val="bottom"/>
            <w:vMerge w:val="continue"/>
            <w:shd w:val="clear" w:color="auto" w:fill="F2F2F2"/>
          </w:tcPr>
          <w:p>
            <w:pPr>
              <w:spacing w:after="0"/>
              <w:rPr>
                <w:sz w:val="8"/>
                <w:szCs w:val="8"/>
                <w:color w:val="auto"/>
              </w:rPr>
            </w:pPr>
          </w:p>
        </w:tc>
        <w:tc>
          <w:tcPr>
            <w:tcW w:w="940" w:type="dxa"/>
            <w:vAlign w:val="bottom"/>
            <w:vMerge w:val="continue"/>
            <w:shd w:val="clear" w:color="auto" w:fill="F2F2F2"/>
          </w:tcPr>
          <w:p>
            <w:pPr>
              <w:spacing w:after="0"/>
              <w:rPr>
                <w:sz w:val="8"/>
                <w:szCs w:val="8"/>
                <w:color w:val="auto"/>
              </w:rPr>
            </w:pPr>
          </w:p>
        </w:tc>
        <w:tc>
          <w:tcPr>
            <w:tcW w:w="740" w:type="dxa"/>
            <w:vAlign w:val="bottom"/>
            <w:shd w:val="clear" w:color="auto" w:fill="F2F2F2"/>
          </w:tcPr>
          <w:p>
            <w:pPr>
              <w:spacing w:after="0"/>
              <w:rPr>
                <w:sz w:val="8"/>
                <w:szCs w:val="8"/>
                <w:color w:val="auto"/>
              </w:rPr>
            </w:pPr>
          </w:p>
        </w:tc>
        <w:tc>
          <w:tcPr>
            <w:tcW w:w="840" w:type="dxa"/>
            <w:vAlign w:val="bottom"/>
            <w:shd w:val="clear" w:color="auto" w:fill="F2F2F2"/>
          </w:tcPr>
          <w:p>
            <w:pPr>
              <w:spacing w:after="0"/>
              <w:rPr>
                <w:sz w:val="8"/>
                <w:szCs w:val="8"/>
                <w:color w:val="auto"/>
              </w:rPr>
            </w:pPr>
          </w:p>
        </w:tc>
        <w:tc>
          <w:tcPr>
            <w:tcW w:w="1660" w:type="dxa"/>
            <w:vAlign w:val="bottom"/>
            <w:vMerge w:val="continue"/>
            <w:shd w:val="clear" w:color="auto" w:fill="F2F2F2"/>
          </w:tcPr>
          <w:p>
            <w:pPr>
              <w:spacing w:after="0"/>
              <w:rPr>
                <w:sz w:val="8"/>
                <w:szCs w:val="8"/>
                <w:color w:val="auto"/>
              </w:rPr>
            </w:pPr>
          </w:p>
        </w:tc>
        <w:tc>
          <w:tcPr>
            <w:tcW w:w="700" w:type="dxa"/>
            <w:vAlign w:val="bottom"/>
            <w:vMerge w:val="continue"/>
            <w:shd w:val="clear" w:color="auto" w:fill="F2F2F2"/>
          </w:tcPr>
          <w:p>
            <w:pPr>
              <w:spacing w:after="0"/>
              <w:rPr>
                <w:sz w:val="8"/>
                <w:szCs w:val="8"/>
                <w:color w:val="auto"/>
              </w:rPr>
            </w:pPr>
          </w:p>
        </w:tc>
        <w:tc>
          <w:tcPr>
            <w:tcW w:w="1460" w:type="dxa"/>
            <w:vAlign w:val="bottom"/>
            <w:vMerge w:val="continue"/>
            <w:shd w:val="clear" w:color="auto" w:fill="F2F2F2"/>
          </w:tcPr>
          <w:p>
            <w:pPr>
              <w:spacing w:after="0"/>
              <w:rPr>
                <w:sz w:val="8"/>
                <w:szCs w:val="8"/>
                <w:color w:val="auto"/>
              </w:rPr>
            </w:pPr>
          </w:p>
        </w:tc>
        <w:tc>
          <w:tcPr>
            <w:tcW w:w="880" w:type="dxa"/>
            <w:vAlign w:val="bottom"/>
            <w:vMerge w:val="continue"/>
            <w:shd w:val="clear" w:color="auto" w:fill="F2F2F2"/>
          </w:tcPr>
          <w:p>
            <w:pPr>
              <w:spacing w:after="0"/>
              <w:rPr>
                <w:sz w:val="8"/>
                <w:szCs w:val="8"/>
                <w:color w:val="auto"/>
              </w:rPr>
            </w:pPr>
          </w:p>
        </w:tc>
        <w:tc>
          <w:tcPr>
            <w:tcW w:w="0" w:type="dxa"/>
            <w:vAlign w:val="bottom"/>
          </w:tcPr>
          <w:p>
            <w:pPr>
              <w:spacing w:after="0"/>
              <w:rPr>
                <w:sz w:val="1"/>
                <w:szCs w:val="1"/>
                <w:color w:val="auto"/>
              </w:rPr>
            </w:pPr>
          </w:p>
        </w:tc>
      </w:tr>
      <w:tr>
        <w:trPr>
          <w:trHeight w:val="278"/>
        </w:trPr>
        <w:tc>
          <w:tcPr>
            <w:tcW w:w="160" w:type="dxa"/>
            <w:vAlign w:val="bottom"/>
            <w:tcBorders>
              <w:bottom w:val="single" w:sz="8" w:color="auto"/>
            </w:tcBorders>
            <w:shd w:val="clear" w:color="auto" w:fill="F2F2F2"/>
          </w:tcPr>
          <w:p>
            <w:pPr>
              <w:spacing w:after="0"/>
              <w:rPr>
                <w:sz w:val="24"/>
                <w:szCs w:val="24"/>
                <w:color w:val="auto"/>
              </w:rPr>
            </w:pPr>
          </w:p>
        </w:tc>
        <w:tc>
          <w:tcPr>
            <w:tcW w:w="960" w:type="dxa"/>
            <w:vAlign w:val="bottom"/>
            <w:tcBorders>
              <w:bottom w:val="single" w:sz="8" w:color="auto"/>
            </w:tcBorders>
            <w:shd w:val="clear" w:color="auto" w:fill="F2F2F2"/>
          </w:tcPr>
          <w:p>
            <w:pPr>
              <w:spacing w:after="0"/>
              <w:rPr>
                <w:sz w:val="24"/>
                <w:szCs w:val="24"/>
                <w:color w:val="auto"/>
              </w:rPr>
            </w:pPr>
          </w:p>
        </w:tc>
        <w:tc>
          <w:tcPr>
            <w:tcW w:w="180" w:type="dxa"/>
            <w:vAlign w:val="bottom"/>
            <w:tcBorders>
              <w:bottom w:val="single" w:sz="8" w:color="auto"/>
            </w:tcBorders>
            <w:shd w:val="clear" w:color="auto" w:fill="F2F2F2"/>
          </w:tcPr>
          <w:p>
            <w:pPr>
              <w:spacing w:after="0"/>
              <w:rPr>
                <w:sz w:val="24"/>
                <w:szCs w:val="24"/>
                <w:color w:val="auto"/>
              </w:rPr>
            </w:pPr>
          </w:p>
        </w:tc>
        <w:tc>
          <w:tcPr>
            <w:tcW w:w="940" w:type="dxa"/>
            <w:vAlign w:val="bottom"/>
            <w:tcBorders>
              <w:bottom w:val="single" w:sz="8" w:color="auto"/>
            </w:tcBorders>
            <w:shd w:val="clear" w:color="auto" w:fill="F2F2F2"/>
          </w:tcPr>
          <w:p>
            <w:pPr>
              <w:spacing w:after="0"/>
              <w:rPr>
                <w:sz w:val="24"/>
                <w:szCs w:val="24"/>
                <w:color w:val="auto"/>
              </w:rPr>
            </w:pPr>
          </w:p>
        </w:tc>
        <w:tc>
          <w:tcPr>
            <w:tcW w:w="940" w:type="dxa"/>
            <w:vAlign w:val="bottom"/>
            <w:tcBorders>
              <w:bottom w:val="single" w:sz="8" w:color="auto"/>
            </w:tcBorders>
            <w:shd w:val="clear" w:color="auto" w:fill="F2F2F2"/>
          </w:tcPr>
          <w:p>
            <w:pPr>
              <w:spacing w:after="0"/>
              <w:rPr>
                <w:sz w:val="24"/>
                <w:szCs w:val="24"/>
                <w:color w:val="auto"/>
              </w:rPr>
            </w:pPr>
          </w:p>
        </w:tc>
        <w:tc>
          <w:tcPr>
            <w:tcW w:w="740" w:type="dxa"/>
            <w:vAlign w:val="bottom"/>
            <w:tcBorders>
              <w:bottom w:val="single" w:sz="8" w:color="auto"/>
            </w:tcBorders>
            <w:shd w:val="clear" w:color="auto" w:fill="F2F2F2"/>
          </w:tcPr>
          <w:p>
            <w:pPr>
              <w:spacing w:after="0"/>
              <w:rPr>
                <w:sz w:val="24"/>
                <w:szCs w:val="24"/>
                <w:color w:val="auto"/>
              </w:rPr>
            </w:pPr>
          </w:p>
        </w:tc>
        <w:tc>
          <w:tcPr>
            <w:tcW w:w="840" w:type="dxa"/>
            <w:vAlign w:val="bottom"/>
            <w:tcBorders>
              <w:bottom w:val="single" w:sz="8" w:color="auto"/>
            </w:tcBorders>
            <w:shd w:val="clear" w:color="auto" w:fill="F2F2F2"/>
          </w:tcPr>
          <w:p>
            <w:pPr>
              <w:spacing w:after="0"/>
              <w:rPr>
                <w:sz w:val="24"/>
                <w:szCs w:val="24"/>
                <w:color w:val="auto"/>
              </w:rPr>
            </w:pPr>
          </w:p>
        </w:tc>
        <w:tc>
          <w:tcPr>
            <w:tcW w:w="1660" w:type="dxa"/>
            <w:vAlign w:val="bottom"/>
            <w:tcBorders>
              <w:bottom w:val="single" w:sz="8" w:color="auto"/>
            </w:tcBorders>
            <w:shd w:val="clear" w:color="auto" w:fill="F2F2F2"/>
          </w:tcPr>
          <w:p>
            <w:pPr>
              <w:spacing w:after="0"/>
              <w:rPr>
                <w:sz w:val="24"/>
                <w:szCs w:val="24"/>
                <w:color w:val="auto"/>
              </w:rPr>
            </w:pPr>
          </w:p>
        </w:tc>
        <w:tc>
          <w:tcPr>
            <w:tcW w:w="700" w:type="dxa"/>
            <w:vAlign w:val="bottom"/>
            <w:tcBorders>
              <w:bottom w:val="single" w:sz="8" w:color="auto"/>
            </w:tcBorders>
            <w:shd w:val="clear" w:color="auto" w:fill="F2F2F2"/>
          </w:tcPr>
          <w:p>
            <w:pPr>
              <w:spacing w:after="0"/>
              <w:rPr>
                <w:sz w:val="24"/>
                <w:szCs w:val="24"/>
                <w:color w:val="auto"/>
              </w:rPr>
            </w:pPr>
          </w:p>
        </w:tc>
        <w:tc>
          <w:tcPr>
            <w:tcW w:w="1460" w:type="dxa"/>
            <w:vAlign w:val="bottom"/>
            <w:tcBorders>
              <w:bottom w:val="single" w:sz="8" w:color="auto"/>
            </w:tcBorders>
            <w:shd w:val="clear" w:color="auto" w:fill="F2F2F2"/>
          </w:tcPr>
          <w:p>
            <w:pPr>
              <w:spacing w:after="0"/>
              <w:rPr>
                <w:sz w:val="24"/>
                <w:szCs w:val="24"/>
                <w:color w:val="auto"/>
              </w:rPr>
            </w:pPr>
          </w:p>
        </w:tc>
        <w:tc>
          <w:tcPr>
            <w:tcW w:w="880" w:type="dxa"/>
            <w:vAlign w:val="bottom"/>
            <w:tcBorders>
              <w:bottom w:val="single" w:sz="8" w:color="auto"/>
            </w:tcBorders>
            <w:shd w:val="clear" w:color="auto" w:fill="F2F2F2"/>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4933950</wp:posOffset>
            </wp:positionH>
            <wp:positionV relativeFrom="paragraph">
              <wp:posOffset>-153670</wp:posOffset>
            </wp:positionV>
            <wp:extent cx="8255" cy="8890"/>
            <wp:wrapNone/>
            <wp:docPr id="1131" name="Picture 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1"/>
                    <pic:cNvPicPr>
                      <a:picLocks noChangeAspect="1" noChangeArrowheads="1"/>
                    </pic:cNvPicPr>
                  </pic:nvPicPr>
                  <pic:blipFill>
                    <a:blip r:embed="rId113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-136525</wp:posOffset>
            </wp:positionV>
            <wp:extent cx="8255" cy="8890"/>
            <wp:wrapNone/>
            <wp:docPr id="1132" name="Picture 1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2"/>
                    <pic:cNvPicPr>
                      <a:picLocks noChangeAspect="1" noChangeArrowheads="1"/>
                    </pic:cNvPicPr>
                  </pic:nvPicPr>
                  <pic:blipFill>
                    <a:blip r:embed="rId113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-119380</wp:posOffset>
            </wp:positionV>
            <wp:extent cx="8255" cy="8890"/>
            <wp:wrapNone/>
            <wp:docPr id="1133" name="Picture 1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3"/>
                    <pic:cNvPicPr>
                      <a:picLocks noChangeAspect="1" noChangeArrowheads="1"/>
                    </pic:cNvPicPr>
                  </pic:nvPicPr>
                  <pic:blipFill>
                    <a:blip r:embed="rId11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-102235</wp:posOffset>
            </wp:positionV>
            <wp:extent cx="8255" cy="8255"/>
            <wp:wrapNone/>
            <wp:docPr id="1134" name="Picture 1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4"/>
                    <pic:cNvPicPr>
                      <a:picLocks noChangeAspect="1" noChangeArrowheads="1"/>
                    </pic:cNvPicPr>
                  </pic:nvPicPr>
                  <pic:blipFill>
                    <a:blip r:embed="rId11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-85090</wp:posOffset>
            </wp:positionV>
            <wp:extent cx="8255" cy="8890"/>
            <wp:wrapNone/>
            <wp:docPr id="1135" name="Picture 1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5"/>
                    <pic:cNvPicPr>
                      <a:picLocks noChangeAspect="1" noChangeArrowheads="1"/>
                    </pic:cNvPicPr>
                  </pic:nvPicPr>
                  <pic:blipFill>
                    <a:blip r:embed="rId114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-67945</wp:posOffset>
            </wp:positionV>
            <wp:extent cx="8255" cy="8890"/>
            <wp:wrapNone/>
            <wp:docPr id="1136" name="Picture 1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6"/>
                    <pic:cNvPicPr>
                      <a:picLocks noChangeAspect="1" noChangeArrowheads="1"/>
                    </pic:cNvPicPr>
                  </pic:nvPicPr>
                  <pic:blipFill>
                    <a:blip r:embed="rId114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-50800</wp:posOffset>
            </wp:positionV>
            <wp:extent cx="8255" cy="8890"/>
            <wp:wrapNone/>
            <wp:docPr id="1137" name="Picture 1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7"/>
                    <pic:cNvPicPr>
                      <a:picLocks noChangeAspect="1" noChangeArrowheads="1"/>
                    </pic:cNvPicPr>
                  </pic:nvPicPr>
                  <pic:blipFill>
                    <a:blip r:embed="rId114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-33655</wp:posOffset>
            </wp:positionV>
            <wp:extent cx="8255" cy="8890"/>
            <wp:wrapNone/>
            <wp:docPr id="1138" name="Picture 1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8"/>
                    <pic:cNvPicPr>
                      <a:picLocks noChangeAspect="1" noChangeArrowheads="1"/>
                    </pic:cNvPicPr>
                  </pic:nvPicPr>
                  <pic:blipFill>
                    <a:blip r:embed="rId114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-16510</wp:posOffset>
            </wp:positionV>
            <wp:extent cx="8255" cy="8255"/>
            <wp:wrapNone/>
            <wp:docPr id="1139" name="Picture 1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9"/>
                    <pic:cNvPicPr>
                      <a:picLocks noChangeAspect="1" noChangeArrowheads="1"/>
                    </pic:cNvPicPr>
                  </pic:nvPicPr>
                  <pic:blipFill>
                    <a:blip r:embed="rId11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-153670</wp:posOffset>
            </wp:positionV>
            <wp:extent cx="8255" cy="8890"/>
            <wp:wrapNone/>
            <wp:docPr id="1140" name="Picture 1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0"/>
                    <pic:cNvPicPr>
                      <a:picLocks noChangeAspect="1" noChangeArrowheads="1"/>
                    </pic:cNvPicPr>
                  </pic:nvPicPr>
                  <pic:blipFill>
                    <a:blip r:embed="rId114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-136525</wp:posOffset>
            </wp:positionV>
            <wp:extent cx="8255" cy="8890"/>
            <wp:wrapNone/>
            <wp:docPr id="1141" name="Picture 1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1"/>
                    <pic:cNvPicPr>
                      <a:picLocks noChangeAspect="1" noChangeArrowheads="1"/>
                    </pic:cNvPicPr>
                  </pic:nvPicPr>
                  <pic:blipFill>
                    <a:blip r:embed="rId11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-119380</wp:posOffset>
            </wp:positionV>
            <wp:extent cx="8255" cy="8890"/>
            <wp:wrapNone/>
            <wp:docPr id="1142" name="Picture 1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2"/>
                    <pic:cNvPicPr>
                      <a:picLocks noChangeAspect="1" noChangeArrowheads="1"/>
                    </pic:cNvPicPr>
                  </pic:nvPicPr>
                  <pic:blipFill>
                    <a:blip r:embed="rId114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-102235</wp:posOffset>
            </wp:positionV>
            <wp:extent cx="8255" cy="8255"/>
            <wp:wrapNone/>
            <wp:docPr id="1143" name="Picture 1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3"/>
                    <pic:cNvPicPr>
                      <a:picLocks noChangeAspect="1" noChangeArrowheads="1"/>
                    </pic:cNvPicPr>
                  </pic:nvPicPr>
                  <pic:blipFill>
                    <a:blip r:embed="rId11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-85090</wp:posOffset>
            </wp:positionV>
            <wp:extent cx="8255" cy="8890"/>
            <wp:wrapNone/>
            <wp:docPr id="1144" name="Picture 1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4"/>
                    <pic:cNvPicPr>
                      <a:picLocks noChangeAspect="1" noChangeArrowheads="1"/>
                    </pic:cNvPicPr>
                  </pic:nvPicPr>
                  <pic:blipFill>
                    <a:blip r:embed="rId115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-67945</wp:posOffset>
            </wp:positionV>
            <wp:extent cx="8255" cy="8890"/>
            <wp:wrapNone/>
            <wp:docPr id="1145" name="Picture 1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5"/>
                    <pic:cNvPicPr>
                      <a:picLocks noChangeAspect="1" noChangeArrowheads="1"/>
                    </pic:cNvPicPr>
                  </pic:nvPicPr>
                  <pic:blipFill>
                    <a:blip r:embed="rId115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-50800</wp:posOffset>
            </wp:positionV>
            <wp:extent cx="8255" cy="8890"/>
            <wp:wrapNone/>
            <wp:docPr id="1146" name="Picture 1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6"/>
                    <pic:cNvPicPr>
                      <a:picLocks noChangeAspect="1" noChangeArrowheads="1"/>
                    </pic:cNvPicPr>
                  </pic:nvPicPr>
                  <pic:blipFill>
                    <a:blip r:embed="rId11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-33655</wp:posOffset>
            </wp:positionV>
            <wp:extent cx="8255" cy="8890"/>
            <wp:wrapNone/>
            <wp:docPr id="1147" name="Picture 1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7"/>
                    <pic:cNvPicPr>
                      <a:picLocks noChangeAspect="1" noChangeArrowheads="1"/>
                    </pic:cNvPicPr>
                  </pic:nvPicPr>
                  <pic:blipFill>
                    <a:blip r:embed="rId115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-16510</wp:posOffset>
            </wp:positionV>
            <wp:extent cx="8255" cy="8255"/>
            <wp:wrapNone/>
            <wp:docPr id="1148" name="Picture 1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8"/>
                    <pic:cNvPicPr>
                      <a:picLocks noChangeAspect="1" noChangeArrowheads="1"/>
                    </pic:cNvPicPr>
                  </pic:nvPicPr>
                  <pic:blipFill>
                    <a:blip r:embed="rId11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-153670</wp:posOffset>
            </wp:positionV>
            <wp:extent cx="8890" cy="8890"/>
            <wp:wrapNone/>
            <wp:docPr id="1149" name="Picture 1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9"/>
                    <pic:cNvPicPr>
                      <a:picLocks noChangeAspect="1" noChangeArrowheads="1"/>
                    </pic:cNvPicPr>
                  </pic:nvPicPr>
                  <pic:blipFill>
                    <a:blip r:embed="rId11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-136525</wp:posOffset>
            </wp:positionV>
            <wp:extent cx="8890" cy="8890"/>
            <wp:wrapNone/>
            <wp:docPr id="1150" name="Picture 1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0"/>
                    <pic:cNvPicPr>
                      <a:picLocks noChangeAspect="1" noChangeArrowheads="1"/>
                    </pic:cNvPicPr>
                  </pic:nvPicPr>
                  <pic:blipFill>
                    <a:blip r:embed="rId11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-119380</wp:posOffset>
            </wp:positionV>
            <wp:extent cx="8890" cy="8890"/>
            <wp:wrapNone/>
            <wp:docPr id="1151" name="Picture 1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1"/>
                    <pic:cNvPicPr>
                      <a:picLocks noChangeAspect="1" noChangeArrowheads="1"/>
                    </pic:cNvPicPr>
                  </pic:nvPicPr>
                  <pic:blipFill>
                    <a:blip r:embed="rId11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-102235</wp:posOffset>
            </wp:positionV>
            <wp:extent cx="8890" cy="8255"/>
            <wp:wrapNone/>
            <wp:docPr id="1152" name="Picture 1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2"/>
                    <pic:cNvPicPr>
                      <a:picLocks noChangeAspect="1" noChangeArrowheads="1"/>
                    </pic:cNvPicPr>
                  </pic:nvPicPr>
                  <pic:blipFill>
                    <a:blip r:embed="rId11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-85090</wp:posOffset>
            </wp:positionV>
            <wp:extent cx="8890" cy="8890"/>
            <wp:wrapNone/>
            <wp:docPr id="1153" name="Picture 1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3"/>
                    <pic:cNvPicPr>
                      <a:picLocks noChangeAspect="1" noChangeArrowheads="1"/>
                    </pic:cNvPicPr>
                  </pic:nvPicPr>
                  <pic:blipFill>
                    <a:blip r:embed="rId11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-67945</wp:posOffset>
            </wp:positionV>
            <wp:extent cx="8890" cy="8890"/>
            <wp:wrapNone/>
            <wp:docPr id="1154" name="Picture 1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4"/>
                    <pic:cNvPicPr>
                      <a:picLocks noChangeAspect="1" noChangeArrowheads="1"/>
                    </pic:cNvPicPr>
                  </pic:nvPicPr>
                  <pic:blipFill>
                    <a:blip r:embed="rId11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-50800</wp:posOffset>
            </wp:positionV>
            <wp:extent cx="8890" cy="8890"/>
            <wp:wrapNone/>
            <wp:docPr id="1155" name="Picture 1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5"/>
                    <pic:cNvPicPr>
                      <a:picLocks noChangeAspect="1" noChangeArrowheads="1"/>
                    </pic:cNvPicPr>
                  </pic:nvPicPr>
                  <pic:blipFill>
                    <a:blip r:embed="rId11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-33655</wp:posOffset>
            </wp:positionV>
            <wp:extent cx="8890" cy="8890"/>
            <wp:wrapNone/>
            <wp:docPr id="1156" name="Picture 1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6"/>
                    <pic:cNvPicPr>
                      <a:picLocks noChangeAspect="1" noChangeArrowheads="1"/>
                    </pic:cNvPicPr>
                  </pic:nvPicPr>
                  <pic:blipFill>
                    <a:blip r:embed="rId11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-16510</wp:posOffset>
            </wp:positionV>
            <wp:extent cx="8890" cy="8255"/>
            <wp:wrapNone/>
            <wp:docPr id="1157" name="Picture 1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7"/>
                    <pic:cNvPicPr>
                      <a:picLocks noChangeAspect="1" noChangeArrowheads="1"/>
                    </pic:cNvPicPr>
                  </pic:nvPicPr>
                  <pic:blipFill>
                    <a:blip r:embed="rId11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-401955</wp:posOffset>
            </wp:positionV>
            <wp:extent cx="8255" cy="8890"/>
            <wp:wrapNone/>
            <wp:docPr id="1158" name="Picture 1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8"/>
                    <pic:cNvPicPr>
                      <a:picLocks noChangeAspect="1" noChangeArrowheads="1"/>
                    </pic:cNvPicPr>
                  </pic:nvPicPr>
                  <pic:blipFill>
                    <a:blip r:embed="rId116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-385445</wp:posOffset>
            </wp:positionV>
            <wp:extent cx="8255" cy="8890"/>
            <wp:wrapNone/>
            <wp:docPr id="1159" name="Picture 1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9"/>
                    <pic:cNvPicPr>
                      <a:picLocks noChangeAspect="1" noChangeArrowheads="1"/>
                    </pic:cNvPicPr>
                  </pic:nvPicPr>
                  <pic:blipFill>
                    <a:blip r:embed="rId116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-367665</wp:posOffset>
            </wp:positionV>
            <wp:extent cx="8255" cy="8890"/>
            <wp:wrapNone/>
            <wp:docPr id="1160" name="Picture 1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0"/>
                    <pic:cNvPicPr>
                      <a:picLocks noChangeAspect="1" noChangeArrowheads="1"/>
                    </pic:cNvPicPr>
                  </pic:nvPicPr>
                  <pic:blipFill>
                    <a:blip r:embed="rId116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-350520</wp:posOffset>
            </wp:positionV>
            <wp:extent cx="8255" cy="8255"/>
            <wp:wrapNone/>
            <wp:docPr id="1161" name="Picture 1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1"/>
                    <pic:cNvPicPr>
                      <a:picLocks noChangeAspect="1" noChangeArrowheads="1"/>
                    </pic:cNvPicPr>
                  </pic:nvPicPr>
                  <pic:blipFill>
                    <a:blip r:embed="rId11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-333375</wp:posOffset>
            </wp:positionV>
            <wp:extent cx="8255" cy="8890"/>
            <wp:wrapNone/>
            <wp:docPr id="1162" name="Picture 1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2"/>
                    <pic:cNvPicPr>
                      <a:picLocks noChangeAspect="1" noChangeArrowheads="1"/>
                    </pic:cNvPicPr>
                  </pic:nvPicPr>
                  <pic:blipFill>
                    <a:blip r:embed="rId116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-316230</wp:posOffset>
            </wp:positionV>
            <wp:extent cx="8255" cy="8890"/>
            <wp:wrapNone/>
            <wp:docPr id="1163" name="Picture 1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3"/>
                    <pic:cNvPicPr>
                      <a:picLocks noChangeAspect="1" noChangeArrowheads="1"/>
                    </pic:cNvPicPr>
                  </pic:nvPicPr>
                  <pic:blipFill>
                    <a:blip r:embed="rId117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-299720</wp:posOffset>
            </wp:positionV>
            <wp:extent cx="8255" cy="8890"/>
            <wp:wrapNone/>
            <wp:docPr id="1164" name="Picture 1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4"/>
                    <pic:cNvPicPr>
                      <a:picLocks noChangeAspect="1" noChangeArrowheads="1"/>
                    </pic:cNvPicPr>
                  </pic:nvPicPr>
                  <pic:blipFill>
                    <a:blip r:embed="rId117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-281940</wp:posOffset>
            </wp:positionV>
            <wp:extent cx="8255" cy="8890"/>
            <wp:wrapNone/>
            <wp:docPr id="1165" name="Picture 1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5"/>
                    <pic:cNvPicPr>
                      <a:picLocks noChangeAspect="1" noChangeArrowheads="1"/>
                    </pic:cNvPicPr>
                  </pic:nvPicPr>
                  <pic:blipFill>
                    <a:blip r:embed="rId117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-264795</wp:posOffset>
            </wp:positionV>
            <wp:extent cx="8255" cy="8255"/>
            <wp:wrapNone/>
            <wp:docPr id="1166" name="Picture 1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6"/>
                    <pic:cNvPicPr>
                      <a:picLocks noChangeAspect="1" noChangeArrowheads="1"/>
                    </pic:cNvPicPr>
                  </pic:nvPicPr>
                  <pic:blipFill>
                    <a:blip r:embed="rId11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-247650</wp:posOffset>
            </wp:positionV>
            <wp:extent cx="8255" cy="8890"/>
            <wp:wrapNone/>
            <wp:docPr id="1167" name="Picture 1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7"/>
                    <pic:cNvPicPr>
                      <a:picLocks noChangeAspect="1" noChangeArrowheads="1"/>
                    </pic:cNvPicPr>
                  </pic:nvPicPr>
                  <pic:blipFill>
                    <a:blip r:embed="rId117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-230505</wp:posOffset>
            </wp:positionV>
            <wp:extent cx="8255" cy="8255"/>
            <wp:wrapNone/>
            <wp:docPr id="1168" name="Picture 1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8"/>
                    <pic:cNvPicPr>
                      <a:picLocks noChangeAspect="1" noChangeArrowheads="1"/>
                    </pic:cNvPicPr>
                  </pic:nvPicPr>
                  <pic:blipFill>
                    <a:blip r:embed="rId11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-213995</wp:posOffset>
            </wp:positionV>
            <wp:extent cx="8255" cy="8890"/>
            <wp:wrapNone/>
            <wp:docPr id="1169" name="Picture 1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9"/>
                    <pic:cNvPicPr>
                      <a:picLocks noChangeAspect="1" noChangeArrowheads="1"/>
                    </pic:cNvPicPr>
                  </pic:nvPicPr>
                  <pic:blipFill>
                    <a:blip r:embed="rId117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-196215</wp:posOffset>
            </wp:positionV>
            <wp:extent cx="8255" cy="8890"/>
            <wp:wrapNone/>
            <wp:docPr id="1170" name="Picture 1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0"/>
                    <pic:cNvPicPr>
                      <a:picLocks noChangeAspect="1" noChangeArrowheads="1"/>
                    </pic:cNvPicPr>
                  </pic:nvPicPr>
                  <pic:blipFill>
                    <a:blip r:embed="rId117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-179705</wp:posOffset>
            </wp:positionV>
            <wp:extent cx="8255" cy="17145"/>
            <wp:wrapNone/>
            <wp:docPr id="1171" name="Picture 1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1"/>
                    <pic:cNvPicPr>
                      <a:picLocks noChangeAspect="1" noChangeArrowheads="1"/>
                    </pic:cNvPicPr>
                  </pic:nvPicPr>
                  <pic:blipFill>
                    <a:blip r:embed="rId1178">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-401955</wp:posOffset>
            </wp:positionV>
            <wp:extent cx="8255" cy="8890"/>
            <wp:wrapNone/>
            <wp:docPr id="1172" name="Picture 1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2"/>
                    <pic:cNvPicPr>
                      <a:picLocks noChangeAspect="1" noChangeArrowheads="1"/>
                    </pic:cNvPicPr>
                  </pic:nvPicPr>
                  <pic:blipFill>
                    <a:blip r:embed="rId117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-385445</wp:posOffset>
            </wp:positionV>
            <wp:extent cx="8255" cy="8890"/>
            <wp:wrapNone/>
            <wp:docPr id="1173" name="Picture 1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3"/>
                    <pic:cNvPicPr>
                      <a:picLocks noChangeAspect="1" noChangeArrowheads="1"/>
                    </pic:cNvPicPr>
                  </pic:nvPicPr>
                  <pic:blipFill>
                    <a:blip r:embed="rId118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-367665</wp:posOffset>
            </wp:positionV>
            <wp:extent cx="8255" cy="8890"/>
            <wp:wrapNone/>
            <wp:docPr id="1174" name="Picture 1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4"/>
                    <pic:cNvPicPr>
                      <a:picLocks noChangeAspect="1" noChangeArrowheads="1"/>
                    </pic:cNvPicPr>
                  </pic:nvPicPr>
                  <pic:blipFill>
                    <a:blip r:embed="rId118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-350520</wp:posOffset>
            </wp:positionV>
            <wp:extent cx="8255" cy="8255"/>
            <wp:wrapNone/>
            <wp:docPr id="1175" name="Picture 1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5"/>
                    <pic:cNvPicPr>
                      <a:picLocks noChangeAspect="1" noChangeArrowheads="1"/>
                    </pic:cNvPicPr>
                  </pic:nvPicPr>
                  <pic:blipFill>
                    <a:blip r:embed="rId11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-333375</wp:posOffset>
            </wp:positionV>
            <wp:extent cx="8255" cy="8890"/>
            <wp:wrapNone/>
            <wp:docPr id="1176" name="Picture 1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6"/>
                    <pic:cNvPicPr>
                      <a:picLocks noChangeAspect="1" noChangeArrowheads="1"/>
                    </pic:cNvPicPr>
                  </pic:nvPicPr>
                  <pic:blipFill>
                    <a:blip r:embed="rId118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-316230</wp:posOffset>
            </wp:positionV>
            <wp:extent cx="8255" cy="8890"/>
            <wp:wrapNone/>
            <wp:docPr id="1177" name="Picture 1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7"/>
                    <pic:cNvPicPr>
                      <a:picLocks noChangeAspect="1" noChangeArrowheads="1"/>
                    </pic:cNvPicPr>
                  </pic:nvPicPr>
                  <pic:blipFill>
                    <a:blip r:embed="rId118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-299720</wp:posOffset>
            </wp:positionV>
            <wp:extent cx="8255" cy="8890"/>
            <wp:wrapNone/>
            <wp:docPr id="1178" name="Picture 1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8"/>
                    <pic:cNvPicPr>
                      <a:picLocks noChangeAspect="1" noChangeArrowheads="1"/>
                    </pic:cNvPicPr>
                  </pic:nvPicPr>
                  <pic:blipFill>
                    <a:blip r:embed="rId118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-281940</wp:posOffset>
            </wp:positionV>
            <wp:extent cx="8255" cy="8890"/>
            <wp:wrapNone/>
            <wp:docPr id="1179" name="Picture 1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9"/>
                    <pic:cNvPicPr>
                      <a:picLocks noChangeAspect="1" noChangeArrowheads="1"/>
                    </pic:cNvPicPr>
                  </pic:nvPicPr>
                  <pic:blipFill>
                    <a:blip r:embed="rId118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-264795</wp:posOffset>
            </wp:positionV>
            <wp:extent cx="8255" cy="8255"/>
            <wp:wrapNone/>
            <wp:docPr id="1180" name="Picture 1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0"/>
                    <pic:cNvPicPr>
                      <a:picLocks noChangeAspect="1" noChangeArrowheads="1"/>
                    </pic:cNvPicPr>
                  </pic:nvPicPr>
                  <pic:blipFill>
                    <a:blip r:embed="rId11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-247650</wp:posOffset>
            </wp:positionV>
            <wp:extent cx="8255" cy="8890"/>
            <wp:wrapNone/>
            <wp:docPr id="1181" name="Picture 1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1"/>
                    <pic:cNvPicPr>
                      <a:picLocks noChangeAspect="1" noChangeArrowheads="1"/>
                    </pic:cNvPicPr>
                  </pic:nvPicPr>
                  <pic:blipFill>
                    <a:blip r:embed="rId118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-230505</wp:posOffset>
            </wp:positionV>
            <wp:extent cx="8255" cy="8255"/>
            <wp:wrapNone/>
            <wp:docPr id="1182" name="Picture 1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2"/>
                    <pic:cNvPicPr>
                      <a:picLocks noChangeAspect="1" noChangeArrowheads="1"/>
                    </pic:cNvPicPr>
                  </pic:nvPicPr>
                  <pic:blipFill>
                    <a:blip r:embed="rId11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-213995</wp:posOffset>
            </wp:positionV>
            <wp:extent cx="8255" cy="8890"/>
            <wp:wrapNone/>
            <wp:docPr id="1183" name="Picture 1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3"/>
                    <pic:cNvPicPr>
                      <a:picLocks noChangeAspect="1" noChangeArrowheads="1"/>
                    </pic:cNvPicPr>
                  </pic:nvPicPr>
                  <pic:blipFill>
                    <a:blip r:embed="rId119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-196215</wp:posOffset>
            </wp:positionV>
            <wp:extent cx="8255" cy="8890"/>
            <wp:wrapNone/>
            <wp:docPr id="1184" name="Picture 1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4"/>
                    <pic:cNvPicPr>
                      <a:picLocks noChangeAspect="1" noChangeArrowheads="1"/>
                    </pic:cNvPicPr>
                  </pic:nvPicPr>
                  <pic:blipFill>
                    <a:blip r:embed="rId119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-179705</wp:posOffset>
            </wp:positionV>
            <wp:extent cx="8255" cy="17145"/>
            <wp:wrapNone/>
            <wp:docPr id="1185" name="Picture 1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5"/>
                    <pic:cNvPicPr>
                      <a:picLocks noChangeAspect="1" noChangeArrowheads="1"/>
                    </pic:cNvPicPr>
                  </pic:nvPicPr>
                  <pic:blipFill>
                    <a:blip r:embed="rId1192">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-401955</wp:posOffset>
            </wp:positionV>
            <wp:extent cx="8890" cy="8890"/>
            <wp:wrapNone/>
            <wp:docPr id="1186" name="Picture 1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6"/>
                    <pic:cNvPicPr>
                      <a:picLocks noChangeAspect="1" noChangeArrowheads="1"/>
                    </pic:cNvPicPr>
                  </pic:nvPicPr>
                  <pic:blipFill>
                    <a:blip r:embed="rId11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-385445</wp:posOffset>
            </wp:positionV>
            <wp:extent cx="8890" cy="8890"/>
            <wp:wrapNone/>
            <wp:docPr id="1187" name="Picture 1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7"/>
                    <pic:cNvPicPr>
                      <a:picLocks noChangeAspect="1" noChangeArrowheads="1"/>
                    </pic:cNvPicPr>
                  </pic:nvPicPr>
                  <pic:blipFill>
                    <a:blip r:embed="rId11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-367665</wp:posOffset>
            </wp:positionV>
            <wp:extent cx="8890" cy="8890"/>
            <wp:wrapNone/>
            <wp:docPr id="1188" name="Picture 1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1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-350520</wp:posOffset>
            </wp:positionV>
            <wp:extent cx="8890" cy="8255"/>
            <wp:wrapNone/>
            <wp:docPr id="1189" name="Picture 1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9"/>
                    <pic:cNvPicPr>
                      <a:picLocks noChangeAspect="1" noChangeArrowheads="1"/>
                    </pic:cNvPicPr>
                  </pic:nvPicPr>
                  <pic:blipFill>
                    <a:blip r:embed="rId11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-333375</wp:posOffset>
            </wp:positionV>
            <wp:extent cx="8890" cy="8890"/>
            <wp:wrapNone/>
            <wp:docPr id="1190" name="Picture 1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0"/>
                    <pic:cNvPicPr>
                      <a:picLocks noChangeAspect="1" noChangeArrowheads="1"/>
                    </pic:cNvPicPr>
                  </pic:nvPicPr>
                  <pic:blipFill>
                    <a:blip r:embed="rId11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-316230</wp:posOffset>
            </wp:positionV>
            <wp:extent cx="8890" cy="8890"/>
            <wp:wrapNone/>
            <wp:docPr id="1191" name="Picture 1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1"/>
                    <pic:cNvPicPr>
                      <a:picLocks noChangeAspect="1" noChangeArrowheads="1"/>
                    </pic:cNvPicPr>
                  </pic:nvPicPr>
                  <pic:blipFill>
                    <a:blip r:embed="rId11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-299720</wp:posOffset>
            </wp:positionV>
            <wp:extent cx="8890" cy="8890"/>
            <wp:wrapNone/>
            <wp:docPr id="1192" name="Picture 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2"/>
                    <pic:cNvPicPr>
                      <a:picLocks noChangeAspect="1" noChangeArrowheads="1"/>
                    </pic:cNvPicPr>
                  </pic:nvPicPr>
                  <pic:blipFill>
                    <a:blip r:embed="rId11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-281940</wp:posOffset>
            </wp:positionV>
            <wp:extent cx="8890" cy="8890"/>
            <wp:wrapNone/>
            <wp:docPr id="1193" name="Picture 1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3"/>
                    <pic:cNvPicPr>
                      <a:picLocks noChangeAspect="1" noChangeArrowheads="1"/>
                    </pic:cNvPicPr>
                  </pic:nvPicPr>
                  <pic:blipFill>
                    <a:blip r:embed="rId12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-264795</wp:posOffset>
            </wp:positionV>
            <wp:extent cx="8890" cy="8255"/>
            <wp:wrapNone/>
            <wp:docPr id="1194" name="Picture 1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4"/>
                    <pic:cNvPicPr>
                      <a:picLocks noChangeAspect="1" noChangeArrowheads="1"/>
                    </pic:cNvPicPr>
                  </pic:nvPicPr>
                  <pic:blipFill>
                    <a:blip r:embed="rId12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-247650</wp:posOffset>
            </wp:positionV>
            <wp:extent cx="8890" cy="8890"/>
            <wp:wrapNone/>
            <wp:docPr id="1195" name="Picture 1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5"/>
                    <pic:cNvPicPr>
                      <a:picLocks noChangeAspect="1" noChangeArrowheads="1"/>
                    </pic:cNvPicPr>
                  </pic:nvPicPr>
                  <pic:blipFill>
                    <a:blip r:embed="rId12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-230505</wp:posOffset>
            </wp:positionV>
            <wp:extent cx="8890" cy="8255"/>
            <wp:wrapNone/>
            <wp:docPr id="1196" name="Picture 1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6"/>
                    <pic:cNvPicPr>
                      <a:picLocks noChangeAspect="1" noChangeArrowheads="1"/>
                    </pic:cNvPicPr>
                  </pic:nvPicPr>
                  <pic:blipFill>
                    <a:blip r:embed="rId12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-213995</wp:posOffset>
            </wp:positionV>
            <wp:extent cx="8890" cy="8890"/>
            <wp:wrapNone/>
            <wp:docPr id="1197" name="Picture 1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7"/>
                    <pic:cNvPicPr>
                      <a:picLocks noChangeAspect="1" noChangeArrowheads="1"/>
                    </pic:cNvPicPr>
                  </pic:nvPicPr>
                  <pic:blipFill>
                    <a:blip r:embed="rId12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-196215</wp:posOffset>
            </wp:positionV>
            <wp:extent cx="8890" cy="8890"/>
            <wp:wrapNone/>
            <wp:docPr id="1198" name="Picture 1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8"/>
                    <pic:cNvPicPr>
                      <a:picLocks noChangeAspect="1" noChangeArrowheads="1"/>
                    </pic:cNvPicPr>
                  </pic:nvPicPr>
                  <pic:blipFill>
                    <a:blip r:embed="rId12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-179705</wp:posOffset>
            </wp:positionV>
            <wp:extent cx="8890" cy="17145"/>
            <wp:wrapNone/>
            <wp:docPr id="1199" name="Picture 1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9"/>
                    <pic:cNvPicPr>
                      <a:picLocks noChangeAspect="1" noChangeArrowheads="1"/>
                    </pic:cNvPicPr>
                  </pic:nvPicPr>
                  <pic:blipFill>
                    <a:blip r:embed="rId1206">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-659130</wp:posOffset>
            </wp:positionV>
            <wp:extent cx="8255" cy="8890"/>
            <wp:wrapNone/>
            <wp:docPr id="1200" name="Picture 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0"/>
                    <pic:cNvPicPr>
                      <a:picLocks noChangeAspect="1" noChangeArrowheads="1"/>
                    </pic:cNvPicPr>
                  </pic:nvPicPr>
                  <pic:blipFill>
                    <a:blip r:embed="rId120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-641985</wp:posOffset>
            </wp:positionV>
            <wp:extent cx="8255" cy="8255"/>
            <wp:wrapNone/>
            <wp:docPr id="1201" name="Picture 1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1"/>
                    <pic:cNvPicPr>
                      <a:picLocks noChangeAspect="1" noChangeArrowheads="1"/>
                    </pic:cNvPicPr>
                  </pic:nvPicPr>
                  <pic:blipFill>
                    <a:blip r:embed="rId12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-624840</wp:posOffset>
            </wp:positionV>
            <wp:extent cx="8255" cy="8890"/>
            <wp:wrapNone/>
            <wp:docPr id="1202" name="Picture 1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2"/>
                    <pic:cNvPicPr>
                      <a:picLocks noChangeAspect="1" noChangeArrowheads="1"/>
                    </pic:cNvPicPr>
                  </pic:nvPicPr>
                  <pic:blipFill>
                    <a:blip r:embed="rId120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-607695</wp:posOffset>
            </wp:positionV>
            <wp:extent cx="8255" cy="8890"/>
            <wp:wrapNone/>
            <wp:docPr id="1203" name="Picture 1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3"/>
                    <pic:cNvPicPr>
                      <a:picLocks noChangeAspect="1" noChangeArrowheads="1"/>
                    </pic:cNvPicPr>
                  </pic:nvPicPr>
                  <pic:blipFill>
                    <a:blip r:embed="rId12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-590550</wp:posOffset>
            </wp:positionV>
            <wp:extent cx="8255" cy="8890"/>
            <wp:wrapNone/>
            <wp:docPr id="1204" name="Picture 1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4"/>
                    <pic:cNvPicPr>
                      <a:picLocks noChangeAspect="1" noChangeArrowheads="1"/>
                    </pic:cNvPicPr>
                  </pic:nvPicPr>
                  <pic:blipFill>
                    <a:blip r:embed="rId12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-573405</wp:posOffset>
            </wp:positionV>
            <wp:extent cx="8255" cy="8890"/>
            <wp:wrapNone/>
            <wp:docPr id="1205" name="Picture 1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5"/>
                    <pic:cNvPicPr>
                      <a:picLocks noChangeAspect="1" noChangeArrowheads="1"/>
                    </pic:cNvPicPr>
                  </pic:nvPicPr>
                  <pic:blipFill>
                    <a:blip r:embed="rId12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-556895</wp:posOffset>
            </wp:positionV>
            <wp:extent cx="8255" cy="8890"/>
            <wp:wrapNone/>
            <wp:docPr id="1206" name="Picture 1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6"/>
                    <pic:cNvPicPr>
                      <a:picLocks noChangeAspect="1" noChangeArrowheads="1"/>
                    </pic:cNvPicPr>
                  </pic:nvPicPr>
                  <pic:blipFill>
                    <a:blip r:embed="rId12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-539115</wp:posOffset>
            </wp:positionV>
            <wp:extent cx="8255" cy="8890"/>
            <wp:wrapNone/>
            <wp:docPr id="1207" name="Picture 1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7"/>
                    <pic:cNvPicPr>
                      <a:picLocks noChangeAspect="1" noChangeArrowheads="1"/>
                    </pic:cNvPicPr>
                  </pic:nvPicPr>
                  <pic:blipFill>
                    <a:blip r:embed="rId12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-521970</wp:posOffset>
            </wp:positionV>
            <wp:extent cx="8255" cy="8255"/>
            <wp:wrapNone/>
            <wp:docPr id="1208" name="Picture 1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8"/>
                    <pic:cNvPicPr>
                      <a:picLocks noChangeAspect="1" noChangeArrowheads="1"/>
                    </pic:cNvPicPr>
                  </pic:nvPicPr>
                  <pic:blipFill>
                    <a:blip r:embed="rId12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-504825</wp:posOffset>
            </wp:positionV>
            <wp:extent cx="8255" cy="8890"/>
            <wp:wrapNone/>
            <wp:docPr id="1209" name="Picture 1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9"/>
                    <pic:cNvPicPr>
                      <a:picLocks noChangeAspect="1" noChangeArrowheads="1"/>
                    </pic:cNvPicPr>
                  </pic:nvPicPr>
                  <pic:blipFill>
                    <a:blip r:embed="rId12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-487680</wp:posOffset>
            </wp:positionV>
            <wp:extent cx="8255" cy="8890"/>
            <wp:wrapNone/>
            <wp:docPr id="1210" name="Picture 1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0"/>
                    <pic:cNvPicPr>
                      <a:picLocks noChangeAspect="1" noChangeArrowheads="1"/>
                    </pic:cNvPicPr>
                  </pic:nvPicPr>
                  <pic:blipFill>
                    <a:blip r:embed="rId121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-471170</wp:posOffset>
            </wp:positionV>
            <wp:extent cx="8255" cy="8890"/>
            <wp:wrapNone/>
            <wp:docPr id="1211" name="Picture 1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1"/>
                    <pic:cNvPicPr>
                      <a:picLocks noChangeAspect="1" noChangeArrowheads="1"/>
                    </pic:cNvPicPr>
                  </pic:nvPicPr>
                  <pic:blipFill>
                    <a:blip r:embed="rId12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-453390</wp:posOffset>
            </wp:positionV>
            <wp:extent cx="8255" cy="8890"/>
            <wp:wrapNone/>
            <wp:docPr id="1212" name="Picture 1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2"/>
                    <pic:cNvPicPr>
                      <a:picLocks noChangeAspect="1" noChangeArrowheads="1"/>
                    </pic:cNvPicPr>
                  </pic:nvPicPr>
                  <pic:blipFill>
                    <a:blip r:embed="rId121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-436245</wp:posOffset>
            </wp:positionV>
            <wp:extent cx="8255" cy="25400"/>
            <wp:wrapNone/>
            <wp:docPr id="1213" name="Picture 1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3"/>
                    <pic:cNvPicPr>
                      <a:picLocks noChangeAspect="1" noChangeArrowheads="1"/>
                    </pic:cNvPicPr>
                  </pic:nvPicPr>
                  <pic:blipFill>
                    <a:blip r:embed="rId1220">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-659130</wp:posOffset>
            </wp:positionV>
            <wp:extent cx="8255" cy="8890"/>
            <wp:wrapNone/>
            <wp:docPr id="1214" name="Picture 1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4"/>
                    <pic:cNvPicPr>
                      <a:picLocks noChangeAspect="1" noChangeArrowheads="1"/>
                    </pic:cNvPicPr>
                  </pic:nvPicPr>
                  <pic:blipFill>
                    <a:blip r:embed="rId12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-641985</wp:posOffset>
            </wp:positionV>
            <wp:extent cx="8255" cy="8255"/>
            <wp:wrapNone/>
            <wp:docPr id="1215" name="Picture 1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5"/>
                    <pic:cNvPicPr>
                      <a:picLocks noChangeAspect="1" noChangeArrowheads="1"/>
                    </pic:cNvPicPr>
                  </pic:nvPicPr>
                  <pic:blipFill>
                    <a:blip r:embed="rId12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-624840</wp:posOffset>
            </wp:positionV>
            <wp:extent cx="8255" cy="8890"/>
            <wp:wrapNone/>
            <wp:docPr id="1216" name="Picture 1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6"/>
                    <pic:cNvPicPr>
                      <a:picLocks noChangeAspect="1" noChangeArrowheads="1"/>
                    </pic:cNvPicPr>
                  </pic:nvPicPr>
                  <pic:blipFill>
                    <a:blip r:embed="rId122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-607695</wp:posOffset>
            </wp:positionV>
            <wp:extent cx="8255" cy="8890"/>
            <wp:wrapNone/>
            <wp:docPr id="1217" name="Picture 1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7"/>
                    <pic:cNvPicPr>
                      <a:picLocks noChangeAspect="1" noChangeArrowheads="1"/>
                    </pic:cNvPicPr>
                  </pic:nvPicPr>
                  <pic:blipFill>
                    <a:blip r:embed="rId12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-590550</wp:posOffset>
            </wp:positionV>
            <wp:extent cx="8255" cy="8890"/>
            <wp:wrapNone/>
            <wp:docPr id="1218" name="Picture 1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8"/>
                    <pic:cNvPicPr>
                      <a:picLocks noChangeAspect="1" noChangeArrowheads="1"/>
                    </pic:cNvPicPr>
                  </pic:nvPicPr>
                  <pic:blipFill>
                    <a:blip r:embed="rId122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-573405</wp:posOffset>
            </wp:positionV>
            <wp:extent cx="8255" cy="8890"/>
            <wp:wrapNone/>
            <wp:docPr id="1219" name="Picture 1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9"/>
                    <pic:cNvPicPr>
                      <a:picLocks noChangeAspect="1" noChangeArrowheads="1"/>
                    </pic:cNvPicPr>
                  </pic:nvPicPr>
                  <pic:blipFill>
                    <a:blip r:embed="rId12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-556895</wp:posOffset>
            </wp:positionV>
            <wp:extent cx="8255" cy="8890"/>
            <wp:wrapNone/>
            <wp:docPr id="1220" name="Picture 1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0"/>
                    <pic:cNvPicPr>
                      <a:picLocks noChangeAspect="1" noChangeArrowheads="1"/>
                    </pic:cNvPicPr>
                  </pic:nvPicPr>
                  <pic:blipFill>
                    <a:blip r:embed="rId122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-539115</wp:posOffset>
            </wp:positionV>
            <wp:extent cx="8255" cy="8890"/>
            <wp:wrapNone/>
            <wp:docPr id="1221" name="Picture 1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1"/>
                    <pic:cNvPicPr>
                      <a:picLocks noChangeAspect="1" noChangeArrowheads="1"/>
                    </pic:cNvPicPr>
                  </pic:nvPicPr>
                  <pic:blipFill>
                    <a:blip r:embed="rId122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-521970</wp:posOffset>
            </wp:positionV>
            <wp:extent cx="8255" cy="8255"/>
            <wp:wrapNone/>
            <wp:docPr id="1222" name="Picture 1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2"/>
                    <pic:cNvPicPr>
                      <a:picLocks noChangeAspect="1" noChangeArrowheads="1"/>
                    </pic:cNvPicPr>
                  </pic:nvPicPr>
                  <pic:blipFill>
                    <a:blip r:embed="rId12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-504825</wp:posOffset>
            </wp:positionV>
            <wp:extent cx="8255" cy="8890"/>
            <wp:wrapNone/>
            <wp:docPr id="1223" name="Picture 1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3"/>
                    <pic:cNvPicPr>
                      <a:picLocks noChangeAspect="1" noChangeArrowheads="1"/>
                    </pic:cNvPicPr>
                  </pic:nvPicPr>
                  <pic:blipFill>
                    <a:blip r:embed="rId12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-487680</wp:posOffset>
            </wp:positionV>
            <wp:extent cx="8255" cy="8890"/>
            <wp:wrapNone/>
            <wp:docPr id="1224" name="Picture 1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4"/>
                    <pic:cNvPicPr>
                      <a:picLocks noChangeAspect="1" noChangeArrowheads="1"/>
                    </pic:cNvPicPr>
                  </pic:nvPicPr>
                  <pic:blipFill>
                    <a:blip r:embed="rId12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-471170</wp:posOffset>
            </wp:positionV>
            <wp:extent cx="8255" cy="8890"/>
            <wp:wrapNone/>
            <wp:docPr id="1225" name="Picture 1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5"/>
                    <pic:cNvPicPr>
                      <a:picLocks noChangeAspect="1" noChangeArrowheads="1"/>
                    </pic:cNvPicPr>
                  </pic:nvPicPr>
                  <pic:blipFill>
                    <a:blip r:embed="rId12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-453390</wp:posOffset>
            </wp:positionV>
            <wp:extent cx="8255" cy="8890"/>
            <wp:wrapNone/>
            <wp:docPr id="1226" name="Picture 1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6"/>
                    <pic:cNvPicPr>
                      <a:picLocks noChangeAspect="1" noChangeArrowheads="1"/>
                    </pic:cNvPicPr>
                  </pic:nvPicPr>
                  <pic:blipFill>
                    <a:blip r:embed="rId123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-436245</wp:posOffset>
            </wp:positionV>
            <wp:extent cx="8255" cy="25400"/>
            <wp:wrapNone/>
            <wp:docPr id="1227" name="Picture 1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7"/>
                    <pic:cNvPicPr>
                      <a:picLocks noChangeAspect="1" noChangeArrowheads="1"/>
                    </pic:cNvPicPr>
                  </pic:nvPicPr>
                  <pic:blipFill>
                    <a:blip r:embed="rId1234">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-659130</wp:posOffset>
            </wp:positionV>
            <wp:extent cx="8890" cy="8890"/>
            <wp:wrapNone/>
            <wp:docPr id="1228" name="Picture 1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
                    <pic:cNvPicPr>
                      <a:picLocks noChangeAspect="1" noChangeArrowheads="1"/>
                    </pic:cNvPicPr>
                  </pic:nvPicPr>
                  <pic:blipFill>
                    <a:blip r:embed="rId12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-641985</wp:posOffset>
            </wp:positionV>
            <wp:extent cx="8890" cy="8255"/>
            <wp:wrapNone/>
            <wp:docPr id="1229" name="Picture 1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9"/>
                    <pic:cNvPicPr>
                      <a:picLocks noChangeAspect="1" noChangeArrowheads="1"/>
                    </pic:cNvPicPr>
                  </pic:nvPicPr>
                  <pic:blipFill>
                    <a:blip r:embed="rId12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-624840</wp:posOffset>
            </wp:positionV>
            <wp:extent cx="8890" cy="8890"/>
            <wp:wrapNone/>
            <wp:docPr id="1230" name="Picture 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0"/>
                    <pic:cNvPicPr>
                      <a:picLocks noChangeAspect="1" noChangeArrowheads="1"/>
                    </pic:cNvPicPr>
                  </pic:nvPicPr>
                  <pic:blipFill>
                    <a:blip r:embed="rId12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-607695</wp:posOffset>
            </wp:positionV>
            <wp:extent cx="8890" cy="8890"/>
            <wp:wrapNone/>
            <wp:docPr id="1231" name="Picture 1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1"/>
                    <pic:cNvPicPr>
                      <a:picLocks noChangeAspect="1" noChangeArrowheads="1"/>
                    </pic:cNvPicPr>
                  </pic:nvPicPr>
                  <pic:blipFill>
                    <a:blip r:embed="rId12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-590550</wp:posOffset>
            </wp:positionV>
            <wp:extent cx="8890" cy="8890"/>
            <wp:wrapNone/>
            <wp:docPr id="1232" name="Picture 1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2"/>
                    <pic:cNvPicPr>
                      <a:picLocks noChangeAspect="1" noChangeArrowheads="1"/>
                    </pic:cNvPicPr>
                  </pic:nvPicPr>
                  <pic:blipFill>
                    <a:blip r:embed="rId12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-573405</wp:posOffset>
            </wp:positionV>
            <wp:extent cx="8890" cy="8890"/>
            <wp:wrapNone/>
            <wp:docPr id="1233" name="Picture 1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3"/>
                    <pic:cNvPicPr>
                      <a:picLocks noChangeAspect="1" noChangeArrowheads="1"/>
                    </pic:cNvPicPr>
                  </pic:nvPicPr>
                  <pic:blipFill>
                    <a:blip r:embed="rId12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-556895</wp:posOffset>
            </wp:positionV>
            <wp:extent cx="8890" cy="8890"/>
            <wp:wrapNone/>
            <wp:docPr id="1234" name="Picture 1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4"/>
                    <pic:cNvPicPr>
                      <a:picLocks noChangeAspect="1" noChangeArrowheads="1"/>
                    </pic:cNvPicPr>
                  </pic:nvPicPr>
                  <pic:blipFill>
                    <a:blip r:embed="rId12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-539115</wp:posOffset>
            </wp:positionV>
            <wp:extent cx="8890" cy="8890"/>
            <wp:wrapNone/>
            <wp:docPr id="1235" name="Picture 1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5"/>
                    <pic:cNvPicPr>
                      <a:picLocks noChangeAspect="1" noChangeArrowheads="1"/>
                    </pic:cNvPicPr>
                  </pic:nvPicPr>
                  <pic:blipFill>
                    <a:blip r:embed="rId12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-521970</wp:posOffset>
            </wp:positionV>
            <wp:extent cx="8890" cy="8255"/>
            <wp:wrapNone/>
            <wp:docPr id="1236" name="Picture 1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6"/>
                    <pic:cNvPicPr>
                      <a:picLocks noChangeAspect="1" noChangeArrowheads="1"/>
                    </pic:cNvPicPr>
                  </pic:nvPicPr>
                  <pic:blipFill>
                    <a:blip r:embed="rId12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-504825</wp:posOffset>
            </wp:positionV>
            <wp:extent cx="8890" cy="8890"/>
            <wp:wrapNone/>
            <wp:docPr id="1237" name="Picture 1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7"/>
                    <pic:cNvPicPr>
                      <a:picLocks noChangeAspect="1" noChangeArrowheads="1"/>
                    </pic:cNvPicPr>
                  </pic:nvPicPr>
                  <pic:blipFill>
                    <a:blip r:embed="rId12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-487680</wp:posOffset>
            </wp:positionV>
            <wp:extent cx="8890" cy="8890"/>
            <wp:wrapNone/>
            <wp:docPr id="1238" name="Picture 1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8"/>
                    <pic:cNvPicPr>
                      <a:picLocks noChangeAspect="1" noChangeArrowheads="1"/>
                    </pic:cNvPicPr>
                  </pic:nvPicPr>
                  <pic:blipFill>
                    <a:blip r:embed="rId12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-471170</wp:posOffset>
            </wp:positionV>
            <wp:extent cx="8890" cy="8890"/>
            <wp:wrapNone/>
            <wp:docPr id="1239" name="Picture 1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9"/>
                    <pic:cNvPicPr>
                      <a:picLocks noChangeAspect="1" noChangeArrowheads="1"/>
                    </pic:cNvPicPr>
                  </pic:nvPicPr>
                  <pic:blipFill>
                    <a:blip r:embed="rId12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-453390</wp:posOffset>
            </wp:positionV>
            <wp:extent cx="8890" cy="8890"/>
            <wp:wrapNone/>
            <wp:docPr id="1240" name="Picture 1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0"/>
                    <pic:cNvPicPr>
                      <a:picLocks noChangeAspect="1" noChangeArrowheads="1"/>
                    </pic:cNvPicPr>
                  </pic:nvPicPr>
                  <pic:blipFill>
                    <a:blip r:embed="rId12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-436245</wp:posOffset>
            </wp:positionV>
            <wp:extent cx="8890" cy="25400"/>
            <wp:wrapNone/>
            <wp:docPr id="1241" name="Picture 1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1"/>
                    <pic:cNvPicPr>
                      <a:picLocks noChangeAspect="1" noChangeArrowheads="1"/>
                    </pic:cNvPicPr>
                  </pic:nvPicPr>
                  <pic:blipFill>
                    <a:blip r:embed="rId1248">
                      <a:extLst>
                        <a:ext uri="{28A0092B-C50C-407E-A947-70E740481C1C}"/>
                      </a:extLst>
                    </a:blip>
                    <a:srcRect/>
                    <a:stretch>
                      <a:fillRect/>
                    </a:stretch>
                  </pic:blipFill>
                  <pic:spPr bwMode="auto">
                    <a:xfrm>
                      <a:off x="0" y="0"/>
                      <a:ext cx="8890" cy="2540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-830580</wp:posOffset>
            </wp:positionV>
            <wp:extent cx="8255" cy="8890"/>
            <wp:wrapNone/>
            <wp:docPr id="1242" name="Picture 1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2"/>
                    <pic:cNvPicPr>
                      <a:picLocks noChangeAspect="1" noChangeArrowheads="1"/>
                    </pic:cNvPicPr>
                  </pic:nvPicPr>
                  <pic:blipFill>
                    <a:blip r:embed="rId124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-813435</wp:posOffset>
            </wp:positionV>
            <wp:extent cx="8255" cy="8255"/>
            <wp:wrapNone/>
            <wp:docPr id="1243" name="Picture 1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3"/>
                    <pic:cNvPicPr>
                      <a:picLocks noChangeAspect="1" noChangeArrowheads="1"/>
                    </pic:cNvPicPr>
                  </pic:nvPicPr>
                  <pic:blipFill>
                    <a:blip r:embed="rId12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-796290</wp:posOffset>
            </wp:positionV>
            <wp:extent cx="8255" cy="8890"/>
            <wp:wrapNone/>
            <wp:docPr id="1244" name="Picture 1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4"/>
                    <pic:cNvPicPr>
                      <a:picLocks noChangeAspect="1" noChangeArrowheads="1"/>
                    </pic:cNvPicPr>
                  </pic:nvPicPr>
                  <pic:blipFill>
                    <a:blip r:embed="rId125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-779145</wp:posOffset>
            </wp:positionV>
            <wp:extent cx="8255" cy="8890"/>
            <wp:wrapNone/>
            <wp:docPr id="1245" name="Picture 1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5"/>
                    <pic:cNvPicPr>
                      <a:picLocks noChangeAspect="1" noChangeArrowheads="1"/>
                    </pic:cNvPicPr>
                  </pic:nvPicPr>
                  <pic:blipFill>
                    <a:blip r:embed="rId125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-762000</wp:posOffset>
            </wp:positionV>
            <wp:extent cx="8255" cy="8890"/>
            <wp:wrapNone/>
            <wp:docPr id="1246" name="Picture 1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6"/>
                    <pic:cNvPicPr>
                      <a:picLocks noChangeAspect="1" noChangeArrowheads="1"/>
                    </pic:cNvPicPr>
                  </pic:nvPicPr>
                  <pic:blipFill>
                    <a:blip r:embed="rId12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-744855</wp:posOffset>
            </wp:positionV>
            <wp:extent cx="8255" cy="8890"/>
            <wp:wrapNone/>
            <wp:docPr id="1247" name="Picture 1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7"/>
                    <pic:cNvPicPr>
                      <a:picLocks noChangeAspect="1" noChangeArrowheads="1"/>
                    </pic:cNvPicPr>
                  </pic:nvPicPr>
                  <pic:blipFill>
                    <a:blip r:embed="rId125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-727710</wp:posOffset>
            </wp:positionV>
            <wp:extent cx="8255" cy="8255"/>
            <wp:wrapNone/>
            <wp:docPr id="1248" name="Picture 1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8"/>
                    <pic:cNvPicPr>
                      <a:picLocks noChangeAspect="1" noChangeArrowheads="1"/>
                    </pic:cNvPicPr>
                  </pic:nvPicPr>
                  <pic:blipFill>
                    <a:blip r:embed="rId12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-710565</wp:posOffset>
            </wp:positionV>
            <wp:extent cx="8255" cy="8890"/>
            <wp:wrapNone/>
            <wp:docPr id="1249" name="Picture 1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9"/>
                    <pic:cNvPicPr>
                      <a:picLocks noChangeAspect="1" noChangeArrowheads="1"/>
                    </pic:cNvPicPr>
                  </pic:nvPicPr>
                  <pic:blipFill>
                    <a:blip r:embed="rId125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-693420</wp:posOffset>
            </wp:positionV>
            <wp:extent cx="8255" cy="25400"/>
            <wp:wrapNone/>
            <wp:docPr id="1250" name="Picture 1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0"/>
                    <pic:cNvPicPr>
                      <a:picLocks noChangeAspect="1" noChangeArrowheads="1"/>
                    </pic:cNvPicPr>
                  </pic:nvPicPr>
                  <pic:blipFill>
                    <a:blip r:embed="rId1257">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-830580</wp:posOffset>
            </wp:positionV>
            <wp:extent cx="8255" cy="8890"/>
            <wp:wrapNone/>
            <wp:docPr id="1251" name="Picture 1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1"/>
                    <pic:cNvPicPr>
                      <a:picLocks noChangeAspect="1" noChangeArrowheads="1"/>
                    </pic:cNvPicPr>
                  </pic:nvPicPr>
                  <pic:blipFill>
                    <a:blip r:embed="rId12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-813435</wp:posOffset>
            </wp:positionV>
            <wp:extent cx="8255" cy="8255"/>
            <wp:wrapNone/>
            <wp:docPr id="1252" name="Picture 1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2"/>
                    <pic:cNvPicPr>
                      <a:picLocks noChangeAspect="1" noChangeArrowheads="1"/>
                    </pic:cNvPicPr>
                  </pic:nvPicPr>
                  <pic:blipFill>
                    <a:blip r:embed="rId12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-796290</wp:posOffset>
            </wp:positionV>
            <wp:extent cx="8255" cy="8890"/>
            <wp:wrapNone/>
            <wp:docPr id="1253" name="Picture 1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3"/>
                    <pic:cNvPicPr>
                      <a:picLocks noChangeAspect="1" noChangeArrowheads="1"/>
                    </pic:cNvPicPr>
                  </pic:nvPicPr>
                  <pic:blipFill>
                    <a:blip r:embed="rId126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-779145</wp:posOffset>
            </wp:positionV>
            <wp:extent cx="8255" cy="8890"/>
            <wp:wrapNone/>
            <wp:docPr id="1254" name="Picture 1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4"/>
                    <pic:cNvPicPr>
                      <a:picLocks noChangeAspect="1" noChangeArrowheads="1"/>
                    </pic:cNvPicPr>
                  </pic:nvPicPr>
                  <pic:blipFill>
                    <a:blip r:embed="rId126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-762000</wp:posOffset>
            </wp:positionV>
            <wp:extent cx="8255" cy="8890"/>
            <wp:wrapNone/>
            <wp:docPr id="1255" name="Picture 1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5"/>
                    <pic:cNvPicPr>
                      <a:picLocks noChangeAspect="1" noChangeArrowheads="1"/>
                    </pic:cNvPicPr>
                  </pic:nvPicPr>
                  <pic:blipFill>
                    <a:blip r:embed="rId126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-744855</wp:posOffset>
            </wp:positionV>
            <wp:extent cx="8255" cy="8890"/>
            <wp:wrapNone/>
            <wp:docPr id="1256" name="Picture 1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6"/>
                    <pic:cNvPicPr>
                      <a:picLocks noChangeAspect="1" noChangeArrowheads="1"/>
                    </pic:cNvPicPr>
                  </pic:nvPicPr>
                  <pic:blipFill>
                    <a:blip r:embed="rId126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-727710</wp:posOffset>
            </wp:positionV>
            <wp:extent cx="8255" cy="8255"/>
            <wp:wrapNone/>
            <wp:docPr id="1257" name="Picture 1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7"/>
                    <pic:cNvPicPr>
                      <a:picLocks noChangeAspect="1" noChangeArrowheads="1"/>
                    </pic:cNvPicPr>
                  </pic:nvPicPr>
                  <pic:blipFill>
                    <a:blip r:embed="rId12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-710565</wp:posOffset>
            </wp:positionV>
            <wp:extent cx="8255" cy="8890"/>
            <wp:wrapNone/>
            <wp:docPr id="1258" name="Picture 1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8"/>
                    <pic:cNvPicPr>
                      <a:picLocks noChangeAspect="1" noChangeArrowheads="1"/>
                    </pic:cNvPicPr>
                  </pic:nvPicPr>
                  <pic:blipFill>
                    <a:blip r:embed="rId126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-693420</wp:posOffset>
            </wp:positionV>
            <wp:extent cx="8255" cy="25400"/>
            <wp:wrapNone/>
            <wp:docPr id="1259" name="Picture 1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9"/>
                    <pic:cNvPicPr>
                      <a:picLocks noChangeAspect="1" noChangeArrowheads="1"/>
                    </pic:cNvPicPr>
                  </pic:nvPicPr>
                  <pic:blipFill>
                    <a:blip r:embed="rId1266">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-830580</wp:posOffset>
            </wp:positionV>
            <wp:extent cx="8890" cy="8890"/>
            <wp:wrapNone/>
            <wp:docPr id="1260" name="Picture 1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0"/>
                    <pic:cNvPicPr>
                      <a:picLocks noChangeAspect="1" noChangeArrowheads="1"/>
                    </pic:cNvPicPr>
                  </pic:nvPicPr>
                  <pic:blipFill>
                    <a:blip r:embed="rId12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-813435</wp:posOffset>
            </wp:positionV>
            <wp:extent cx="8890" cy="8255"/>
            <wp:wrapNone/>
            <wp:docPr id="1261" name="Picture 1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1"/>
                    <pic:cNvPicPr>
                      <a:picLocks noChangeAspect="1" noChangeArrowheads="1"/>
                    </pic:cNvPicPr>
                  </pic:nvPicPr>
                  <pic:blipFill>
                    <a:blip r:embed="rId12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-796290</wp:posOffset>
            </wp:positionV>
            <wp:extent cx="8890" cy="8890"/>
            <wp:wrapNone/>
            <wp:docPr id="1262" name="Picture 1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2"/>
                    <pic:cNvPicPr>
                      <a:picLocks noChangeAspect="1" noChangeArrowheads="1"/>
                    </pic:cNvPicPr>
                  </pic:nvPicPr>
                  <pic:blipFill>
                    <a:blip r:embed="rId12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-779145</wp:posOffset>
            </wp:positionV>
            <wp:extent cx="8890" cy="8890"/>
            <wp:wrapNone/>
            <wp:docPr id="1263" name="Picture 1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3"/>
                    <pic:cNvPicPr>
                      <a:picLocks noChangeAspect="1" noChangeArrowheads="1"/>
                    </pic:cNvPicPr>
                  </pic:nvPicPr>
                  <pic:blipFill>
                    <a:blip r:embed="rId12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-762000</wp:posOffset>
            </wp:positionV>
            <wp:extent cx="8890" cy="8890"/>
            <wp:wrapNone/>
            <wp:docPr id="1264" name="Picture 1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4"/>
                    <pic:cNvPicPr>
                      <a:picLocks noChangeAspect="1" noChangeArrowheads="1"/>
                    </pic:cNvPicPr>
                  </pic:nvPicPr>
                  <pic:blipFill>
                    <a:blip r:embed="rId12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-744855</wp:posOffset>
            </wp:positionV>
            <wp:extent cx="8890" cy="8890"/>
            <wp:wrapNone/>
            <wp:docPr id="1265" name="Picture 1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5"/>
                    <pic:cNvPicPr>
                      <a:picLocks noChangeAspect="1" noChangeArrowheads="1"/>
                    </pic:cNvPicPr>
                  </pic:nvPicPr>
                  <pic:blipFill>
                    <a:blip r:embed="rId12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-727710</wp:posOffset>
            </wp:positionV>
            <wp:extent cx="8890" cy="8255"/>
            <wp:wrapNone/>
            <wp:docPr id="1266" name="Picture 1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6"/>
                    <pic:cNvPicPr>
                      <a:picLocks noChangeAspect="1" noChangeArrowheads="1"/>
                    </pic:cNvPicPr>
                  </pic:nvPicPr>
                  <pic:blipFill>
                    <a:blip r:embed="rId12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-710565</wp:posOffset>
            </wp:positionV>
            <wp:extent cx="8890" cy="8890"/>
            <wp:wrapNone/>
            <wp:docPr id="1267" name="Picture 1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7"/>
                    <pic:cNvPicPr>
                      <a:picLocks noChangeAspect="1" noChangeArrowheads="1"/>
                    </pic:cNvPicPr>
                  </pic:nvPicPr>
                  <pic:blipFill>
                    <a:blip r:embed="rId12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-693420</wp:posOffset>
            </wp:positionV>
            <wp:extent cx="8890" cy="25400"/>
            <wp:wrapNone/>
            <wp:docPr id="1268" name="Picture 1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8"/>
                    <pic:cNvPicPr>
                      <a:picLocks noChangeAspect="1" noChangeArrowheads="1"/>
                    </pic:cNvPicPr>
                  </pic:nvPicPr>
                  <pic:blipFill>
                    <a:blip r:embed="rId1275">
                      <a:extLst>
                        <a:ext uri="{28A0092B-C50C-407E-A947-70E740481C1C}"/>
                      </a:extLst>
                    </a:blip>
                    <a:srcRect/>
                    <a:stretch>
                      <a:fillRect/>
                    </a:stretch>
                  </pic:blipFill>
                  <pic:spPr bwMode="auto">
                    <a:xfrm>
                      <a:off x="0" y="0"/>
                      <a:ext cx="8890" cy="2540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-993775</wp:posOffset>
            </wp:positionV>
            <wp:extent cx="8255" cy="8890"/>
            <wp:wrapNone/>
            <wp:docPr id="1269" name="Picture 1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9"/>
                    <pic:cNvPicPr>
                      <a:picLocks noChangeAspect="1" noChangeArrowheads="1"/>
                    </pic:cNvPicPr>
                  </pic:nvPicPr>
                  <pic:blipFill>
                    <a:blip r:embed="rId127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-976630</wp:posOffset>
            </wp:positionV>
            <wp:extent cx="8255" cy="8255"/>
            <wp:wrapNone/>
            <wp:docPr id="1270" name="Picture 1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0"/>
                    <pic:cNvPicPr>
                      <a:picLocks noChangeAspect="1" noChangeArrowheads="1"/>
                    </pic:cNvPicPr>
                  </pic:nvPicPr>
                  <pic:blipFill>
                    <a:blip r:embed="rId12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-959485</wp:posOffset>
            </wp:positionV>
            <wp:extent cx="8255" cy="8890"/>
            <wp:wrapNone/>
            <wp:docPr id="1271" name="Picture 1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1"/>
                    <pic:cNvPicPr>
                      <a:picLocks noChangeAspect="1" noChangeArrowheads="1"/>
                    </pic:cNvPicPr>
                  </pic:nvPicPr>
                  <pic:blipFill>
                    <a:blip r:embed="rId12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-942340</wp:posOffset>
            </wp:positionV>
            <wp:extent cx="8255" cy="8890"/>
            <wp:wrapNone/>
            <wp:docPr id="1272" name="Picture 1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2"/>
                    <pic:cNvPicPr>
                      <a:picLocks noChangeAspect="1" noChangeArrowheads="1"/>
                    </pic:cNvPicPr>
                  </pic:nvPicPr>
                  <pic:blipFill>
                    <a:blip r:embed="rId127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-925195</wp:posOffset>
            </wp:positionV>
            <wp:extent cx="8255" cy="8890"/>
            <wp:wrapNone/>
            <wp:docPr id="1273" name="Picture 1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3"/>
                    <pic:cNvPicPr>
                      <a:picLocks noChangeAspect="1" noChangeArrowheads="1"/>
                    </pic:cNvPicPr>
                  </pic:nvPicPr>
                  <pic:blipFill>
                    <a:blip r:embed="rId128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-908050</wp:posOffset>
            </wp:positionV>
            <wp:extent cx="8255" cy="8890"/>
            <wp:wrapNone/>
            <wp:docPr id="1274" name="Picture 1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4"/>
                    <pic:cNvPicPr>
                      <a:picLocks noChangeAspect="1" noChangeArrowheads="1"/>
                    </pic:cNvPicPr>
                  </pic:nvPicPr>
                  <pic:blipFill>
                    <a:blip r:embed="rId128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-890905</wp:posOffset>
            </wp:positionV>
            <wp:extent cx="8255" cy="8890"/>
            <wp:wrapNone/>
            <wp:docPr id="1275" name="Picture 1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5"/>
                    <pic:cNvPicPr>
                      <a:picLocks noChangeAspect="1" noChangeArrowheads="1"/>
                    </pic:cNvPicPr>
                  </pic:nvPicPr>
                  <pic:blipFill>
                    <a:blip r:embed="rId128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-873760</wp:posOffset>
            </wp:positionV>
            <wp:extent cx="8255" cy="8890"/>
            <wp:wrapNone/>
            <wp:docPr id="1276" name="Picture 1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6"/>
                    <pic:cNvPicPr>
                      <a:picLocks noChangeAspect="1" noChangeArrowheads="1"/>
                    </pic:cNvPicPr>
                  </pic:nvPicPr>
                  <pic:blipFill>
                    <a:blip r:embed="rId128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-856615</wp:posOffset>
            </wp:positionV>
            <wp:extent cx="8255" cy="17145"/>
            <wp:wrapNone/>
            <wp:docPr id="1277" name="Picture 1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7"/>
                    <pic:cNvPicPr>
                      <a:picLocks noChangeAspect="1" noChangeArrowheads="1"/>
                    </pic:cNvPicPr>
                  </pic:nvPicPr>
                  <pic:blipFill>
                    <a:blip r:embed="rId1284">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-993775</wp:posOffset>
            </wp:positionV>
            <wp:extent cx="8255" cy="8890"/>
            <wp:wrapNone/>
            <wp:docPr id="1278" name="Picture 1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8"/>
                    <pic:cNvPicPr>
                      <a:picLocks noChangeAspect="1" noChangeArrowheads="1"/>
                    </pic:cNvPicPr>
                  </pic:nvPicPr>
                  <pic:blipFill>
                    <a:blip r:embed="rId128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-976630</wp:posOffset>
            </wp:positionV>
            <wp:extent cx="8255" cy="8255"/>
            <wp:wrapNone/>
            <wp:docPr id="1279" name="Picture 1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9"/>
                    <pic:cNvPicPr>
                      <a:picLocks noChangeAspect="1" noChangeArrowheads="1"/>
                    </pic:cNvPicPr>
                  </pic:nvPicPr>
                  <pic:blipFill>
                    <a:blip r:embed="rId12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-959485</wp:posOffset>
            </wp:positionV>
            <wp:extent cx="8255" cy="8890"/>
            <wp:wrapNone/>
            <wp:docPr id="1280" name="Picture 1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0"/>
                    <pic:cNvPicPr>
                      <a:picLocks noChangeAspect="1" noChangeArrowheads="1"/>
                    </pic:cNvPicPr>
                  </pic:nvPicPr>
                  <pic:blipFill>
                    <a:blip r:embed="rId128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-942340</wp:posOffset>
            </wp:positionV>
            <wp:extent cx="8255" cy="8890"/>
            <wp:wrapNone/>
            <wp:docPr id="1281" name="Picture 1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1"/>
                    <pic:cNvPicPr>
                      <a:picLocks noChangeAspect="1" noChangeArrowheads="1"/>
                    </pic:cNvPicPr>
                  </pic:nvPicPr>
                  <pic:blipFill>
                    <a:blip r:embed="rId128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-925195</wp:posOffset>
            </wp:positionV>
            <wp:extent cx="8255" cy="8890"/>
            <wp:wrapNone/>
            <wp:docPr id="1282" name="Picture 1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2"/>
                    <pic:cNvPicPr>
                      <a:picLocks noChangeAspect="1" noChangeArrowheads="1"/>
                    </pic:cNvPicPr>
                  </pic:nvPicPr>
                  <pic:blipFill>
                    <a:blip r:embed="rId128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-908050</wp:posOffset>
            </wp:positionV>
            <wp:extent cx="8255" cy="8890"/>
            <wp:wrapNone/>
            <wp:docPr id="1283" name="Picture 1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3"/>
                    <pic:cNvPicPr>
                      <a:picLocks noChangeAspect="1" noChangeArrowheads="1"/>
                    </pic:cNvPicPr>
                  </pic:nvPicPr>
                  <pic:blipFill>
                    <a:blip r:embed="rId129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-890905</wp:posOffset>
            </wp:positionV>
            <wp:extent cx="8255" cy="8890"/>
            <wp:wrapNone/>
            <wp:docPr id="1284" name="Picture 1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4"/>
                    <pic:cNvPicPr>
                      <a:picLocks noChangeAspect="1" noChangeArrowheads="1"/>
                    </pic:cNvPicPr>
                  </pic:nvPicPr>
                  <pic:blipFill>
                    <a:blip r:embed="rId129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-873760</wp:posOffset>
            </wp:positionV>
            <wp:extent cx="8255" cy="8890"/>
            <wp:wrapNone/>
            <wp:docPr id="1285" name="Picture 1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5"/>
                    <pic:cNvPicPr>
                      <a:picLocks noChangeAspect="1" noChangeArrowheads="1"/>
                    </pic:cNvPicPr>
                  </pic:nvPicPr>
                  <pic:blipFill>
                    <a:blip r:embed="rId129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-856615</wp:posOffset>
            </wp:positionV>
            <wp:extent cx="8255" cy="17145"/>
            <wp:wrapNone/>
            <wp:docPr id="1286" name="Picture 1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6"/>
                    <pic:cNvPicPr>
                      <a:picLocks noChangeAspect="1" noChangeArrowheads="1"/>
                    </pic:cNvPicPr>
                  </pic:nvPicPr>
                  <pic:blipFill>
                    <a:blip r:embed="rId1293">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-993775</wp:posOffset>
            </wp:positionV>
            <wp:extent cx="8890" cy="8890"/>
            <wp:wrapNone/>
            <wp:docPr id="1287" name="Picture 1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7"/>
                    <pic:cNvPicPr>
                      <a:picLocks noChangeAspect="1" noChangeArrowheads="1"/>
                    </pic:cNvPicPr>
                  </pic:nvPicPr>
                  <pic:blipFill>
                    <a:blip r:embed="rId12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-976630</wp:posOffset>
            </wp:positionV>
            <wp:extent cx="8890" cy="8255"/>
            <wp:wrapNone/>
            <wp:docPr id="1288" name="Picture 1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8"/>
                    <pic:cNvPicPr>
                      <a:picLocks noChangeAspect="1" noChangeArrowheads="1"/>
                    </pic:cNvPicPr>
                  </pic:nvPicPr>
                  <pic:blipFill>
                    <a:blip r:embed="rId12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-959485</wp:posOffset>
            </wp:positionV>
            <wp:extent cx="8890" cy="8890"/>
            <wp:wrapNone/>
            <wp:docPr id="1289" name="Picture 1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9"/>
                    <pic:cNvPicPr>
                      <a:picLocks noChangeAspect="1" noChangeArrowheads="1"/>
                    </pic:cNvPicPr>
                  </pic:nvPicPr>
                  <pic:blipFill>
                    <a:blip r:embed="rId12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-942340</wp:posOffset>
            </wp:positionV>
            <wp:extent cx="8890" cy="8890"/>
            <wp:wrapNone/>
            <wp:docPr id="1290" name="Picture 1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0"/>
                    <pic:cNvPicPr>
                      <a:picLocks noChangeAspect="1" noChangeArrowheads="1"/>
                    </pic:cNvPicPr>
                  </pic:nvPicPr>
                  <pic:blipFill>
                    <a:blip r:embed="rId12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-925195</wp:posOffset>
            </wp:positionV>
            <wp:extent cx="8890" cy="8890"/>
            <wp:wrapNone/>
            <wp:docPr id="1291" name="Picture 1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1"/>
                    <pic:cNvPicPr>
                      <a:picLocks noChangeAspect="1" noChangeArrowheads="1"/>
                    </pic:cNvPicPr>
                  </pic:nvPicPr>
                  <pic:blipFill>
                    <a:blip r:embed="rId12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-908050</wp:posOffset>
            </wp:positionV>
            <wp:extent cx="8890" cy="8890"/>
            <wp:wrapNone/>
            <wp:docPr id="1292" name="Picture 1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2"/>
                    <pic:cNvPicPr>
                      <a:picLocks noChangeAspect="1" noChangeArrowheads="1"/>
                    </pic:cNvPicPr>
                  </pic:nvPicPr>
                  <pic:blipFill>
                    <a:blip r:embed="rId12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-890905</wp:posOffset>
            </wp:positionV>
            <wp:extent cx="8890" cy="8890"/>
            <wp:wrapNone/>
            <wp:docPr id="1293" name="Picture 1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3"/>
                    <pic:cNvPicPr>
                      <a:picLocks noChangeAspect="1" noChangeArrowheads="1"/>
                    </pic:cNvPicPr>
                  </pic:nvPicPr>
                  <pic:blipFill>
                    <a:blip r:embed="rId13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-873760</wp:posOffset>
            </wp:positionV>
            <wp:extent cx="8890" cy="8890"/>
            <wp:wrapNone/>
            <wp:docPr id="1294" name="Picture 1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4"/>
                    <pic:cNvPicPr>
                      <a:picLocks noChangeAspect="1" noChangeArrowheads="1"/>
                    </pic:cNvPicPr>
                  </pic:nvPicPr>
                  <pic:blipFill>
                    <a:blip r:embed="rId13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-856615</wp:posOffset>
            </wp:positionV>
            <wp:extent cx="8890" cy="17145"/>
            <wp:wrapNone/>
            <wp:docPr id="1295" name="Picture 1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5"/>
                    <pic:cNvPicPr>
                      <a:picLocks noChangeAspect="1" noChangeArrowheads="1"/>
                    </pic:cNvPicPr>
                  </pic:nvPicPr>
                  <pic:blipFill>
                    <a:blip r:embed="rId1302">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-1242695</wp:posOffset>
            </wp:positionV>
            <wp:extent cx="8255" cy="8890"/>
            <wp:wrapNone/>
            <wp:docPr id="1296" name="Picture 1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6"/>
                    <pic:cNvPicPr>
                      <a:picLocks noChangeAspect="1" noChangeArrowheads="1"/>
                    </pic:cNvPicPr>
                  </pic:nvPicPr>
                  <pic:blipFill>
                    <a:blip r:embed="rId130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-1224915</wp:posOffset>
            </wp:positionV>
            <wp:extent cx="8255" cy="8890"/>
            <wp:wrapNone/>
            <wp:docPr id="1297" name="Picture 1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7"/>
                    <pic:cNvPicPr>
                      <a:picLocks noChangeAspect="1" noChangeArrowheads="1"/>
                    </pic:cNvPicPr>
                  </pic:nvPicPr>
                  <pic:blipFill>
                    <a:blip r:embed="rId130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-1207770</wp:posOffset>
            </wp:positionV>
            <wp:extent cx="8255" cy="8890"/>
            <wp:wrapNone/>
            <wp:docPr id="1298" name="Picture 1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8"/>
                    <pic:cNvPicPr>
                      <a:picLocks noChangeAspect="1" noChangeArrowheads="1"/>
                    </pic:cNvPicPr>
                  </pic:nvPicPr>
                  <pic:blipFill>
                    <a:blip r:embed="rId130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-1190625</wp:posOffset>
            </wp:positionV>
            <wp:extent cx="8255" cy="8255"/>
            <wp:wrapNone/>
            <wp:docPr id="1299" name="Picture 1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9"/>
                    <pic:cNvPicPr>
                      <a:picLocks noChangeAspect="1" noChangeArrowheads="1"/>
                    </pic:cNvPicPr>
                  </pic:nvPicPr>
                  <pic:blipFill>
                    <a:blip r:embed="rId13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-1173480</wp:posOffset>
            </wp:positionV>
            <wp:extent cx="8255" cy="8890"/>
            <wp:wrapNone/>
            <wp:docPr id="1300" name="Picture 1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0"/>
                    <pic:cNvPicPr>
                      <a:picLocks noChangeAspect="1" noChangeArrowheads="1"/>
                    </pic:cNvPicPr>
                  </pic:nvPicPr>
                  <pic:blipFill>
                    <a:blip r:embed="rId130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-1156335</wp:posOffset>
            </wp:positionV>
            <wp:extent cx="8255" cy="8890"/>
            <wp:wrapNone/>
            <wp:docPr id="1301" name="Picture 1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1"/>
                    <pic:cNvPicPr>
                      <a:picLocks noChangeAspect="1" noChangeArrowheads="1"/>
                    </pic:cNvPicPr>
                  </pic:nvPicPr>
                  <pic:blipFill>
                    <a:blip r:embed="rId130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-1139190</wp:posOffset>
            </wp:positionV>
            <wp:extent cx="8255" cy="8890"/>
            <wp:wrapNone/>
            <wp:docPr id="1302" name="Picture 1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2"/>
                    <pic:cNvPicPr>
                      <a:picLocks noChangeAspect="1" noChangeArrowheads="1"/>
                    </pic:cNvPicPr>
                  </pic:nvPicPr>
                  <pic:blipFill>
                    <a:blip r:embed="rId130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-1122045</wp:posOffset>
            </wp:positionV>
            <wp:extent cx="8255" cy="8890"/>
            <wp:wrapNone/>
            <wp:docPr id="1303" name="Picture 1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3"/>
                    <pic:cNvPicPr>
                      <a:picLocks noChangeAspect="1" noChangeArrowheads="1"/>
                    </pic:cNvPicPr>
                  </pic:nvPicPr>
                  <pic:blipFill>
                    <a:blip r:embed="rId13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-1104900</wp:posOffset>
            </wp:positionV>
            <wp:extent cx="8255" cy="8255"/>
            <wp:wrapNone/>
            <wp:docPr id="1304" name="Picture 1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4"/>
                    <pic:cNvPicPr>
                      <a:picLocks noChangeAspect="1" noChangeArrowheads="1"/>
                    </pic:cNvPicPr>
                  </pic:nvPicPr>
                  <pic:blipFill>
                    <a:blip r:embed="rId13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-1087755</wp:posOffset>
            </wp:positionV>
            <wp:extent cx="8255" cy="8890"/>
            <wp:wrapNone/>
            <wp:docPr id="1305" name="Picture 1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5"/>
                    <pic:cNvPicPr>
                      <a:picLocks noChangeAspect="1" noChangeArrowheads="1"/>
                    </pic:cNvPicPr>
                  </pic:nvPicPr>
                  <pic:blipFill>
                    <a:blip r:embed="rId13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-1070610</wp:posOffset>
            </wp:positionV>
            <wp:extent cx="8255" cy="8890"/>
            <wp:wrapNone/>
            <wp:docPr id="1306" name="Picture 1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6"/>
                    <pic:cNvPicPr>
                      <a:picLocks noChangeAspect="1" noChangeArrowheads="1"/>
                    </pic:cNvPicPr>
                  </pic:nvPicPr>
                  <pic:blipFill>
                    <a:blip r:embed="rId13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-1053465</wp:posOffset>
            </wp:positionV>
            <wp:extent cx="8255" cy="8890"/>
            <wp:wrapNone/>
            <wp:docPr id="1307" name="Picture 1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7"/>
                    <pic:cNvPicPr>
                      <a:picLocks noChangeAspect="1" noChangeArrowheads="1"/>
                    </pic:cNvPicPr>
                  </pic:nvPicPr>
                  <pic:blipFill>
                    <a:blip r:embed="rId13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-1036320</wp:posOffset>
            </wp:positionV>
            <wp:extent cx="8255" cy="8890"/>
            <wp:wrapNone/>
            <wp:docPr id="1308" name="Picture 1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8"/>
                    <pic:cNvPicPr>
                      <a:picLocks noChangeAspect="1" noChangeArrowheads="1"/>
                    </pic:cNvPicPr>
                  </pic:nvPicPr>
                  <pic:blipFill>
                    <a:blip r:embed="rId131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-1019175</wp:posOffset>
            </wp:positionV>
            <wp:extent cx="8255" cy="17145"/>
            <wp:wrapNone/>
            <wp:docPr id="1309" name="Picture 1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9"/>
                    <pic:cNvPicPr>
                      <a:picLocks noChangeAspect="1" noChangeArrowheads="1"/>
                    </pic:cNvPicPr>
                  </pic:nvPicPr>
                  <pic:blipFill>
                    <a:blip r:embed="rId1316">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-1242695</wp:posOffset>
            </wp:positionV>
            <wp:extent cx="8255" cy="8890"/>
            <wp:wrapNone/>
            <wp:docPr id="1310" name="Picture 1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0"/>
                    <pic:cNvPicPr>
                      <a:picLocks noChangeAspect="1" noChangeArrowheads="1"/>
                    </pic:cNvPicPr>
                  </pic:nvPicPr>
                  <pic:blipFill>
                    <a:blip r:embed="rId131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-1224915</wp:posOffset>
            </wp:positionV>
            <wp:extent cx="8255" cy="8890"/>
            <wp:wrapNone/>
            <wp:docPr id="1311" name="Picture 1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1"/>
                    <pic:cNvPicPr>
                      <a:picLocks noChangeAspect="1" noChangeArrowheads="1"/>
                    </pic:cNvPicPr>
                  </pic:nvPicPr>
                  <pic:blipFill>
                    <a:blip r:embed="rId13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-1207770</wp:posOffset>
            </wp:positionV>
            <wp:extent cx="8255" cy="8890"/>
            <wp:wrapNone/>
            <wp:docPr id="1312" name="Picture 1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2"/>
                    <pic:cNvPicPr>
                      <a:picLocks noChangeAspect="1" noChangeArrowheads="1"/>
                    </pic:cNvPicPr>
                  </pic:nvPicPr>
                  <pic:blipFill>
                    <a:blip r:embed="rId131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-1190625</wp:posOffset>
            </wp:positionV>
            <wp:extent cx="8255" cy="8255"/>
            <wp:wrapNone/>
            <wp:docPr id="1313" name="Picture 1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3"/>
                    <pic:cNvPicPr>
                      <a:picLocks noChangeAspect="1" noChangeArrowheads="1"/>
                    </pic:cNvPicPr>
                  </pic:nvPicPr>
                  <pic:blipFill>
                    <a:blip r:embed="rId13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-1173480</wp:posOffset>
            </wp:positionV>
            <wp:extent cx="8255" cy="8890"/>
            <wp:wrapNone/>
            <wp:docPr id="1314" name="Picture 1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4"/>
                    <pic:cNvPicPr>
                      <a:picLocks noChangeAspect="1" noChangeArrowheads="1"/>
                    </pic:cNvPicPr>
                  </pic:nvPicPr>
                  <pic:blipFill>
                    <a:blip r:embed="rId13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-1156335</wp:posOffset>
            </wp:positionV>
            <wp:extent cx="8255" cy="8890"/>
            <wp:wrapNone/>
            <wp:docPr id="1315" name="Picture 1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5"/>
                    <pic:cNvPicPr>
                      <a:picLocks noChangeAspect="1" noChangeArrowheads="1"/>
                    </pic:cNvPicPr>
                  </pic:nvPicPr>
                  <pic:blipFill>
                    <a:blip r:embed="rId132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-1139190</wp:posOffset>
            </wp:positionV>
            <wp:extent cx="8255" cy="8890"/>
            <wp:wrapNone/>
            <wp:docPr id="1316" name="Picture 1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6"/>
                    <pic:cNvPicPr>
                      <a:picLocks noChangeAspect="1" noChangeArrowheads="1"/>
                    </pic:cNvPicPr>
                  </pic:nvPicPr>
                  <pic:blipFill>
                    <a:blip r:embed="rId132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-1122045</wp:posOffset>
            </wp:positionV>
            <wp:extent cx="8255" cy="8890"/>
            <wp:wrapNone/>
            <wp:docPr id="1317" name="Picture 1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7"/>
                    <pic:cNvPicPr>
                      <a:picLocks noChangeAspect="1" noChangeArrowheads="1"/>
                    </pic:cNvPicPr>
                  </pic:nvPicPr>
                  <pic:blipFill>
                    <a:blip r:embed="rId13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-1104900</wp:posOffset>
            </wp:positionV>
            <wp:extent cx="8255" cy="8255"/>
            <wp:wrapNone/>
            <wp:docPr id="1318" name="Picture 1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8"/>
                    <pic:cNvPicPr>
                      <a:picLocks noChangeAspect="1" noChangeArrowheads="1"/>
                    </pic:cNvPicPr>
                  </pic:nvPicPr>
                  <pic:blipFill>
                    <a:blip r:embed="rId13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-1087755</wp:posOffset>
            </wp:positionV>
            <wp:extent cx="8255" cy="8890"/>
            <wp:wrapNone/>
            <wp:docPr id="1319" name="Picture 1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9"/>
                    <pic:cNvPicPr>
                      <a:picLocks noChangeAspect="1" noChangeArrowheads="1"/>
                    </pic:cNvPicPr>
                  </pic:nvPicPr>
                  <pic:blipFill>
                    <a:blip r:embed="rId13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-1070610</wp:posOffset>
            </wp:positionV>
            <wp:extent cx="8255" cy="8890"/>
            <wp:wrapNone/>
            <wp:docPr id="1320" name="Picture 1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0"/>
                    <pic:cNvPicPr>
                      <a:picLocks noChangeAspect="1" noChangeArrowheads="1"/>
                    </pic:cNvPicPr>
                  </pic:nvPicPr>
                  <pic:blipFill>
                    <a:blip r:embed="rId132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-1053465</wp:posOffset>
            </wp:positionV>
            <wp:extent cx="8255" cy="8890"/>
            <wp:wrapNone/>
            <wp:docPr id="1321" name="Picture 1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1"/>
                    <pic:cNvPicPr>
                      <a:picLocks noChangeAspect="1" noChangeArrowheads="1"/>
                    </pic:cNvPicPr>
                  </pic:nvPicPr>
                  <pic:blipFill>
                    <a:blip r:embed="rId132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-1036320</wp:posOffset>
            </wp:positionV>
            <wp:extent cx="8255" cy="8890"/>
            <wp:wrapNone/>
            <wp:docPr id="1322" name="Picture 1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2"/>
                    <pic:cNvPicPr>
                      <a:picLocks noChangeAspect="1" noChangeArrowheads="1"/>
                    </pic:cNvPicPr>
                  </pic:nvPicPr>
                  <pic:blipFill>
                    <a:blip r:embed="rId132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-1019175</wp:posOffset>
            </wp:positionV>
            <wp:extent cx="8255" cy="17145"/>
            <wp:wrapNone/>
            <wp:docPr id="1323" name="Picture 1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3"/>
                    <pic:cNvPicPr>
                      <a:picLocks noChangeAspect="1" noChangeArrowheads="1"/>
                    </pic:cNvPicPr>
                  </pic:nvPicPr>
                  <pic:blipFill>
                    <a:blip r:embed="rId1330">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-1242695</wp:posOffset>
            </wp:positionV>
            <wp:extent cx="8890" cy="8890"/>
            <wp:wrapNone/>
            <wp:docPr id="1324" name="Picture 1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4"/>
                    <pic:cNvPicPr>
                      <a:picLocks noChangeAspect="1" noChangeArrowheads="1"/>
                    </pic:cNvPicPr>
                  </pic:nvPicPr>
                  <pic:blipFill>
                    <a:blip r:embed="rId13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-1224915</wp:posOffset>
            </wp:positionV>
            <wp:extent cx="8890" cy="8890"/>
            <wp:wrapNone/>
            <wp:docPr id="1325" name="Picture 1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5"/>
                    <pic:cNvPicPr>
                      <a:picLocks noChangeAspect="1" noChangeArrowheads="1"/>
                    </pic:cNvPicPr>
                  </pic:nvPicPr>
                  <pic:blipFill>
                    <a:blip r:embed="rId13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-1207770</wp:posOffset>
            </wp:positionV>
            <wp:extent cx="8890" cy="8890"/>
            <wp:wrapNone/>
            <wp:docPr id="1326" name="Picture 1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6"/>
                    <pic:cNvPicPr>
                      <a:picLocks noChangeAspect="1" noChangeArrowheads="1"/>
                    </pic:cNvPicPr>
                  </pic:nvPicPr>
                  <pic:blipFill>
                    <a:blip r:embed="rId13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-1190625</wp:posOffset>
            </wp:positionV>
            <wp:extent cx="8890" cy="8255"/>
            <wp:wrapNone/>
            <wp:docPr id="1327" name="Picture 1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7"/>
                    <pic:cNvPicPr>
                      <a:picLocks noChangeAspect="1" noChangeArrowheads="1"/>
                    </pic:cNvPicPr>
                  </pic:nvPicPr>
                  <pic:blipFill>
                    <a:blip r:embed="rId13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-1173480</wp:posOffset>
            </wp:positionV>
            <wp:extent cx="8890" cy="8890"/>
            <wp:wrapNone/>
            <wp:docPr id="1328" name="Picture 1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8"/>
                    <pic:cNvPicPr>
                      <a:picLocks noChangeAspect="1" noChangeArrowheads="1"/>
                    </pic:cNvPicPr>
                  </pic:nvPicPr>
                  <pic:blipFill>
                    <a:blip r:embed="rId13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-1156335</wp:posOffset>
            </wp:positionV>
            <wp:extent cx="8890" cy="8890"/>
            <wp:wrapNone/>
            <wp:docPr id="1329" name="Picture 1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9"/>
                    <pic:cNvPicPr>
                      <a:picLocks noChangeAspect="1" noChangeArrowheads="1"/>
                    </pic:cNvPicPr>
                  </pic:nvPicPr>
                  <pic:blipFill>
                    <a:blip r:embed="rId13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-1139190</wp:posOffset>
            </wp:positionV>
            <wp:extent cx="8890" cy="8890"/>
            <wp:wrapNone/>
            <wp:docPr id="1330" name="Picture 1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0"/>
                    <pic:cNvPicPr>
                      <a:picLocks noChangeAspect="1" noChangeArrowheads="1"/>
                    </pic:cNvPicPr>
                  </pic:nvPicPr>
                  <pic:blipFill>
                    <a:blip r:embed="rId13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-1122045</wp:posOffset>
            </wp:positionV>
            <wp:extent cx="8890" cy="8890"/>
            <wp:wrapNone/>
            <wp:docPr id="1331" name="Picture 1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1"/>
                    <pic:cNvPicPr>
                      <a:picLocks noChangeAspect="1" noChangeArrowheads="1"/>
                    </pic:cNvPicPr>
                  </pic:nvPicPr>
                  <pic:blipFill>
                    <a:blip r:embed="rId13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-1104900</wp:posOffset>
            </wp:positionV>
            <wp:extent cx="8890" cy="8255"/>
            <wp:wrapNone/>
            <wp:docPr id="1332" name="Picture 1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2"/>
                    <pic:cNvPicPr>
                      <a:picLocks noChangeAspect="1" noChangeArrowheads="1"/>
                    </pic:cNvPicPr>
                  </pic:nvPicPr>
                  <pic:blipFill>
                    <a:blip r:embed="rId13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-1087755</wp:posOffset>
            </wp:positionV>
            <wp:extent cx="8890" cy="8890"/>
            <wp:wrapNone/>
            <wp:docPr id="1333" name="Picture 1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3"/>
                    <pic:cNvPicPr>
                      <a:picLocks noChangeAspect="1" noChangeArrowheads="1"/>
                    </pic:cNvPicPr>
                  </pic:nvPicPr>
                  <pic:blipFill>
                    <a:blip r:embed="rId13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-1070610</wp:posOffset>
            </wp:positionV>
            <wp:extent cx="8890" cy="8890"/>
            <wp:wrapNone/>
            <wp:docPr id="1334" name="Picture 1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4"/>
                    <pic:cNvPicPr>
                      <a:picLocks noChangeAspect="1" noChangeArrowheads="1"/>
                    </pic:cNvPicPr>
                  </pic:nvPicPr>
                  <pic:blipFill>
                    <a:blip r:embed="rId13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-1053465</wp:posOffset>
            </wp:positionV>
            <wp:extent cx="8890" cy="8890"/>
            <wp:wrapNone/>
            <wp:docPr id="1335" name="Picture 1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5"/>
                    <pic:cNvPicPr>
                      <a:picLocks noChangeAspect="1" noChangeArrowheads="1"/>
                    </pic:cNvPicPr>
                  </pic:nvPicPr>
                  <pic:blipFill>
                    <a:blip r:embed="rId13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-1036320</wp:posOffset>
            </wp:positionV>
            <wp:extent cx="8890" cy="8890"/>
            <wp:wrapNone/>
            <wp:docPr id="1336" name="Picture 1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6"/>
                    <pic:cNvPicPr>
                      <a:picLocks noChangeAspect="1" noChangeArrowheads="1"/>
                    </pic:cNvPicPr>
                  </pic:nvPicPr>
                  <pic:blipFill>
                    <a:blip r:embed="rId13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-1019175</wp:posOffset>
            </wp:positionV>
            <wp:extent cx="8890" cy="17145"/>
            <wp:wrapNone/>
            <wp:docPr id="1337" name="Picture 1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7"/>
                    <pic:cNvPicPr>
                      <a:picLocks noChangeAspect="1" noChangeArrowheads="1"/>
                    </pic:cNvPicPr>
                  </pic:nvPicPr>
                  <pic:blipFill>
                    <a:blip r:embed="rId1344">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-1499235</wp:posOffset>
            </wp:positionV>
            <wp:extent cx="8255" cy="8255"/>
            <wp:wrapNone/>
            <wp:docPr id="1338" name="Picture 1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8"/>
                    <pic:cNvPicPr>
                      <a:picLocks noChangeAspect="1" noChangeArrowheads="1"/>
                    </pic:cNvPicPr>
                  </pic:nvPicPr>
                  <pic:blipFill>
                    <a:blip r:embed="rId13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-1482090</wp:posOffset>
            </wp:positionV>
            <wp:extent cx="8255" cy="8890"/>
            <wp:wrapNone/>
            <wp:docPr id="1339" name="Picture 1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9"/>
                    <pic:cNvPicPr>
                      <a:picLocks noChangeAspect="1" noChangeArrowheads="1"/>
                    </pic:cNvPicPr>
                  </pic:nvPicPr>
                  <pic:blipFill>
                    <a:blip r:embed="rId134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-1464945</wp:posOffset>
            </wp:positionV>
            <wp:extent cx="8255" cy="8890"/>
            <wp:wrapNone/>
            <wp:docPr id="1340" name="Picture 1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0"/>
                    <pic:cNvPicPr>
                      <a:picLocks noChangeAspect="1" noChangeArrowheads="1"/>
                    </pic:cNvPicPr>
                  </pic:nvPicPr>
                  <pic:blipFill>
                    <a:blip r:embed="rId134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-1447800</wp:posOffset>
            </wp:positionV>
            <wp:extent cx="8255" cy="8255"/>
            <wp:wrapNone/>
            <wp:docPr id="1341" name="Picture 1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1"/>
                    <pic:cNvPicPr>
                      <a:picLocks noChangeAspect="1" noChangeArrowheads="1"/>
                    </pic:cNvPicPr>
                  </pic:nvPicPr>
                  <pic:blipFill>
                    <a:blip r:embed="rId13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-1430655</wp:posOffset>
            </wp:positionV>
            <wp:extent cx="8255" cy="8255"/>
            <wp:wrapNone/>
            <wp:docPr id="1342" name="Picture 1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2"/>
                    <pic:cNvPicPr>
                      <a:picLocks noChangeAspect="1" noChangeArrowheads="1"/>
                    </pic:cNvPicPr>
                  </pic:nvPicPr>
                  <pic:blipFill>
                    <a:blip r:embed="rId13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-1414145</wp:posOffset>
            </wp:positionV>
            <wp:extent cx="8255" cy="8890"/>
            <wp:wrapNone/>
            <wp:docPr id="1343" name="Picture 1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3"/>
                    <pic:cNvPicPr>
                      <a:picLocks noChangeAspect="1" noChangeArrowheads="1"/>
                    </pic:cNvPicPr>
                  </pic:nvPicPr>
                  <pic:blipFill>
                    <a:blip r:embed="rId135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-1396365</wp:posOffset>
            </wp:positionV>
            <wp:extent cx="8255" cy="8890"/>
            <wp:wrapNone/>
            <wp:docPr id="1344" name="Picture 1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4"/>
                    <pic:cNvPicPr>
                      <a:picLocks noChangeAspect="1" noChangeArrowheads="1"/>
                    </pic:cNvPicPr>
                  </pic:nvPicPr>
                  <pic:blipFill>
                    <a:blip r:embed="rId135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-1379220</wp:posOffset>
            </wp:positionV>
            <wp:extent cx="8255" cy="8255"/>
            <wp:wrapNone/>
            <wp:docPr id="1345" name="Picture 1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5"/>
                    <pic:cNvPicPr>
                      <a:picLocks noChangeAspect="1" noChangeArrowheads="1"/>
                    </pic:cNvPicPr>
                  </pic:nvPicPr>
                  <pic:blipFill>
                    <a:blip r:embed="rId13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-1362075</wp:posOffset>
            </wp:positionV>
            <wp:extent cx="8255" cy="8255"/>
            <wp:wrapNone/>
            <wp:docPr id="1346" name="Picture 1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6"/>
                    <pic:cNvPicPr>
                      <a:picLocks noChangeAspect="1" noChangeArrowheads="1"/>
                    </pic:cNvPicPr>
                  </pic:nvPicPr>
                  <pic:blipFill>
                    <a:blip r:embed="rId13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-1344930</wp:posOffset>
            </wp:positionV>
            <wp:extent cx="8255" cy="8255"/>
            <wp:wrapNone/>
            <wp:docPr id="1347" name="Picture 1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7"/>
                    <pic:cNvPicPr>
                      <a:picLocks noChangeAspect="1" noChangeArrowheads="1"/>
                    </pic:cNvPicPr>
                  </pic:nvPicPr>
                  <pic:blipFill>
                    <a:blip r:embed="rId13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-1328420</wp:posOffset>
            </wp:positionV>
            <wp:extent cx="8255" cy="8890"/>
            <wp:wrapNone/>
            <wp:docPr id="1348" name="Picture 1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8"/>
                    <pic:cNvPicPr>
                      <a:picLocks noChangeAspect="1" noChangeArrowheads="1"/>
                    </pic:cNvPicPr>
                  </pic:nvPicPr>
                  <pic:blipFill>
                    <a:blip r:embed="rId135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-1310640</wp:posOffset>
            </wp:positionV>
            <wp:extent cx="8255" cy="8890"/>
            <wp:wrapNone/>
            <wp:docPr id="1349" name="Picture 1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9"/>
                    <pic:cNvPicPr>
                      <a:picLocks noChangeAspect="1" noChangeArrowheads="1"/>
                    </pic:cNvPicPr>
                  </pic:nvPicPr>
                  <pic:blipFill>
                    <a:blip r:embed="rId135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-1293495</wp:posOffset>
            </wp:positionV>
            <wp:extent cx="8255" cy="8255"/>
            <wp:wrapNone/>
            <wp:docPr id="1350" name="Picture 1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0"/>
                    <pic:cNvPicPr>
                      <a:picLocks noChangeAspect="1" noChangeArrowheads="1"/>
                    </pic:cNvPicPr>
                  </pic:nvPicPr>
                  <pic:blipFill>
                    <a:blip r:embed="rId13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-1276350</wp:posOffset>
            </wp:positionV>
            <wp:extent cx="8255" cy="25400"/>
            <wp:wrapNone/>
            <wp:docPr id="1351" name="Picture 1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1"/>
                    <pic:cNvPicPr>
                      <a:picLocks noChangeAspect="1" noChangeArrowheads="1"/>
                    </pic:cNvPicPr>
                  </pic:nvPicPr>
                  <pic:blipFill>
                    <a:blip r:embed="rId1358">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-1499235</wp:posOffset>
            </wp:positionV>
            <wp:extent cx="8255" cy="8255"/>
            <wp:wrapNone/>
            <wp:docPr id="1352" name="Picture 1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2"/>
                    <pic:cNvPicPr>
                      <a:picLocks noChangeAspect="1" noChangeArrowheads="1"/>
                    </pic:cNvPicPr>
                  </pic:nvPicPr>
                  <pic:blipFill>
                    <a:blip r:embed="rId13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-1482090</wp:posOffset>
            </wp:positionV>
            <wp:extent cx="8255" cy="8890"/>
            <wp:wrapNone/>
            <wp:docPr id="1353" name="Picture 1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3"/>
                    <pic:cNvPicPr>
                      <a:picLocks noChangeAspect="1" noChangeArrowheads="1"/>
                    </pic:cNvPicPr>
                  </pic:nvPicPr>
                  <pic:blipFill>
                    <a:blip r:embed="rId136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-1464945</wp:posOffset>
            </wp:positionV>
            <wp:extent cx="8255" cy="8890"/>
            <wp:wrapNone/>
            <wp:docPr id="1354" name="Picture 1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4"/>
                    <pic:cNvPicPr>
                      <a:picLocks noChangeAspect="1" noChangeArrowheads="1"/>
                    </pic:cNvPicPr>
                  </pic:nvPicPr>
                  <pic:blipFill>
                    <a:blip r:embed="rId136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-1447800</wp:posOffset>
            </wp:positionV>
            <wp:extent cx="8255" cy="8255"/>
            <wp:wrapNone/>
            <wp:docPr id="1355" name="Picture 1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5"/>
                    <pic:cNvPicPr>
                      <a:picLocks noChangeAspect="1" noChangeArrowheads="1"/>
                    </pic:cNvPicPr>
                  </pic:nvPicPr>
                  <pic:blipFill>
                    <a:blip r:embed="rId13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-1430655</wp:posOffset>
            </wp:positionV>
            <wp:extent cx="8255" cy="8255"/>
            <wp:wrapNone/>
            <wp:docPr id="1356" name="Picture 1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6"/>
                    <pic:cNvPicPr>
                      <a:picLocks noChangeAspect="1" noChangeArrowheads="1"/>
                    </pic:cNvPicPr>
                  </pic:nvPicPr>
                  <pic:blipFill>
                    <a:blip r:embed="rId13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-1414145</wp:posOffset>
            </wp:positionV>
            <wp:extent cx="8255" cy="8890"/>
            <wp:wrapNone/>
            <wp:docPr id="1357" name="Picture 1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7"/>
                    <pic:cNvPicPr>
                      <a:picLocks noChangeAspect="1" noChangeArrowheads="1"/>
                    </pic:cNvPicPr>
                  </pic:nvPicPr>
                  <pic:blipFill>
                    <a:blip r:embed="rId136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-1396365</wp:posOffset>
            </wp:positionV>
            <wp:extent cx="8255" cy="8890"/>
            <wp:wrapNone/>
            <wp:docPr id="1358" name="Picture 1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8"/>
                    <pic:cNvPicPr>
                      <a:picLocks noChangeAspect="1" noChangeArrowheads="1"/>
                    </pic:cNvPicPr>
                  </pic:nvPicPr>
                  <pic:blipFill>
                    <a:blip r:embed="rId136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-1379220</wp:posOffset>
            </wp:positionV>
            <wp:extent cx="8255" cy="8255"/>
            <wp:wrapNone/>
            <wp:docPr id="1359" name="Picture 1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9"/>
                    <pic:cNvPicPr>
                      <a:picLocks noChangeAspect="1" noChangeArrowheads="1"/>
                    </pic:cNvPicPr>
                  </pic:nvPicPr>
                  <pic:blipFill>
                    <a:blip r:embed="rId13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-1362075</wp:posOffset>
            </wp:positionV>
            <wp:extent cx="8255" cy="8255"/>
            <wp:wrapNone/>
            <wp:docPr id="1360" name="Picture 1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0"/>
                    <pic:cNvPicPr>
                      <a:picLocks noChangeAspect="1" noChangeArrowheads="1"/>
                    </pic:cNvPicPr>
                  </pic:nvPicPr>
                  <pic:blipFill>
                    <a:blip r:embed="rId13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-1344930</wp:posOffset>
            </wp:positionV>
            <wp:extent cx="8255" cy="8255"/>
            <wp:wrapNone/>
            <wp:docPr id="1361" name="Picture 1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1"/>
                    <pic:cNvPicPr>
                      <a:picLocks noChangeAspect="1" noChangeArrowheads="1"/>
                    </pic:cNvPicPr>
                  </pic:nvPicPr>
                  <pic:blipFill>
                    <a:blip r:embed="rId13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-1328420</wp:posOffset>
            </wp:positionV>
            <wp:extent cx="8255" cy="8890"/>
            <wp:wrapNone/>
            <wp:docPr id="1362" name="Picture 1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2"/>
                    <pic:cNvPicPr>
                      <a:picLocks noChangeAspect="1" noChangeArrowheads="1"/>
                    </pic:cNvPicPr>
                  </pic:nvPicPr>
                  <pic:blipFill>
                    <a:blip r:embed="rId136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-1310640</wp:posOffset>
            </wp:positionV>
            <wp:extent cx="8255" cy="8890"/>
            <wp:wrapNone/>
            <wp:docPr id="1363" name="Picture 1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3"/>
                    <pic:cNvPicPr>
                      <a:picLocks noChangeAspect="1" noChangeArrowheads="1"/>
                    </pic:cNvPicPr>
                  </pic:nvPicPr>
                  <pic:blipFill>
                    <a:blip r:embed="rId137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-1293495</wp:posOffset>
            </wp:positionV>
            <wp:extent cx="8255" cy="8255"/>
            <wp:wrapNone/>
            <wp:docPr id="1364" name="Picture 1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4"/>
                    <pic:cNvPicPr>
                      <a:picLocks noChangeAspect="1" noChangeArrowheads="1"/>
                    </pic:cNvPicPr>
                  </pic:nvPicPr>
                  <pic:blipFill>
                    <a:blip r:embed="rId13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-1276350</wp:posOffset>
            </wp:positionV>
            <wp:extent cx="8255" cy="25400"/>
            <wp:wrapNone/>
            <wp:docPr id="1365" name="Picture 1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5"/>
                    <pic:cNvPicPr>
                      <a:picLocks noChangeAspect="1" noChangeArrowheads="1"/>
                    </pic:cNvPicPr>
                  </pic:nvPicPr>
                  <pic:blipFill>
                    <a:blip r:embed="rId1372">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-1499235</wp:posOffset>
            </wp:positionV>
            <wp:extent cx="8890" cy="8255"/>
            <wp:wrapNone/>
            <wp:docPr id="1366" name="Picture 1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6"/>
                    <pic:cNvPicPr>
                      <a:picLocks noChangeAspect="1" noChangeArrowheads="1"/>
                    </pic:cNvPicPr>
                  </pic:nvPicPr>
                  <pic:blipFill>
                    <a:blip r:embed="rId13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-1482090</wp:posOffset>
            </wp:positionV>
            <wp:extent cx="8890" cy="8890"/>
            <wp:wrapNone/>
            <wp:docPr id="1367" name="Picture 1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7"/>
                    <pic:cNvPicPr>
                      <a:picLocks noChangeAspect="1" noChangeArrowheads="1"/>
                    </pic:cNvPicPr>
                  </pic:nvPicPr>
                  <pic:blipFill>
                    <a:blip r:embed="rId13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-1464945</wp:posOffset>
            </wp:positionV>
            <wp:extent cx="8890" cy="8890"/>
            <wp:wrapNone/>
            <wp:docPr id="1368" name="Picture 1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8"/>
                    <pic:cNvPicPr>
                      <a:picLocks noChangeAspect="1" noChangeArrowheads="1"/>
                    </pic:cNvPicPr>
                  </pic:nvPicPr>
                  <pic:blipFill>
                    <a:blip r:embed="rId13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-1447800</wp:posOffset>
            </wp:positionV>
            <wp:extent cx="8890" cy="8255"/>
            <wp:wrapNone/>
            <wp:docPr id="1369" name="Picture 1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9"/>
                    <pic:cNvPicPr>
                      <a:picLocks noChangeAspect="1" noChangeArrowheads="1"/>
                    </pic:cNvPicPr>
                  </pic:nvPicPr>
                  <pic:blipFill>
                    <a:blip r:embed="rId13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-1430655</wp:posOffset>
            </wp:positionV>
            <wp:extent cx="8890" cy="8255"/>
            <wp:wrapNone/>
            <wp:docPr id="1370" name="Picture 1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0"/>
                    <pic:cNvPicPr>
                      <a:picLocks noChangeAspect="1" noChangeArrowheads="1"/>
                    </pic:cNvPicPr>
                  </pic:nvPicPr>
                  <pic:blipFill>
                    <a:blip r:embed="rId13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-1414145</wp:posOffset>
            </wp:positionV>
            <wp:extent cx="8890" cy="8890"/>
            <wp:wrapNone/>
            <wp:docPr id="1371" name="Picture 1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1"/>
                    <pic:cNvPicPr>
                      <a:picLocks noChangeAspect="1" noChangeArrowheads="1"/>
                    </pic:cNvPicPr>
                  </pic:nvPicPr>
                  <pic:blipFill>
                    <a:blip r:embed="rId13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-1396365</wp:posOffset>
            </wp:positionV>
            <wp:extent cx="8890" cy="8890"/>
            <wp:wrapNone/>
            <wp:docPr id="1372" name="Picture 1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2"/>
                    <pic:cNvPicPr>
                      <a:picLocks noChangeAspect="1" noChangeArrowheads="1"/>
                    </pic:cNvPicPr>
                  </pic:nvPicPr>
                  <pic:blipFill>
                    <a:blip r:embed="rId13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-1379220</wp:posOffset>
            </wp:positionV>
            <wp:extent cx="8890" cy="8255"/>
            <wp:wrapNone/>
            <wp:docPr id="1373" name="Picture 1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3"/>
                    <pic:cNvPicPr>
                      <a:picLocks noChangeAspect="1" noChangeArrowheads="1"/>
                    </pic:cNvPicPr>
                  </pic:nvPicPr>
                  <pic:blipFill>
                    <a:blip r:embed="rId13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-1362075</wp:posOffset>
            </wp:positionV>
            <wp:extent cx="8890" cy="8255"/>
            <wp:wrapNone/>
            <wp:docPr id="1374" name="Picture 1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4"/>
                    <pic:cNvPicPr>
                      <a:picLocks noChangeAspect="1" noChangeArrowheads="1"/>
                    </pic:cNvPicPr>
                  </pic:nvPicPr>
                  <pic:blipFill>
                    <a:blip r:embed="rId13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-1344930</wp:posOffset>
            </wp:positionV>
            <wp:extent cx="8890" cy="8255"/>
            <wp:wrapNone/>
            <wp:docPr id="1375" name="Picture 1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5"/>
                    <pic:cNvPicPr>
                      <a:picLocks noChangeAspect="1" noChangeArrowheads="1"/>
                    </pic:cNvPicPr>
                  </pic:nvPicPr>
                  <pic:blipFill>
                    <a:blip r:embed="rId13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-1328420</wp:posOffset>
            </wp:positionV>
            <wp:extent cx="8890" cy="8890"/>
            <wp:wrapNone/>
            <wp:docPr id="1376" name="Picture 1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6"/>
                    <pic:cNvPicPr>
                      <a:picLocks noChangeAspect="1" noChangeArrowheads="1"/>
                    </pic:cNvPicPr>
                  </pic:nvPicPr>
                  <pic:blipFill>
                    <a:blip r:embed="rId13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-1310640</wp:posOffset>
            </wp:positionV>
            <wp:extent cx="8890" cy="8890"/>
            <wp:wrapNone/>
            <wp:docPr id="1377" name="Picture 1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7"/>
                    <pic:cNvPicPr>
                      <a:picLocks noChangeAspect="1" noChangeArrowheads="1"/>
                    </pic:cNvPicPr>
                  </pic:nvPicPr>
                  <pic:blipFill>
                    <a:blip r:embed="rId13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-1293495</wp:posOffset>
            </wp:positionV>
            <wp:extent cx="8890" cy="8255"/>
            <wp:wrapNone/>
            <wp:docPr id="1378" name="Picture 1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8"/>
                    <pic:cNvPicPr>
                      <a:picLocks noChangeAspect="1" noChangeArrowheads="1"/>
                    </pic:cNvPicPr>
                  </pic:nvPicPr>
                  <pic:blipFill>
                    <a:blip r:embed="rId13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-1276350</wp:posOffset>
            </wp:positionV>
            <wp:extent cx="8890" cy="25400"/>
            <wp:wrapNone/>
            <wp:docPr id="1379" name="Picture 1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9"/>
                    <pic:cNvPicPr>
                      <a:picLocks noChangeAspect="1" noChangeArrowheads="1"/>
                    </pic:cNvPicPr>
                  </pic:nvPicPr>
                  <pic:blipFill>
                    <a:blip r:embed="rId1386">
                      <a:extLst>
                        <a:ext uri="{28A0092B-C50C-407E-A947-70E740481C1C}"/>
                      </a:extLst>
                    </a:blip>
                    <a:srcRect/>
                    <a:stretch>
                      <a:fillRect/>
                    </a:stretch>
                  </pic:blipFill>
                  <pic:spPr bwMode="auto">
                    <a:xfrm>
                      <a:off x="0" y="0"/>
                      <a:ext cx="8890" cy="2540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-1756410</wp:posOffset>
            </wp:positionV>
            <wp:extent cx="8255" cy="8255"/>
            <wp:wrapNone/>
            <wp:docPr id="1380" name="Picture 1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0"/>
                    <pic:cNvPicPr>
                      <a:picLocks noChangeAspect="1" noChangeArrowheads="1"/>
                    </pic:cNvPicPr>
                  </pic:nvPicPr>
                  <pic:blipFill>
                    <a:blip r:embed="rId13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-1739265</wp:posOffset>
            </wp:positionV>
            <wp:extent cx="8255" cy="8890"/>
            <wp:wrapNone/>
            <wp:docPr id="1381" name="Picture 1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1"/>
                    <pic:cNvPicPr>
                      <a:picLocks noChangeAspect="1" noChangeArrowheads="1"/>
                    </pic:cNvPicPr>
                  </pic:nvPicPr>
                  <pic:blipFill>
                    <a:blip r:embed="rId138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-1722120</wp:posOffset>
            </wp:positionV>
            <wp:extent cx="8255" cy="8890"/>
            <wp:wrapNone/>
            <wp:docPr id="1382" name="Picture 1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2"/>
                    <pic:cNvPicPr>
                      <a:picLocks noChangeAspect="1" noChangeArrowheads="1"/>
                    </pic:cNvPicPr>
                  </pic:nvPicPr>
                  <pic:blipFill>
                    <a:blip r:embed="rId138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-1704975</wp:posOffset>
            </wp:positionV>
            <wp:extent cx="8255" cy="8255"/>
            <wp:wrapNone/>
            <wp:docPr id="1383" name="Picture 1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3"/>
                    <pic:cNvPicPr>
                      <a:picLocks noChangeAspect="1" noChangeArrowheads="1"/>
                    </pic:cNvPicPr>
                  </pic:nvPicPr>
                  <pic:blipFill>
                    <a:blip r:embed="rId13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-1687830</wp:posOffset>
            </wp:positionV>
            <wp:extent cx="8255" cy="8255"/>
            <wp:wrapNone/>
            <wp:docPr id="1384" name="Picture 1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4"/>
                    <pic:cNvPicPr>
                      <a:picLocks noChangeAspect="1" noChangeArrowheads="1"/>
                    </pic:cNvPicPr>
                  </pic:nvPicPr>
                  <pic:blipFill>
                    <a:blip r:embed="rId13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-1670685</wp:posOffset>
            </wp:positionV>
            <wp:extent cx="8255" cy="8255"/>
            <wp:wrapNone/>
            <wp:docPr id="1385" name="Picture 1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5"/>
                    <pic:cNvPicPr>
                      <a:picLocks noChangeAspect="1" noChangeArrowheads="1"/>
                    </pic:cNvPicPr>
                  </pic:nvPicPr>
                  <pic:blipFill>
                    <a:blip r:embed="rId13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-1653540</wp:posOffset>
            </wp:positionV>
            <wp:extent cx="8255" cy="8890"/>
            <wp:wrapNone/>
            <wp:docPr id="1386" name="Picture 1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6"/>
                    <pic:cNvPicPr>
                      <a:picLocks noChangeAspect="1" noChangeArrowheads="1"/>
                    </pic:cNvPicPr>
                  </pic:nvPicPr>
                  <pic:blipFill>
                    <a:blip r:embed="rId139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-1636395</wp:posOffset>
            </wp:positionV>
            <wp:extent cx="8255" cy="8890"/>
            <wp:wrapNone/>
            <wp:docPr id="1387" name="Picture 1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7"/>
                    <pic:cNvPicPr>
                      <a:picLocks noChangeAspect="1" noChangeArrowheads="1"/>
                    </pic:cNvPicPr>
                  </pic:nvPicPr>
                  <pic:blipFill>
                    <a:blip r:embed="rId139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-1619250</wp:posOffset>
            </wp:positionV>
            <wp:extent cx="8255" cy="8255"/>
            <wp:wrapNone/>
            <wp:docPr id="1388" name="Picture 1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8"/>
                    <pic:cNvPicPr>
                      <a:picLocks noChangeAspect="1" noChangeArrowheads="1"/>
                    </pic:cNvPicPr>
                  </pic:nvPicPr>
                  <pic:blipFill>
                    <a:blip r:embed="rId13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-1602105</wp:posOffset>
            </wp:positionV>
            <wp:extent cx="8255" cy="8255"/>
            <wp:wrapNone/>
            <wp:docPr id="1389" name="Picture 1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9"/>
                    <pic:cNvPicPr>
                      <a:picLocks noChangeAspect="1" noChangeArrowheads="1"/>
                    </pic:cNvPicPr>
                  </pic:nvPicPr>
                  <pic:blipFill>
                    <a:blip r:embed="rId13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-1584960</wp:posOffset>
            </wp:positionV>
            <wp:extent cx="8255" cy="8255"/>
            <wp:wrapNone/>
            <wp:docPr id="1390" name="Picture 1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0"/>
                    <pic:cNvPicPr>
                      <a:picLocks noChangeAspect="1" noChangeArrowheads="1"/>
                    </pic:cNvPicPr>
                  </pic:nvPicPr>
                  <pic:blipFill>
                    <a:blip r:embed="rId13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-1567815</wp:posOffset>
            </wp:positionV>
            <wp:extent cx="8255" cy="8890"/>
            <wp:wrapNone/>
            <wp:docPr id="1391" name="Picture 1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1"/>
                    <pic:cNvPicPr>
                      <a:picLocks noChangeAspect="1" noChangeArrowheads="1"/>
                    </pic:cNvPicPr>
                  </pic:nvPicPr>
                  <pic:blipFill>
                    <a:blip r:embed="rId139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-1550670</wp:posOffset>
            </wp:positionV>
            <wp:extent cx="8255" cy="8890"/>
            <wp:wrapNone/>
            <wp:docPr id="1392" name="Picture 1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2"/>
                    <pic:cNvPicPr>
                      <a:picLocks noChangeAspect="1" noChangeArrowheads="1"/>
                    </pic:cNvPicPr>
                  </pic:nvPicPr>
                  <pic:blipFill>
                    <a:blip r:embed="rId139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-1533525</wp:posOffset>
            </wp:positionV>
            <wp:extent cx="8255" cy="25400"/>
            <wp:wrapNone/>
            <wp:docPr id="1393" name="Picture 1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3"/>
                    <pic:cNvPicPr>
                      <a:picLocks noChangeAspect="1" noChangeArrowheads="1"/>
                    </pic:cNvPicPr>
                  </pic:nvPicPr>
                  <pic:blipFill>
                    <a:blip r:embed="rId1400">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-1756410</wp:posOffset>
            </wp:positionV>
            <wp:extent cx="8255" cy="8255"/>
            <wp:wrapNone/>
            <wp:docPr id="1394" name="Picture 1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4"/>
                    <pic:cNvPicPr>
                      <a:picLocks noChangeAspect="1" noChangeArrowheads="1"/>
                    </pic:cNvPicPr>
                  </pic:nvPicPr>
                  <pic:blipFill>
                    <a:blip r:embed="rId14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-1739265</wp:posOffset>
            </wp:positionV>
            <wp:extent cx="8255" cy="8890"/>
            <wp:wrapNone/>
            <wp:docPr id="1395" name="Picture 1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5"/>
                    <pic:cNvPicPr>
                      <a:picLocks noChangeAspect="1" noChangeArrowheads="1"/>
                    </pic:cNvPicPr>
                  </pic:nvPicPr>
                  <pic:blipFill>
                    <a:blip r:embed="rId140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-1722120</wp:posOffset>
            </wp:positionV>
            <wp:extent cx="8255" cy="8890"/>
            <wp:wrapNone/>
            <wp:docPr id="1396" name="Picture 1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6"/>
                    <pic:cNvPicPr>
                      <a:picLocks noChangeAspect="1" noChangeArrowheads="1"/>
                    </pic:cNvPicPr>
                  </pic:nvPicPr>
                  <pic:blipFill>
                    <a:blip r:embed="rId140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-1704975</wp:posOffset>
            </wp:positionV>
            <wp:extent cx="8255" cy="8255"/>
            <wp:wrapNone/>
            <wp:docPr id="1397" name="Picture 1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7"/>
                    <pic:cNvPicPr>
                      <a:picLocks noChangeAspect="1" noChangeArrowheads="1"/>
                    </pic:cNvPicPr>
                  </pic:nvPicPr>
                  <pic:blipFill>
                    <a:blip r:embed="rId14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-1687830</wp:posOffset>
            </wp:positionV>
            <wp:extent cx="8255" cy="8255"/>
            <wp:wrapNone/>
            <wp:docPr id="1398" name="Picture 1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8"/>
                    <pic:cNvPicPr>
                      <a:picLocks noChangeAspect="1" noChangeArrowheads="1"/>
                    </pic:cNvPicPr>
                  </pic:nvPicPr>
                  <pic:blipFill>
                    <a:blip r:embed="rId14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-1670685</wp:posOffset>
            </wp:positionV>
            <wp:extent cx="8255" cy="8255"/>
            <wp:wrapNone/>
            <wp:docPr id="1399" name="Picture 1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9"/>
                    <pic:cNvPicPr>
                      <a:picLocks noChangeAspect="1" noChangeArrowheads="1"/>
                    </pic:cNvPicPr>
                  </pic:nvPicPr>
                  <pic:blipFill>
                    <a:blip r:embed="rId14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-1653540</wp:posOffset>
            </wp:positionV>
            <wp:extent cx="8255" cy="8890"/>
            <wp:wrapNone/>
            <wp:docPr id="1400" name="Picture 1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0"/>
                    <pic:cNvPicPr>
                      <a:picLocks noChangeAspect="1" noChangeArrowheads="1"/>
                    </pic:cNvPicPr>
                  </pic:nvPicPr>
                  <pic:blipFill>
                    <a:blip r:embed="rId140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-1636395</wp:posOffset>
            </wp:positionV>
            <wp:extent cx="8255" cy="8890"/>
            <wp:wrapNone/>
            <wp:docPr id="1401" name="Picture 1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1"/>
                    <pic:cNvPicPr>
                      <a:picLocks noChangeAspect="1" noChangeArrowheads="1"/>
                    </pic:cNvPicPr>
                  </pic:nvPicPr>
                  <pic:blipFill>
                    <a:blip r:embed="rId140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-1619250</wp:posOffset>
            </wp:positionV>
            <wp:extent cx="8255" cy="8255"/>
            <wp:wrapNone/>
            <wp:docPr id="1402" name="Picture 1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2"/>
                    <pic:cNvPicPr>
                      <a:picLocks noChangeAspect="1" noChangeArrowheads="1"/>
                    </pic:cNvPicPr>
                  </pic:nvPicPr>
                  <pic:blipFill>
                    <a:blip r:embed="rId14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-1602105</wp:posOffset>
            </wp:positionV>
            <wp:extent cx="8255" cy="8255"/>
            <wp:wrapNone/>
            <wp:docPr id="1403" name="Picture 1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3"/>
                    <pic:cNvPicPr>
                      <a:picLocks noChangeAspect="1" noChangeArrowheads="1"/>
                    </pic:cNvPicPr>
                  </pic:nvPicPr>
                  <pic:blipFill>
                    <a:blip r:embed="rId14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-1584960</wp:posOffset>
            </wp:positionV>
            <wp:extent cx="8255" cy="8255"/>
            <wp:wrapNone/>
            <wp:docPr id="1404" name="Picture 1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4"/>
                    <pic:cNvPicPr>
                      <a:picLocks noChangeAspect="1" noChangeArrowheads="1"/>
                    </pic:cNvPicPr>
                  </pic:nvPicPr>
                  <pic:blipFill>
                    <a:blip r:embed="rId14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-1567815</wp:posOffset>
            </wp:positionV>
            <wp:extent cx="8255" cy="8890"/>
            <wp:wrapNone/>
            <wp:docPr id="1405" name="Picture 1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5"/>
                    <pic:cNvPicPr>
                      <a:picLocks noChangeAspect="1" noChangeArrowheads="1"/>
                    </pic:cNvPicPr>
                  </pic:nvPicPr>
                  <pic:blipFill>
                    <a:blip r:embed="rId14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-1550670</wp:posOffset>
            </wp:positionV>
            <wp:extent cx="8255" cy="8890"/>
            <wp:wrapNone/>
            <wp:docPr id="1406" name="Picture 1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6"/>
                    <pic:cNvPicPr>
                      <a:picLocks noChangeAspect="1" noChangeArrowheads="1"/>
                    </pic:cNvPicPr>
                  </pic:nvPicPr>
                  <pic:blipFill>
                    <a:blip r:embed="rId14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-1533525</wp:posOffset>
            </wp:positionV>
            <wp:extent cx="8255" cy="25400"/>
            <wp:wrapNone/>
            <wp:docPr id="1407" name="Picture 1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7"/>
                    <pic:cNvPicPr>
                      <a:picLocks noChangeAspect="1" noChangeArrowheads="1"/>
                    </pic:cNvPicPr>
                  </pic:nvPicPr>
                  <pic:blipFill>
                    <a:blip r:embed="rId1414">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-1756410</wp:posOffset>
            </wp:positionV>
            <wp:extent cx="8890" cy="8255"/>
            <wp:wrapNone/>
            <wp:docPr id="1408" name="Picture 1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8"/>
                    <pic:cNvPicPr>
                      <a:picLocks noChangeAspect="1" noChangeArrowheads="1"/>
                    </pic:cNvPicPr>
                  </pic:nvPicPr>
                  <pic:blipFill>
                    <a:blip r:embed="rId14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-1739265</wp:posOffset>
            </wp:positionV>
            <wp:extent cx="8890" cy="8890"/>
            <wp:wrapNone/>
            <wp:docPr id="1409" name="Picture 1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9"/>
                    <pic:cNvPicPr>
                      <a:picLocks noChangeAspect="1" noChangeArrowheads="1"/>
                    </pic:cNvPicPr>
                  </pic:nvPicPr>
                  <pic:blipFill>
                    <a:blip r:embed="rId14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-1722120</wp:posOffset>
            </wp:positionV>
            <wp:extent cx="8890" cy="8890"/>
            <wp:wrapNone/>
            <wp:docPr id="1410" name="Picture 1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0"/>
                    <pic:cNvPicPr>
                      <a:picLocks noChangeAspect="1" noChangeArrowheads="1"/>
                    </pic:cNvPicPr>
                  </pic:nvPicPr>
                  <pic:blipFill>
                    <a:blip r:embed="rId14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-1704975</wp:posOffset>
            </wp:positionV>
            <wp:extent cx="8890" cy="8255"/>
            <wp:wrapNone/>
            <wp:docPr id="1411" name="Picture 1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1"/>
                    <pic:cNvPicPr>
                      <a:picLocks noChangeAspect="1" noChangeArrowheads="1"/>
                    </pic:cNvPicPr>
                  </pic:nvPicPr>
                  <pic:blipFill>
                    <a:blip r:embed="rId14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-1687830</wp:posOffset>
            </wp:positionV>
            <wp:extent cx="8890" cy="8255"/>
            <wp:wrapNone/>
            <wp:docPr id="1412" name="Picture 1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2"/>
                    <pic:cNvPicPr>
                      <a:picLocks noChangeAspect="1" noChangeArrowheads="1"/>
                    </pic:cNvPicPr>
                  </pic:nvPicPr>
                  <pic:blipFill>
                    <a:blip r:embed="rId14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-1670685</wp:posOffset>
            </wp:positionV>
            <wp:extent cx="8890" cy="8255"/>
            <wp:wrapNone/>
            <wp:docPr id="1413" name="Picture 1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3"/>
                    <pic:cNvPicPr>
                      <a:picLocks noChangeAspect="1" noChangeArrowheads="1"/>
                    </pic:cNvPicPr>
                  </pic:nvPicPr>
                  <pic:blipFill>
                    <a:blip r:embed="rId14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-1653540</wp:posOffset>
            </wp:positionV>
            <wp:extent cx="8890" cy="8890"/>
            <wp:wrapNone/>
            <wp:docPr id="1414" name="Picture 1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4"/>
                    <pic:cNvPicPr>
                      <a:picLocks noChangeAspect="1" noChangeArrowheads="1"/>
                    </pic:cNvPicPr>
                  </pic:nvPicPr>
                  <pic:blipFill>
                    <a:blip r:embed="rId14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-1636395</wp:posOffset>
            </wp:positionV>
            <wp:extent cx="8890" cy="8890"/>
            <wp:wrapNone/>
            <wp:docPr id="1415" name="Picture 1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5"/>
                    <pic:cNvPicPr>
                      <a:picLocks noChangeAspect="1" noChangeArrowheads="1"/>
                    </pic:cNvPicPr>
                  </pic:nvPicPr>
                  <pic:blipFill>
                    <a:blip r:embed="rId14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-1619250</wp:posOffset>
            </wp:positionV>
            <wp:extent cx="8890" cy="8255"/>
            <wp:wrapNone/>
            <wp:docPr id="1416" name="Picture 1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6"/>
                    <pic:cNvPicPr>
                      <a:picLocks noChangeAspect="1" noChangeArrowheads="1"/>
                    </pic:cNvPicPr>
                  </pic:nvPicPr>
                  <pic:blipFill>
                    <a:blip r:embed="rId14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-1602105</wp:posOffset>
            </wp:positionV>
            <wp:extent cx="8890" cy="8255"/>
            <wp:wrapNone/>
            <wp:docPr id="1417" name="Picture 1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7"/>
                    <pic:cNvPicPr>
                      <a:picLocks noChangeAspect="1" noChangeArrowheads="1"/>
                    </pic:cNvPicPr>
                  </pic:nvPicPr>
                  <pic:blipFill>
                    <a:blip r:embed="rId14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-1584960</wp:posOffset>
            </wp:positionV>
            <wp:extent cx="8890" cy="8255"/>
            <wp:wrapNone/>
            <wp:docPr id="1418" name="Picture 1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8"/>
                    <pic:cNvPicPr>
                      <a:picLocks noChangeAspect="1" noChangeArrowheads="1"/>
                    </pic:cNvPicPr>
                  </pic:nvPicPr>
                  <pic:blipFill>
                    <a:blip r:embed="rId14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-1567815</wp:posOffset>
            </wp:positionV>
            <wp:extent cx="8890" cy="8890"/>
            <wp:wrapNone/>
            <wp:docPr id="1419" name="Picture 1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9"/>
                    <pic:cNvPicPr>
                      <a:picLocks noChangeAspect="1" noChangeArrowheads="1"/>
                    </pic:cNvPicPr>
                  </pic:nvPicPr>
                  <pic:blipFill>
                    <a:blip r:embed="rId14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-1550670</wp:posOffset>
            </wp:positionV>
            <wp:extent cx="8890" cy="8890"/>
            <wp:wrapNone/>
            <wp:docPr id="1420" name="Picture 1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0"/>
                    <pic:cNvPicPr>
                      <a:picLocks noChangeAspect="1" noChangeArrowheads="1"/>
                    </pic:cNvPicPr>
                  </pic:nvPicPr>
                  <pic:blipFill>
                    <a:blip r:embed="rId14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-1533525</wp:posOffset>
            </wp:positionV>
            <wp:extent cx="8890" cy="25400"/>
            <wp:wrapNone/>
            <wp:docPr id="1421" name="Picture 1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1"/>
                    <pic:cNvPicPr>
                      <a:picLocks noChangeAspect="1" noChangeArrowheads="1"/>
                    </pic:cNvPicPr>
                  </pic:nvPicPr>
                  <pic:blipFill>
                    <a:blip r:embed="rId1428">
                      <a:extLst>
                        <a:ext uri="{28A0092B-C50C-407E-A947-70E740481C1C}"/>
                      </a:extLst>
                    </a:blip>
                    <a:srcRect/>
                    <a:stretch>
                      <a:fillRect/>
                    </a:stretch>
                  </pic:blipFill>
                  <pic:spPr bwMode="auto">
                    <a:xfrm>
                      <a:off x="0" y="0"/>
                      <a:ext cx="8890" cy="2540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-2013585</wp:posOffset>
            </wp:positionV>
            <wp:extent cx="8255" cy="8255"/>
            <wp:wrapNone/>
            <wp:docPr id="1422" name="Picture 1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2"/>
                    <pic:cNvPicPr>
                      <a:picLocks noChangeAspect="1" noChangeArrowheads="1"/>
                    </pic:cNvPicPr>
                  </pic:nvPicPr>
                  <pic:blipFill>
                    <a:blip r:embed="rId14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-1996440</wp:posOffset>
            </wp:positionV>
            <wp:extent cx="8255" cy="8890"/>
            <wp:wrapNone/>
            <wp:docPr id="1423" name="Picture 1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3"/>
                    <pic:cNvPicPr>
                      <a:picLocks noChangeAspect="1" noChangeArrowheads="1"/>
                    </pic:cNvPicPr>
                  </pic:nvPicPr>
                  <pic:blipFill>
                    <a:blip r:embed="rId14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-1979295</wp:posOffset>
            </wp:positionV>
            <wp:extent cx="8255" cy="8890"/>
            <wp:wrapNone/>
            <wp:docPr id="1424" name="Picture 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4"/>
                    <pic:cNvPicPr>
                      <a:picLocks noChangeAspect="1" noChangeArrowheads="1"/>
                    </pic:cNvPicPr>
                  </pic:nvPicPr>
                  <pic:blipFill>
                    <a:blip r:embed="rId14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-1962150</wp:posOffset>
            </wp:positionV>
            <wp:extent cx="8255" cy="8255"/>
            <wp:wrapNone/>
            <wp:docPr id="1425" name="Picture 1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5"/>
                    <pic:cNvPicPr>
                      <a:picLocks noChangeAspect="1" noChangeArrowheads="1"/>
                    </pic:cNvPicPr>
                  </pic:nvPicPr>
                  <pic:blipFill>
                    <a:blip r:embed="rId14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-1945005</wp:posOffset>
            </wp:positionV>
            <wp:extent cx="8255" cy="8255"/>
            <wp:wrapNone/>
            <wp:docPr id="1426" name="Picture 1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6"/>
                    <pic:cNvPicPr>
                      <a:picLocks noChangeAspect="1" noChangeArrowheads="1"/>
                    </pic:cNvPicPr>
                  </pic:nvPicPr>
                  <pic:blipFill>
                    <a:blip r:embed="rId14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-1927860</wp:posOffset>
            </wp:positionV>
            <wp:extent cx="8255" cy="8255"/>
            <wp:wrapNone/>
            <wp:docPr id="1427" name="Picture 1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7"/>
                    <pic:cNvPicPr>
                      <a:picLocks noChangeAspect="1" noChangeArrowheads="1"/>
                    </pic:cNvPicPr>
                  </pic:nvPicPr>
                  <pic:blipFill>
                    <a:blip r:embed="rId14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-1910715</wp:posOffset>
            </wp:positionV>
            <wp:extent cx="8255" cy="8890"/>
            <wp:wrapNone/>
            <wp:docPr id="1428" name="Picture 1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8"/>
                    <pic:cNvPicPr>
                      <a:picLocks noChangeAspect="1" noChangeArrowheads="1"/>
                    </pic:cNvPicPr>
                  </pic:nvPicPr>
                  <pic:blipFill>
                    <a:blip r:embed="rId143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-1893570</wp:posOffset>
            </wp:positionV>
            <wp:extent cx="8255" cy="8890"/>
            <wp:wrapNone/>
            <wp:docPr id="1429" name="Picture 1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9"/>
                    <pic:cNvPicPr>
                      <a:picLocks noChangeAspect="1" noChangeArrowheads="1"/>
                    </pic:cNvPicPr>
                  </pic:nvPicPr>
                  <pic:blipFill>
                    <a:blip r:embed="rId14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-1876425</wp:posOffset>
            </wp:positionV>
            <wp:extent cx="8255" cy="8255"/>
            <wp:wrapNone/>
            <wp:docPr id="1430" name="Picture 1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0"/>
                    <pic:cNvPicPr>
                      <a:picLocks noChangeAspect="1" noChangeArrowheads="1"/>
                    </pic:cNvPicPr>
                  </pic:nvPicPr>
                  <pic:blipFill>
                    <a:blip r:embed="rId14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-1859280</wp:posOffset>
            </wp:positionV>
            <wp:extent cx="8255" cy="8255"/>
            <wp:wrapNone/>
            <wp:docPr id="1431" name="Picture 1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1"/>
                    <pic:cNvPicPr>
                      <a:picLocks noChangeAspect="1" noChangeArrowheads="1"/>
                    </pic:cNvPicPr>
                  </pic:nvPicPr>
                  <pic:blipFill>
                    <a:blip r:embed="rId14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-1842135</wp:posOffset>
            </wp:positionV>
            <wp:extent cx="8255" cy="8255"/>
            <wp:wrapNone/>
            <wp:docPr id="1432" name="Picture 1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2"/>
                    <pic:cNvPicPr>
                      <a:picLocks noChangeAspect="1" noChangeArrowheads="1"/>
                    </pic:cNvPicPr>
                  </pic:nvPicPr>
                  <pic:blipFill>
                    <a:blip r:embed="rId14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-1824990</wp:posOffset>
            </wp:positionV>
            <wp:extent cx="8255" cy="8890"/>
            <wp:wrapNone/>
            <wp:docPr id="1433" name="Picture 1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3"/>
                    <pic:cNvPicPr>
                      <a:picLocks noChangeAspect="1" noChangeArrowheads="1"/>
                    </pic:cNvPicPr>
                  </pic:nvPicPr>
                  <pic:blipFill>
                    <a:blip r:embed="rId14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-1807845</wp:posOffset>
            </wp:positionV>
            <wp:extent cx="8255" cy="8890"/>
            <wp:wrapNone/>
            <wp:docPr id="1434" name="Picture 1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4"/>
                    <pic:cNvPicPr>
                      <a:picLocks noChangeAspect="1" noChangeArrowheads="1"/>
                    </pic:cNvPicPr>
                  </pic:nvPicPr>
                  <pic:blipFill>
                    <a:blip r:embed="rId144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-1790700</wp:posOffset>
            </wp:positionV>
            <wp:extent cx="8255" cy="25400"/>
            <wp:wrapNone/>
            <wp:docPr id="1435" name="Picture 1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5"/>
                    <pic:cNvPicPr>
                      <a:picLocks noChangeAspect="1" noChangeArrowheads="1"/>
                    </pic:cNvPicPr>
                  </pic:nvPicPr>
                  <pic:blipFill>
                    <a:blip r:embed="rId1442">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-2013585</wp:posOffset>
            </wp:positionV>
            <wp:extent cx="8255" cy="8255"/>
            <wp:wrapNone/>
            <wp:docPr id="1436" name="Picture 1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6"/>
                    <pic:cNvPicPr>
                      <a:picLocks noChangeAspect="1" noChangeArrowheads="1"/>
                    </pic:cNvPicPr>
                  </pic:nvPicPr>
                  <pic:blipFill>
                    <a:blip r:embed="rId14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-1996440</wp:posOffset>
            </wp:positionV>
            <wp:extent cx="8255" cy="8890"/>
            <wp:wrapNone/>
            <wp:docPr id="1437" name="Picture 1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7"/>
                    <pic:cNvPicPr>
                      <a:picLocks noChangeAspect="1" noChangeArrowheads="1"/>
                    </pic:cNvPicPr>
                  </pic:nvPicPr>
                  <pic:blipFill>
                    <a:blip r:embed="rId144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-1979295</wp:posOffset>
            </wp:positionV>
            <wp:extent cx="8255" cy="8890"/>
            <wp:wrapNone/>
            <wp:docPr id="1438" name="Picture 1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8"/>
                    <pic:cNvPicPr>
                      <a:picLocks noChangeAspect="1" noChangeArrowheads="1"/>
                    </pic:cNvPicPr>
                  </pic:nvPicPr>
                  <pic:blipFill>
                    <a:blip r:embed="rId144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-1962150</wp:posOffset>
            </wp:positionV>
            <wp:extent cx="8255" cy="8255"/>
            <wp:wrapNone/>
            <wp:docPr id="1439" name="Picture 1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9"/>
                    <pic:cNvPicPr>
                      <a:picLocks noChangeAspect="1" noChangeArrowheads="1"/>
                    </pic:cNvPicPr>
                  </pic:nvPicPr>
                  <pic:blipFill>
                    <a:blip r:embed="rId14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-1945005</wp:posOffset>
            </wp:positionV>
            <wp:extent cx="8255" cy="8255"/>
            <wp:wrapNone/>
            <wp:docPr id="1440" name="Picture 1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0"/>
                    <pic:cNvPicPr>
                      <a:picLocks noChangeAspect="1" noChangeArrowheads="1"/>
                    </pic:cNvPicPr>
                  </pic:nvPicPr>
                  <pic:blipFill>
                    <a:blip r:embed="rId14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-1927860</wp:posOffset>
            </wp:positionV>
            <wp:extent cx="8255" cy="8255"/>
            <wp:wrapNone/>
            <wp:docPr id="1441" name="Picture 1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1"/>
                    <pic:cNvPicPr>
                      <a:picLocks noChangeAspect="1" noChangeArrowheads="1"/>
                    </pic:cNvPicPr>
                  </pic:nvPicPr>
                  <pic:blipFill>
                    <a:blip r:embed="rId14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-1910715</wp:posOffset>
            </wp:positionV>
            <wp:extent cx="8255" cy="8890"/>
            <wp:wrapNone/>
            <wp:docPr id="1442" name="Picture 1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2"/>
                    <pic:cNvPicPr>
                      <a:picLocks noChangeAspect="1" noChangeArrowheads="1"/>
                    </pic:cNvPicPr>
                  </pic:nvPicPr>
                  <pic:blipFill>
                    <a:blip r:embed="rId144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-1893570</wp:posOffset>
            </wp:positionV>
            <wp:extent cx="8255" cy="8890"/>
            <wp:wrapNone/>
            <wp:docPr id="1443" name="Picture 1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3"/>
                    <pic:cNvPicPr>
                      <a:picLocks noChangeAspect="1" noChangeArrowheads="1"/>
                    </pic:cNvPicPr>
                  </pic:nvPicPr>
                  <pic:blipFill>
                    <a:blip r:embed="rId145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-1876425</wp:posOffset>
            </wp:positionV>
            <wp:extent cx="8255" cy="8255"/>
            <wp:wrapNone/>
            <wp:docPr id="1444" name="Picture 1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4"/>
                    <pic:cNvPicPr>
                      <a:picLocks noChangeAspect="1" noChangeArrowheads="1"/>
                    </pic:cNvPicPr>
                  </pic:nvPicPr>
                  <pic:blipFill>
                    <a:blip r:embed="rId14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-1859280</wp:posOffset>
            </wp:positionV>
            <wp:extent cx="8255" cy="8255"/>
            <wp:wrapNone/>
            <wp:docPr id="1445" name="Picture 1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5"/>
                    <pic:cNvPicPr>
                      <a:picLocks noChangeAspect="1" noChangeArrowheads="1"/>
                    </pic:cNvPicPr>
                  </pic:nvPicPr>
                  <pic:blipFill>
                    <a:blip r:embed="rId14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-1842135</wp:posOffset>
            </wp:positionV>
            <wp:extent cx="8255" cy="8255"/>
            <wp:wrapNone/>
            <wp:docPr id="1446" name="Picture 1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6"/>
                    <pic:cNvPicPr>
                      <a:picLocks noChangeAspect="1" noChangeArrowheads="1"/>
                    </pic:cNvPicPr>
                  </pic:nvPicPr>
                  <pic:blipFill>
                    <a:blip r:embed="rId14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-1824990</wp:posOffset>
            </wp:positionV>
            <wp:extent cx="8255" cy="8890"/>
            <wp:wrapNone/>
            <wp:docPr id="1447" name="Picture 1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7"/>
                    <pic:cNvPicPr>
                      <a:picLocks noChangeAspect="1" noChangeArrowheads="1"/>
                    </pic:cNvPicPr>
                  </pic:nvPicPr>
                  <pic:blipFill>
                    <a:blip r:embed="rId145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-1807845</wp:posOffset>
            </wp:positionV>
            <wp:extent cx="8255" cy="8890"/>
            <wp:wrapNone/>
            <wp:docPr id="1448" name="Picture 1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8"/>
                    <pic:cNvPicPr>
                      <a:picLocks noChangeAspect="1" noChangeArrowheads="1"/>
                    </pic:cNvPicPr>
                  </pic:nvPicPr>
                  <pic:blipFill>
                    <a:blip r:embed="rId145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-1790700</wp:posOffset>
            </wp:positionV>
            <wp:extent cx="8255" cy="25400"/>
            <wp:wrapNone/>
            <wp:docPr id="1449" name="Picture 1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9"/>
                    <pic:cNvPicPr>
                      <a:picLocks noChangeAspect="1" noChangeArrowheads="1"/>
                    </pic:cNvPicPr>
                  </pic:nvPicPr>
                  <pic:blipFill>
                    <a:blip r:embed="rId1456">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-2013585</wp:posOffset>
            </wp:positionV>
            <wp:extent cx="8890" cy="8255"/>
            <wp:wrapNone/>
            <wp:docPr id="1450" name="Picture 1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0"/>
                    <pic:cNvPicPr>
                      <a:picLocks noChangeAspect="1" noChangeArrowheads="1"/>
                    </pic:cNvPicPr>
                  </pic:nvPicPr>
                  <pic:blipFill>
                    <a:blip r:embed="rId14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-1996440</wp:posOffset>
            </wp:positionV>
            <wp:extent cx="8890" cy="8890"/>
            <wp:wrapNone/>
            <wp:docPr id="1451" name="Picture 1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1"/>
                    <pic:cNvPicPr>
                      <a:picLocks noChangeAspect="1" noChangeArrowheads="1"/>
                    </pic:cNvPicPr>
                  </pic:nvPicPr>
                  <pic:blipFill>
                    <a:blip r:embed="rId14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-1979295</wp:posOffset>
            </wp:positionV>
            <wp:extent cx="8890" cy="8890"/>
            <wp:wrapNone/>
            <wp:docPr id="1452" name="Picture 1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2"/>
                    <pic:cNvPicPr>
                      <a:picLocks noChangeAspect="1" noChangeArrowheads="1"/>
                    </pic:cNvPicPr>
                  </pic:nvPicPr>
                  <pic:blipFill>
                    <a:blip r:embed="rId14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-1962150</wp:posOffset>
            </wp:positionV>
            <wp:extent cx="8890" cy="8255"/>
            <wp:wrapNone/>
            <wp:docPr id="1453" name="Picture 1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3"/>
                    <pic:cNvPicPr>
                      <a:picLocks noChangeAspect="1" noChangeArrowheads="1"/>
                    </pic:cNvPicPr>
                  </pic:nvPicPr>
                  <pic:blipFill>
                    <a:blip r:embed="rId14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-1945005</wp:posOffset>
            </wp:positionV>
            <wp:extent cx="8890" cy="8255"/>
            <wp:wrapNone/>
            <wp:docPr id="1454" name="Picture 1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4"/>
                    <pic:cNvPicPr>
                      <a:picLocks noChangeAspect="1" noChangeArrowheads="1"/>
                    </pic:cNvPicPr>
                  </pic:nvPicPr>
                  <pic:blipFill>
                    <a:blip r:embed="rId14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-1927860</wp:posOffset>
            </wp:positionV>
            <wp:extent cx="8890" cy="8255"/>
            <wp:wrapNone/>
            <wp:docPr id="1455" name="Picture 1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5"/>
                    <pic:cNvPicPr>
                      <a:picLocks noChangeAspect="1" noChangeArrowheads="1"/>
                    </pic:cNvPicPr>
                  </pic:nvPicPr>
                  <pic:blipFill>
                    <a:blip r:embed="rId14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-1910715</wp:posOffset>
            </wp:positionV>
            <wp:extent cx="8890" cy="8890"/>
            <wp:wrapNone/>
            <wp:docPr id="1456" name="Picture 1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6"/>
                    <pic:cNvPicPr>
                      <a:picLocks noChangeAspect="1" noChangeArrowheads="1"/>
                    </pic:cNvPicPr>
                  </pic:nvPicPr>
                  <pic:blipFill>
                    <a:blip r:embed="rId14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-1893570</wp:posOffset>
            </wp:positionV>
            <wp:extent cx="8890" cy="8890"/>
            <wp:wrapNone/>
            <wp:docPr id="1457" name="Picture 1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7"/>
                    <pic:cNvPicPr>
                      <a:picLocks noChangeAspect="1" noChangeArrowheads="1"/>
                    </pic:cNvPicPr>
                  </pic:nvPicPr>
                  <pic:blipFill>
                    <a:blip r:embed="rId14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-1876425</wp:posOffset>
            </wp:positionV>
            <wp:extent cx="8890" cy="8255"/>
            <wp:wrapNone/>
            <wp:docPr id="1458" name="Picture 1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8"/>
                    <pic:cNvPicPr>
                      <a:picLocks noChangeAspect="1" noChangeArrowheads="1"/>
                    </pic:cNvPicPr>
                  </pic:nvPicPr>
                  <pic:blipFill>
                    <a:blip r:embed="rId14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-1859280</wp:posOffset>
            </wp:positionV>
            <wp:extent cx="8890" cy="8255"/>
            <wp:wrapNone/>
            <wp:docPr id="1459" name="Picture 1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9"/>
                    <pic:cNvPicPr>
                      <a:picLocks noChangeAspect="1" noChangeArrowheads="1"/>
                    </pic:cNvPicPr>
                  </pic:nvPicPr>
                  <pic:blipFill>
                    <a:blip r:embed="rId14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-1842135</wp:posOffset>
            </wp:positionV>
            <wp:extent cx="8890" cy="8255"/>
            <wp:wrapNone/>
            <wp:docPr id="1460" name="Picture 1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0"/>
                    <pic:cNvPicPr>
                      <a:picLocks noChangeAspect="1" noChangeArrowheads="1"/>
                    </pic:cNvPicPr>
                  </pic:nvPicPr>
                  <pic:blipFill>
                    <a:blip r:embed="rId14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-1824990</wp:posOffset>
            </wp:positionV>
            <wp:extent cx="8890" cy="8890"/>
            <wp:wrapNone/>
            <wp:docPr id="1461" name="Picture 1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1"/>
                    <pic:cNvPicPr>
                      <a:picLocks noChangeAspect="1" noChangeArrowheads="1"/>
                    </pic:cNvPicPr>
                  </pic:nvPicPr>
                  <pic:blipFill>
                    <a:blip r:embed="rId14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-1807845</wp:posOffset>
            </wp:positionV>
            <wp:extent cx="8890" cy="8890"/>
            <wp:wrapNone/>
            <wp:docPr id="1462" name="Picture 1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2"/>
                    <pic:cNvPicPr>
                      <a:picLocks noChangeAspect="1" noChangeArrowheads="1"/>
                    </pic:cNvPicPr>
                  </pic:nvPicPr>
                  <pic:blipFill>
                    <a:blip r:embed="rId14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-1790700</wp:posOffset>
            </wp:positionV>
            <wp:extent cx="8890" cy="25400"/>
            <wp:wrapNone/>
            <wp:docPr id="1463" name="Picture 1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3"/>
                    <pic:cNvPicPr>
                      <a:picLocks noChangeAspect="1" noChangeArrowheads="1"/>
                    </pic:cNvPicPr>
                  </pic:nvPicPr>
                  <pic:blipFill>
                    <a:blip r:embed="rId1470">
                      <a:extLst>
                        <a:ext uri="{28A0092B-C50C-407E-A947-70E740481C1C}"/>
                      </a:extLst>
                    </a:blip>
                    <a:srcRect/>
                    <a:stretch>
                      <a:fillRect/>
                    </a:stretch>
                  </pic:blipFill>
                  <pic:spPr bwMode="auto">
                    <a:xfrm>
                      <a:off x="0" y="0"/>
                      <a:ext cx="8890" cy="2540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-2270760</wp:posOffset>
            </wp:positionV>
            <wp:extent cx="8255" cy="8255"/>
            <wp:wrapNone/>
            <wp:docPr id="1464" name="Picture 1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4"/>
                    <pic:cNvPicPr>
                      <a:picLocks noChangeAspect="1" noChangeArrowheads="1"/>
                    </pic:cNvPicPr>
                  </pic:nvPicPr>
                  <pic:blipFill>
                    <a:blip r:embed="rId14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-2253615</wp:posOffset>
            </wp:positionV>
            <wp:extent cx="8255" cy="8255"/>
            <wp:wrapNone/>
            <wp:docPr id="1465" name="Picture 1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5"/>
                    <pic:cNvPicPr>
                      <a:picLocks noChangeAspect="1" noChangeArrowheads="1"/>
                    </pic:cNvPicPr>
                  </pic:nvPicPr>
                  <pic:blipFill>
                    <a:blip r:embed="rId14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-2236470</wp:posOffset>
            </wp:positionV>
            <wp:extent cx="8255" cy="8890"/>
            <wp:wrapNone/>
            <wp:docPr id="1466" name="Picture 1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6"/>
                    <pic:cNvPicPr>
                      <a:picLocks noChangeAspect="1" noChangeArrowheads="1"/>
                    </pic:cNvPicPr>
                  </pic:nvPicPr>
                  <pic:blipFill>
                    <a:blip r:embed="rId147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-2219325</wp:posOffset>
            </wp:positionV>
            <wp:extent cx="8255" cy="8890"/>
            <wp:wrapNone/>
            <wp:docPr id="1467" name="Picture 1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7"/>
                    <pic:cNvPicPr>
                      <a:picLocks noChangeAspect="1" noChangeArrowheads="1"/>
                    </pic:cNvPicPr>
                  </pic:nvPicPr>
                  <pic:blipFill>
                    <a:blip r:embed="rId147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-2202180</wp:posOffset>
            </wp:positionV>
            <wp:extent cx="8255" cy="8255"/>
            <wp:wrapNone/>
            <wp:docPr id="1468" name="Picture 1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8"/>
                    <pic:cNvPicPr>
                      <a:picLocks noChangeAspect="1" noChangeArrowheads="1"/>
                    </pic:cNvPicPr>
                  </pic:nvPicPr>
                  <pic:blipFill>
                    <a:blip r:embed="rId14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-2185035</wp:posOffset>
            </wp:positionV>
            <wp:extent cx="8255" cy="8255"/>
            <wp:wrapNone/>
            <wp:docPr id="1469" name="Picture 1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9"/>
                    <pic:cNvPicPr>
                      <a:picLocks noChangeAspect="1" noChangeArrowheads="1"/>
                    </pic:cNvPicPr>
                  </pic:nvPicPr>
                  <pic:blipFill>
                    <a:blip r:embed="rId14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-2167890</wp:posOffset>
            </wp:positionV>
            <wp:extent cx="8255" cy="8255"/>
            <wp:wrapNone/>
            <wp:docPr id="1470" name="Picture 1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0"/>
                    <pic:cNvPicPr>
                      <a:picLocks noChangeAspect="1" noChangeArrowheads="1"/>
                    </pic:cNvPicPr>
                  </pic:nvPicPr>
                  <pic:blipFill>
                    <a:blip r:embed="rId14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-2150745</wp:posOffset>
            </wp:positionV>
            <wp:extent cx="8255" cy="8890"/>
            <wp:wrapNone/>
            <wp:docPr id="1471" name="Picture 1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1"/>
                    <pic:cNvPicPr>
                      <a:picLocks noChangeAspect="1" noChangeArrowheads="1"/>
                    </pic:cNvPicPr>
                  </pic:nvPicPr>
                  <pic:blipFill>
                    <a:blip r:embed="rId14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-2133600</wp:posOffset>
            </wp:positionV>
            <wp:extent cx="8255" cy="8255"/>
            <wp:wrapNone/>
            <wp:docPr id="1472" name="Picture 1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2"/>
                    <pic:cNvPicPr>
                      <a:picLocks noChangeAspect="1" noChangeArrowheads="1"/>
                    </pic:cNvPicPr>
                  </pic:nvPicPr>
                  <pic:blipFill>
                    <a:blip r:embed="rId14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-2116455</wp:posOffset>
            </wp:positionV>
            <wp:extent cx="8255" cy="8255"/>
            <wp:wrapNone/>
            <wp:docPr id="1473" name="Picture 1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3"/>
                    <pic:cNvPicPr>
                      <a:picLocks noChangeAspect="1" noChangeArrowheads="1"/>
                    </pic:cNvPicPr>
                  </pic:nvPicPr>
                  <pic:blipFill>
                    <a:blip r:embed="rId14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-2099310</wp:posOffset>
            </wp:positionV>
            <wp:extent cx="8255" cy="8255"/>
            <wp:wrapNone/>
            <wp:docPr id="1474" name="Picture 1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4"/>
                    <pic:cNvPicPr>
                      <a:picLocks noChangeAspect="1" noChangeArrowheads="1"/>
                    </pic:cNvPicPr>
                  </pic:nvPicPr>
                  <pic:blipFill>
                    <a:blip r:embed="rId14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-2082165</wp:posOffset>
            </wp:positionV>
            <wp:extent cx="8255" cy="8890"/>
            <wp:wrapNone/>
            <wp:docPr id="1475" name="Picture 1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5"/>
                    <pic:cNvPicPr>
                      <a:picLocks noChangeAspect="1" noChangeArrowheads="1"/>
                    </pic:cNvPicPr>
                  </pic:nvPicPr>
                  <pic:blipFill>
                    <a:blip r:embed="rId148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-2065020</wp:posOffset>
            </wp:positionV>
            <wp:extent cx="8255" cy="8890"/>
            <wp:wrapNone/>
            <wp:docPr id="1476" name="Picture 1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6"/>
                    <pic:cNvPicPr>
                      <a:picLocks noChangeAspect="1" noChangeArrowheads="1"/>
                    </pic:cNvPicPr>
                  </pic:nvPicPr>
                  <pic:blipFill>
                    <a:blip r:embed="rId148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-2047875</wp:posOffset>
            </wp:positionV>
            <wp:extent cx="8255" cy="25400"/>
            <wp:wrapNone/>
            <wp:docPr id="1477" name="Picture 1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7"/>
                    <pic:cNvPicPr>
                      <a:picLocks noChangeAspect="1" noChangeArrowheads="1"/>
                    </pic:cNvPicPr>
                  </pic:nvPicPr>
                  <pic:blipFill>
                    <a:blip r:embed="rId1484">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-2270760</wp:posOffset>
            </wp:positionV>
            <wp:extent cx="8255" cy="8255"/>
            <wp:wrapNone/>
            <wp:docPr id="1478" name="Picture 1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8"/>
                    <pic:cNvPicPr>
                      <a:picLocks noChangeAspect="1" noChangeArrowheads="1"/>
                    </pic:cNvPicPr>
                  </pic:nvPicPr>
                  <pic:blipFill>
                    <a:blip r:embed="rId14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-2253615</wp:posOffset>
            </wp:positionV>
            <wp:extent cx="8255" cy="8255"/>
            <wp:wrapNone/>
            <wp:docPr id="1479" name="Picture 1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9"/>
                    <pic:cNvPicPr>
                      <a:picLocks noChangeAspect="1" noChangeArrowheads="1"/>
                    </pic:cNvPicPr>
                  </pic:nvPicPr>
                  <pic:blipFill>
                    <a:blip r:embed="rId14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-2236470</wp:posOffset>
            </wp:positionV>
            <wp:extent cx="8255" cy="8890"/>
            <wp:wrapNone/>
            <wp:docPr id="1480" name="Picture 1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0"/>
                    <pic:cNvPicPr>
                      <a:picLocks noChangeAspect="1" noChangeArrowheads="1"/>
                    </pic:cNvPicPr>
                  </pic:nvPicPr>
                  <pic:blipFill>
                    <a:blip r:embed="rId148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-2219325</wp:posOffset>
            </wp:positionV>
            <wp:extent cx="8255" cy="8890"/>
            <wp:wrapNone/>
            <wp:docPr id="1481" name="Picture 1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1"/>
                    <pic:cNvPicPr>
                      <a:picLocks noChangeAspect="1" noChangeArrowheads="1"/>
                    </pic:cNvPicPr>
                  </pic:nvPicPr>
                  <pic:blipFill>
                    <a:blip r:embed="rId148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-2202180</wp:posOffset>
            </wp:positionV>
            <wp:extent cx="8255" cy="8255"/>
            <wp:wrapNone/>
            <wp:docPr id="1482" name="Picture 1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2"/>
                    <pic:cNvPicPr>
                      <a:picLocks noChangeAspect="1" noChangeArrowheads="1"/>
                    </pic:cNvPicPr>
                  </pic:nvPicPr>
                  <pic:blipFill>
                    <a:blip r:embed="rId14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-2185035</wp:posOffset>
            </wp:positionV>
            <wp:extent cx="8255" cy="8255"/>
            <wp:wrapNone/>
            <wp:docPr id="1483" name="Picture 1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3"/>
                    <pic:cNvPicPr>
                      <a:picLocks noChangeAspect="1" noChangeArrowheads="1"/>
                    </pic:cNvPicPr>
                  </pic:nvPicPr>
                  <pic:blipFill>
                    <a:blip r:embed="rId14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-2167890</wp:posOffset>
            </wp:positionV>
            <wp:extent cx="8255" cy="8255"/>
            <wp:wrapNone/>
            <wp:docPr id="1484" name="Picture 1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4"/>
                    <pic:cNvPicPr>
                      <a:picLocks noChangeAspect="1" noChangeArrowheads="1"/>
                    </pic:cNvPicPr>
                  </pic:nvPicPr>
                  <pic:blipFill>
                    <a:blip r:embed="rId14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-2150745</wp:posOffset>
            </wp:positionV>
            <wp:extent cx="8255" cy="8890"/>
            <wp:wrapNone/>
            <wp:docPr id="1485" name="Picture 1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5"/>
                    <pic:cNvPicPr>
                      <a:picLocks noChangeAspect="1" noChangeArrowheads="1"/>
                    </pic:cNvPicPr>
                  </pic:nvPicPr>
                  <pic:blipFill>
                    <a:blip r:embed="rId149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-2133600</wp:posOffset>
            </wp:positionV>
            <wp:extent cx="8255" cy="8255"/>
            <wp:wrapNone/>
            <wp:docPr id="1486" name="Picture 1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6"/>
                    <pic:cNvPicPr>
                      <a:picLocks noChangeAspect="1" noChangeArrowheads="1"/>
                    </pic:cNvPicPr>
                  </pic:nvPicPr>
                  <pic:blipFill>
                    <a:blip r:embed="rId14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-2116455</wp:posOffset>
            </wp:positionV>
            <wp:extent cx="8255" cy="8255"/>
            <wp:wrapNone/>
            <wp:docPr id="1487" name="Picture 1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7"/>
                    <pic:cNvPicPr>
                      <a:picLocks noChangeAspect="1" noChangeArrowheads="1"/>
                    </pic:cNvPicPr>
                  </pic:nvPicPr>
                  <pic:blipFill>
                    <a:blip r:embed="rId14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-2099310</wp:posOffset>
            </wp:positionV>
            <wp:extent cx="8255" cy="8255"/>
            <wp:wrapNone/>
            <wp:docPr id="1488" name="Picture 1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8"/>
                    <pic:cNvPicPr>
                      <a:picLocks noChangeAspect="1" noChangeArrowheads="1"/>
                    </pic:cNvPicPr>
                  </pic:nvPicPr>
                  <pic:blipFill>
                    <a:blip r:embed="rId14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-2082165</wp:posOffset>
            </wp:positionV>
            <wp:extent cx="8255" cy="8890"/>
            <wp:wrapNone/>
            <wp:docPr id="1489" name="Picture 1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9"/>
                    <pic:cNvPicPr>
                      <a:picLocks noChangeAspect="1" noChangeArrowheads="1"/>
                    </pic:cNvPicPr>
                  </pic:nvPicPr>
                  <pic:blipFill>
                    <a:blip r:embed="rId149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-2065020</wp:posOffset>
            </wp:positionV>
            <wp:extent cx="8255" cy="8890"/>
            <wp:wrapNone/>
            <wp:docPr id="1490" name="Picture 1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0"/>
                    <pic:cNvPicPr>
                      <a:picLocks noChangeAspect="1" noChangeArrowheads="1"/>
                    </pic:cNvPicPr>
                  </pic:nvPicPr>
                  <pic:blipFill>
                    <a:blip r:embed="rId149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-2047875</wp:posOffset>
            </wp:positionV>
            <wp:extent cx="8255" cy="25400"/>
            <wp:wrapNone/>
            <wp:docPr id="1491" name="Picture 1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1"/>
                    <pic:cNvPicPr>
                      <a:picLocks noChangeAspect="1" noChangeArrowheads="1"/>
                    </pic:cNvPicPr>
                  </pic:nvPicPr>
                  <pic:blipFill>
                    <a:blip r:embed="rId1498">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-2270760</wp:posOffset>
            </wp:positionV>
            <wp:extent cx="8890" cy="8255"/>
            <wp:wrapNone/>
            <wp:docPr id="1492" name="Picture 1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2"/>
                    <pic:cNvPicPr>
                      <a:picLocks noChangeAspect="1" noChangeArrowheads="1"/>
                    </pic:cNvPicPr>
                  </pic:nvPicPr>
                  <pic:blipFill>
                    <a:blip r:embed="rId14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-2253615</wp:posOffset>
            </wp:positionV>
            <wp:extent cx="8890" cy="8255"/>
            <wp:wrapNone/>
            <wp:docPr id="1493" name="Picture 1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3"/>
                    <pic:cNvPicPr>
                      <a:picLocks noChangeAspect="1" noChangeArrowheads="1"/>
                    </pic:cNvPicPr>
                  </pic:nvPicPr>
                  <pic:blipFill>
                    <a:blip r:embed="rId15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-2236470</wp:posOffset>
            </wp:positionV>
            <wp:extent cx="8890" cy="8890"/>
            <wp:wrapNone/>
            <wp:docPr id="1494" name="Picture 1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4"/>
                    <pic:cNvPicPr>
                      <a:picLocks noChangeAspect="1" noChangeArrowheads="1"/>
                    </pic:cNvPicPr>
                  </pic:nvPicPr>
                  <pic:blipFill>
                    <a:blip r:embed="rId15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-2219325</wp:posOffset>
            </wp:positionV>
            <wp:extent cx="8890" cy="8890"/>
            <wp:wrapNone/>
            <wp:docPr id="1495" name="Picture 1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5"/>
                    <pic:cNvPicPr>
                      <a:picLocks noChangeAspect="1" noChangeArrowheads="1"/>
                    </pic:cNvPicPr>
                  </pic:nvPicPr>
                  <pic:blipFill>
                    <a:blip r:embed="rId15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-2202180</wp:posOffset>
            </wp:positionV>
            <wp:extent cx="8890" cy="8255"/>
            <wp:wrapNone/>
            <wp:docPr id="1496" name="Picture 1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6"/>
                    <pic:cNvPicPr>
                      <a:picLocks noChangeAspect="1" noChangeArrowheads="1"/>
                    </pic:cNvPicPr>
                  </pic:nvPicPr>
                  <pic:blipFill>
                    <a:blip r:embed="rId15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-2185035</wp:posOffset>
            </wp:positionV>
            <wp:extent cx="8890" cy="8255"/>
            <wp:wrapNone/>
            <wp:docPr id="1497" name="Picture 1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7"/>
                    <pic:cNvPicPr>
                      <a:picLocks noChangeAspect="1" noChangeArrowheads="1"/>
                    </pic:cNvPicPr>
                  </pic:nvPicPr>
                  <pic:blipFill>
                    <a:blip r:embed="rId15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-2167890</wp:posOffset>
            </wp:positionV>
            <wp:extent cx="8890" cy="8255"/>
            <wp:wrapNone/>
            <wp:docPr id="1498" name="Picture 1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8"/>
                    <pic:cNvPicPr>
                      <a:picLocks noChangeAspect="1" noChangeArrowheads="1"/>
                    </pic:cNvPicPr>
                  </pic:nvPicPr>
                  <pic:blipFill>
                    <a:blip r:embed="rId15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-2150745</wp:posOffset>
            </wp:positionV>
            <wp:extent cx="8890" cy="8890"/>
            <wp:wrapNone/>
            <wp:docPr id="1499" name="Picture 1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9"/>
                    <pic:cNvPicPr>
                      <a:picLocks noChangeAspect="1" noChangeArrowheads="1"/>
                    </pic:cNvPicPr>
                  </pic:nvPicPr>
                  <pic:blipFill>
                    <a:blip r:embed="rId15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-2133600</wp:posOffset>
            </wp:positionV>
            <wp:extent cx="8890" cy="8255"/>
            <wp:wrapNone/>
            <wp:docPr id="1500" name="Picture 1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0"/>
                    <pic:cNvPicPr>
                      <a:picLocks noChangeAspect="1" noChangeArrowheads="1"/>
                    </pic:cNvPicPr>
                  </pic:nvPicPr>
                  <pic:blipFill>
                    <a:blip r:embed="rId15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-2116455</wp:posOffset>
            </wp:positionV>
            <wp:extent cx="8890" cy="8255"/>
            <wp:wrapNone/>
            <wp:docPr id="1501" name="Picture 1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1"/>
                    <pic:cNvPicPr>
                      <a:picLocks noChangeAspect="1" noChangeArrowheads="1"/>
                    </pic:cNvPicPr>
                  </pic:nvPicPr>
                  <pic:blipFill>
                    <a:blip r:embed="rId15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-2099310</wp:posOffset>
            </wp:positionV>
            <wp:extent cx="8890" cy="8255"/>
            <wp:wrapNone/>
            <wp:docPr id="1502" name="Picture 1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2"/>
                    <pic:cNvPicPr>
                      <a:picLocks noChangeAspect="1" noChangeArrowheads="1"/>
                    </pic:cNvPicPr>
                  </pic:nvPicPr>
                  <pic:blipFill>
                    <a:blip r:embed="rId15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-2082165</wp:posOffset>
            </wp:positionV>
            <wp:extent cx="8890" cy="8890"/>
            <wp:wrapNone/>
            <wp:docPr id="1503" name="Picture 1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3"/>
                    <pic:cNvPicPr>
                      <a:picLocks noChangeAspect="1" noChangeArrowheads="1"/>
                    </pic:cNvPicPr>
                  </pic:nvPicPr>
                  <pic:blipFill>
                    <a:blip r:embed="rId15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-2065020</wp:posOffset>
            </wp:positionV>
            <wp:extent cx="8890" cy="8890"/>
            <wp:wrapNone/>
            <wp:docPr id="1504" name="Picture 1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4"/>
                    <pic:cNvPicPr>
                      <a:picLocks noChangeAspect="1" noChangeArrowheads="1"/>
                    </pic:cNvPicPr>
                  </pic:nvPicPr>
                  <pic:blipFill>
                    <a:blip r:embed="rId15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-2047875</wp:posOffset>
            </wp:positionV>
            <wp:extent cx="8890" cy="25400"/>
            <wp:wrapNone/>
            <wp:docPr id="1505" name="Picture 1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5"/>
                    <pic:cNvPicPr>
                      <a:picLocks noChangeAspect="1" noChangeArrowheads="1"/>
                    </pic:cNvPicPr>
                  </pic:nvPicPr>
                  <pic:blipFill>
                    <a:blip r:embed="rId1512">
                      <a:extLst>
                        <a:ext uri="{28A0092B-C50C-407E-A947-70E740481C1C}"/>
                      </a:extLst>
                    </a:blip>
                    <a:srcRect/>
                    <a:stretch>
                      <a:fillRect/>
                    </a:stretch>
                  </pic:blipFill>
                  <pic:spPr bwMode="auto">
                    <a:xfrm>
                      <a:off x="0" y="0"/>
                      <a:ext cx="8890" cy="2540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-2442210</wp:posOffset>
            </wp:positionV>
            <wp:extent cx="8255" cy="8255"/>
            <wp:wrapNone/>
            <wp:docPr id="1506" name="Picture 1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6"/>
                    <pic:cNvPicPr>
                      <a:picLocks noChangeAspect="1" noChangeArrowheads="1"/>
                    </pic:cNvPicPr>
                  </pic:nvPicPr>
                  <pic:blipFill>
                    <a:blip r:embed="rId15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-2425065</wp:posOffset>
            </wp:positionV>
            <wp:extent cx="8255" cy="8255"/>
            <wp:wrapNone/>
            <wp:docPr id="1507" name="Picture 1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7"/>
                    <pic:cNvPicPr>
                      <a:picLocks noChangeAspect="1" noChangeArrowheads="1"/>
                    </pic:cNvPicPr>
                  </pic:nvPicPr>
                  <pic:blipFill>
                    <a:blip r:embed="rId15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-2407920</wp:posOffset>
            </wp:positionV>
            <wp:extent cx="8255" cy="8890"/>
            <wp:wrapNone/>
            <wp:docPr id="1508" name="Picture 1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8"/>
                    <pic:cNvPicPr>
                      <a:picLocks noChangeAspect="1" noChangeArrowheads="1"/>
                    </pic:cNvPicPr>
                  </pic:nvPicPr>
                  <pic:blipFill>
                    <a:blip r:embed="rId151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-2390775</wp:posOffset>
            </wp:positionV>
            <wp:extent cx="8255" cy="8890"/>
            <wp:wrapNone/>
            <wp:docPr id="1509" name="Picture 1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9"/>
                    <pic:cNvPicPr>
                      <a:picLocks noChangeAspect="1" noChangeArrowheads="1"/>
                    </pic:cNvPicPr>
                  </pic:nvPicPr>
                  <pic:blipFill>
                    <a:blip r:embed="rId15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-2373630</wp:posOffset>
            </wp:positionV>
            <wp:extent cx="8255" cy="8255"/>
            <wp:wrapNone/>
            <wp:docPr id="1510" name="Picture 1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0"/>
                    <pic:cNvPicPr>
                      <a:picLocks noChangeAspect="1" noChangeArrowheads="1"/>
                    </pic:cNvPicPr>
                  </pic:nvPicPr>
                  <pic:blipFill>
                    <a:blip r:embed="rId15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-2356485</wp:posOffset>
            </wp:positionV>
            <wp:extent cx="8255" cy="8255"/>
            <wp:wrapNone/>
            <wp:docPr id="1511" name="Picture 1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1"/>
                    <pic:cNvPicPr>
                      <a:picLocks noChangeAspect="1" noChangeArrowheads="1"/>
                    </pic:cNvPicPr>
                  </pic:nvPicPr>
                  <pic:blipFill>
                    <a:blip r:embed="rId15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-2339340</wp:posOffset>
            </wp:positionV>
            <wp:extent cx="8255" cy="8255"/>
            <wp:wrapNone/>
            <wp:docPr id="1512" name="Picture 1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2"/>
                    <pic:cNvPicPr>
                      <a:picLocks noChangeAspect="1" noChangeArrowheads="1"/>
                    </pic:cNvPicPr>
                  </pic:nvPicPr>
                  <pic:blipFill>
                    <a:blip r:embed="rId15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-2322195</wp:posOffset>
            </wp:positionV>
            <wp:extent cx="8255" cy="8890"/>
            <wp:wrapNone/>
            <wp:docPr id="1513" name="Picture 1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3"/>
                    <pic:cNvPicPr>
                      <a:picLocks noChangeAspect="1" noChangeArrowheads="1"/>
                    </pic:cNvPicPr>
                  </pic:nvPicPr>
                  <pic:blipFill>
                    <a:blip r:embed="rId15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-2305050</wp:posOffset>
            </wp:positionV>
            <wp:extent cx="8255" cy="25400"/>
            <wp:wrapNone/>
            <wp:docPr id="1514" name="Picture 1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4"/>
                    <pic:cNvPicPr>
                      <a:picLocks noChangeAspect="1" noChangeArrowheads="1"/>
                    </pic:cNvPicPr>
                  </pic:nvPicPr>
                  <pic:blipFill>
                    <a:blip r:embed="rId1521">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-2442210</wp:posOffset>
            </wp:positionV>
            <wp:extent cx="8255" cy="8255"/>
            <wp:wrapNone/>
            <wp:docPr id="1515" name="Picture 1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5"/>
                    <pic:cNvPicPr>
                      <a:picLocks noChangeAspect="1" noChangeArrowheads="1"/>
                    </pic:cNvPicPr>
                  </pic:nvPicPr>
                  <pic:blipFill>
                    <a:blip r:embed="rId15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-2425065</wp:posOffset>
            </wp:positionV>
            <wp:extent cx="8255" cy="8255"/>
            <wp:wrapNone/>
            <wp:docPr id="1516" name="Picture 1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6"/>
                    <pic:cNvPicPr>
                      <a:picLocks noChangeAspect="1" noChangeArrowheads="1"/>
                    </pic:cNvPicPr>
                  </pic:nvPicPr>
                  <pic:blipFill>
                    <a:blip r:embed="rId15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-2407920</wp:posOffset>
            </wp:positionV>
            <wp:extent cx="8255" cy="8890"/>
            <wp:wrapNone/>
            <wp:docPr id="1517" name="Picture 1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7"/>
                    <pic:cNvPicPr>
                      <a:picLocks noChangeAspect="1" noChangeArrowheads="1"/>
                    </pic:cNvPicPr>
                  </pic:nvPicPr>
                  <pic:blipFill>
                    <a:blip r:embed="rId15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-2390775</wp:posOffset>
            </wp:positionV>
            <wp:extent cx="8255" cy="8890"/>
            <wp:wrapNone/>
            <wp:docPr id="1518" name="Picture 1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8"/>
                    <pic:cNvPicPr>
                      <a:picLocks noChangeAspect="1" noChangeArrowheads="1"/>
                    </pic:cNvPicPr>
                  </pic:nvPicPr>
                  <pic:blipFill>
                    <a:blip r:embed="rId152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-2373630</wp:posOffset>
            </wp:positionV>
            <wp:extent cx="8255" cy="8255"/>
            <wp:wrapNone/>
            <wp:docPr id="1519" name="Picture 1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9"/>
                    <pic:cNvPicPr>
                      <a:picLocks noChangeAspect="1" noChangeArrowheads="1"/>
                    </pic:cNvPicPr>
                  </pic:nvPicPr>
                  <pic:blipFill>
                    <a:blip r:embed="rId15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-2356485</wp:posOffset>
            </wp:positionV>
            <wp:extent cx="8255" cy="8255"/>
            <wp:wrapNone/>
            <wp:docPr id="1520" name="Picture 1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0"/>
                    <pic:cNvPicPr>
                      <a:picLocks noChangeAspect="1" noChangeArrowheads="1"/>
                    </pic:cNvPicPr>
                  </pic:nvPicPr>
                  <pic:blipFill>
                    <a:blip r:embed="rId15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-2339340</wp:posOffset>
            </wp:positionV>
            <wp:extent cx="8255" cy="8255"/>
            <wp:wrapNone/>
            <wp:docPr id="1521" name="Picture 1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1"/>
                    <pic:cNvPicPr>
                      <a:picLocks noChangeAspect="1" noChangeArrowheads="1"/>
                    </pic:cNvPicPr>
                  </pic:nvPicPr>
                  <pic:blipFill>
                    <a:blip r:embed="rId15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-2322195</wp:posOffset>
            </wp:positionV>
            <wp:extent cx="8255" cy="8890"/>
            <wp:wrapNone/>
            <wp:docPr id="1522" name="Picture 1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2"/>
                    <pic:cNvPicPr>
                      <a:picLocks noChangeAspect="1" noChangeArrowheads="1"/>
                    </pic:cNvPicPr>
                  </pic:nvPicPr>
                  <pic:blipFill>
                    <a:blip r:embed="rId152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-2305050</wp:posOffset>
            </wp:positionV>
            <wp:extent cx="8255" cy="25400"/>
            <wp:wrapNone/>
            <wp:docPr id="1523" name="Picture 1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3"/>
                    <pic:cNvPicPr>
                      <a:picLocks noChangeAspect="1" noChangeArrowheads="1"/>
                    </pic:cNvPicPr>
                  </pic:nvPicPr>
                  <pic:blipFill>
                    <a:blip r:embed="rId1530">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-2442210</wp:posOffset>
            </wp:positionV>
            <wp:extent cx="8890" cy="8255"/>
            <wp:wrapNone/>
            <wp:docPr id="1524" name="Picture 1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4"/>
                    <pic:cNvPicPr>
                      <a:picLocks noChangeAspect="1" noChangeArrowheads="1"/>
                    </pic:cNvPicPr>
                  </pic:nvPicPr>
                  <pic:blipFill>
                    <a:blip r:embed="rId15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-2425065</wp:posOffset>
            </wp:positionV>
            <wp:extent cx="8890" cy="8255"/>
            <wp:wrapNone/>
            <wp:docPr id="1525" name="Picture 1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5"/>
                    <pic:cNvPicPr>
                      <a:picLocks noChangeAspect="1" noChangeArrowheads="1"/>
                    </pic:cNvPicPr>
                  </pic:nvPicPr>
                  <pic:blipFill>
                    <a:blip r:embed="rId15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-2407920</wp:posOffset>
            </wp:positionV>
            <wp:extent cx="8890" cy="8890"/>
            <wp:wrapNone/>
            <wp:docPr id="1526" name="Picture 1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6"/>
                    <pic:cNvPicPr>
                      <a:picLocks noChangeAspect="1" noChangeArrowheads="1"/>
                    </pic:cNvPicPr>
                  </pic:nvPicPr>
                  <pic:blipFill>
                    <a:blip r:embed="rId15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-2390775</wp:posOffset>
            </wp:positionV>
            <wp:extent cx="8890" cy="8890"/>
            <wp:wrapNone/>
            <wp:docPr id="1527" name="Picture 1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7"/>
                    <pic:cNvPicPr>
                      <a:picLocks noChangeAspect="1" noChangeArrowheads="1"/>
                    </pic:cNvPicPr>
                  </pic:nvPicPr>
                  <pic:blipFill>
                    <a:blip r:embed="rId15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-2373630</wp:posOffset>
            </wp:positionV>
            <wp:extent cx="8890" cy="8255"/>
            <wp:wrapNone/>
            <wp:docPr id="1528" name="Picture 1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8"/>
                    <pic:cNvPicPr>
                      <a:picLocks noChangeAspect="1" noChangeArrowheads="1"/>
                    </pic:cNvPicPr>
                  </pic:nvPicPr>
                  <pic:blipFill>
                    <a:blip r:embed="rId15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-2356485</wp:posOffset>
            </wp:positionV>
            <wp:extent cx="8890" cy="8255"/>
            <wp:wrapNone/>
            <wp:docPr id="1529" name="Picture 1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9"/>
                    <pic:cNvPicPr>
                      <a:picLocks noChangeAspect="1" noChangeArrowheads="1"/>
                    </pic:cNvPicPr>
                  </pic:nvPicPr>
                  <pic:blipFill>
                    <a:blip r:embed="rId15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-2339340</wp:posOffset>
            </wp:positionV>
            <wp:extent cx="8890" cy="8255"/>
            <wp:wrapNone/>
            <wp:docPr id="1530" name="Picture 1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0"/>
                    <pic:cNvPicPr>
                      <a:picLocks noChangeAspect="1" noChangeArrowheads="1"/>
                    </pic:cNvPicPr>
                  </pic:nvPicPr>
                  <pic:blipFill>
                    <a:blip r:embed="rId15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-2322195</wp:posOffset>
            </wp:positionV>
            <wp:extent cx="8890" cy="8890"/>
            <wp:wrapNone/>
            <wp:docPr id="1531" name="Picture 1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1"/>
                    <pic:cNvPicPr>
                      <a:picLocks noChangeAspect="1" noChangeArrowheads="1"/>
                    </pic:cNvPicPr>
                  </pic:nvPicPr>
                  <pic:blipFill>
                    <a:blip r:embed="rId15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-2305050</wp:posOffset>
            </wp:positionV>
            <wp:extent cx="8890" cy="25400"/>
            <wp:wrapNone/>
            <wp:docPr id="1532" name="Picture 1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2"/>
                    <pic:cNvPicPr>
                      <a:picLocks noChangeAspect="1" noChangeArrowheads="1"/>
                    </pic:cNvPicPr>
                  </pic:nvPicPr>
                  <pic:blipFill>
                    <a:blip r:embed="rId1539">
                      <a:extLst>
                        <a:ext uri="{28A0092B-C50C-407E-A947-70E740481C1C}"/>
                      </a:extLst>
                    </a:blip>
                    <a:srcRect/>
                    <a:stretch>
                      <a:fillRect/>
                    </a:stretch>
                  </pic:blipFill>
                  <pic:spPr bwMode="auto">
                    <a:xfrm>
                      <a:off x="0" y="0"/>
                      <a:ext cx="8890" cy="2540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-2605405</wp:posOffset>
            </wp:positionV>
            <wp:extent cx="8255" cy="8890"/>
            <wp:wrapNone/>
            <wp:docPr id="1533" name="Picture 1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3"/>
                    <pic:cNvPicPr>
                      <a:picLocks noChangeAspect="1" noChangeArrowheads="1"/>
                    </pic:cNvPicPr>
                  </pic:nvPicPr>
                  <pic:blipFill>
                    <a:blip r:embed="rId15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-2588260</wp:posOffset>
            </wp:positionV>
            <wp:extent cx="8255" cy="8255"/>
            <wp:wrapNone/>
            <wp:docPr id="1534" name="Picture 1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4"/>
                    <pic:cNvPicPr>
                      <a:picLocks noChangeAspect="1" noChangeArrowheads="1"/>
                    </pic:cNvPicPr>
                  </pic:nvPicPr>
                  <pic:blipFill>
                    <a:blip r:embed="rId15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-2571115</wp:posOffset>
            </wp:positionV>
            <wp:extent cx="8255" cy="8255"/>
            <wp:wrapNone/>
            <wp:docPr id="1535" name="Picture 1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5"/>
                    <pic:cNvPicPr>
                      <a:picLocks noChangeAspect="1" noChangeArrowheads="1"/>
                    </pic:cNvPicPr>
                  </pic:nvPicPr>
                  <pic:blipFill>
                    <a:blip r:embed="rId15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-2553970</wp:posOffset>
            </wp:positionV>
            <wp:extent cx="8255" cy="8255"/>
            <wp:wrapNone/>
            <wp:docPr id="1536" name="Picture 1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6"/>
                    <pic:cNvPicPr>
                      <a:picLocks noChangeAspect="1" noChangeArrowheads="1"/>
                    </pic:cNvPicPr>
                  </pic:nvPicPr>
                  <pic:blipFill>
                    <a:blip r:embed="rId15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-2536825</wp:posOffset>
            </wp:positionV>
            <wp:extent cx="8255" cy="8890"/>
            <wp:wrapNone/>
            <wp:docPr id="1537" name="Picture 1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7"/>
                    <pic:cNvPicPr>
                      <a:picLocks noChangeAspect="1" noChangeArrowheads="1"/>
                    </pic:cNvPicPr>
                  </pic:nvPicPr>
                  <pic:blipFill>
                    <a:blip r:embed="rId154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-2519680</wp:posOffset>
            </wp:positionV>
            <wp:extent cx="8255" cy="8890"/>
            <wp:wrapNone/>
            <wp:docPr id="1538" name="Picture 1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8"/>
                    <pic:cNvPicPr>
                      <a:picLocks noChangeAspect="1" noChangeArrowheads="1"/>
                    </pic:cNvPicPr>
                  </pic:nvPicPr>
                  <pic:blipFill>
                    <a:blip r:embed="rId154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-2502535</wp:posOffset>
            </wp:positionV>
            <wp:extent cx="8255" cy="8255"/>
            <wp:wrapNone/>
            <wp:docPr id="1539" name="Picture 1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9"/>
                    <pic:cNvPicPr>
                      <a:picLocks noChangeAspect="1" noChangeArrowheads="1"/>
                    </pic:cNvPicPr>
                  </pic:nvPicPr>
                  <pic:blipFill>
                    <a:blip r:embed="rId15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-2485390</wp:posOffset>
            </wp:positionV>
            <wp:extent cx="8255" cy="8255"/>
            <wp:wrapNone/>
            <wp:docPr id="1540" name="Picture 1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0"/>
                    <pic:cNvPicPr>
                      <a:picLocks noChangeAspect="1" noChangeArrowheads="1"/>
                    </pic:cNvPicPr>
                  </pic:nvPicPr>
                  <pic:blipFill>
                    <a:blip r:embed="rId15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-2468245</wp:posOffset>
            </wp:positionV>
            <wp:extent cx="8255" cy="17145"/>
            <wp:wrapNone/>
            <wp:docPr id="1541" name="Picture 1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1"/>
                    <pic:cNvPicPr>
                      <a:picLocks noChangeAspect="1" noChangeArrowheads="1"/>
                    </pic:cNvPicPr>
                  </pic:nvPicPr>
                  <pic:blipFill>
                    <a:blip r:embed="rId1548">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-2605405</wp:posOffset>
            </wp:positionV>
            <wp:extent cx="8255" cy="8890"/>
            <wp:wrapNone/>
            <wp:docPr id="1542" name="Picture 1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2"/>
                    <pic:cNvPicPr>
                      <a:picLocks noChangeAspect="1" noChangeArrowheads="1"/>
                    </pic:cNvPicPr>
                  </pic:nvPicPr>
                  <pic:blipFill>
                    <a:blip r:embed="rId154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-2588260</wp:posOffset>
            </wp:positionV>
            <wp:extent cx="8255" cy="8255"/>
            <wp:wrapNone/>
            <wp:docPr id="1543" name="Picture 1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3"/>
                    <pic:cNvPicPr>
                      <a:picLocks noChangeAspect="1" noChangeArrowheads="1"/>
                    </pic:cNvPicPr>
                  </pic:nvPicPr>
                  <pic:blipFill>
                    <a:blip r:embed="rId15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-2571115</wp:posOffset>
            </wp:positionV>
            <wp:extent cx="8255" cy="8255"/>
            <wp:wrapNone/>
            <wp:docPr id="1544" name="Picture 1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4"/>
                    <pic:cNvPicPr>
                      <a:picLocks noChangeAspect="1" noChangeArrowheads="1"/>
                    </pic:cNvPicPr>
                  </pic:nvPicPr>
                  <pic:blipFill>
                    <a:blip r:embed="rId15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-2553970</wp:posOffset>
            </wp:positionV>
            <wp:extent cx="8255" cy="8255"/>
            <wp:wrapNone/>
            <wp:docPr id="1545" name="Picture 1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5"/>
                    <pic:cNvPicPr>
                      <a:picLocks noChangeAspect="1" noChangeArrowheads="1"/>
                    </pic:cNvPicPr>
                  </pic:nvPicPr>
                  <pic:blipFill>
                    <a:blip r:embed="rId15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-2536825</wp:posOffset>
            </wp:positionV>
            <wp:extent cx="8255" cy="8890"/>
            <wp:wrapNone/>
            <wp:docPr id="1546" name="Picture 1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6"/>
                    <pic:cNvPicPr>
                      <a:picLocks noChangeAspect="1" noChangeArrowheads="1"/>
                    </pic:cNvPicPr>
                  </pic:nvPicPr>
                  <pic:blipFill>
                    <a:blip r:embed="rId15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-2519680</wp:posOffset>
            </wp:positionV>
            <wp:extent cx="8255" cy="8890"/>
            <wp:wrapNone/>
            <wp:docPr id="1547" name="Picture 1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7"/>
                    <pic:cNvPicPr>
                      <a:picLocks noChangeAspect="1" noChangeArrowheads="1"/>
                    </pic:cNvPicPr>
                  </pic:nvPicPr>
                  <pic:blipFill>
                    <a:blip r:embed="rId155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-2502535</wp:posOffset>
            </wp:positionV>
            <wp:extent cx="8255" cy="8255"/>
            <wp:wrapNone/>
            <wp:docPr id="1548" name="Picture 1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8"/>
                    <pic:cNvPicPr>
                      <a:picLocks noChangeAspect="1" noChangeArrowheads="1"/>
                    </pic:cNvPicPr>
                  </pic:nvPicPr>
                  <pic:blipFill>
                    <a:blip r:embed="rId15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-2485390</wp:posOffset>
            </wp:positionV>
            <wp:extent cx="8255" cy="8255"/>
            <wp:wrapNone/>
            <wp:docPr id="1549" name="Picture 1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9"/>
                    <pic:cNvPicPr>
                      <a:picLocks noChangeAspect="1" noChangeArrowheads="1"/>
                    </pic:cNvPicPr>
                  </pic:nvPicPr>
                  <pic:blipFill>
                    <a:blip r:embed="rId15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-2468245</wp:posOffset>
            </wp:positionV>
            <wp:extent cx="8255" cy="17145"/>
            <wp:wrapNone/>
            <wp:docPr id="1550" name="Picture 1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0"/>
                    <pic:cNvPicPr>
                      <a:picLocks noChangeAspect="1" noChangeArrowheads="1"/>
                    </pic:cNvPicPr>
                  </pic:nvPicPr>
                  <pic:blipFill>
                    <a:blip r:embed="rId1557">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-2605405</wp:posOffset>
            </wp:positionV>
            <wp:extent cx="8890" cy="8890"/>
            <wp:wrapNone/>
            <wp:docPr id="1551" name="Picture 1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1"/>
                    <pic:cNvPicPr>
                      <a:picLocks noChangeAspect="1" noChangeArrowheads="1"/>
                    </pic:cNvPicPr>
                  </pic:nvPicPr>
                  <pic:blipFill>
                    <a:blip r:embed="rId15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-2588260</wp:posOffset>
            </wp:positionV>
            <wp:extent cx="8890" cy="8255"/>
            <wp:wrapNone/>
            <wp:docPr id="1552" name="Picture 1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2"/>
                    <pic:cNvPicPr>
                      <a:picLocks noChangeAspect="1" noChangeArrowheads="1"/>
                    </pic:cNvPicPr>
                  </pic:nvPicPr>
                  <pic:blipFill>
                    <a:blip r:embed="rId15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-2571115</wp:posOffset>
            </wp:positionV>
            <wp:extent cx="8890" cy="8255"/>
            <wp:wrapNone/>
            <wp:docPr id="1553" name="Picture 1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3"/>
                    <pic:cNvPicPr>
                      <a:picLocks noChangeAspect="1" noChangeArrowheads="1"/>
                    </pic:cNvPicPr>
                  </pic:nvPicPr>
                  <pic:blipFill>
                    <a:blip r:embed="rId15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-2553970</wp:posOffset>
            </wp:positionV>
            <wp:extent cx="8890" cy="8255"/>
            <wp:wrapNone/>
            <wp:docPr id="1554" name="Picture 1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4"/>
                    <pic:cNvPicPr>
                      <a:picLocks noChangeAspect="1" noChangeArrowheads="1"/>
                    </pic:cNvPicPr>
                  </pic:nvPicPr>
                  <pic:blipFill>
                    <a:blip r:embed="rId15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-2536825</wp:posOffset>
            </wp:positionV>
            <wp:extent cx="8890" cy="8890"/>
            <wp:wrapNone/>
            <wp:docPr id="1555" name="Picture 1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5"/>
                    <pic:cNvPicPr>
                      <a:picLocks noChangeAspect="1" noChangeArrowheads="1"/>
                    </pic:cNvPicPr>
                  </pic:nvPicPr>
                  <pic:blipFill>
                    <a:blip r:embed="rId15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-2519680</wp:posOffset>
            </wp:positionV>
            <wp:extent cx="8890" cy="8890"/>
            <wp:wrapNone/>
            <wp:docPr id="1556" name="Picture 1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6"/>
                    <pic:cNvPicPr>
                      <a:picLocks noChangeAspect="1" noChangeArrowheads="1"/>
                    </pic:cNvPicPr>
                  </pic:nvPicPr>
                  <pic:blipFill>
                    <a:blip r:embed="rId15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-2502535</wp:posOffset>
            </wp:positionV>
            <wp:extent cx="8890" cy="8255"/>
            <wp:wrapNone/>
            <wp:docPr id="1557" name="Picture 1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7"/>
                    <pic:cNvPicPr>
                      <a:picLocks noChangeAspect="1" noChangeArrowheads="1"/>
                    </pic:cNvPicPr>
                  </pic:nvPicPr>
                  <pic:blipFill>
                    <a:blip r:embed="rId15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-2485390</wp:posOffset>
            </wp:positionV>
            <wp:extent cx="8890" cy="8255"/>
            <wp:wrapNone/>
            <wp:docPr id="1558" name="Picture 1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8"/>
                    <pic:cNvPicPr>
                      <a:picLocks noChangeAspect="1" noChangeArrowheads="1"/>
                    </pic:cNvPicPr>
                  </pic:nvPicPr>
                  <pic:blipFill>
                    <a:blip r:embed="rId15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-2468245</wp:posOffset>
            </wp:positionV>
            <wp:extent cx="8890" cy="17145"/>
            <wp:wrapNone/>
            <wp:docPr id="1559" name="Picture 1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9"/>
                    <pic:cNvPicPr>
                      <a:picLocks noChangeAspect="1" noChangeArrowheads="1"/>
                    </pic:cNvPicPr>
                  </pic:nvPicPr>
                  <pic:blipFill>
                    <a:blip r:embed="rId1566">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-2853690</wp:posOffset>
            </wp:positionV>
            <wp:extent cx="8255" cy="8255"/>
            <wp:wrapNone/>
            <wp:docPr id="1560" name="Picture 1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0"/>
                    <pic:cNvPicPr>
                      <a:picLocks noChangeAspect="1" noChangeArrowheads="1"/>
                    </pic:cNvPicPr>
                  </pic:nvPicPr>
                  <pic:blipFill>
                    <a:blip r:embed="rId15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-2836545</wp:posOffset>
            </wp:positionV>
            <wp:extent cx="8255" cy="8255"/>
            <wp:wrapNone/>
            <wp:docPr id="1561" name="Picture 1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1"/>
                    <pic:cNvPicPr>
                      <a:picLocks noChangeAspect="1" noChangeArrowheads="1"/>
                    </pic:cNvPicPr>
                  </pic:nvPicPr>
                  <pic:blipFill>
                    <a:blip r:embed="rId15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-2819400</wp:posOffset>
            </wp:positionV>
            <wp:extent cx="8255" cy="8890"/>
            <wp:wrapNone/>
            <wp:docPr id="1562" name="Picture 1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2"/>
                    <pic:cNvPicPr>
                      <a:picLocks noChangeAspect="1" noChangeArrowheads="1"/>
                    </pic:cNvPicPr>
                  </pic:nvPicPr>
                  <pic:blipFill>
                    <a:blip r:embed="rId156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-2802255</wp:posOffset>
            </wp:positionV>
            <wp:extent cx="8255" cy="8255"/>
            <wp:wrapNone/>
            <wp:docPr id="1563" name="Picture 1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3"/>
                    <pic:cNvPicPr>
                      <a:picLocks noChangeAspect="1" noChangeArrowheads="1"/>
                    </pic:cNvPicPr>
                  </pic:nvPicPr>
                  <pic:blipFill>
                    <a:blip r:embed="rId15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-2785110</wp:posOffset>
            </wp:positionV>
            <wp:extent cx="8255" cy="8255"/>
            <wp:wrapNone/>
            <wp:docPr id="1564" name="Picture 1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4"/>
                    <pic:cNvPicPr>
                      <a:picLocks noChangeAspect="1" noChangeArrowheads="1"/>
                    </pic:cNvPicPr>
                  </pic:nvPicPr>
                  <pic:blipFill>
                    <a:blip r:embed="rId15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-2767965</wp:posOffset>
            </wp:positionV>
            <wp:extent cx="8255" cy="8255"/>
            <wp:wrapNone/>
            <wp:docPr id="1565" name="Picture 1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5"/>
                    <pic:cNvPicPr>
                      <a:picLocks noChangeAspect="1" noChangeArrowheads="1"/>
                    </pic:cNvPicPr>
                  </pic:nvPicPr>
                  <pic:blipFill>
                    <a:blip r:embed="rId15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-2750820</wp:posOffset>
            </wp:positionV>
            <wp:extent cx="8255" cy="8890"/>
            <wp:wrapNone/>
            <wp:docPr id="1566" name="Picture 1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6"/>
                    <pic:cNvPicPr>
                      <a:picLocks noChangeAspect="1" noChangeArrowheads="1"/>
                    </pic:cNvPicPr>
                  </pic:nvPicPr>
                  <pic:blipFill>
                    <a:blip r:embed="rId157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-2733675</wp:posOffset>
            </wp:positionV>
            <wp:extent cx="8255" cy="8890"/>
            <wp:wrapNone/>
            <wp:docPr id="1567" name="Picture 1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7"/>
                    <pic:cNvPicPr>
                      <a:picLocks noChangeAspect="1" noChangeArrowheads="1"/>
                    </pic:cNvPicPr>
                  </pic:nvPicPr>
                  <pic:blipFill>
                    <a:blip r:embed="rId157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-2716530</wp:posOffset>
            </wp:positionV>
            <wp:extent cx="8255" cy="8255"/>
            <wp:wrapNone/>
            <wp:docPr id="1568" name="Picture 1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8"/>
                    <pic:cNvPicPr>
                      <a:picLocks noChangeAspect="1" noChangeArrowheads="1"/>
                    </pic:cNvPicPr>
                  </pic:nvPicPr>
                  <pic:blipFill>
                    <a:blip r:embed="rId15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-2699385</wp:posOffset>
            </wp:positionV>
            <wp:extent cx="8255" cy="8255"/>
            <wp:wrapNone/>
            <wp:docPr id="1569" name="Picture 1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9"/>
                    <pic:cNvPicPr>
                      <a:picLocks noChangeAspect="1" noChangeArrowheads="1"/>
                    </pic:cNvPicPr>
                  </pic:nvPicPr>
                  <pic:blipFill>
                    <a:blip r:embed="rId15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-2682240</wp:posOffset>
            </wp:positionV>
            <wp:extent cx="8255" cy="8255"/>
            <wp:wrapNone/>
            <wp:docPr id="1570" name="Picture 1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0"/>
                    <pic:cNvPicPr>
                      <a:picLocks noChangeAspect="1" noChangeArrowheads="1"/>
                    </pic:cNvPicPr>
                  </pic:nvPicPr>
                  <pic:blipFill>
                    <a:blip r:embed="rId15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-2665095</wp:posOffset>
            </wp:positionV>
            <wp:extent cx="8255" cy="8890"/>
            <wp:wrapNone/>
            <wp:docPr id="1571" name="Picture 1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1"/>
                    <pic:cNvPicPr>
                      <a:picLocks noChangeAspect="1" noChangeArrowheads="1"/>
                    </pic:cNvPicPr>
                  </pic:nvPicPr>
                  <pic:blipFill>
                    <a:blip r:embed="rId15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-2647950</wp:posOffset>
            </wp:positionV>
            <wp:extent cx="8255" cy="8890"/>
            <wp:wrapNone/>
            <wp:docPr id="1572" name="Picture 1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2"/>
                    <pic:cNvPicPr>
                      <a:picLocks noChangeAspect="1" noChangeArrowheads="1"/>
                    </pic:cNvPicPr>
                  </pic:nvPicPr>
                  <pic:blipFill>
                    <a:blip r:embed="rId157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-2630805</wp:posOffset>
            </wp:positionV>
            <wp:extent cx="8255" cy="17145"/>
            <wp:wrapNone/>
            <wp:docPr id="1573" name="Picture 1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3"/>
                    <pic:cNvPicPr>
                      <a:picLocks noChangeAspect="1" noChangeArrowheads="1"/>
                    </pic:cNvPicPr>
                  </pic:nvPicPr>
                  <pic:blipFill>
                    <a:blip r:embed="rId1580">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-2853690</wp:posOffset>
            </wp:positionV>
            <wp:extent cx="8255" cy="8255"/>
            <wp:wrapNone/>
            <wp:docPr id="1574" name="Picture 1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4"/>
                    <pic:cNvPicPr>
                      <a:picLocks noChangeAspect="1" noChangeArrowheads="1"/>
                    </pic:cNvPicPr>
                  </pic:nvPicPr>
                  <pic:blipFill>
                    <a:blip r:embed="rId15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-2836545</wp:posOffset>
            </wp:positionV>
            <wp:extent cx="8255" cy="8255"/>
            <wp:wrapNone/>
            <wp:docPr id="1575" name="Picture 1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5"/>
                    <pic:cNvPicPr>
                      <a:picLocks noChangeAspect="1" noChangeArrowheads="1"/>
                    </pic:cNvPicPr>
                  </pic:nvPicPr>
                  <pic:blipFill>
                    <a:blip r:embed="rId15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-2819400</wp:posOffset>
            </wp:positionV>
            <wp:extent cx="8255" cy="8890"/>
            <wp:wrapNone/>
            <wp:docPr id="1576" name="Picture 1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6"/>
                    <pic:cNvPicPr>
                      <a:picLocks noChangeAspect="1" noChangeArrowheads="1"/>
                    </pic:cNvPicPr>
                  </pic:nvPicPr>
                  <pic:blipFill>
                    <a:blip r:embed="rId158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-2802255</wp:posOffset>
            </wp:positionV>
            <wp:extent cx="8255" cy="8255"/>
            <wp:wrapNone/>
            <wp:docPr id="1577" name="Picture 1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7"/>
                    <pic:cNvPicPr>
                      <a:picLocks noChangeAspect="1" noChangeArrowheads="1"/>
                    </pic:cNvPicPr>
                  </pic:nvPicPr>
                  <pic:blipFill>
                    <a:blip r:embed="rId15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-2785110</wp:posOffset>
            </wp:positionV>
            <wp:extent cx="8255" cy="8255"/>
            <wp:wrapNone/>
            <wp:docPr id="1578" name="Picture 1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8"/>
                    <pic:cNvPicPr>
                      <a:picLocks noChangeAspect="1" noChangeArrowheads="1"/>
                    </pic:cNvPicPr>
                  </pic:nvPicPr>
                  <pic:blipFill>
                    <a:blip r:embed="rId15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-2767965</wp:posOffset>
            </wp:positionV>
            <wp:extent cx="8255" cy="8255"/>
            <wp:wrapNone/>
            <wp:docPr id="1579" name="Picture 1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9"/>
                    <pic:cNvPicPr>
                      <a:picLocks noChangeAspect="1" noChangeArrowheads="1"/>
                    </pic:cNvPicPr>
                  </pic:nvPicPr>
                  <pic:blipFill>
                    <a:blip r:embed="rId15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-2750820</wp:posOffset>
            </wp:positionV>
            <wp:extent cx="8255" cy="8890"/>
            <wp:wrapNone/>
            <wp:docPr id="1580" name="Picture 1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0"/>
                    <pic:cNvPicPr>
                      <a:picLocks noChangeAspect="1" noChangeArrowheads="1"/>
                    </pic:cNvPicPr>
                  </pic:nvPicPr>
                  <pic:blipFill>
                    <a:blip r:embed="rId158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-2733675</wp:posOffset>
            </wp:positionV>
            <wp:extent cx="8255" cy="8890"/>
            <wp:wrapNone/>
            <wp:docPr id="1581" name="Picture 1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1"/>
                    <pic:cNvPicPr>
                      <a:picLocks noChangeAspect="1" noChangeArrowheads="1"/>
                    </pic:cNvPicPr>
                  </pic:nvPicPr>
                  <pic:blipFill>
                    <a:blip r:embed="rId158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-2716530</wp:posOffset>
            </wp:positionV>
            <wp:extent cx="8255" cy="8255"/>
            <wp:wrapNone/>
            <wp:docPr id="1582" name="Picture 1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2"/>
                    <pic:cNvPicPr>
                      <a:picLocks noChangeAspect="1" noChangeArrowheads="1"/>
                    </pic:cNvPicPr>
                  </pic:nvPicPr>
                  <pic:blipFill>
                    <a:blip r:embed="rId15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-2699385</wp:posOffset>
            </wp:positionV>
            <wp:extent cx="8255" cy="8255"/>
            <wp:wrapNone/>
            <wp:docPr id="1583" name="Picture 1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3"/>
                    <pic:cNvPicPr>
                      <a:picLocks noChangeAspect="1" noChangeArrowheads="1"/>
                    </pic:cNvPicPr>
                  </pic:nvPicPr>
                  <pic:blipFill>
                    <a:blip r:embed="rId15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-2682240</wp:posOffset>
            </wp:positionV>
            <wp:extent cx="8255" cy="8255"/>
            <wp:wrapNone/>
            <wp:docPr id="1584" name="Picture 1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4"/>
                    <pic:cNvPicPr>
                      <a:picLocks noChangeAspect="1" noChangeArrowheads="1"/>
                    </pic:cNvPicPr>
                  </pic:nvPicPr>
                  <pic:blipFill>
                    <a:blip r:embed="rId15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-2665095</wp:posOffset>
            </wp:positionV>
            <wp:extent cx="8255" cy="8890"/>
            <wp:wrapNone/>
            <wp:docPr id="1585" name="Picture 1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5"/>
                    <pic:cNvPicPr>
                      <a:picLocks noChangeAspect="1" noChangeArrowheads="1"/>
                    </pic:cNvPicPr>
                  </pic:nvPicPr>
                  <pic:blipFill>
                    <a:blip r:embed="rId159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-2647950</wp:posOffset>
            </wp:positionV>
            <wp:extent cx="8255" cy="8890"/>
            <wp:wrapNone/>
            <wp:docPr id="1586" name="Picture 1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6"/>
                    <pic:cNvPicPr>
                      <a:picLocks noChangeAspect="1" noChangeArrowheads="1"/>
                    </pic:cNvPicPr>
                  </pic:nvPicPr>
                  <pic:blipFill>
                    <a:blip r:embed="rId159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-2630805</wp:posOffset>
            </wp:positionV>
            <wp:extent cx="8255" cy="17145"/>
            <wp:wrapNone/>
            <wp:docPr id="1587" name="Picture 1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7"/>
                    <pic:cNvPicPr>
                      <a:picLocks noChangeAspect="1" noChangeArrowheads="1"/>
                    </pic:cNvPicPr>
                  </pic:nvPicPr>
                  <pic:blipFill>
                    <a:blip r:embed="rId1594">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-2853690</wp:posOffset>
            </wp:positionV>
            <wp:extent cx="8890" cy="8255"/>
            <wp:wrapNone/>
            <wp:docPr id="1588" name="Picture 1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8"/>
                    <pic:cNvPicPr>
                      <a:picLocks noChangeAspect="1" noChangeArrowheads="1"/>
                    </pic:cNvPicPr>
                  </pic:nvPicPr>
                  <pic:blipFill>
                    <a:blip r:embed="rId15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-2836545</wp:posOffset>
            </wp:positionV>
            <wp:extent cx="8890" cy="8255"/>
            <wp:wrapNone/>
            <wp:docPr id="1589" name="Picture 1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9"/>
                    <pic:cNvPicPr>
                      <a:picLocks noChangeAspect="1" noChangeArrowheads="1"/>
                    </pic:cNvPicPr>
                  </pic:nvPicPr>
                  <pic:blipFill>
                    <a:blip r:embed="rId15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-2819400</wp:posOffset>
            </wp:positionV>
            <wp:extent cx="8890" cy="8890"/>
            <wp:wrapNone/>
            <wp:docPr id="1590" name="Picture 1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0"/>
                    <pic:cNvPicPr>
                      <a:picLocks noChangeAspect="1" noChangeArrowheads="1"/>
                    </pic:cNvPicPr>
                  </pic:nvPicPr>
                  <pic:blipFill>
                    <a:blip r:embed="rId15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-2802255</wp:posOffset>
            </wp:positionV>
            <wp:extent cx="8890" cy="8255"/>
            <wp:wrapNone/>
            <wp:docPr id="1591" name="Picture 1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1"/>
                    <pic:cNvPicPr>
                      <a:picLocks noChangeAspect="1" noChangeArrowheads="1"/>
                    </pic:cNvPicPr>
                  </pic:nvPicPr>
                  <pic:blipFill>
                    <a:blip r:embed="rId15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-2785110</wp:posOffset>
            </wp:positionV>
            <wp:extent cx="8890" cy="8255"/>
            <wp:wrapNone/>
            <wp:docPr id="1592" name="Picture 1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2"/>
                    <pic:cNvPicPr>
                      <a:picLocks noChangeAspect="1" noChangeArrowheads="1"/>
                    </pic:cNvPicPr>
                  </pic:nvPicPr>
                  <pic:blipFill>
                    <a:blip r:embed="rId15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-2767965</wp:posOffset>
            </wp:positionV>
            <wp:extent cx="8890" cy="8255"/>
            <wp:wrapNone/>
            <wp:docPr id="1593" name="Picture 1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3"/>
                    <pic:cNvPicPr>
                      <a:picLocks noChangeAspect="1" noChangeArrowheads="1"/>
                    </pic:cNvPicPr>
                  </pic:nvPicPr>
                  <pic:blipFill>
                    <a:blip r:embed="rId16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-2750820</wp:posOffset>
            </wp:positionV>
            <wp:extent cx="8890" cy="8890"/>
            <wp:wrapNone/>
            <wp:docPr id="1594" name="Picture 1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4"/>
                    <pic:cNvPicPr>
                      <a:picLocks noChangeAspect="1" noChangeArrowheads="1"/>
                    </pic:cNvPicPr>
                  </pic:nvPicPr>
                  <pic:blipFill>
                    <a:blip r:embed="rId16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-2733675</wp:posOffset>
            </wp:positionV>
            <wp:extent cx="8890" cy="8890"/>
            <wp:wrapNone/>
            <wp:docPr id="1595" name="Picture 1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5"/>
                    <pic:cNvPicPr>
                      <a:picLocks noChangeAspect="1" noChangeArrowheads="1"/>
                    </pic:cNvPicPr>
                  </pic:nvPicPr>
                  <pic:blipFill>
                    <a:blip r:embed="rId16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-2716530</wp:posOffset>
            </wp:positionV>
            <wp:extent cx="8890" cy="8255"/>
            <wp:wrapNone/>
            <wp:docPr id="1596" name="Picture 1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6"/>
                    <pic:cNvPicPr>
                      <a:picLocks noChangeAspect="1" noChangeArrowheads="1"/>
                    </pic:cNvPicPr>
                  </pic:nvPicPr>
                  <pic:blipFill>
                    <a:blip r:embed="rId16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-2699385</wp:posOffset>
            </wp:positionV>
            <wp:extent cx="8890" cy="8255"/>
            <wp:wrapNone/>
            <wp:docPr id="1597" name="Picture 1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7"/>
                    <pic:cNvPicPr>
                      <a:picLocks noChangeAspect="1" noChangeArrowheads="1"/>
                    </pic:cNvPicPr>
                  </pic:nvPicPr>
                  <pic:blipFill>
                    <a:blip r:embed="rId16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-2682240</wp:posOffset>
            </wp:positionV>
            <wp:extent cx="8890" cy="8255"/>
            <wp:wrapNone/>
            <wp:docPr id="1598" name="Picture 1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8"/>
                    <pic:cNvPicPr>
                      <a:picLocks noChangeAspect="1" noChangeArrowheads="1"/>
                    </pic:cNvPicPr>
                  </pic:nvPicPr>
                  <pic:blipFill>
                    <a:blip r:embed="rId16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-2665095</wp:posOffset>
            </wp:positionV>
            <wp:extent cx="8890" cy="8890"/>
            <wp:wrapNone/>
            <wp:docPr id="1599" name="Picture 1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9"/>
                    <pic:cNvPicPr>
                      <a:picLocks noChangeAspect="1" noChangeArrowheads="1"/>
                    </pic:cNvPicPr>
                  </pic:nvPicPr>
                  <pic:blipFill>
                    <a:blip r:embed="rId16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-2647950</wp:posOffset>
            </wp:positionV>
            <wp:extent cx="8890" cy="8890"/>
            <wp:wrapNone/>
            <wp:docPr id="1600" name="Picture 1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0"/>
                    <pic:cNvPicPr>
                      <a:picLocks noChangeAspect="1" noChangeArrowheads="1"/>
                    </pic:cNvPicPr>
                  </pic:nvPicPr>
                  <pic:blipFill>
                    <a:blip r:embed="rId16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-2630805</wp:posOffset>
            </wp:positionV>
            <wp:extent cx="8890" cy="17145"/>
            <wp:wrapNone/>
            <wp:docPr id="1601" name="Picture 1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1"/>
                    <pic:cNvPicPr>
                      <a:picLocks noChangeAspect="1" noChangeArrowheads="1"/>
                    </pic:cNvPicPr>
                  </pic:nvPicPr>
                  <pic:blipFill>
                    <a:blip r:embed="rId1608">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-3110865</wp:posOffset>
            </wp:positionV>
            <wp:extent cx="8255" cy="8255"/>
            <wp:wrapNone/>
            <wp:docPr id="1602" name="Picture 1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2"/>
                    <pic:cNvPicPr>
                      <a:picLocks noChangeAspect="1" noChangeArrowheads="1"/>
                    </pic:cNvPicPr>
                  </pic:nvPicPr>
                  <pic:blipFill>
                    <a:blip r:embed="rId16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-3093720</wp:posOffset>
            </wp:positionV>
            <wp:extent cx="8255" cy="8255"/>
            <wp:wrapNone/>
            <wp:docPr id="1603" name="Picture 1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3"/>
                    <pic:cNvPicPr>
                      <a:picLocks noChangeAspect="1" noChangeArrowheads="1"/>
                    </pic:cNvPicPr>
                  </pic:nvPicPr>
                  <pic:blipFill>
                    <a:blip r:embed="rId16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-3076575</wp:posOffset>
            </wp:positionV>
            <wp:extent cx="8255" cy="8890"/>
            <wp:wrapNone/>
            <wp:docPr id="1604" name="Picture 1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4"/>
                    <pic:cNvPicPr>
                      <a:picLocks noChangeAspect="1" noChangeArrowheads="1"/>
                    </pic:cNvPicPr>
                  </pic:nvPicPr>
                  <pic:blipFill>
                    <a:blip r:embed="rId16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-3059430</wp:posOffset>
            </wp:positionV>
            <wp:extent cx="8255" cy="8890"/>
            <wp:wrapNone/>
            <wp:docPr id="1605" name="Picture 1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5"/>
                    <pic:cNvPicPr>
                      <a:picLocks noChangeAspect="1" noChangeArrowheads="1"/>
                    </pic:cNvPicPr>
                  </pic:nvPicPr>
                  <pic:blipFill>
                    <a:blip r:embed="rId16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-3042285</wp:posOffset>
            </wp:positionV>
            <wp:extent cx="8255" cy="8255"/>
            <wp:wrapNone/>
            <wp:docPr id="1606" name="Picture 1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6"/>
                    <pic:cNvPicPr>
                      <a:picLocks noChangeAspect="1" noChangeArrowheads="1"/>
                    </pic:cNvPicPr>
                  </pic:nvPicPr>
                  <pic:blipFill>
                    <a:blip r:embed="rId16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-3025140</wp:posOffset>
            </wp:positionV>
            <wp:extent cx="8255" cy="8255"/>
            <wp:wrapNone/>
            <wp:docPr id="1607" name="Picture 1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7"/>
                    <pic:cNvPicPr>
                      <a:picLocks noChangeAspect="1" noChangeArrowheads="1"/>
                    </pic:cNvPicPr>
                  </pic:nvPicPr>
                  <pic:blipFill>
                    <a:blip r:embed="rId16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-3007995</wp:posOffset>
            </wp:positionV>
            <wp:extent cx="8255" cy="8255"/>
            <wp:wrapNone/>
            <wp:docPr id="1608" name="Picture 1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8"/>
                    <pic:cNvPicPr>
                      <a:picLocks noChangeAspect="1" noChangeArrowheads="1"/>
                    </pic:cNvPicPr>
                  </pic:nvPicPr>
                  <pic:blipFill>
                    <a:blip r:embed="rId16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-2990850</wp:posOffset>
            </wp:positionV>
            <wp:extent cx="8255" cy="8890"/>
            <wp:wrapNone/>
            <wp:docPr id="1609" name="Picture 1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9"/>
                    <pic:cNvPicPr>
                      <a:picLocks noChangeAspect="1" noChangeArrowheads="1"/>
                    </pic:cNvPicPr>
                  </pic:nvPicPr>
                  <pic:blipFill>
                    <a:blip r:embed="rId16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-2973705</wp:posOffset>
            </wp:positionV>
            <wp:extent cx="8255" cy="8890"/>
            <wp:wrapNone/>
            <wp:docPr id="1610" name="Picture 1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0"/>
                    <pic:cNvPicPr>
                      <a:picLocks noChangeAspect="1" noChangeArrowheads="1"/>
                    </pic:cNvPicPr>
                  </pic:nvPicPr>
                  <pic:blipFill>
                    <a:blip r:embed="rId161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-2956560</wp:posOffset>
            </wp:positionV>
            <wp:extent cx="8255" cy="8255"/>
            <wp:wrapNone/>
            <wp:docPr id="1611" name="Picture 1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1"/>
                    <pic:cNvPicPr>
                      <a:picLocks noChangeAspect="1" noChangeArrowheads="1"/>
                    </pic:cNvPicPr>
                  </pic:nvPicPr>
                  <pic:blipFill>
                    <a:blip r:embed="rId16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-2939415</wp:posOffset>
            </wp:positionV>
            <wp:extent cx="8255" cy="8255"/>
            <wp:wrapNone/>
            <wp:docPr id="1612" name="Picture 1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2"/>
                    <pic:cNvPicPr>
                      <a:picLocks noChangeAspect="1" noChangeArrowheads="1"/>
                    </pic:cNvPicPr>
                  </pic:nvPicPr>
                  <pic:blipFill>
                    <a:blip r:embed="rId16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-2922270</wp:posOffset>
            </wp:positionV>
            <wp:extent cx="8255" cy="8255"/>
            <wp:wrapNone/>
            <wp:docPr id="1613" name="Picture 1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3"/>
                    <pic:cNvPicPr>
                      <a:picLocks noChangeAspect="1" noChangeArrowheads="1"/>
                    </pic:cNvPicPr>
                  </pic:nvPicPr>
                  <pic:blipFill>
                    <a:blip r:embed="rId16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-2905125</wp:posOffset>
            </wp:positionV>
            <wp:extent cx="8255" cy="8890"/>
            <wp:wrapNone/>
            <wp:docPr id="1614" name="Picture 1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4"/>
                    <pic:cNvPicPr>
                      <a:picLocks noChangeAspect="1" noChangeArrowheads="1"/>
                    </pic:cNvPicPr>
                  </pic:nvPicPr>
                  <pic:blipFill>
                    <a:blip r:embed="rId16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-2887980</wp:posOffset>
            </wp:positionV>
            <wp:extent cx="8255" cy="25400"/>
            <wp:wrapNone/>
            <wp:docPr id="1615" name="Picture 1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5"/>
                    <pic:cNvPicPr>
                      <a:picLocks noChangeAspect="1" noChangeArrowheads="1"/>
                    </pic:cNvPicPr>
                  </pic:nvPicPr>
                  <pic:blipFill>
                    <a:blip r:embed="rId1622">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-3110865</wp:posOffset>
            </wp:positionV>
            <wp:extent cx="8255" cy="8255"/>
            <wp:wrapNone/>
            <wp:docPr id="1616" name="Picture 1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6"/>
                    <pic:cNvPicPr>
                      <a:picLocks noChangeAspect="1" noChangeArrowheads="1"/>
                    </pic:cNvPicPr>
                  </pic:nvPicPr>
                  <pic:blipFill>
                    <a:blip r:embed="rId16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-3093720</wp:posOffset>
            </wp:positionV>
            <wp:extent cx="8255" cy="8255"/>
            <wp:wrapNone/>
            <wp:docPr id="1617" name="Picture 1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7"/>
                    <pic:cNvPicPr>
                      <a:picLocks noChangeAspect="1" noChangeArrowheads="1"/>
                    </pic:cNvPicPr>
                  </pic:nvPicPr>
                  <pic:blipFill>
                    <a:blip r:embed="rId16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-3076575</wp:posOffset>
            </wp:positionV>
            <wp:extent cx="8255" cy="8890"/>
            <wp:wrapNone/>
            <wp:docPr id="1618" name="Picture 1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8"/>
                    <pic:cNvPicPr>
                      <a:picLocks noChangeAspect="1" noChangeArrowheads="1"/>
                    </pic:cNvPicPr>
                  </pic:nvPicPr>
                  <pic:blipFill>
                    <a:blip r:embed="rId162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-3059430</wp:posOffset>
            </wp:positionV>
            <wp:extent cx="8255" cy="8890"/>
            <wp:wrapNone/>
            <wp:docPr id="1619" name="Picture 1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9"/>
                    <pic:cNvPicPr>
                      <a:picLocks noChangeAspect="1" noChangeArrowheads="1"/>
                    </pic:cNvPicPr>
                  </pic:nvPicPr>
                  <pic:blipFill>
                    <a:blip r:embed="rId16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-3042285</wp:posOffset>
            </wp:positionV>
            <wp:extent cx="8255" cy="8255"/>
            <wp:wrapNone/>
            <wp:docPr id="1620" name="Picture 1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0"/>
                    <pic:cNvPicPr>
                      <a:picLocks noChangeAspect="1" noChangeArrowheads="1"/>
                    </pic:cNvPicPr>
                  </pic:nvPicPr>
                  <pic:blipFill>
                    <a:blip r:embed="rId16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-3025140</wp:posOffset>
            </wp:positionV>
            <wp:extent cx="8255" cy="8255"/>
            <wp:wrapNone/>
            <wp:docPr id="1621" name="Picture 1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1"/>
                    <pic:cNvPicPr>
                      <a:picLocks noChangeAspect="1" noChangeArrowheads="1"/>
                    </pic:cNvPicPr>
                  </pic:nvPicPr>
                  <pic:blipFill>
                    <a:blip r:embed="rId16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-3007995</wp:posOffset>
            </wp:positionV>
            <wp:extent cx="8255" cy="8255"/>
            <wp:wrapNone/>
            <wp:docPr id="1622" name="Picture 1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2"/>
                    <pic:cNvPicPr>
                      <a:picLocks noChangeAspect="1" noChangeArrowheads="1"/>
                    </pic:cNvPicPr>
                  </pic:nvPicPr>
                  <pic:blipFill>
                    <a:blip r:embed="rId16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-2990850</wp:posOffset>
            </wp:positionV>
            <wp:extent cx="8255" cy="8890"/>
            <wp:wrapNone/>
            <wp:docPr id="1623" name="Picture 1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3"/>
                    <pic:cNvPicPr>
                      <a:picLocks noChangeAspect="1" noChangeArrowheads="1"/>
                    </pic:cNvPicPr>
                  </pic:nvPicPr>
                  <pic:blipFill>
                    <a:blip r:embed="rId16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-2973705</wp:posOffset>
            </wp:positionV>
            <wp:extent cx="8255" cy="8890"/>
            <wp:wrapNone/>
            <wp:docPr id="1624" name="Picture 1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4"/>
                    <pic:cNvPicPr>
                      <a:picLocks noChangeAspect="1" noChangeArrowheads="1"/>
                    </pic:cNvPicPr>
                  </pic:nvPicPr>
                  <pic:blipFill>
                    <a:blip r:embed="rId16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-2956560</wp:posOffset>
            </wp:positionV>
            <wp:extent cx="8255" cy="8255"/>
            <wp:wrapNone/>
            <wp:docPr id="1625" name="Picture 1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5"/>
                    <pic:cNvPicPr>
                      <a:picLocks noChangeAspect="1" noChangeArrowheads="1"/>
                    </pic:cNvPicPr>
                  </pic:nvPicPr>
                  <pic:blipFill>
                    <a:blip r:embed="rId16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-2939415</wp:posOffset>
            </wp:positionV>
            <wp:extent cx="8255" cy="8255"/>
            <wp:wrapNone/>
            <wp:docPr id="1626" name="Picture 1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6"/>
                    <pic:cNvPicPr>
                      <a:picLocks noChangeAspect="1" noChangeArrowheads="1"/>
                    </pic:cNvPicPr>
                  </pic:nvPicPr>
                  <pic:blipFill>
                    <a:blip r:embed="rId16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-2922270</wp:posOffset>
            </wp:positionV>
            <wp:extent cx="8255" cy="8255"/>
            <wp:wrapNone/>
            <wp:docPr id="1627" name="Picture 1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7"/>
                    <pic:cNvPicPr>
                      <a:picLocks noChangeAspect="1" noChangeArrowheads="1"/>
                    </pic:cNvPicPr>
                  </pic:nvPicPr>
                  <pic:blipFill>
                    <a:blip r:embed="rId16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-2905125</wp:posOffset>
            </wp:positionV>
            <wp:extent cx="8255" cy="8890"/>
            <wp:wrapNone/>
            <wp:docPr id="1628" name="Picture 1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8"/>
                    <pic:cNvPicPr>
                      <a:picLocks noChangeAspect="1" noChangeArrowheads="1"/>
                    </pic:cNvPicPr>
                  </pic:nvPicPr>
                  <pic:blipFill>
                    <a:blip r:embed="rId163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-2887980</wp:posOffset>
            </wp:positionV>
            <wp:extent cx="8255" cy="25400"/>
            <wp:wrapNone/>
            <wp:docPr id="1629" name="Picture 1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9"/>
                    <pic:cNvPicPr>
                      <a:picLocks noChangeAspect="1" noChangeArrowheads="1"/>
                    </pic:cNvPicPr>
                  </pic:nvPicPr>
                  <pic:blipFill>
                    <a:blip r:embed="rId1636">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-3110865</wp:posOffset>
            </wp:positionV>
            <wp:extent cx="8890" cy="8255"/>
            <wp:wrapNone/>
            <wp:docPr id="1630" name="Picture 1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0"/>
                    <pic:cNvPicPr>
                      <a:picLocks noChangeAspect="1" noChangeArrowheads="1"/>
                    </pic:cNvPicPr>
                  </pic:nvPicPr>
                  <pic:blipFill>
                    <a:blip r:embed="rId16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-3093720</wp:posOffset>
            </wp:positionV>
            <wp:extent cx="8890" cy="8255"/>
            <wp:wrapNone/>
            <wp:docPr id="1631" name="Picture 1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1"/>
                    <pic:cNvPicPr>
                      <a:picLocks noChangeAspect="1" noChangeArrowheads="1"/>
                    </pic:cNvPicPr>
                  </pic:nvPicPr>
                  <pic:blipFill>
                    <a:blip r:embed="rId16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-3076575</wp:posOffset>
            </wp:positionV>
            <wp:extent cx="8890" cy="8890"/>
            <wp:wrapNone/>
            <wp:docPr id="1632" name="Picture 1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2"/>
                    <pic:cNvPicPr>
                      <a:picLocks noChangeAspect="1" noChangeArrowheads="1"/>
                    </pic:cNvPicPr>
                  </pic:nvPicPr>
                  <pic:blipFill>
                    <a:blip r:embed="rId16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-3059430</wp:posOffset>
            </wp:positionV>
            <wp:extent cx="8890" cy="8890"/>
            <wp:wrapNone/>
            <wp:docPr id="1633" name="Picture 1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3"/>
                    <pic:cNvPicPr>
                      <a:picLocks noChangeAspect="1" noChangeArrowheads="1"/>
                    </pic:cNvPicPr>
                  </pic:nvPicPr>
                  <pic:blipFill>
                    <a:blip r:embed="rId16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-3042285</wp:posOffset>
            </wp:positionV>
            <wp:extent cx="8890" cy="8255"/>
            <wp:wrapNone/>
            <wp:docPr id="1634" name="Picture 1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4"/>
                    <pic:cNvPicPr>
                      <a:picLocks noChangeAspect="1" noChangeArrowheads="1"/>
                    </pic:cNvPicPr>
                  </pic:nvPicPr>
                  <pic:blipFill>
                    <a:blip r:embed="rId16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-3025140</wp:posOffset>
            </wp:positionV>
            <wp:extent cx="8890" cy="8255"/>
            <wp:wrapNone/>
            <wp:docPr id="1635" name="Picture 1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5"/>
                    <pic:cNvPicPr>
                      <a:picLocks noChangeAspect="1" noChangeArrowheads="1"/>
                    </pic:cNvPicPr>
                  </pic:nvPicPr>
                  <pic:blipFill>
                    <a:blip r:embed="rId16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-3007995</wp:posOffset>
            </wp:positionV>
            <wp:extent cx="8890" cy="8255"/>
            <wp:wrapNone/>
            <wp:docPr id="1636" name="Picture 1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6"/>
                    <pic:cNvPicPr>
                      <a:picLocks noChangeAspect="1" noChangeArrowheads="1"/>
                    </pic:cNvPicPr>
                  </pic:nvPicPr>
                  <pic:blipFill>
                    <a:blip r:embed="rId16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-2990850</wp:posOffset>
            </wp:positionV>
            <wp:extent cx="8890" cy="8890"/>
            <wp:wrapNone/>
            <wp:docPr id="1637" name="Picture 1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7"/>
                    <pic:cNvPicPr>
                      <a:picLocks noChangeAspect="1" noChangeArrowheads="1"/>
                    </pic:cNvPicPr>
                  </pic:nvPicPr>
                  <pic:blipFill>
                    <a:blip r:embed="rId16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-2973705</wp:posOffset>
            </wp:positionV>
            <wp:extent cx="8890" cy="8890"/>
            <wp:wrapNone/>
            <wp:docPr id="1638" name="Picture 1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8"/>
                    <pic:cNvPicPr>
                      <a:picLocks noChangeAspect="1" noChangeArrowheads="1"/>
                    </pic:cNvPicPr>
                  </pic:nvPicPr>
                  <pic:blipFill>
                    <a:blip r:embed="rId16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-2956560</wp:posOffset>
            </wp:positionV>
            <wp:extent cx="8890" cy="8255"/>
            <wp:wrapNone/>
            <wp:docPr id="1639" name="Picture 1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9"/>
                    <pic:cNvPicPr>
                      <a:picLocks noChangeAspect="1" noChangeArrowheads="1"/>
                    </pic:cNvPicPr>
                  </pic:nvPicPr>
                  <pic:blipFill>
                    <a:blip r:embed="rId16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-2939415</wp:posOffset>
            </wp:positionV>
            <wp:extent cx="8890" cy="8255"/>
            <wp:wrapNone/>
            <wp:docPr id="1640" name="Picture 1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0"/>
                    <pic:cNvPicPr>
                      <a:picLocks noChangeAspect="1" noChangeArrowheads="1"/>
                    </pic:cNvPicPr>
                  </pic:nvPicPr>
                  <pic:blipFill>
                    <a:blip r:embed="rId16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-2922270</wp:posOffset>
            </wp:positionV>
            <wp:extent cx="8890" cy="8255"/>
            <wp:wrapNone/>
            <wp:docPr id="1641" name="Picture 1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1"/>
                    <pic:cNvPicPr>
                      <a:picLocks noChangeAspect="1" noChangeArrowheads="1"/>
                    </pic:cNvPicPr>
                  </pic:nvPicPr>
                  <pic:blipFill>
                    <a:blip r:embed="rId16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-2905125</wp:posOffset>
            </wp:positionV>
            <wp:extent cx="8890" cy="8890"/>
            <wp:wrapNone/>
            <wp:docPr id="1642" name="Picture 1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2"/>
                    <pic:cNvPicPr>
                      <a:picLocks noChangeAspect="1" noChangeArrowheads="1"/>
                    </pic:cNvPicPr>
                  </pic:nvPicPr>
                  <pic:blipFill>
                    <a:blip r:embed="rId16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-2887980</wp:posOffset>
            </wp:positionV>
            <wp:extent cx="8890" cy="25400"/>
            <wp:wrapNone/>
            <wp:docPr id="1643" name="Picture 1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3"/>
                    <pic:cNvPicPr>
                      <a:picLocks noChangeAspect="1" noChangeArrowheads="1"/>
                    </pic:cNvPicPr>
                  </pic:nvPicPr>
                  <pic:blipFill>
                    <a:blip r:embed="rId1650">
                      <a:extLst>
                        <a:ext uri="{28A0092B-C50C-407E-A947-70E740481C1C}"/>
                      </a:extLst>
                    </a:blip>
                    <a:srcRect/>
                    <a:stretch>
                      <a:fillRect/>
                    </a:stretch>
                  </pic:blipFill>
                  <pic:spPr bwMode="auto">
                    <a:xfrm>
                      <a:off x="0" y="0"/>
                      <a:ext cx="8890" cy="2540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-3282315</wp:posOffset>
            </wp:positionV>
            <wp:extent cx="8255" cy="8255"/>
            <wp:wrapNone/>
            <wp:docPr id="1644" name="Picture 1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4"/>
                    <pic:cNvPicPr>
                      <a:picLocks noChangeAspect="1" noChangeArrowheads="1"/>
                    </pic:cNvPicPr>
                  </pic:nvPicPr>
                  <pic:blipFill>
                    <a:blip r:embed="rId16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-3265170</wp:posOffset>
            </wp:positionV>
            <wp:extent cx="8255" cy="8255"/>
            <wp:wrapNone/>
            <wp:docPr id="1645" name="Picture 1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5"/>
                    <pic:cNvPicPr>
                      <a:picLocks noChangeAspect="1" noChangeArrowheads="1"/>
                    </pic:cNvPicPr>
                  </pic:nvPicPr>
                  <pic:blipFill>
                    <a:blip r:embed="rId16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-3248025</wp:posOffset>
            </wp:positionV>
            <wp:extent cx="8255" cy="8890"/>
            <wp:wrapNone/>
            <wp:docPr id="1646" name="Picture 1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6"/>
                    <pic:cNvPicPr>
                      <a:picLocks noChangeAspect="1" noChangeArrowheads="1"/>
                    </pic:cNvPicPr>
                  </pic:nvPicPr>
                  <pic:blipFill>
                    <a:blip r:embed="rId16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-3230880</wp:posOffset>
            </wp:positionV>
            <wp:extent cx="8255" cy="8890"/>
            <wp:wrapNone/>
            <wp:docPr id="1647" name="Picture 1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7"/>
                    <pic:cNvPicPr>
                      <a:picLocks noChangeAspect="1" noChangeArrowheads="1"/>
                    </pic:cNvPicPr>
                  </pic:nvPicPr>
                  <pic:blipFill>
                    <a:blip r:embed="rId165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-3213735</wp:posOffset>
            </wp:positionV>
            <wp:extent cx="8255" cy="8255"/>
            <wp:wrapNone/>
            <wp:docPr id="1648" name="Picture 1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8"/>
                    <pic:cNvPicPr>
                      <a:picLocks noChangeAspect="1" noChangeArrowheads="1"/>
                    </pic:cNvPicPr>
                  </pic:nvPicPr>
                  <pic:blipFill>
                    <a:blip r:embed="rId16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-3196590</wp:posOffset>
            </wp:positionV>
            <wp:extent cx="8255" cy="8255"/>
            <wp:wrapNone/>
            <wp:docPr id="1649" name="Picture 1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9"/>
                    <pic:cNvPicPr>
                      <a:picLocks noChangeAspect="1" noChangeArrowheads="1"/>
                    </pic:cNvPicPr>
                  </pic:nvPicPr>
                  <pic:blipFill>
                    <a:blip r:embed="rId16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-3179445</wp:posOffset>
            </wp:positionV>
            <wp:extent cx="8255" cy="8255"/>
            <wp:wrapNone/>
            <wp:docPr id="1650" name="Picture 1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0"/>
                    <pic:cNvPicPr>
                      <a:picLocks noChangeAspect="1" noChangeArrowheads="1"/>
                    </pic:cNvPicPr>
                  </pic:nvPicPr>
                  <pic:blipFill>
                    <a:blip r:embed="rId16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-3162300</wp:posOffset>
            </wp:positionV>
            <wp:extent cx="8255" cy="8890"/>
            <wp:wrapNone/>
            <wp:docPr id="1651" name="Picture 1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1"/>
                    <pic:cNvPicPr>
                      <a:picLocks noChangeAspect="1" noChangeArrowheads="1"/>
                    </pic:cNvPicPr>
                  </pic:nvPicPr>
                  <pic:blipFill>
                    <a:blip r:embed="rId16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-3145155</wp:posOffset>
            </wp:positionV>
            <wp:extent cx="8255" cy="25400"/>
            <wp:wrapNone/>
            <wp:docPr id="1652" name="Picture 1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2"/>
                    <pic:cNvPicPr>
                      <a:picLocks noChangeAspect="1" noChangeArrowheads="1"/>
                    </pic:cNvPicPr>
                  </pic:nvPicPr>
                  <pic:blipFill>
                    <a:blip r:embed="rId1659">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-3282315</wp:posOffset>
            </wp:positionV>
            <wp:extent cx="8255" cy="8255"/>
            <wp:wrapNone/>
            <wp:docPr id="1653" name="Picture 1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3"/>
                    <pic:cNvPicPr>
                      <a:picLocks noChangeAspect="1" noChangeArrowheads="1"/>
                    </pic:cNvPicPr>
                  </pic:nvPicPr>
                  <pic:blipFill>
                    <a:blip r:embed="rId16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-3265170</wp:posOffset>
            </wp:positionV>
            <wp:extent cx="8255" cy="8255"/>
            <wp:wrapNone/>
            <wp:docPr id="1654" name="Picture 1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4"/>
                    <pic:cNvPicPr>
                      <a:picLocks noChangeAspect="1" noChangeArrowheads="1"/>
                    </pic:cNvPicPr>
                  </pic:nvPicPr>
                  <pic:blipFill>
                    <a:blip r:embed="rId16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-3248025</wp:posOffset>
            </wp:positionV>
            <wp:extent cx="8255" cy="8890"/>
            <wp:wrapNone/>
            <wp:docPr id="1655" name="Picture 1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5"/>
                    <pic:cNvPicPr>
                      <a:picLocks noChangeAspect="1" noChangeArrowheads="1"/>
                    </pic:cNvPicPr>
                  </pic:nvPicPr>
                  <pic:blipFill>
                    <a:blip r:embed="rId166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-3230880</wp:posOffset>
            </wp:positionV>
            <wp:extent cx="8255" cy="8890"/>
            <wp:wrapNone/>
            <wp:docPr id="1656" name="Picture 1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6"/>
                    <pic:cNvPicPr>
                      <a:picLocks noChangeAspect="1" noChangeArrowheads="1"/>
                    </pic:cNvPicPr>
                  </pic:nvPicPr>
                  <pic:blipFill>
                    <a:blip r:embed="rId166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-3213735</wp:posOffset>
            </wp:positionV>
            <wp:extent cx="8255" cy="8255"/>
            <wp:wrapNone/>
            <wp:docPr id="1657" name="Picture 1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7"/>
                    <pic:cNvPicPr>
                      <a:picLocks noChangeAspect="1" noChangeArrowheads="1"/>
                    </pic:cNvPicPr>
                  </pic:nvPicPr>
                  <pic:blipFill>
                    <a:blip r:embed="rId16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-3196590</wp:posOffset>
            </wp:positionV>
            <wp:extent cx="8255" cy="8255"/>
            <wp:wrapNone/>
            <wp:docPr id="1658" name="Picture 1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8"/>
                    <pic:cNvPicPr>
                      <a:picLocks noChangeAspect="1" noChangeArrowheads="1"/>
                    </pic:cNvPicPr>
                  </pic:nvPicPr>
                  <pic:blipFill>
                    <a:blip r:embed="rId16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-3179445</wp:posOffset>
            </wp:positionV>
            <wp:extent cx="8255" cy="8255"/>
            <wp:wrapNone/>
            <wp:docPr id="1659" name="Picture 1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9"/>
                    <pic:cNvPicPr>
                      <a:picLocks noChangeAspect="1" noChangeArrowheads="1"/>
                    </pic:cNvPicPr>
                  </pic:nvPicPr>
                  <pic:blipFill>
                    <a:blip r:embed="rId16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-3162300</wp:posOffset>
            </wp:positionV>
            <wp:extent cx="8255" cy="8890"/>
            <wp:wrapNone/>
            <wp:docPr id="1660" name="Picture 1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0"/>
                    <pic:cNvPicPr>
                      <a:picLocks noChangeAspect="1" noChangeArrowheads="1"/>
                    </pic:cNvPicPr>
                  </pic:nvPicPr>
                  <pic:blipFill>
                    <a:blip r:embed="rId166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-3145155</wp:posOffset>
            </wp:positionV>
            <wp:extent cx="8255" cy="25400"/>
            <wp:wrapNone/>
            <wp:docPr id="1661" name="Picture 1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1"/>
                    <pic:cNvPicPr>
                      <a:picLocks noChangeAspect="1" noChangeArrowheads="1"/>
                    </pic:cNvPicPr>
                  </pic:nvPicPr>
                  <pic:blipFill>
                    <a:blip r:embed="rId1668">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-3282315</wp:posOffset>
            </wp:positionV>
            <wp:extent cx="8890" cy="8255"/>
            <wp:wrapNone/>
            <wp:docPr id="1662" name="Picture 1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2"/>
                    <pic:cNvPicPr>
                      <a:picLocks noChangeAspect="1" noChangeArrowheads="1"/>
                    </pic:cNvPicPr>
                  </pic:nvPicPr>
                  <pic:blipFill>
                    <a:blip r:embed="rId16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-3265170</wp:posOffset>
            </wp:positionV>
            <wp:extent cx="8890" cy="8255"/>
            <wp:wrapNone/>
            <wp:docPr id="1663" name="Picture 1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3"/>
                    <pic:cNvPicPr>
                      <a:picLocks noChangeAspect="1" noChangeArrowheads="1"/>
                    </pic:cNvPicPr>
                  </pic:nvPicPr>
                  <pic:blipFill>
                    <a:blip r:embed="rId16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-3248025</wp:posOffset>
            </wp:positionV>
            <wp:extent cx="8890" cy="8890"/>
            <wp:wrapNone/>
            <wp:docPr id="1664" name="Picture 1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4"/>
                    <pic:cNvPicPr>
                      <a:picLocks noChangeAspect="1" noChangeArrowheads="1"/>
                    </pic:cNvPicPr>
                  </pic:nvPicPr>
                  <pic:blipFill>
                    <a:blip r:embed="rId16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-3230880</wp:posOffset>
            </wp:positionV>
            <wp:extent cx="8890" cy="8890"/>
            <wp:wrapNone/>
            <wp:docPr id="1665" name="Picture 1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5"/>
                    <pic:cNvPicPr>
                      <a:picLocks noChangeAspect="1" noChangeArrowheads="1"/>
                    </pic:cNvPicPr>
                  </pic:nvPicPr>
                  <pic:blipFill>
                    <a:blip r:embed="rId16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-3213735</wp:posOffset>
            </wp:positionV>
            <wp:extent cx="8890" cy="8255"/>
            <wp:wrapNone/>
            <wp:docPr id="1666" name="Picture 1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6"/>
                    <pic:cNvPicPr>
                      <a:picLocks noChangeAspect="1" noChangeArrowheads="1"/>
                    </pic:cNvPicPr>
                  </pic:nvPicPr>
                  <pic:blipFill>
                    <a:blip r:embed="rId16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-3196590</wp:posOffset>
            </wp:positionV>
            <wp:extent cx="8890" cy="8255"/>
            <wp:wrapNone/>
            <wp:docPr id="1667" name="Picture 1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7"/>
                    <pic:cNvPicPr>
                      <a:picLocks noChangeAspect="1" noChangeArrowheads="1"/>
                    </pic:cNvPicPr>
                  </pic:nvPicPr>
                  <pic:blipFill>
                    <a:blip r:embed="rId16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-3179445</wp:posOffset>
            </wp:positionV>
            <wp:extent cx="8890" cy="8255"/>
            <wp:wrapNone/>
            <wp:docPr id="1668" name="Picture 1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8"/>
                    <pic:cNvPicPr>
                      <a:picLocks noChangeAspect="1" noChangeArrowheads="1"/>
                    </pic:cNvPicPr>
                  </pic:nvPicPr>
                  <pic:blipFill>
                    <a:blip r:embed="rId16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-3162300</wp:posOffset>
            </wp:positionV>
            <wp:extent cx="8890" cy="8890"/>
            <wp:wrapNone/>
            <wp:docPr id="1669" name="Picture 1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9"/>
                    <pic:cNvPicPr>
                      <a:picLocks noChangeAspect="1" noChangeArrowheads="1"/>
                    </pic:cNvPicPr>
                  </pic:nvPicPr>
                  <pic:blipFill>
                    <a:blip r:embed="rId16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-3145155</wp:posOffset>
            </wp:positionV>
            <wp:extent cx="8890" cy="25400"/>
            <wp:wrapNone/>
            <wp:docPr id="1670" name="Picture 1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0"/>
                    <pic:cNvPicPr>
                      <a:picLocks noChangeAspect="1" noChangeArrowheads="1"/>
                    </pic:cNvPicPr>
                  </pic:nvPicPr>
                  <pic:blipFill>
                    <a:blip r:embed="rId1677">
                      <a:extLst>
                        <a:ext uri="{28A0092B-C50C-407E-A947-70E740481C1C}"/>
                      </a:extLst>
                    </a:blip>
                    <a:srcRect/>
                    <a:stretch>
                      <a:fillRect/>
                    </a:stretch>
                  </pic:blipFill>
                  <pic:spPr bwMode="auto">
                    <a:xfrm>
                      <a:off x="0" y="0"/>
                      <a:ext cx="8890" cy="2540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-3445510</wp:posOffset>
            </wp:positionV>
            <wp:extent cx="8255" cy="8890"/>
            <wp:wrapNone/>
            <wp:docPr id="1671" name="Picture 1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1"/>
                    <pic:cNvPicPr>
                      <a:picLocks noChangeAspect="1" noChangeArrowheads="1"/>
                    </pic:cNvPicPr>
                  </pic:nvPicPr>
                  <pic:blipFill>
                    <a:blip r:embed="rId16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-3428365</wp:posOffset>
            </wp:positionV>
            <wp:extent cx="8255" cy="8255"/>
            <wp:wrapNone/>
            <wp:docPr id="1672" name="Picture 1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2"/>
                    <pic:cNvPicPr>
                      <a:picLocks noChangeAspect="1" noChangeArrowheads="1"/>
                    </pic:cNvPicPr>
                  </pic:nvPicPr>
                  <pic:blipFill>
                    <a:blip r:embed="rId16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-3411220</wp:posOffset>
            </wp:positionV>
            <wp:extent cx="8255" cy="8255"/>
            <wp:wrapNone/>
            <wp:docPr id="1673" name="Picture 1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3"/>
                    <pic:cNvPicPr>
                      <a:picLocks noChangeAspect="1" noChangeArrowheads="1"/>
                    </pic:cNvPicPr>
                  </pic:nvPicPr>
                  <pic:blipFill>
                    <a:blip r:embed="rId16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-3394075</wp:posOffset>
            </wp:positionV>
            <wp:extent cx="8255" cy="8255"/>
            <wp:wrapNone/>
            <wp:docPr id="1674" name="Picture 1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4"/>
                    <pic:cNvPicPr>
                      <a:picLocks noChangeAspect="1" noChangeArrowheads="1"/>
                    </pic:cNvPicPr>
                  </pic:nvPicPr>
                  <pic:blipFill>
                    <a:blip r:embed="rId16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-3376930</wp:posOffset>
            </wp:positionV>
            <wp:extent cx="8255" cy="8890"/>
            <wp:wrapNone/>
            <wp:docPr id="1675" name="Picture 1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5"/>
                    <pic:cNvPicPr>
                      <a:picLocks noChangeAspect="1" noChangeArrowheads="1"/>
                    </pic:cNvPicPr>
                  </pic:nvPicPr>
                  <pic:blipFill>
                    <a:blip r:embed="rId168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-3359785</wp:posOffset>
            </wp:positionV>
            <wp:extent cx="8255" cy="8890"/>
            <wp:wrapNone/>
            <wp:docPr id="1676" name="Picture 1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6"/>
                    <pic:cNvPicPr>
                      <a:picLocks noChangeAspect="1" noChangeArrowheads="1"/>
                    </pic:cNvPicPr>
                  </pic:nvPicPr>
                  <pic:blipFill>
                    <a:blip r:embed="rId168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-3342640</wp:posOffset>
            </wp:positionV>
            <wp:extent cx="8255" cy="8255"/>
            <wp:wrapNone/>
            <wp:docPr id="1677" name="Picture 1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7"/>
                    <pic:cNvPicPr>
                      <a:picLocks noChangeAspect="1" noChangeArrowheads="1"/>
                    </pic:cNvPicPr>
                  </pic:nvPicPr>
                  <pic:blipFill>
                    <a:blip r:embed="rId16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-3325495</wp:posOffset>
            </wp:positionV>
            <wp:extent cx="8255" cy="8255"/>
            <wp:wrapNone/>
            <wp:docPr id="1678" name="Picture 1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8"/>
                    <pic:cNvPicPr>
                      <a:picLocks noChangeAspect="1" noChangeArrowheads="1"/>
                    </pic:cNvPicPr>
                  </pic:nvPicPr>
                  <pic:blipFill>
                    <a:blip r:embed="rId16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-3308350</wp:posOffset>
            </wp:positionV>
            <wp:extent cx="8255" cy="17145"/>
            <wp:wrapNone/>
            <wp:docPr id="1679" name="Picture 1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9"/>
                    <pic:cNvPicPr>
                      <a:picLocks noChangeAspect="1" noChangeArrowheads="1"/>
                    </pic:cNvPicPr>
                  </pic:nvPicPr>
                  <pic:blipFill>
                    <a:blip r:embed="rId1686">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-3445510</wp:posOffset>
            </wp:positionV>
            <wp:extent cx="8255" cy="8890"/>
            <wp:wrapNone/>
            <wp:docPr id="1680" name="Picture 1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0"/>
                    <pic:cNvPicPr>
                      <a:picLocks noChangeAspect="1" noChangeArrowheads="1"/>
                    </pic:cNvPicPr>
                  </pic:nvPicPr>
                  <pic:blipFill>
                    <a:blip r:embed="rId168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-3428365</wp:posOffset>
            </wp:positionV>
            <wp:extent cx="8255" cy="8255"/>
            <wp:wrapNone/>
            <wp:docPr id="1681" name="Picture 1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1"/>
                    <pic:cNvPicPr>
                      <a:picLocks noChangeAspect="1" noChangeArrowheads="1"/>
                    </pic:cNvPicPr>
                  </pic:nvPicPr>
                  <pic:blipFill>
                    <a:blip r:embed="rId16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-3411220</wp:posOffset>
            </wp:positionV>
            <wp:extent cx="8255" cy="8255"/>
            <wp:wrapNone/>
            <wp:docPr id="1682" name="Picture 1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2"/>
                    <pic:cNvPicPr>
                      <a:picLocks noChangeAspect="1" noChangeArrowheads="1"/>
                    </pic:cNvPicPr>
                  </pic:nvPicPr>
                  <pic:blipFill>
                    <a:blip r:embed="rId16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-3394075</wp:posOffset>
            </wp:positionV>
            <wp:extent cx="8255" cy="8255"/>
            <wp:wrapNone/>
            <wp:docPr id="1683" name="Picture 1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3"/>
                    <pic:cNvPicPr>
                      <a:picLocks noChangeAspect="1" noChangeArrowheads="1"/>
                    </pic:cNvPicPr>
                  </pic:nvPicPr>
                  <pic:blipFill>
                    <a:blip r:embed="rId16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-3376930</wp:posOffset>
            </wp:positionV>
            <wp:extent cx="8255" cy="8890"/>
            <wp:wrapNone/>
            <wp:docPr id="1684" name="Picture 1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4"/>
                    <pic:cNvPicPr>
                      <a:picLocks noChangeAspect="1" noChangeArrowheads="1"/>
                    </pic:cNvPicPr>
                  </pic:nvPicPr>
                  <pic:blipFill>
                    <a:blip r:embed="rId169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-3359785</wp:posOffset>
            </wp:positionV>
            <wp:extent cx="8255" cy="8890"/>
            <wp:wrapNone/>
            <wp:docPr id="1685" name="Picture 1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5"/>
                    <pic:cNvPicPr>
                      <a:picLocks noChangeAspect="1" noChangeArrowheads="1"/>
                    </pic:cNvPicPr>
                  </pic:nvPicPr>
                  <pic:blipFill>
                    <a:blip r:embed="rId169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-3342640</wp:posOffset>
            </wp:positionV>
            <wp:extent cx="8255" cy="8255"/>
            <wp:wrapNone/>
            <wp:docPr id="1686" name="Picture 1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6"/>
                    <pic:cNvPicPr>
                      <a:picLocks noChangeAspect="1" noChangeArrowheads="1"/>
                    </pic:cNvPicPr>
                  </pic:nvPicPr>
                  <pic:blipFill>
                    <a:blip r:embed="rId16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-3325495</wp:posOffset>
            </wp:positionV>
            <wp:extent cx="8255" cy="8255"/>
            <wp:wrapNone/>
            <wp:docPr id="1687" name="Picture 1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7"/>
                    <pic:cNvPicPr>
                      <a:picLocks noChangeAspect="1" noChangeArrowheads="1"/>
                    </pic:cNvPicPr>
                  </pic:nvPicPr>
                  <pic:blipFill>
                    <a:blip r:embed="rId16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-3308350</wp:posOffset>
            </wp:positionV>
            <wp:extent cx="8255" cy="17145"/>
            <wp:wrapNone/>
            <wp:docPr id="1688" name="Picture 1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8"/>
                    <pic:cNvPicPr>
                      <a:picLocks noChangeAspect="1" noChangeArrowheads="1"/>
                    </pic:cNvPicPr>
                  </pic:nvPicPr>
                  <pic:blipFill>
                    <a:blip r:embed="rId1695">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-3445510</wp:posOffset>
            </wp:positionV>
            <wp:extent cx="8890" cy="8890"/>
            <wp:wrapNone/>
            <wp:docPr id="1689" name="Picture 1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9"/>
                    <pic:cNvPicPr>
                      <a:picLocks noChangeAspect="1" noChangeArrowheads="1"/>
                    </pic:cNvPicPr>
                  </pic:nvPicPr>
                  <pic:blipFill>
                    <a:blip r:embed="rId16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-3428365</wp:posOffset>
            </wp:positionV>
            <wp:extent cx="8890" cy="8255"/>
            <wp:wrapNone/>
            <wp:docPr id="1690" name="Picture 1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0"/>
                    <pic:cNvPicPr>
                      <a:picLocks noChangeAspect="1" noChangeArrowheads="1"/>
                    </pic:cNvPicPr>
                  </pic:nvPicPr>
                  <pic:blipFill>
                    <a:blip r:embed="rId16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-3411220</wp:posOffset>
            </wp:positionV>
            <wp:extent cx="8890" cy="8255"/>
            <wp:wrapNone/>
            <wp:docPr id="1691" name="Picture 1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1"/>
                    <pic:cNvPicPr>
                      <a:picLocks noChangeAspect="1" noChangeArrowheads="1"/>
                    </pic:cNvPicPr>
                  </pic:nvPicPr>
                  <pic:blipFill>
                    <a:blip r:embed="rId16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-3394075</wp:posOffset>
            </wp:positionV>
            <wp:extent cx="8890" cy="8255"/>
            <wp:wrapNone/>
            <wp:docPr id="1692" name="Picture 1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2"/>
                    <pic:cNvPicPr>
                      <a:picLocks noChangeAspect="1" noChangeArrowheads="1"/>
                    </pic:cNvPicPr>
                  </pic:nvPicPr>
                  <pic:blipFill>
                    <a:blip r:embed="rId16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-3376930</wp:posOffset>
            </wp:positionV>
            <wp:extent cx="8890" cy="8890"/>
            <wp:wrapNone/>
            <wp:docPr id="1693" name="Picture 1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3"/>
                    <pic:cNvPicPr>
                      <a:picLocks noChangeAspect="1" noChangeArrowheads="1"/>
                    </pic:cNvPicPr>
                  </pic:nvPicPr>
                  <pic:blipFill>
                    <a:blip r:embed="rId17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-3359785</wp:posOffset>
            </wp:positionV>
            <wp:extent cx="8890" cy="8890"/>
            <wp:wrapNone/>
            <wp:docPr id="1694" name="Picture 1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4"/>
                    <pic:cNvPicPr>
                      <a:picLocks noChangeAspect="1" noChangeArrowheads="1"/>
                    </pic:cNvPicPr>
                  </pic:nvPicPr>
                  <pic:blipFill>
                    <a:blip r:embed="rId17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-3342640</wp:posOffset>
            </wp:positionV>
            <wp:extent cx="8890" cy="8255"/>
            <wp:wrapNone/>
            <wp:docPr id="1695" name="Picture 1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5"/>
                    <pic:cNvPicPr>
                      <a:picLocks noChangeAspect="1" noChangeArrowheads="1"/>
                    </pic:cNvPicPr>
                  </pic:nvPicPr>
                  <pic:blipFill>
                    <a:blip r:embed="rId17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-3325495</wp:posOffset>
            </wp:positionV>
            <wp:extent cx="8890" cy="8255"/>
            <wp:wrapNone/>
            <wp:docPr id="1696" name="Picture 1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6"/>
                    <pic:cNvPicPr>
                      <a:picLocks noChangeAspect="1" noChangeArrowheads="1"/>
                    </pic:cNvPicPr>
                  </pic:nvPicPr>
                  <pic:blipFill>
                    <a:blip r:embed="rId17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-3308350</wp:posOffset>
            </wp:positionV>
            <wp:extent cx="8890" cy="17145"/>
            <wp:wrapNone/>
            <wp:docPr id="1697" name="Picture 1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7"/>
                    <pic:cNvPicPr>
                      <a:picLocks noChangeAspect="1" noChangeArrowheads="1"/>
                    </pic:cNvPicPr>
                  </pic:nvPicPr>
                  <pic:blipFill>
                    <a:blip r:embed="rId1704">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-3693795</wp:posOffset>
            </wp:positionV>
            <wp:extent cx="8255" cy="8255"/>
            <wp:wrapNone/>
            <wp:docPr id="1698" name="Picture 1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8"/>
                    <pic:cNvPicPr>
                      <a:picLocks noChangeAspect="1" noChangeArrowheads="1"/>
                    </pic:cNvPicPr>
                  </pic:nvPicPr>
                  <pic:blipFill>
                    <a:blip r:embed="rId17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-3676650</wp:posOffset>
            </wp:positionV>
            <wp:extent cx="8255" cy="8255"/>
            <wp:wrapNone/>
            <wp:docPr id="1699" name="Picture 1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9"/>
                    <pic:cNvPicPr>
                      <a:picLocks noChangeAspect="1" noChangeArrowheads="1"/>
                    </pic:cNvPicPr>
                  </pic:nvPicPr>
                  <pic:blipFill>
                    <a:blip r:embed="rId17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-3659505</wp:posOffset>
            </wp:positionV>
            <wp:extent cx="8255" cy="8890"/>
            <wp:wrapNone/>
            <wp:docPr id="1700" name="Picture 1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0"/>
                    <pic:cNvPicPr>
                      <a:picLocks noChangeAspect="1" noChangeArrowheads="1"/>
                    </pic:cNvPicPr>
                  </pic:nvPicPr>
                  <pic:blipFill>
                    <a:blip r:embed="rId170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-3642360</wp:posOffset>
            </wp:positionV>
            <wp:extent cx="8255" cy="8890"/>
            <wp:wrapNone/>
            <wp:docPr id="1701" name="Picture 1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1"/>
                    <pic:cNvPicPr>
                      <a:picLocks noChangeAspect="1" noChangeArrowheads="1"/>
                    </pic:cNvPicPr>
                  </pic:nvPicPr>
                  <pic:blipFill>
                    <a:blip r:embed="rId170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-3625215</wp:posOffset>
            </wp:positionV>
            <wp:extent cx="8255" cy="8255"/>
            <wp:wrapNone/>
            <wp:docPr id="1702" name="Picture 1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2"/>
                    <pic:cNvPicPr>
                      <a:picLocks noChangeAspect="1" noChangeArrowheads="1"/>
                    </pic:cNvPicPr>
                  </pic:nvPicPr>
                  <pic:blipFill>
                    <a:blip r:embed="rId17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-3608070</wp:posOffset>
            </wp:positionV>
            <wp:extent cx="8255" cy="8255"/>
            <wp:wrapNone/>
            <wp:docPr id="1703" name="Picture 1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3"/>
                    <pic:cNvPicPr>
                      <a:picLocks noChangeAspect="1" noChangeArrowheads="1"/>
                    </pic:cNvPicPr>
                  </pic:nvPicPr>
                  <pic:blipFill>
                    <a:blip r:embed="rId17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-3590925</wp:posOffset>
            </wp:positionV>
            <wp:extent cx="8255" cy="8255"/>
            <wp:wrapNone/>
            <wp:docPr id="1704" name="Picture 1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4"/>
                    <pic:cNvPicPr>
                      <a:picLocks noChangeAspect="1" noChangeArrowheads="1"/>
                    </pic:cNvPicPr>
                  </pic:nvPicPr>
                  <pic:blipFill>
                    <a:blip r:embed="rId17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-3573780</wp:posOffset>
            </wp:positionV>
            <wp:extent cx="8255" cy="8890"/>
            <wp:wrapNone/>
            <wp:docPr id="1705" name="Picture 1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5"/>
                    <pic:cNvPicPr>
                      <a:picLocks noChangeAspect="1" noChangeArrowheads="1"/>
                    </pic:cNvPicPr>
                  </pic:nvPicPr>
                  <pic:blipFill>
                    <a:blip r:embed="rId17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-3556635</wp:posOffset>
            </wp:positionV>
            <wp:extent cx="8255" cy="8890"/>
            <wp:wrapNone/>
            <wp:docPr id="1706" name="Picture 1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6"/>
                    <pic:cNvPicPr>
                      <a:picLocks noChangeAspect="1" noChangeArrowheads="1"/>
                    </pic:cNvPicPr>
                  </pic:nvPicPr>
                  <pic:blipFill>
                    <a:blip r:embed="rId17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-3539490</wp:posOffset>
            </wp:positionV>
            <wp:extent cx="8255" cy="8255"/>
            <wp:wrapNone/>
            <wp:docPr id="1707" name="Picture 1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7"/>
                    <pic:cNvPicPr>
                      <a:picLocks noChangeAspect="1" noChangeArrowheads="1"/>
                    </pic:cNvPicPr>
                  </pic:nvPicPr>
                  <pic:blipFill>
                    <a:blip r:embed="rId17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-3522345</wp:posOffset>
            </wp:positionV>
            <wp:extent cx="8255" cy="8255"/>
            <wp:wrapNone/>
            <wp:docPr id="1708" name="Picture 1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8"/>
                    <pic:cNvPicPr>
                      <a:picLocks noChangeAspect="1" noChangeArrowheads="1"/>
                    </pic:cNvPicPr>
                  </pic:nvPicPr>
                  <pic:blipFill>
                    <a:blip r:embed="rId17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-3505200</wp:posOffset>
            </wp:positionV>
            <wp:extent cx="8255" cy="8255"/>
            <wp:wrapNone/>
            <wp:docPr id="1709" name="Picture 1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9"/>
                    <pic:cNvPicPr>
                      <a:picLocks noChangeAspect="1" noChangeArrowheads="1"/>
                    </pic:cNvPicPr>
                  </pic:nvPicPr>
                  <pic:blipFill>
                    <a:blip r:embed="rId17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-3488055</wp:posOffset>
            </wp:positionV>
            <wp:extent cx="8255" cy="8890"/>
            <wp:wrapNone/>
            <wp:docPr id="1710" name="Picture 1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0"/>
                    <pic:cNvPicPr>
                      <a:picLocks noChangeAspect="1" noChangeArrowheads="1"/>
                    </pic:cNvPicPr>
                  </pic:nvPicPr>
                  <pic:blipFill>
                    <a:blip r:embed="rId171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-3470910</wp:posOffset>
            </wp:positionV>
            <wp:extent cx="8255" cy="17145"/>
            <wp:wrapNone/>
            <wp:docPr id="1711" name="Picture 1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1"/>
                    <pic:cNvPicPr>
                      <a:picLocks noChangeAspect="1" noChangeArrowheads="1"/>
                    </pic:cNvPicPr>
                  </pic:nvPicPr>
                  <pic:blipFill>
                    <a:blip r:embed="rId1718">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-3693795</wp:posOffset>
            </wp:positionV>
            <wp:extent cx="8255" cy="8255"/>
            <wp:wrapNone/>
            <wp:docPr id="1712" name="Picture 1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2"/>
                    <pic:cNvPicPr>
                      <a:picLocks noChangeAspect="1" noChangeArrowheads="1"/>
                    </pic:cNvPicPr>
                  </pic:nvPicPr>
                  <pic:blipFill>
                    <a:blip r:embed="rId17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-3676650</wp:posOffset>
            </wp:positionV>
            <wp:extent cx="8255" cy="8255"/>
            <wp:wrapNone/>
            <wp:docPr id="1713" name="Picture 1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3"/>
                    <pic:cNvPicPr>
                      <a:picLocks noChangeAspect="1" noChangeArrowheads="1"/>
                    </pic:cNvPicPr>
                  </pic:nvPicPr>
                  <pic:blipFill>
                    <a:blip r:embed="rId17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-3659505</wp:posOffset>
            </wp:positionV>
            <wp:extent cx="8255" cy="8890"/>
            <wp:wrapNone/>
            <wp:docPr id="1714" name="Picture 1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4"/>
                    <pic:cNvPicPr>
                      <a:picLocks noChangeAspect="1" noChangeArrowheads="1"/>
                    </pic:cNvPicPr>
                  </pic:nvPicPr>
                  <pic:blipFill>
                    <a:blip r:embed="rId17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-3642360</wp:posOffset>
            </wp:positionV>
            <wp:extent cx="8255" cy="8890"/>
            <wp:wrapNone/>
            <wp:docPr id="1715" name="Picture 1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5"/>
                    <pic:cNvPicPr>
                      <a:picLocks noChangeAspect="1" noChangeArrowheads="1"/>
                    </pic:cNvPicPr>
                  </pic:nvPicPr>
                  <pic:blipFill>
                    <a:blip r:embed="rId172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-3625215</wp:posOffset>
            </wp:positionV>
            <wp:extent cx="8255" cy="8255"/>
            <wp:wrapNone/>
            <wp:docPr id="1716" name="Picture 1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6"/>
                    <pic:cNvPicPr>
                      <a:picLocks noChangeAspect="1" noChangeArrowheads="1"/>
                    </pic:cNvPicPr>
                  </pic:nvPicPr>
                  <pic:blipFill>
                    <a:blip r:embed="rId17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-3608070</wp:posOffset>
            </wp:positionV>
            <wp:extent cx="8255" cy="8255"/>
            <wp:wrapNone/>
            <wp:docPr id="1717" name="Picture 1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7"/>
                    <pic:cNvPicPr>
                      <a:picLocks noChangeAspect="1" noChangeArrowheads="1"/>
                    </pic:cNvPicPr>
                  </pic:nvPicPr>
                  <pic:blipFill>
                    <a:blip r:embed="rId17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-3590925</wp:posOffset>
            </wp:positionV>
            <wp:extent cx="8255" cy="8255"/>
            <wp:wrapNone/>
            <wp:docPr id="1718" name="Picture 1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8"/>
                    <pic:cNvPicPr>
                      <a:picLocks noChangeAspect="1" noChangeArrowheads="1"/>
                    </pic:cNvPicPr>
                  </pic:nvPicPr>
                  <pic:blipFill>
                    <a:blip r:embed="rId17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-3573780</wp:posOffset>
            </wp:positionV>
            <wp:extent cx="8255" cy="8890"/>
            <wp:wrapNone/>
            <wp:docPr id="1719" name="Picture 1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9"/>
                    <pic:cNvPicPr>
                      <a:picLocks noChangeAspect="1" noChangeArrowheads="1"/>
                    </pic:cNvPicPr>
                  </pic:nvPicPr>
                  <pic:blipFill>
                    <a:blip r:embed="rId17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-3556635</wp:posOffset>
            </wp:positionV>
            <wp:extent cx="8255" cy="8890"/>
            <wp:wrapNone/>
            <wp:docPr id="1720" name="Picture 1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0"/>
                    <pic:cNvPicPr>
                      <a:picLocks noChangeAspect="1" noChangeArrowheads="1"/>
                    </pic:cNvPicPr>
                  </pic:nvPicPr>
                  <pic:blipFill>
                    <a:blip r:embed="rId172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-3539490</wp:posOffset>
            </wp:positionV>
            <wp:extent cx="8255" cy="8255"/>
            <wp:wrapNone/>
            <wp:docPr id="1721" name="Picture 1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1"/>
                    <pic:cNvPicPr>
                      <a:picLocks noChangeAspect="1" noChangeArrowheads="1"/>
                    </pic:cNvPicPr>
                  </pic:nvPicPr>
                  <pic:blipFill>
                    <a:blip r:embed="rId17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-3522345</wp:posOffset>
            </wp:positionV>
            <wp:extent cx="8255" cy="8255"/>
            <wp:wrapNone/>
            <wp:docPr id="1722" name="Picture 1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2"/>
                    <pic:cNvPicPr>
                      <a:picLocks noChangeAspect="1" noChangeArrowheads="1"/>
                    </pic:cNvPicPr>
                  </pic:nvPicPr>
                  <pic:blipFill>
                    <a:blip r:embed="rId17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-3505200</wp:posOffset>
            </wp:positionV>
            <wp:extent cx="8255" cy="8255"/>
            <wp:wrapNone/>
            <wp:docPr id="1723" name="Picture 1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3"/>
                    <pic:cNvPicPr>
                      <a:picLocks noChangeAspect="1" noChangeArrowheads="1"/>
                    </pic:cNvPicPr>
                  </pic:nvPicPr>
                  <pic:blipFill>
                    <a:blip r:embed="rId17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-3488055</wp:posOffset>
            </wp:positionV>
            <wp:extent cx="8255" cy="8890"/>
            <wp:wrapNone/>
            <wp:docPr id="1724" name="Picture 1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4"/>
                    <pic:cNvPicPr>
                      <a:picLocks noChangeAspect="1" noChangeArrowheads="1"/>
                    </pic:cNvPicPr>
                  </pic:nvPicPr>
                  <pic:blipFill>
                    <a:blip r:embed="rId17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-3470910</wp:posOffset>
            </wp:positionV>
            <wp:extent cx="8255" cy="17145"/>
            <wp:wrapNone/>
            <wp:docPr id="1725" name="Picture 1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5"/>
                    <pic:cNvPicPr>
                      <a:picLocks noChangeAspect="1" noChangeArrowheads="1"/>
                    </pic:cNvPicPr>
                  </pic:nvPicPr>
                  <pic:blipFill>
                    <a:blip r:embed="rId1732">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-3693795</wp:posOffset>
            </wp:positionV>
            <wp:extent cx="8890" cy="8255"/>
            <wp:wrapNone/>
            <wp:docPr id="1726" name="Picture 1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6"/>
                    <pic:cNvPicPr>
                      <a:picLocks noChangeAspect="1" noChangeArrowheads="1"/>
                    </pic:cNvPicPr>
                  </pic:nvPicPr>
                  <pic:blipFill>
                    <a:blip r:embed="rId17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-3676650</wp:posOffset>
            </wp:positionV>
            <wp:extent cx="8890" cy="8255"/>
            <wp:wrapNone/>
            <wp:docPr id="1727" name="Picture 1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7"/>
                    <pic:cNvPicPr>
                      <a:picLocks noChangeAspect="1" noChangeArrowheads="1"/>
                    </pic:cNvPicPr>
                  </pic:nvPicPr>
                  <pic:blipFill>
                    <a:blip r:embed="rId17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-3659505</wp:posOffset>
            </wp:positionV>
            <wp:extent cx="8890" cy="8890"/>
            <wp:wrapNone/>
            <wp:docPr id="1728" name="Picture 1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8"/>
                    <pic:cNvPicPr>
                      <a:picLocks noChangeAspect="1" noChangeArrowheads="1"/>
                    </pic:cNvPicPr>
                  </pic:nvPicPr>
                  <pic:blipFill>
                    <a:blip r:embed="rId17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-3642360</wp:posOffset>
            </wp:positionV>
            <wp:extent cx="8890" cy="8890"/>
            <wp:wrapNone/>
            <wp:docPr id="1729" name="Picture 1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9"/>
                    <pic:cNvPicPr>
                      <a:picLocks noChangeAspect="1" noChangeArrowheads="1"/>
                    </pic:cNvPicPr>
                  </pic:nvPicPr>
                  <pic:blipFill>
                    <a:blip r:embed="rId17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-3625215</wp:posOffset>
            </wp:positionV>
            <wp:extent cx="8890" cy="8255"/>
            <wp:wrapNone/>
            <wp:docPr id="1730" name="Picture 1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0"/>
                    <pic:cNvPicPr>
                      <a:picLocks noChangeAspect="1" noChangeArrowheads="1"/>
                    </pic:cNvPicPr>
                  </pic:nvPicPr>
                  <pic:blipFill>
                    <a:blip r:embed="rId17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-3608070</wp:posOffset>
            </wp:positionV>
            <wp:extent cx="8890" cy="8255"/>
            <wp:wrapNone/>
            <wp:docPr id="1731" name="Picture 1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1"/>
                    <pic:cNvPicPr>
                      <a:picLocks noChangeAspect="1" noChangeArrowheads="1"/>
                    </pic:cNvPicPr>
                  </pic:nvPicPr>
                  <pic:blipFill>
                    <a:blip r:embed="rId17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-3590925</wp:posOffset>
            </wp:positionV>
            <wp:extent cx="8890" cy="8255"/>
            <wp:wrapNone/>
            <wp:docPr id="1732" name="Picture 1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2"/>
                    <pic:cNvPicPr>
                      <a:picLocks noChangeAspect="1" noChangeArrowheads="1"/>
                    </pic:cNvPicPr>
                  </pic:nvPicPr>
                  <pic:blipFill>
                    <a:blip r:embed="rId17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-3573780</wp:posOffset>
            </wp:positionV>
            <wp:extent cx="8890" cy="8890"/>
            <wp:wrapNone/>
            <wp:docPr id="1733" name="Picture 1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3"/>
                    <pic:cNvPicPr>
                      <a:picLocks noChangeAspect="1" noChangeArrowheads="1"/>
                    </pic:cNvPicPr>
                  </pic:nvPicPr>
                  <pic:blipFill>
                    <a:blip r:embed="rId17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-3556635</wp:posOffset>
            </wp:positionV>
            <wp:extent cx="8890" cy="8890"/>
            <wp:wrapNone/>
            <wp:docPr id="1734" name="Picture 1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4"/>
                    <pic:cNvPicPr>
                      <a:picLocks noChangeAspect="1" noChangeArrowheads="1"/>
                    </pic:cNvPicPr>
                  </pic:nvPicPr>
                  <pic:blipFill>
                    <a:blip r:embed="rId17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-3539490</wp:posOffset>
            </wp:positionV>
            <wp:extent cx="8890" cy="8255"/>
            <wp:wrapNone/>
            <wp:docPr id="1735" name="Picture 1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5"/>
                    <pic:cNvPicPr>
                      <a:picLocks noChangeAspect="1" noChangeArrowheads="1"/>
                    </pic:cNvPicPr>
                  </pic:nvPicPr>
                  <pic:blipFill>
                    <a:blip r:embed="rId17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-3522345</wp:posOffset>
            </wp:positionV>
            <wp:extent cx="8890" cy="8255"/>
            <wp:wrapNone/>
            <wp:docPr id="1736" name="Picture 1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6"/>
                    <pic:cNvPicPr>
                      <a:picLocks noChangeAspect="1" noChangeArrowheads="1"/>
                    </pic:cNvPicPr>
                  </pic:nvPicPr>
                  <pic:blipFill>
                    <a:blip r:embed="rId17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-3505200</wp:posOffset>
            </wp:positionV>
            <wp:extent cx="8890" cy="8255"/>
            <wp:wrapNone/>
            <wp:docPr id="1737" name="Picture 1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7"/>
                    <pic:cNvPicPr>
                      <a:picLocks noChangeAspect="1" noChangeArrowheads="1"/>
                    </pic:cNvPicPr>
                  </pic:nvPicPr>
                  <pic:blipFill>
                    <a:blip r:embed="rId17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-3488055</wp:posOffset>
            </wp:positionV>
            <wp:extent cx="8890" cy="8890"/>
            <wp:wrapNone/>
            <wp:docPr id="1738" name="Picture 1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8"/>
                    <pic:cNvPicPr>
                      <a:picLocks noChangeAspect="1" noChangeArrowheads="1"/>
                    </pic:cNvPicPr>
                  </pic:nvPicPr>
                  <pic:blipFill>
                    <a:blip r:embed="rId17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-3470910</wp:posOffset>
            </wp:positionV>
            <wp:extent cx="8890" cy="17145"/>
            <wp:wrapNone/>
            <wp:docPr id="1739" name="Picture 1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9"/>
                    <pic:cNvPicPr>
                      <a:picLocks noChangeAspect="1" noChangeArrowheads="1"/>
                    </pic:cNvPicPr>
                  </pic:nvPicPr>
                  <pic:blipFill>
                    <a:blip r:embed="rId1746">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-3950970</wp:posOffset>
            </wp:positionV>
            <wp:extent cx="8255" cy="8255"/>
            <wp:wrapNone/>
            <wp:docPr id="1740" name="Picture 1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0"/>
                    <pic:cNvPicPr>
                      <a:picLocks noChangeAspect="1" noChangeArrowheads="1"/>
                    </pic:cNvPicPr>
                  </pic:nvPicPr>
                  <pic:blipFill>
                    <a:blip r:embed="rId17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-3933825</wp:posOffset>
            </wp:positionV>
            <wp:extent cx="8255" cy="8255"/>
            <wp:wrapNone/>
            <wp:docPr id="1741" name="Picture 1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1"/>
                    <pic:cNvPicPr>
                      <a:picLocks noChangeAspect="1" noChangeArrowheads="1"/>
                    </pic:cNvPicPr>
                  </pic:nvPicPr>
                  <pic:blipFill>
                    <a:blip r:embed="rId17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-3916680</wp:posOffset>
            </wp:positionV>
            <wp:extent cx="8255" cy="8890"/>
            <wp:wrapNone/>
            <wp:docPr id="1742" name="Picture 1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2"/>
                    <pic:cNvPicPr>
                      <a:picLocks noChangeAspect="1" noChangeArrowheads="1"/>
                    </pic:cNvPicPr>
                  </pic:nvPicPr>
                  <pic:blipFill>
                    <a:blip r:embed="rId174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-3899535</wp:posOffset>
            </wp:positionV>
            <wp:extent cx="8255" cy="8890"/>
            <wp:wrapNone/>
            <wp:docPr id="1743" name="Picture 1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3"/>
                    <pic:cNvPicPr>
                      <a:picLocks noChangeAspect="1" noChangeArrowheads="1"/>
                    </pic:cNvPicPr>
                  </pic:nvPicPr>
                  <pic:blipFill>
                    <a:blip r:embed="rId175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-3882390</wp:posOffset>
            </wp:positionV>
            <wp:extent cx="8255" cy="8255"/>
            <wp:wrapNone/>
            <wp:docPr id="1744" name="Picture 1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4"/>
                    <pic:cNvPicPr>
                      <a:picLocks noChangeAspect="1" noChangeArrowheads="1"/>
                    </pic:cNvPicPr>
                  </pic:nvPicPr>
                  <pic:blipFill>
                    <a:blip r:embed="rId17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-3865245</wp:posOffset>
            </wp:positionV>
            <wp:extent cx="8255" cy="8255"/>
            <wp:wrapNone/>
            <wp:docPr id="1745" name="Picture 1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5"/>
                    <pic:cNvPicPr>
                      <a:picLocks noChangeAspect="1" noChangeArrowheads="1"/>
                    </pic:cNvPicPr>
                  </pic:nvPicPr>
                  <pic:blipFill>
                    <a:blip r:embed="rId17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-3848100</wp:posOffset>
            </wp:positionV>
            <wp:extent cx="8255" cy="8255"/>
            <wp:wrapNone/>
            <wp:docPr id="1746" name="Picture 1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6"/>
                    <pic:cNvPicPr>
                      <a:picLocks noChangeAspect="1" noChangeArrowheads="1"/>
                    </pic:cNvPicPr>
                  </pic:nvPicPr>
                  <pic:blipFill>
                    <a:blip r:embed="rId17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-3830955</wp:posOffset>
            </wp:positionV>
            <wp:extent cx="8255" cy="8890"/>
            <wp:wrapNone/>
            <wp:docPr id="1747" name="Picture 1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7"/>
                    <pic:cNvPicPr>
                      <a:picLocks noChangeAspect="1" noChangeArrowheads="1"/>
                    </pic:cNvPicPr>
                  </pic:nvPicPr>
                  <pic:blipFill>
                    <a:blip r:embed="rId175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-3813810</wp:posOffset>
            </wp:positionV>
            <wp:extent cx="8255" cy="8890"/>
            <wp:wrapNone/>
            <wp:docPr id="1748" name="Picture 1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8"/>
                    <pic:cNvPicPr>
                      <a:picLocks noChangeAspect="1" noChangeArrowheads="1"/>
                    </pic:cNvPicPr>
                  </pic:nvPicPr>
                  <pic:blipFill>
                    <a:blip r:embed="rId175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-3796665</wp:posOffset>
            </wp:positionV>
            <wp:extent cx="8255" cy="8255"/>
            <wp:wrapNone/>
            <wp:docPr id="1749" name="Picture 1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9"/>
                    <pic:cNvPicPr>
                      <a:picLocks noChangeAspect="1" noChangeArrowheads="1"/>
                    </pic:cNvPicPr>
                  </pic:nvPicPr>
                  <pic:blipFill>
                    <a:blip r:embed="rId17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-3779520</wp:posOffset>
            </wp:positionV>
            <wp:extent cx="8255" cy="8255"/>
            <wp:wrapNone/>
            <wp:docPr id="1750" name="Picture 1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0"/>
                    <pic:cNvPicPr>
                      <a:picLocks noChangeAspect="1" noChangeArrowheads="1"/>
                    </pic:cNvPicPr>
                  </pic:nvPicPr>
                  <pic:blipFill>
                    <a:blip r:embed="rId17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-3762375</wp:posOffset>
            </wp:positionV>
            <wp:extent cx="8255" cy="8255"/>
            <wp:wrapNone/>
            <wp:docPr id="1751" name="Picture 1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1"/>
                    <pic:cNvPicPr>
                      <a:picLocks noChangeAspect="1" noChangeArrowheads="1"/>
                    </pic:cNvPicPr>
                  </pic:nvPicPr>
                  <pic:blipFill>
                    <a:blip r:embed="rId17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-3745230</wp:posOffset>
            </wp:positionV>
            <wp:extent cx="8255" cy="8890"/>
            <wp:wrapNone/>
            <wp:docPr id="1752" name="Picture 1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2"/>
                    <pic:cNvPicPr>
                      <a:picLocks noChangeAspect="1" noChangeArrowheads="1"/>
                    </pic:cNvPicPr>
                  </pic:nvPicPr>
                  <pic:blipFill>
                    <a:blip r:embed="rId175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-3728085</wp:posOffset>
            </wp:positionV>
            <wp:extent cx="8255" cy="25400"/>
            <wp:wrapNone/>
            <wp:docPr id="1753" name="Picture 1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3"/>
                    <pic:cNvPicPr>
                      <a:picLocks noChangeAspect="1" noChangeArrowheads="1"/>
                    </pic:cNvPicPr>
                  </pic:nvPicPr>
                  <pic:blipFill>
                    <a:blip r:embed="rId1760">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-3950970</wp:posOffset>
            </wp:positionV>
            <wp:extent cx="8255" cy="8255"/>
            <wp:wrapNone/>
            <wp:docPr id="1754" name="Picture 1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4"/>
                    <pic:cNvPicPr>
                      <a:picLocks noChangeAspect="1" noChangeArrowheads="1"/>
                    </pic:cNvPicPr>
                  </pic:nvPicPr>
                  <pic:blipFill>
                    <a:blip r:embed="rId17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-3933825</wp:posOffset>
            </wp:positionV>
            <wp:extent cx="8255" cy="8255"/>
            <wp:wrapNone/>
            <wp:docPr id="1755" name="Picture 1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5"/>
                    <pic:cNvPicPr>
                      <a:picLocks noChangeAspect="1" noChangeArrowheads="1"/>
                    </pic:cNvPicPr>
                  </pic:nvPicPr>
                  <pic:blipFill>
                    <a:blip r:embed="rId17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-3916680</wp:posOffset>
            </wp:positionV>
            <wp:extent cx="8255" cy="8890"/>
            <wp:wrapNone/>
            <wp:docPr id="1756" name="Picture 1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6"/>
                    <pic:cNvPicPr>
                      <a:picLocks noChangeAspect="1" noChangeArrowheads="1"/>
                    </pic:cNvPicPr>
                  </pic:nvPicPr>
                  <pic:blipFill>
                    <a:blip r:embed="rId176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-3899535</wp:posOffset>
            </wp:positionV>
            <wp:extent cx="8255" cy="8890"/>
            <wp:wrapNone/>
            <wp:docPr id="1757" name="Picture 1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7"/>
                    <pic:cNvPicPr>
                      <a:picLocks noChangeAspect="1" noChangeArrowheads="1"/>
                    </pic:cNvPicPr>
                  </pic:nvPicPr>
                  <pic:blipFill>
                    <a:blip r:embed="rId176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-3882390</wp:posOffset>
            </wp:positionV>
            <wp:extent cx="8255" cy="8255"/>
            <wp:wrapNone/>
            <wp:docPr id="1758" name="Picture 1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8"/>
                    <pic:cNvPicPr>
                      <a:picLocks noChangeAspect="1" noChangeArrowheads="1"/>
                    </pic:cNvPicPr>
                  </pic:nvPicPr>
                  <pic:blipFill>
                    <a:blip r:embed="rId17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-3865245</wp:posOffset>
            </wp:positionV>
            <wp:extent cx="8255" cy="8255"/>
            <wp:wrapNone/>
            <wp:docPr id="1759" name="Picture 1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9"/>
                    <pic:cNvPicPr>
                      <a:picLocks noChangeAspect="1" noChangeArrowheads="1"/>
                    </pic:cNvPicPr>
                  </pic:nvPicPr>
                  <pic:blipFill>
                    <a:blip r:embed="rId17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-3848100</wp:posOffset>
            </wp:positionV>
            <wp:extent cx="8255" cy="8255"/>
            <wp:wrapNone/>
            <wp:docPr id="1760" name="Picture 1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0"/>
                    <pic:cNvPicPr>
                      <a:picLocks noChangeAspect="1" noChangeArrowheads="1"/>
                    </pic:cNvPicPr>
                  </pic:nvPicPr>
                  <pic:blipFill>
                    <a:blip r:embed="rId17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-3830955</wp:posOffset>
            </wp:positionV>
            <wp:extent cx="8255" cy="8890"/>
            <wp:wrapNone/>
            <wp:docPr id="1761" name="Picture 1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1"/>
                    <pic:cNvPicPr>
                      <a:picLocks noChangeAspect="1" noChangeArrowheads="1"/>
                    </pic:cNvPicPr>
                  </pic:nvPicPr>
                  <pic:blipFill>
                    <a:blip r:embed="rId176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-3813810</wp:posOffset>
            </wp:positionV>
            <wp:extent cx="8255" cy="8890"/>
            <wp:wrapNone/>
            <wp:docPr id="1762" name="Picture 1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2"/>
                    <pic:cNvPicPr>
                      <a:picLocks noChangeAspect="1" noChangeArrowheads="1"/>
                    </pic:cNvPicPr>
                  </pic:nvPicPr>
                  <pic:blipFill>
                    <a:blip r:embed="rId176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-3796665</wp:posOffset>
            </wp:positionV>
            <wp:extent cx="8255" cy="8255"/>
            <wp:wrapNone/>
            <wp:docPr id="1763" name="Picture 1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3"/>
                    <pic:cNvPicPr>
                      <a:picLocks noChangeAspect="1" noChangeArrowheads="1"/>
                    </pic:cNvPicPr>
                  </pic:nvPicPr>
                  <pic:blipFill>
                    <a:blip r:embed="rId17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-3779520</wp:posOffset>
            </wp:positionV>
            <wp:extent cx="8255" cy="8255"/>
            <wp:wrapNone/>
            <wp:docPr id="1764" name="Picture 1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4"/>
                    <pic:cNvPicPr>
                      <a:picLocks noChangeAspect="1" noChangeArrowheads="1"/>
                    </pic:cNvPicPr>
                  </pic:nvPicPr>
                  <pic:blipFill>
                    <a:blip r:embed="rId17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-3762375</wp:posOffset>
            </wp:positionV>
            <wp:extent cx="8255" cy="8255"/>
            <wp:wrapNone/>
            <wp:docPr id="1765" name="Picture 1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5"/>
                    <pic:cNvPicPr>
                      <a:picLocks noChangeAspect="1" noChangeArrowheads="1"/>
                    </pic:cNvPicPr>
                  </pic:nvPicPr>
                  <pic:blipFill>
                    <a:blip r:embed="rId17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-3745230</wp:posOffset>
            </wp:positionV>
            <wp:extent cx="8255" cy="8890"/>
            <wp:wrapNone/>
            <wp:docPr id="1766" name="Picture 1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6"/>
                    <pic:cNvPicPr>
                      <a:picLocks noChangeAspect="1" noChangeArrowheads="1"/>
                    </pic:cNvPicPr>
                  </pic:nvPicPr>
                  <pic:blipFill>
                    <a:blip r:embed="rId177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-3728085</wp:posOffset>
            </wp:positionV>
            <wp:extent cx="8255" cy="25400"/>
            <wp:wrapNone/>
            <wp:docPr id="1767" name="Picture 1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7"/>
                    <pic:cNvPicPr>
                      <a:picLocks noChangeAspect="1" noChangeArrowheads="1"/>
                    </pic:cNvPicPr>
                  </pic:nvPicPr>
                  <pic:blipFill>
                    <a:blip r:embed="rId1774">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-3950970</wp:posOffset>
            </wp:positionV>
            <wp:extent cx="8890" cy="8255"/>
            <wp:wrapNone/>
            <wp:docPr id="1768" name="Picture 1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8"/>
                    <pic:cNvPicPr>
                      <a:picLocks noChangeAspect="1" noChangeArrowheads="1"/>
                    </pic:cNvPicPr>
                  </pic:nvPicPr>
                  <pic:blipFill>
                    <a:blip r:embed="rId17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-3933825</wp:posOffset>
            </wp:positionV>
            <wp:extent cx="8890" cy="8255"/>
            <wp:wrapNone/>
            <wp:docPr id="1769" name="Picture 1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9"/>
                    <pic:cNvPicPr>
                      <a:picLocks noChangeAspect="1" noChangeArrowheads="1"/>
                    </pic:cNvPicPr>
                  </pic:nvPicPr>
                  <pic:blipFill>
                    <a:blip r:embed="rId17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-3916680</wp:posOffset>
            </wp:positionV>
            <wp:extent cx="8890" cy="8890"/>
            <wp:wrapNone/>
            <wp:docPr id="1770" name="Picture 1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0"/>
                    <pic:cNvPicPr>
                      <a:picLocks noChangeAspect="1" noChangeArrowheads="1"/>
                    </pic:cNvPicPr>
                  </pic:nvPicPr>
                  <pic:blipFill>
                    <a:blip r:embed="rId17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-3899535</wp:posOffset>
            </wp:positionV>
            <wp:extent cx="8890" cy="8890"/>
            <wp:wrapNone/>
            <wp:docPr id="1771" name="Picture 1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1"/>
                    <pic:cNvPicPr>
                      <a:picLocks noChangeAspect="1" noChangeArrowheads="1"/>
                    </pic:cNvPicPr>
                  </pic:nvPicPr>
                  <pic:blipFill>
                    <a:blip r:embed="rId17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-3882390</wp:posOffset>
            </wp:positionV>
            <wp:extent cx="8890" cy="8255"/>
            <wp:wrapNone/>
            <wp:docPr id="1772" name="Picture 1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2"/>
                    <pic:cNvPicPr>
                      <a:picLocks noChangeAspect="1" noChangeArrowheads="1"/>
                    </pic:cNvPicPr>
                  </pic:nvPicPr>
                  <pic:blipFill>
                    <a:blip r:embed="rId17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-3865245</wp:posOffset>
            </wp:positionV>
            <wp:extent cx="8890" cy="8255"/>
            <wp:wrapNone/>
            <wp:docPr id="1773" name="Picture 1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3"/>
                    <pic:cNvPicPr>
                      <a:picLocks noChangeAspect="1" noChangeArrowheads="1"/>
                    </pic:cNvPicPr>
                  </pic:nvPicPr>
                  <pic:blipFill>
                    <a:blip r:embed="rId17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-3848100</wp:posOffset>
            </wp:positionV>
            <wp:extent cx="8890" cy="8255"/>
            <wp:wrapNone/>
            <wp:docPr id="1774" name="Picture 1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4"/>
                    <pic:cNvPicPr>
                      <a:picLocks noChangeAspect="1" noChangeArrowheads="1"/>
                    </pic:cNvPicPr>
                  </pic:nvPicPr>
                  <pic:blipFill>
                    <a:blip r:embed="rId17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-3830955</wp:posOffset>
            </wp:positionV>
            <wp:extent cx="8890" cy="8890"/>
            <wp:wrapNone/>
            <wp:docPr id="1775" name="Picture 1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5"/>
                    <pic:cNvPicPr>
                      <a:picLocks noChangeAspect="1" noChangeArrowheads="1"/>
                    </pic:cNvPicPr>
                  </pic:nvPicPr>
                  <pic:blipFill>
                    <a:blip r:embed="rId17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-3813810</wp:posOffset>
            </wp:positionV>
            <wp:extent cx="8890" cy="8890"/>
            <wp:wrapNone/>
            <wp:docPr id="1776" name="Picture 1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6"/>
                    <pic:cNvPicPr>
                      <a:picLocks noChangeAspect="1" noChangeArrowheads="1"/>
                    </pic:cNvPicPr>
                  </pic:nvPicPr>
                  <pic:blipFill>
                    <a:blip r:embed="rId17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-3796665</wp:posOffset>
            </wp:positionV>
            <wp:extent cx="8890" cy="8255"/>
            <wp:wrapNone/>
            <wp:docPr id="1777" name="Picture 1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7"/>
                    <pic:cNvPicPr>
                      <a:picLocks noChangeAspect="1" noChangeArrowheads="1"/>
                    </pic:cNvPicPr>
                  </pic:nvPicPr>
                  <pic:blipFill>
                    <a:blip r:embed="rId17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-3779520</wp:posOffset>
            </wp:positionV>
            <wp:extent cx="8890" cy="8255"/>
            <wp:wrapNone/>
            <wp:docPr id="1778" name="Picture 1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8"/>
                    <pic:cNvPicPr>
                      <a:picLocks noChangeAspect="1" noChangeArrowheads="1"/>
                    </pic:cNvPicPr>
                  </pic:nvPicPr>
                  <pic:blipFill>
                    <a:blip r:embed="rId17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-3762375</wp:posOffset>
            </wp:positionV>
            <wp:extent cx="8890" cy="8255"/>
            <wp:wrapNone/>
            <wp:docPr id="1779" name="Picture 1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9"/>
                    <pic:cNvPicPr>
                      <a:picLocks noChangeAspect="1" noChangeArrowheads="1"/>
                    </pic:cNvPicPr>
                  </pic:nvPicPr>
                  <pic:blipFill>
                    <a:blip r:embed="rId17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-3745230</wp:posOffset>
            </wp:positionV>
            <wp:extent cx="8890" cy="8890"/>
            <wp:wrapNone/>
            <wp:docPr id="1780" name="Picture 1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0"/>
                    <pic:cNvPicPr>
                      <a:picLocks noChangeAspect="1" noChangeArrowheads="1"/>
                    </pic:cNvPicPr>
                  </pic:nvPicPr>
                  <pic:blipFill>
                    <a:blip r:embed="rId17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-3728085</wp:posOffset>
            </wp:positionV>
            <wp:extent cx="8890" cy="25400"/>
            <wp:wrapNone/>
            <wp:docPr id="1781" name="Picture 1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1"/>
                    <pic:cNvPicPr>
                      <a:picLocks noChangeAspect="1" noChangeArrowheads="1"/>
                    </pic:cNvPicPr>
                  </pic:nvPicPr>
                  <pic:blipFill>
                    <a:blip r:embed="rId1788">
                      <a:extLst>
                        <a:ext uri="{28A0092B-C50C-407E-A947-70E740481C1C}"/>
                      </a:extLst>
                    </a:blip>
                    <a:srcRect/>
                    <a:stretch>
                      <a:fillRect/>
                    </a:stretch>
                  </pic:blipFill>
                  <pic:spPr bwMode="auto">
                    <a:xfrm>
                      <a:off x="0" y="0"/>
                      <a:ext cx="8890" cy="2540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-4122420</wp:posOffset>
            </wp:positionV>
            <wp:extent cx="8255" cy="8255"/>
            <wp:wrapNone/>
            <wp:docPr id="1782" name="Picture 1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2"/>
                    <pic:cNvPicPr>
                      <a:picLocks noChangeAspect="1" noChangeArrowheads="1"/>
                    </pic:cNvPicPr>
                  </pic:nvPicPr>
                  <pic:blipFill>
                    <a:blip r:embed="rId17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-4105275</wp:posOffset>
            </wp:positionV>
            <wp:extent cx="8255" cy="8255"/>
            <wp:wrapNone/>
            <wp:docPr id="1783" name="Picture 1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3"/>
                    <pic:cNvPicPr>
                      <a:picLocks noChangeAspect="1" noChangeArrowheads="1"/>
                    </pic:cNvPicPr>
                  </pic:nvPicPr>
                  <pic:blipFill>
                    <a:blip r:embed="rId17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-4088130</wp:posOffset>
            </wp:positionV>
            <wp:extent cx="8255" cy="8890"/>
            <wp:wrapNone/>
            <wp:docPr id="1784" name="Picture 1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4"/>
                    <pic:cNvPicPr>
                      <a:picLocks noChangeAspect="1" noChangeArrowheads="1"/>
                    </pic:cNvPicPr>
                  </pic:nvPicPr>
                  <pic:blipFill>
                    <a:blip r:embed="rId179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-4070985</wp:posOffset>
            </wp:positionV>
            <wp:extent cx="8255" cy="8890"/>
            <wp:wrapNone/>
            <wp:docPr id="1785" name="Picture 1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5"/>
                    <pic:cNvPicPr>
                      <a:picLocks noChangeAspect="1" noChangeArrowheads="1"/>
                    </pic:cNvPicPr>
                  </pic:nvPicPr>
                  <pic:blipFill>
                    <a:blip r:embed="rId179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-4053840</wp:posOffset>
            </wp:positionV>
            <wp:extent cx="8255" cy="8255"/>
            <wp:wrapNone/>
            <wp:docPr id="1786" name="Picture 1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6"/>
                    <pic:cNvPicPr>
                      <a:picLocks noChangeAspect="1" noChangeArrowheads="1"/>
                    </pic:cNvPicPr>
                  </pic:nvPicPr>
                  <pic:blipFill>
                    <a:blip r:embed="rId17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-4036695</wp:posOffset>
            </wp:positionV>
            <wp:extent cx="8255" cy="8255"/>
            <wp:wrapNone/>
            <wp:docPr id="1787" name="Picture 1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7"/>
                    <pic:cNvPicPr>
                      <a:picLocks noChangeAspect="1" noChangeArrowheads="1"/>
                    </pic:cNvPicPr>
                  </pic:nvPicPr>
                  <pic:blipFill>
                    <a:blip r:embed="rId17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-4019550</wp:posOffset>
            </wp:positionV>
            <wp:extent cx="8255" cy="8255"/>
            <wp:wrapNone/>
            <wp:docPr id="1788" name="Picture 1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8"/>
                    <pic:cNvPicPr>
                      <a:picLocks noChangeAspect="1" noChangeArrowheads="1"/>
                    </pic:cNvPicPr>
                  </pic:nvPicPr>
                  <pic:blipFill>
                    <a:blip r:embed="rId17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-4002405</wp:posOffset>
            </wp:positionV>
            <wp:extent cx="8255" cy="8890"/>
            <wp:wrapNone/>
            <wp:docPr id="1789" name="Picture 1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9"/>
                    <pic:cNvPicPr>
                      <a:picLocks noChangeAspect="1" noChangeArrowheads="1"/>
                    </pic:cNvPicPr>
                  </pic:nvPicPr>
                  <pic:blipFill>
                    <a:blip r:embed="rId179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-3985260</wp:posOffset>
            </wp:positionV>
            <wp:extent cx="8255" cy="25400"/>
            <wp:wrapNone/>
            <wp:docPr id="1790" name="Picture 1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0"/>
                    <pic:cNvPicPr>
                      <a:picLocks noChangeAspect="1" noChangeArrowheads="1"/>
                    </pic:cNvPicPr>
                  </pic:nvPicPr>
                  <pic:blipFill>
                    <a:blip r:embed="rId1797">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-4122420</wp:posOffset>
            </wp:positionV>
            <wp:extent cx="8255" cy="8255"/>
            <wp:wrapNone/>
            <wp:docPr id="1791" name="Picture 1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1"/>
                    <pic:cNvPicPr>
                      <a:picLocks noChangeAspect="1" noChangeArrowheads="1"/>
                    </pic:cNvPicPr>
                  </pic:nvPicPr>
                  <pic:blipFill>
                    <a:blip r:embed="rId17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-4105275</wp:posOffset>
            </wp:positionV>
            <wp:extent cx="8255" cy="8255"/>
            <wp:wrapNone/>
            <wp:docPr id="1792" name="Picture 1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2"/>
                    <pic:cNvPicPr>
                      <a:picLocks noChangeAspect="1" noChangeArrowheads="1"/>
                    </pic:cNvPicPr>
                  </pic:nvPicPr>
                  <pic:blipFill>
                    <a:blip r:embed="rId17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-4088130</wp:posOffset>
            </wp:positionV>
            <wp:extent cx="8255" cy="8890"/>
            <wp:wrapNone/>
            <wp:docPr id="1793" name="Picture 1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3"/>
                    <pic:cNvPicPr>
                      <a:picLocks noChangeAspect="1" noChangeArrowheads="1"/>
                    </pic:cNvPicPr>
                  </pic:nvPicPr>
                  <pic:blipFill>
                    <a:blip r:embed="rId180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-4070985</wp:posOffset>
            </wp:positionV>
            <wp:extent cx="8255" cy="8890"/>
            <wp:wrapNone/>
            <wp:docPr id="1794" name="Picture 1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4"/>
                    <pic:cNvPicPr>
                      <a:picLocks noChangeAspect="1" noChangeArrowheads="1"/>
                    </pic:cNvPicPr>
                  </pic:nvPicPr>
                  <pic:blipFill>
                    <a:blip r:embed="rId180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-4053840</wp:posOffset>
            </wp:positionV>
            <wp:extent cx="8255" cy="8255"/>
            <wp:wrapNone/>
            <wp:docPr id="1795" name="Picture 1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5"/>
                    <pic:cNvPicPr>
                      <a:picLocks noChangeAspect="1" noChangeArrowheads="1"/>
                    </pic:cNvPicPr>
                  </pic:nvPicPr>
                  <pic:blipFill>
                    <a:blip r:embed="rId18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-4036695</wp:posOffset>
            </wp:positionV>
            <wp:extent cx="8255" cy="8255"/>
            <wp:wrapNone/>
            <wp:docPr id="1796" name="Picture 1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6"/>
                    <pic:cNvPicPr>
                      <a:picLocks noChangeAspect="1" noChangeArrowheads="1"/>
                    </pic:cNvPicPr>
                  </pic:nvPicPr>
                  <pic:blipFill>
                    <a:blip r:embed="rId18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-4019550</wp:posOffset>
            </wp:positionV>
            <wp:extent cx="8255" cy="8255"/>
            <wp:wrapNone/>
            <wp:docPr id="1797" name="Picture 1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7"/>
                    <pic:cNvPicPr>
                      <a:picLocks noChangeAspect="1" noChangeArrowheads="1"/>
                    </pic:cNvPicPr>
                  </pic:nvPicPr>
                  <pic:blipFill>
                    <a:blip r:embed="rId18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-4002405</wp:posOffset>
            </wp:positionV>
            <wp:extent cx="8255" cy="8890"/>
            <wp:wrapNone/>
            <wp:docPr id="1798" name="Picture 1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8"/>
                    <pic:cNvPicPr>
                      <a:picLocks noChangeAspect="1" noChangeArrowheads="1"/>
                    </pic:cNvPicPr>
                  </pic:nvPicPr>
                  <pic:blipFill>
                    <a:blip r:embed="rId180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-3985260</wp:posOffset>
            </wp:positionV>
            <wp:extent cx="8255" cy="25400"/>
            <wp:wrapNone/>
            <wp:docPr id="1799" name="Picture 1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9"/>
                    <pic:cNvPicPr>
                      <a:picLocks noChangeAspect="1" noChangeArrowheads="1"/>
                    </pic:cNvPicPr>
                  </pic:nvPicPr>
                  <pic:blipFill>
                    <a:blip r:embed="rId1806">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-4122420</wp:posOffset>
            </wp:positionV>
            <wp:extent cx="8890" cy="8255"/>
            <wp:wrapNone/>
            <wp:docPr id="1800" name="Picture 1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0"/>
                    <pic:cNvPicPr>
                      <a:picLocks noChangeAspect="1" noChangeArrowheads="1"/>
                    </pic:cNvPicPr>
                  </pic:nvPicPr>
                  <pic:blipFill>
                    <a:blip r:embed="rId18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-4105275</wp:posOffset>
            </wp:positionV>
            <wp:extent cx="8890" cy="8255"/>
            <wp:wrapNone/>
            <wp:docPr id="1801" name="Picture 1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1"/>
                    <pic:cNvPicPr>
                      <a:picLocks noChangeAspect="1" noChangeArrowheads="1"/>
                    </pic:cNvPicPr>
                  </pic:nvPicPr>
                  <pic:blipFill>
                    <a:blip r:embed="rId18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-4088130</wp:posOffset>
            </wp:positionV>
            <wp:extent cx="8890" cy="8890"/>
            <wp:wrapNone/>
            <wp:docPr id="1802" name="Picture 1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2"/>
                    <pic:cNvPicPr>
                      <a:picLocks noChangeAspect="1" noChangeArrowheads="1"/>
                    </pic:cNvPicPr>
                  </pic:nvPicPr>
                  <pic:blipFill>
                    <a:blip r:embed="rId18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-4070985</wp:posOffset>
            </wp:positionV>
            <wp:extent cx="8890" cy="8890"/>
            <wp:wrapNone/>
            <wp:docPr id="1803" name="Picture 1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3"/>
                    <pic:cNvPicPr>
                      <a:picLocks noChangeAspect="1" noChangeArrowheads="1"/>
                    </pic:cNvPicPr>
                  </pic:nvPicPr>
                  <pic:blipFill>
                    <a:blip r:embed="rId18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-4053840</wp:posOffset>
            </wp:positionV>
            <wp:extent cx="8890" cy="8255"/>
            <wp:wrapNone/>
            <wp:docPr id="1804" name="Picture 1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4"/>
                    <pic:cNvPicPr>
                      <a:picLocks noChangeAspect="1" noChangeArrowheads="1"/>
                    </pic:cNvPicPr>
                  </pic:nvPicPr>
                  <pic:blipFill>
                    <a:blip r:embed="rId18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-4036695</wp:posOffset>
            </wp:positionV>
            <wp:extent cx="8890" cy="8255"/>
            <wp:wrapNone/>
            <wp:docPr id="1805" name="Picture 1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5"/>
                    <pic:cNvPicPr>
                      <a:picLocks noChangeAspect="1" noChangeArrowheads="1"/>
                    </pic:cNvPicPr>
                  </pic:nvPicPr>
                  <pic:blipFill>
                    <a:blip r:embed="rId18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-4019550</wp:posOffset>
            </wp:positionV>
            <wp:extent cx="8890" cy="8255"/>
            <wp:wrapNone/>
            <wp:docPr id="1806" name="Picture 1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6"/>
                    <pic:cNvPicPr>
                      <a:picLocks noChangeAspect="1" noChangeArrowheads="1"/>
                    </pic:cNvPicPr>
                  </pic:nvPicPr>
                  <pic:blipFill>
                    <a:blip r:embed="rId18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-4002405</wp:posOffset>
            </wp:positionV>
            <wp:extent cx="8890" cy="8890"/>
            <wp:wrapNone/>
            <wp:docPr id="1807" name="Picture 1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7"/>
                    <pic:cNvPicPr>
                      <a:picLocks noChangeAspect="1" noChangeArrowheads="1"/>
                    </pic:cNvPicPr>
                  </pic:nvPicPr>
                  <pic:blipFill>
                    <a:blip r:embed="rId18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-3985260</wp:posOffset>
            </wp:positionV>
            <wp:extent cx="8890" cy="25400"/>
            <wp:wrapNone/>
            <wp:docPr id="1808" name="Picture 1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8"/>
                    <pic:cNvPicPr>
                      <a:picLocks noChangeAspect="1" noChangeArrowheads="1"/>
                    </pic:cNvPicPr>
                  </pic:nvPicPr>
                  <pic:blipFill>
                    <a:blip r:embed="rId1815">
                      <a:extLst>
                        <a:ext uri="{28A0092B-C50C-407E-A947-70E740481C1C}"/>
                      </a:extLst>
                    </a:blip>
                    <a:srcRect/>
                    <a:stretch>
                      <a:fillRect/>
                    </a:stretch>
                  </pic:blipFill>
                  <pic:spPr bwMode="auto">
                    <a:xfrm>
                      <a:off x="0" y="0"/>
                      <a:ext cx="8890" cy="2540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-4285615</wp:posOffset>
            </wp:positionV>
            <wp:extent cx="8255" cy="8890"/>
            <wp:wrapNone/>
            <wp:docPr id="1809" name="Picture 1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9"/>
                    <pic:cNvPicPr>
                      <a:picLocks noChangeAspect="1" noChangeArrowheads="1"/>
                    </pic:cNvPicPr>
                  </pic:nvPicPr>
                  <pic:blipFill>
                    <a:blip r:embed="rId18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-4268470</wp:posOffset>
            </wp:positionV>
            <wp:extent cx="8255" cy="8890"/>
            <wp:wrapNone/>
            <wp:docPr id="1810" name="Picture 1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0"/>
                    <pic:cNvPicPr>
                      <a:picLocks noChangeAspect="1" noChangeArrowheads="1"/>
                    </pic:cNvPicPr>
                  </pic:nvPicPr>
                  <pic:blipFill>
                    <a:blip r:embed="rId181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-4251325</wp:posOffset>
            </wp:positionV>
            <wp:extent cx="8255" cy="8255"/>
            <wp:wrapNone/>
            <wp:docPr id="1811" name="Picture 1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1"/>
                    <pic:cNvPicPr>
                      <a:picLocks noChangeAspect="1" noChangeArrowheads="1"/>
                    </pic:cNvPicPr>
                  </pic:nvPicPr>
                  <pic:blipFill>
                    <a:blip r:embed="rId18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-4234180</wp:posOffset>
            </wp:positionV>
            <wp:extent cx="8255" cy="8255"/>
            <wp:wrapNone/>
            <wp:docPr id="1812" name="Picture 1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2"/>
                    <pic:cNvPicPr>
                      <a:picLocks noChangeAspect="1" noChangeArrowheads="1"/>
                    </pic:cNvPicPr>
                  </pic:nvPicPr>
                  <pic:blipFill>
                    <a:blip r:embed="rId18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-4217035</wp:posOffset>
            </wp:positionV>
            <wp:extent cx="8255" cy="8255"/>
            <wp:wrapNone/>
            <wp:docPr id="1813" name="Picture 1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3"/>
                    <pic:cNvPicPr>
                      <a:picLocks noChangeAspect="1" noChangeArrowheads="1"/>
                    </pic:cNvPicPr>
                  </pic:nvPicPr>
                  <pic:blipFill>
                    <a:blip r:embed="rId18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-4199890</wp:posOffset>
            </wp:positionV>
            <wp:extent cx="8255" cy="8890"/>
            <wp:wrapNone/>
            <wp:docPr id="1814" name="Picture 1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4"/>
                    <pic:cNvPicPr>
                      <a:picLocks noChangeAspect="1" noChangeArrowheads="1"/>
                    </pic:cNvPicPr>
                  </pic:nvPicPr>
                  <pic:blipFill>
                    <a:blip r:embed="rId18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-4182745</wp:posOffset>
            </wp:positionV>
            <wp:extent cx="8255" cy="8255"/>
            <wp:wrapNone/>
            <wp:docPr id="1815" name="Picture 1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5"/>
                    <pic:cNvPicPr>
                      <a:picLocks noChangeAspect="1" noChangeArrowheads="1"/>
                    </pic:cNvPicPr>
                  </pic:nvPicPr>
                  <pic:blipFill>
                    <a:blip r:embed="rId18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-4165600</wp:posOffset>
            </wp:positionV>
            <wp:extent cx="8255" cy="8255"/>
            <wp:wrapNone/>
            <wp:docPr id="1816" name="Picture 1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6"/>
                    <pic:cNvPicPr>
                      <a:picLocks noChangeAspect="1" noChangeArrowheads="1"/>
                    </pic:cNvPicPr>
                  </pic:nvPicPr>
                  <pic:blipFill>
                    <a:blip r:embed="rId18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-4148455</wp:posOffset>
            </wp:positionV>
            <wp:extent cx="8255" cy="17145"/>
            <wp:wrapNone/>
            <wp:docPr id="1817" name="Picture 1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7"/>
                    <pic:cNvPicPr>
                      <a:picLocks noChangeAspect="1" noChangeArrowheads="1"/>
                    </pic:cNvPicPr>
                  </pic:nvPicPr>
                  <pic:blipFill>
                    <a:blip r:embed="rId1824">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-4285615</wp:posOffset>
            </wp:positionV>
            <wp:extent cx="8255" cy="8890"/>
            <wp:wrapNone/>
            <wp:docPr id="1818" name="Picture 1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8"/>
                    <pic:cNvPicPr>
                      <a:picLocks noChangeAspect="1" noChangeArrowheads="1"/>
                    </pic:cNvPicPr>
                  </pic:nvPicPr>
                  <pic:blipFill>
                    <a:blip r:embed="rId182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-4268470</wp:posOffset>
            </wp:positionV>
            <wp:extent cx="8255" cy="8890"/>
            <wp:wrapNone/>
            <wp:docPr id="1819" name="Picture 1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9"/>
                    <pic:cNvPicPr>
                      <a:picLocks noChangeAspect="1" noChangeArrowheads="1"/>
                    </pic:cNvPicPr>
                  </pic:nvPicPr>
                  <pic:blipFill>
                    <a:blip r:embed="rId18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-4251325</wp:posOffset>
            </wp:positionV>
            <wp:extent cx="8255" cy="8255"/>
            <wp:wrapNone/>
            <wp:docPr id="1820" name="Picture 1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0"/>
                    <pic:cNvPicPr>
                      <a:picLocks noChangeAspect="1" noChangeArrowheads="1"/>
                    </pic:cNvPicPr>
                  </pic:nvPicPr>
                  <pic:blipFill>
                    <a:blip r:embed="rId18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-4234180</wp:posOffset>
            </wp:positionV>
            <wp:extent cx="8255" cy="8255"/>
            <wp:wrapNone/>
            <wp:docPr id="1821" name="Picture 1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1"/>
                    <pic:cNvPicPr>
                      <a:picLocks noChangeAspect="1" noChangeArrowheads="1"/>
                    </pic:cNvPicPr>
                  </pic:nvPicPr>
                  <pic:blipFill>
                    <a:blip r:embed="rId18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-4217035</wp:posOffset>
            </wp:positionV>
            <wp:extent cx="8255" cy="8255"/>
            <wp:wrapNone/>
            <wp:docPr id="1822" name="Picture 1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2"/>
                    <pic:cNvPicPr>
                      <a:picLocks noChangeAspect="1" noChangeArrowheads="1"/>
                    </pic:cNvPicPr>
                  </pic:nvPicPr>
                  <pic:blipFill>
                    <a:blip r:embed="rId18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-4199890</wp:posOffset>
            </wp:positionV>
            <wp:extent cx="8255" cy="8890"/>
            <wp:wrapNone/>
            <wp:docPr id="1823" name="Picture 1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3"/>
                    <pic:cNvPicPr>
                      <a:picLocks noChangeAspect="1" noChangeArrowheads="1"/>
                    </pic:cNvPicPr>
                  </pic:nvPicPr>
                  <pic:blipFill>
                    <a:blip r:embed="rId18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-4182745</wp:posOffset>
            </wp:positionV>
            <wp:extent cx="8255" cy="8255"/>
            <wp:wrapNone/>
            <wp:docPr id="1824" name="Picture 1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4"/>
                    <pic:cNvPicPr>
                      <a:picLocks noChangeAspect="1" noChangeArrowheads="1"/>
                    </pic:cNvPicPr>
                  </pic:nvPicPr>
                  <pic:blipFill>
                    <a:blip r:embed="rId18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-4165600</wp:posOffset>
            </wp:positionV>
            <wp:extent cx="8255" cy="8255"/>
            <wp:wrapNone/>
            <wp:docPr id="1825" name="Picture 1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5"/>
                    <pic:cNvPicPr>
                      <a:picLocks noChangeAspect="1" noChangeArrowheads="1"/>
                    </pic:cNvPicPr>
                  </pic:nvPicPr>
                  <pic:blipFill>
                    <a:blip r:embed="rId18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-4148455</wp:posOffset>
            </wp:positionV>
            <wp:extent cx="8255" cy="17145"/>
            <wp:wrapNone/>
            <wp:docPr id="1826" name="Picture 1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6"/>
                    <pic:cNvPicPr>
                      <a:picLocks noChangeAspect="1" noChangeArrowheads="1"/>
                    </pic:cNvPicPr>
                  </pic:nvPicPr>
                  <pic:blipFill>
                    <a:blip r:embed="rId1833">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-4285615</wp:posOffset>
            </wp:positionV>
            <wp:extent cx="8890" cy="8890"/>
            <wp:wrapNone/>
            <wp:docPr id="1827" name="Picture 1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7"/>
                    <pic:cNvPicPr>
                      <a:picLocks noChangeAspect="1" noChangeArrowheads="1"/>
                    </pic:cNvPicPr>
                  </pic:nvPicPr>
                  <pic:blipFill>
                    <a:blip r:embed="rId18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-4268470</wp:posOffset>
            </wp:positionV>
            <wp:extent cx="8890" cy="8890"/>
            <wp:wrapNone/>
            <wp:docPr id="1828" name="Picture 1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8"/>
                    <pic:cNvPicPr>
                      <a:picLocks noChangeAspect="1" noChangeArrowheads="1"/>
                    </pic:cNvPicPr>
                  </pic:nvPicPr>
                  <pic:blipFill>
                    <a:blip r:embed="rId18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-4251325</wp:posOffset>
            </wp:positionV>
            <wp:extent cx="8890" cy="8255"/>
            <wp:wrapNone/>
            <wp:docPr id="1829" name="Picture 1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9"/>
                    <pic:cNvPicPr>
                      <a:picLocks noChangeAspect="1" noChangeArrowheads="1"/>
                    </pic:cNvPicPr>
                  </pic:nvPicPr>
                  <pic:blipFill>
                    <a:blip r:embed="rId18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-4234180</wp:posOffset>
            </wp:positionV>
            <wp:extent cx="8890" cy="8255"/>
            <wp:wrapNone/>
            <wp:docPr id="1830" name="Picture 1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0"/>
                    <pic:cNvPicPr>
                      <a:picLocks noChangeAspect="1" noChangeArrowheads="1"/>
                    </pic:cNvPicPr>
                  </pic:nvPicPr>
                  <pic:blipFill>
                    <a:blip r:embed="rId18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-4217035</wp:posOffset>
            </wp:positionV>
            <wp:extent cx="8890" cy="8255"/>
            <wp:wrapNone/>
            <wp:docPr id="1831" name="Picture 1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1"/>
                    <pic:cNvPicPr>
                      <a:picLocks noChangeAspect="1" noChangeArrowheads="1"/>
                    </pic:cNvPicPr>
                  </pic:nvPicPr>
                  <pic:blipFill>
                    <a:blip r:embed="rId18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-4199890</wp:posOffset>
            </wp:positionV>
            <wp:extent cx="8890" cy="8890"/>
            <wp:wrapNone/>
            <wp:docPr id="1832" name="Picture 1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2"/>
                    <pic:cNvPicPr>
                      <a:picLocks noChangeAspect="1" noChangeArrowheads="1"/>
                    </pic:cNvPicPr>
                  </pic:nvPicPr>
                  <pic:blipFill>
                    <a:blip r:embed="rId18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-4182745</wp:posOffset>
            </wp:positionV>
            <wp:extent cx="8890" cy="8255"/>
            <wp:wrapNone/>
            <wp:docPr id="1833" name="Picture 1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3"/>
                    <pic:cNvPicPr>
                      <a:picLocks noChangeAspect="1" noChangeArrowheads="1"/>
                    </pic:cNvPicPr>
                  </pic:nvPicPr>
                  <pic:blipFill>
                    <a:blip r:embed="rId18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-4165600</wp:posOffset>
            </wp:positionV>
            <wp:extent cx="8890" cy="8255"/>
            <wp:wrapNone/>
            <wp:docPr id="1834" name="Picture 1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4"/>
                    <pic:cNvPicPr>
                      <a:picLocks noChangeAspect="1" noChangeArrowheads="1"/>
                    </pic:cNvPicPr>
                  </pic:nvPicPr>
                  <pic:blipFill>
                    <a:blip r:embed="rId18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-4148455</wp:posOffset>
            </wp:positionV>
            <wp:extent cx="8890" cy="17145"/>
            <wp:wrapNone/>
            <wp:docPr id="1835" name="Picture 1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5"/>
                    <pic:cNvPicPr>
                      <a:picLocks noChangeAspect="1" noChangeArrowheads="1"/>
                    </pic:cNvPicPr>
                  </pic:nvPicPr>
                  <pic:blipFill>
                    <a:blip r:embed="rId1842">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-4533900</wp:posOffset>
            </wp:positionV>
            <wp:extent cx="8255" cy="8255"/>
            <wp:wrapNone/>
            <wp:docPr id="1836" name="Picture 1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6"/>
                    <pic:cNvPicPr>
                      <a:picLocks noChangeAspect="1" noChangeArrowheads="1"/>
                    </pic:cNvPicPr>
                  </pic:nvPicPr>
                  <pic:blipFill>
                    <a:blip r:embed="rId18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-4516755</wp:posOffset>
            </wp:positionV>
            <wp:extent cx="8255" cy="8255"/>
            <wp:wrapNone/>
            <wp:docPr id="1837" name="Picture 1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7"/>
                    <pic:cNvPicPr>
                      <a:picLocks noChangeAspect="1" noChangeArrowheads="1"/>
                    </pic:cNvPicPr>
                  </pic:nvPicPr>
                  <pic:blipFill>
                    <a:blip r:embed="rId18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-4499610</wp:posOffset>
            </wp:positionV>
            <wp:extent cx="8255" cy="8255"/>
            <wp:wrapNone/>
            <wp:docPr id="1838" name="Picture 1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8"/>
                    <pic:cNvPicPr>
                      <a:picLocks noChangeAspect="1" noChangeArrowheads="1"/>
                    </pic:cNvPicPr>
                  </pic:nvPicPr>
                  <pic:blipFill>
                    <a:blip r:embed="rId18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-4482465</wp:posOffset>
            </wp:positionV>
            <wp:extent cx="8255" cy="8890"/>
            <wp:wrapNone/>
            <wp:docPr id="1839" name="Picture 1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9"/>
                    <pic:cNvPicPr>
                      <a:picLocks noChangeAspect="1" noChangeArrowheads="1"/>
                    </pic:cNvPicPr>
                  </pic:nvPicPr>
                  <pic:blipFill>
                    <a:blip r:embed="rId184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-4465320</wp:posOffset>
            </wp:positionV>
            <wp:extent cx="8255" cy="8255"/>
            <wp:wrapNone/>
            <wp:docPr id="1840" name="Picture 1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0"/>
                    <pic:cNvPicPr>
                      <a:picLocks noChangeAspect="1" noChangeArrowheads="1"/>
                    </pic:cNvPicPr>
                  </pic:nvPicPr>
                  <pic:blipFill>
                    <a:blip r:embed="rId18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-4448175</wp:posOffset>
            </wp:positionV>
            <wp:extent cx="8255" cy="8255"/>
            <wp:wrapNone/>
            <wp:docPr id="1841" name="Picture 1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1"/>
                    <pic:cNvPicPr>
                      <a:picLocks noChangeAspect="1" noChangeArrowheads="1"/>
                    </pic:cNvPicPr>
                  </pic:nvPicPr>
                  <pic:blipFill>
                    <a:blip r:embed="rId18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-4431030</wp:posOffset>
            </wp:positionV>
            <wp:extent cx="8255" cy="8255"/>
            <wp:wrapNone/>
            <wp:docPr id="1842" name="Picture 1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2"/>
                    <pic:cNvPicPr>
                      <a:picLocks noChangeAspect="1" noChangeArrowheads="1"/>
                    </pic:cNvPicPr>
                  </pic:nvPicPr>
                  <pic:blipFill>
                    <a:blip r:embed="rId18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-4413885</wp:posOffset>
            </wp:positionV>
            <wp:extent cx="8255" cy="8890"/>
            <wp:wrapNone/>
            <wp:docPr id="1843" name="Picture 1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3"/>
                    <pic:cNvPicPr>
                      <a:picLocks noChangeAspect="1" noChangeArrowheads="1"/>
                    </pic:cNvPicPr>
                  </pic:nvPicPr>
                  <pic:blipFill>
                    <a:blip r:embed="rId185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-4396740</wp:posOffset>
            </wp:positionV>
            <wp:extent cx="8255" cy="8890"/>
            <wp:wrapNone/>
            <wp:docPr id="1844" name="Picture 1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4"/>
                    <pic:cNvPicPr>
                      <a:picLocks noChangeAspect="1" noChangeArrowheads="1"/>
                    </pic:cNvPicPr>
                  </pic:nvPicPr>
                  <pic:blipFill>
                    <a:blip r:embed="rId185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-4379595</wp:posOffset>
            </wp:positionV>
            <wp:extent cx="8255" cy="8255"/>
            <wp:wrapNone/>
            <wp:docPr id="1845" name="Picture 1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5"/>
                    <pic:cNvPicPr>
                      <a:picLocks noChangeAspect="1" noChangeArrowheads="1"/>
                    </pic:cNvPicPr>
                  </pic:nvPicPr>
                  <pic:blipFill>
                    <a:blip r:embed="rId18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-4362450</wp:posOffset>
            </wp:positionV>
            <wp:extent cx="8255" cy="8255"/>
            <wp:wrapNone/>
            <wp:docPr id="1846" name="Picture 1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6"/>
                    <pic:cNvPicPr>
                      <a:picLocks noChangeAspect="1" noChangeArrowheads="1"/>
                    </pic:cNvPicPr>
                  </pic:nvPicPr>
                  <pic:blipFill>
                    <a:blip r:embed="rId18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-4345305</wp:posOffset>
            </wp:positionV>
            <wp:extent cx="8255" cy="8255"/>
            <wp:wrapNone/>
            <wp:docPr id="1847" name="Picture 1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7"/>
                    <pic:cNvPicPr>
                      <a:picLocks noChangeAspect="1" noChangeArrowheads="1"/>
                    </pic:cNvPicPr>
                  </pic:nvPicPr>
                  <pic:blipFill>
                    <a:blip r:embed="rId18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-4328160</wp:posOffset>
            </wp:positionV>
            <wp:extent cx="8255" cy="8890"/>
            <wp:wrapNone/>
            <wp:docPr id="1848" name="Picture 1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8"/>
                    <pic:cNvPicPr>
                      <a:picLocks noChangeAspect="1" noChangeArrowheads="1"/>
                    </pic:cNvPicPr>
                  </pic:nvPicPr>
                  <pic:blipFill>
                    <a:blip r:embed="rId185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-4311015</wp:posOffset>
            </wp:positionV>
            <wp:extent cx="8255" cy="17145"/>
            <wp:wrapNone/>
            <wp:docPr id="1849" name="Picture 1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9"/>
                    <pic:cNvPicPr>
                      <a:picLocks noChangeAspect="1" noChangeArrowheads="1"/>
                    </pic:cNvPicPr>
                  </pic:nvPicPr>
                  <pic:blipFill>
                    <a:blip r:embed="rId1856">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-4533900</wp:posOffset>
            </wp:positionV>
            <wp:extent cx="8255" cy="8255"/>
            <wp:wrapNone/>
            <wp:docPr id="1850" name="Picture 1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0"/>
                    <pic:cNvPicPr>
                      <a:picLocks noChangeAspect="1" noChangeArrowheads="1"/>
                    </pic:cNvPicPr>
                  </pic:nvPicPr>
                  <pic:blipFill>
                    <a:blip r:embed="rId18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-4516755</wp:posOffset>
            </wp:positionV>
            <wp:extent cx="8255" cy="8255"/>
            <wp:wrapNone/>
            <wp:docPr id="1851" name="Picture 1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1"/>
                    <pic:cNvPicPr>
                      <a:picLocks noChangeAspect="1" noChangeArrowheads="1"/>
                    </pic:cNvPicPr>
                  </pic:nvPicPr>
                  <pic:blipFill>
                    <a:blip r:embed="rId18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-4499610</wp:posOffset>
            </wp:positionV>
            <wp:extent cx="8255" cy="8255"/>
            <wp:wrapNone/>
            <wp:docPr id="1852" name="Picture 1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2"/>
                    <pic:cNvPicPr>
                      <a:picLocks noChangeAspect="1" noChangeArrowheads="1"/>
                    </pic:cNvPicPr>
                  </pic:nvPicPr>
                  <pic:blipFill>
                    <a:blip r:embed="rId18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-4482465</wp:posOffset>
            </wp:positionV>
            <wp:extent cx="8255" cy="8890"/>
            <wp:wrapNone/>
            <wp:docPr id="1853" name="Picture 1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3"/>
                    <pic:cNvPicPr>
                      <a:picLocks noChangeAspect="1" noChangeArrowheads="1"/>
                    </pic:cNvPicPr>
                  </pic:nvPicPr>
                  <pic:blipFill>
                    <a:blip r:embed="rId186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-4465320</wp:posOffset>
            </wp:positionV>
            <wp:extent cx="8255" cy="8255"/>
            <wp:wrapNone/>
            <wp:docPr id="1854" name="Picture 1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4"/>
                    <pic:cNvPicPr>
                      <a:picLocks noChangeAspect="1" noChangeArrowheads="1"/>
                    </pic:cNvPicPr>
                  </pic:nvPicPr>
                  <pic:blipFill>
                    <a:blip r:embed="rId18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-4448175</wp:posOffset>
            </wp:positionV>
            <wp:extent cx="8255" cy="8255"/>
            <wp:wrapNone/>
            <wp:docPr id="1855" name="Picture 1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5"/>
                    <pic:cNvPicPr>
                      <a:picLocks noChangeAspect="1" noChangeArrowheads="1"/>
                    </pic:cNvPicPr>
                  </pic:nvPicPr>
                  <pic:blipFill>
                    <a:blip r:embed="rId18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-4431030</wp:posOffset>
            </wp:positionV>
            <wp:extent cx="8255" cy="8255"/>
            <wp:wrapNone/>
            <wp:docPr id="1856" name="Picture 1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6"/>
                    <pic:cNvPicPr>
                      <a:picLocks noChangeAspect="1" noChangeArrowheads="1"/>
                    </pic:cNvPicPr>
                  </pic:nvPicPr>
                  <pic:blipFill>
                    <a:blip r:embed="rId18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-4413885</wp:posOffset>
            </wp:positionV>
            <wp:extent cx="8255" cy="8890"/>
            <wp:wrapNone/>
            <wp:docPr id="1857" name="Picture 1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7"/>
                    <pic:cNvPicPr>
                      <a:picLocks noChangeAspect="1" noChangeArrowheads="1"/>
                    </pic:cNvPicPr>
                  </pic:nvPicPr>
                  <pic:blipFill>
                    <a:blip r:embed="rId186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-4396740</wp:posOffset>
            </wp:positionV>
            <wp:extent cx="8255" cy="8890"/>
            <wp:wrapNone/>
            <wp:docPr id="1858" name="Picture 1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8"/>
                    <pic:cNvPicPr>
                      <a:picLocks noChangeAspect="1" noChangeArrowheads="1"/>
                    </pic:cNvPicPr>
                  </pic:nvPicPr>
                  <pic:blipFill>
                    <a:blip r:embed="rId186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-4379595</wp:posOffset>
            </wp:positionV>
            <wp:extent cx="8255" cy="8255"/>
            <wp:wrapNone/>
            <wp:docPr id="1859" name="Picture 1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9"/>
                    <pic:cNvPicPr>
                      <a:picLocks noChangeAspect="1" noChangeArrowheads="1"/>
                    </pic:cNvPicPr>
                  </pic:nvPicPr>
                  <pic:blipFill>
                    <a:blip r:embed="rId18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-4362450</wp:posOffset>
            </wp:positionV>
            <wp:extent cx="8255" cy="8255"/>
            <wp:wrapNone/>
            <wp:docPr id="1860" name="Picture 1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0"/>
                    <pic:cNvPicPr>
                      <a:picLocks noChangeAspect="1" noChangeArrowheads="1"/>
                    </pic:cNvPicPr>
                  </pic:nvPicPr>
                  <pic:blipFill>
                    <a:blip r:embed="rId18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-4345305</wp:posOffset>
            </wp:positionV>
            <wp:extent cx="8255" cy="8255"/>
            <wp:wrapNone/>
            <wp:docPr id="1861" name="Picture 1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1"/>
                    <pic:cNvPicPr>
                      <a:picLocks noChangeAspect="1" noChangeArrowheads="1"/>
                    </pic:cNvPicPr>
                  </pic:nvPicPr>
                  <pic:blipFill>
                    <a:blip r:embed="rId18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-4328160</wp:posOffset>
            </wp:positionV>
            <wp:extent cx="8255" cy="8890"/>
            <wp:wrapNone/>
            <wp:docPr id="1862" name="Picture 1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2"/>
                    <pic:cNvPicPr>
                      <a:picLocks noChangeAspect="1" noChangeArrowheads="1"/>
                    </pic:cNvPicPr>
                  </pic:nvPicPr>
                  <pic:blipFill>
                    <a:blip r:embed="rId186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-4311015</wp:posOffset>
            </wp:positionV>
            <wp:extent cx="8255" cy="17145"/>
            <wp:wrapNone/>
            <wp:docPr id="1863" name="Picture 1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3"/>
                    <pic:cNvPicPr>
                      <a:picLocks noChangeAspect="1" noChangeArrowheads="1"/>
                    </pic:cNvPicPr>
                  </pic:nvPicPr>
                  <pic:blipFill>
                    <a:blip r:embed="rId1870">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-4533900</wp:posOffset>
            </wp:positionV>
            <wp:extent cx="8890" cy="8255"/>
            <wp:wrapNone/>
            <wp:docPr id="1864" name="Picture 1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4"/>
                    <pic:cNvPicPr>
                      <a:picLocks noChangeAspect="1" noChangeArrowheads="1"/>
                    </pic:cNvPicPr>
                  </pic:nvPicPr>
                  <pic:blipFill>
                    <a:blip r:embed="rId18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-4516755</wp:posOffset>
            </wp:positionV>
            <wp:extent cx="8890" cy="8255"/>
            <wp:wrapNone/>
            <wp:docPr id="1865" name="Picture 1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5"/>
                    <pic:cNvPicPr>
                      <a:picLocks noChangeAspect="1" noChangeArrowheads="1"/>
                    </pic:cNvPicPr>
                  </pic:nvPicPr>
                  <pic:blipFill>
                    <a:blip r:embed="rId18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-4499610</wp:posOffset>
            </wp:positionV>
            <wp:extent cx="8890" cy="8255"/>
            <wp:wrapNone/>
            <wp:docPr id="1866" name="Picture 1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6"/>
                    <pic:cNvPicPr>
                      <a:picLocks noChangeAspect="1" noChangeArrowheads="1"/>
                    </pic:cNvPicPr>
                  </pic:nvPicPr>
                  <pic:blipFill>
                    <a:blip r:embed="rId18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-4482465</wp:posOffset>
            </wp:positionV>
            <wp:extent cx="8890" cy="8890"/>
            <wp:wrapNone/>
            <wp:docPr id="1867" name="Picture 1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7"/>
                    <pic:cNvPicPr>
                      <a:picLocks noChangeAspect="1" noChangeArrowheads="1"/>
                    </pic:cNvPicPr>
                  </pic:nvPicPr>
                  <pic:blipFill>
                    <a:blip r:embed="rId18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-4465320</wp:posOffset>
            </wp:positionV>
            <wp:extent cx="8890" cy="8255"/>
            <wp:wrapNone/>
            <wp:docPr id="1868" name="Picture 1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8"/>
                    <pic:cNvPicPr>
                      <a:picLocks noChangeAspect="1" noChangeArrowheads="1"/>
                    </pic:cNvPicPr>
                  </pic:nvPicPr>
                  <pic:blipFill>
                    <a:blip r:embed="rId18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-4448175</wp:posOffset>
            </wp:positionV>
            <wp:extent cx="8890" cy="8255"/>
            <wp:wrapNone/>
            <wp:docPr id="1869" name="Picture 1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9"/>
                    <pic:cNvPicPr>
                      <a:picLocks noChangeAspect="1" noChangeArrowheads="1"/>
                    </pic:cNvPicPr>
                  </pic:nvPicPr>
                  <pic:blipFill>
                    <a:blip r:embed="rId18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-4431030</wp:posOffset>
            </wp:positionV>
            <wp:extent cx="8890" cy="8255"/>
            <wp:wrapNone/>
            <wp:docPr id="1870" name="Picture 1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0"/>
                    <pic:cNvPicPr>
                      <a:picLocks noChangeAspect="1" noChangeArrowheads="1"/>
                    </pic:cNvPicPr>
                  </pic:nvPicPr>
                  <pic:blipFill>
                    <a:blip r:embed="rId18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-4413885</wp:posOffset>
            </wp:positionV>
            <wp:extent cx="8890" cy="8890"/>
            <wp:wrapNone/>
            <wp:docPr id="1871" name="Picture 1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1"/>
                    <pic:cNvPicPr>
                      <a:picLocks noChangeAspect="1" noChangeArrowheads="1"/>
                    </pic:cNvPicPr>
                  </pic:nvPicPr>
                  <pic:blipFill>
                    <a:blip r:embed="rId18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-4396740</wp:posOffset>
            </wp:positionV>
            <wp:extent cx="8890" cy="8890"/>
            <wp:wrapNone/>
            <wp:docPr id="1872" name="Picture 1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2"/>
                    <pic:cNvPicPr>
                      <a:picLocks noChangeAspect="1" noChangeArrowheads="1"/>
                    </pic:cNvPicPr>
                  </pic:nvPicPr>
                  <pic:blipFill>
                    <a:blip r:embed="rId18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-4379595</wp:posOffset>
            </wp:positionV>
            <wp:extent cx="8890" cy="8255"/>
            <wp:wrapNone/>
            <wp:docPr id="1873" name="Picture 1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3"/>
                    <pic:cNvPicPr>
                      <a:picLocks noChangeAspect="1" noChangeArrowheads="1"/>
                    </pic:cNvPicPr>
                  </pic:nvPicPr>
                  <pic:blipFill>
                    <a:blip r:embed="rId18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-4362450</wp:posOffset>
            </wp:positionV>
            <wp:extent cx="8890" cy="8255"/>
            <wp:wrapNone/>
            <wp:docPr id="1874" name="Picture 1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4"/>
                    <pic:cNvPicPr>
                      <a:picLocks noChangeAspect="1" noChangeArrowheads="1"/>
                    </pic:cNvPicPr>
                  </pic:nvPicPr>
                  <pic:blipFill>
                    <a:blip r:embed="rId18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-4345305</wp:posOffset>
            </wp:positionV>
            <wp:extent cx="8890" cy="8255"/>
            <wp:wrapNone/>
            <wp:docPr id="1875" name="Picture 1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5"/>
                    <pic:cNvPicPr>
                      <a:picLocks noChangeAspect="1" noChangeArrowheads="1"/>
                    </pic:cNvPicPr>
                  </pic:nvPicPr>
                  <pic:blipFill>
                    <a:blip r:embed="rId18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-4328160</wp:posOffset>
            </wp:positionV>
            <wp:extent cx="8890" cy="8890"/>
            <wp:wrapNone/>
            <wp:docPr id="1876" name="Picture 1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6"/>
                    <pic:cNvPicPr>
                      <a:picLocks noChangeAspect="1" noChangeArrowheads="1"/>
                    </pic:cNvPicPr>
                  </pic:nvPicPr>
                  <pic:blipFill>
                    <a:blip r:embed="rId18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-4311015</wp:posOffset>
            </wp:positionV>
            <wp:extent cx="8890" cy="17145"/>
            <wp:wrapNone/>
            <wp:docPr id="1877" name="Picture 1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7"/>
                    <pic:cNvPicPr>
                      <a:picLocks noChangeAspect="1" noChangeArrowheads="1"/>
                    </pic:cNvPicPr>
                  </pic:nvPicPr>
                  <pic:blipFill>
                    <a:blip r:embed="rId1884">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-4791075</wp:posOffset>
            </wp:positionV>
            <wp:extent cx="8255" cy="8255"/>
            <wp:wrapNone/>
            <wp:docPr id="1878" name="Picture 1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8"/>
                    <pic:cNvPicPr>
                      <a:picLocks noChangeAspect="1" noChangeArrowheads="1"/>
                    </pic:cNvPicPr>
                  </pic:nvPicPr>
                  <pic:blipFill>
                    <a:blip r:embed="rId18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-4773930</wp:posOffset>
            </wp:positionV>
            <wp:extent cx="8255" cy="8890"/>
            <wp:wrapNone/>
            <wp:docPr id="1879" name="Picture 1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9"/>
                    <pic:cNvPicPr>
                      <a:picLocks noChangeAspect="1" noChangeArrowheads="1"/>
                    </pic:cNvPicPr>
                  </pic:nvPicPr>
                  <pic:blipFill>
                    <a:blip r:embed="rId188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-4756785</wp:posOffset>
            </wp:positionV>
            <wp:extent cx="8255" cy="8255"/>
            <wp:wrapNone/>
            <wp:docPr id="1880" name="Picture 1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0"/>
                    <pic:cNvPicPr>
                      <a:picLocks noChangeAspect="1" noChangeArrowheads="1"/>
                    </pic:cNvPicPr>
                  </pic:nvPicPr>
                  <pic:blipFill>
                    <a:blip r:embed="rId18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-4739640</wp:posOffset>
            </wp:positionV>
            <wp:extent cx="8255" cy="8255"/>
            <wp:wrapNone/>
            <wp:docPr id="1881" name="Picture 1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1"/>
                    <pic:cNvPicPr>
                      <a:picLocks noChangeAspect="1" noChangeArrowheads="1"/>
                    </pic:cNvPicPr>
                  </pic:nvPicPr>
                  <pic:blipFill>
                    <a:blip r:embed="rId18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-4722495</wp:posOffset>
            </wp:positionV>
            <wp:extent cx="8255" cy="8255"/>
            <wp:wrapNone/>
            <wp:docPr id="1882" name="Picture 1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2"/>
                    <pic:cNvPicPr>
                      <a:picLocks noChangeAspect="1" noChangeArrowheads="1"/>
                    </pic:cNvPicPr>
                  </pic:nvPicPr>
                  <pic:blipFill>
                    <a:blip r:embed="rId18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-4705350</wp:posOffset>
            </wp:positionV>
            <wp:extent cx="8255" cy="8255"/>
            <wp:wrapNone/>
            <wp:docPr id="1883" name="Picture 1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3"/>
                    <pic:cNvPicPr>
                      <a:picLocks noChangeAspect="1" noChangeArrowheads="1"/>
                    </pic:cNvPicPr>
                  </pic:nvPicPr>
                  <pic:blipFill>
                    <a:blip r:embed="rId18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-4688205</wp:posOffset>
            </wp:positionV>
            <wp:extent cx="8255" cy="8890"/>
            <wp:wrapNone/>
            <wp:docPr id="1884" name="Picture 1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4"/>
                    <pic:cNvPicPr>
                      <a:picLocks noChangeAspect="1" noChangeArrowheads="1"/>
                    </pic:cNvPicPr>
                  </pic:nvPicPr>
                  <pic:blipFill>
                    <a:blip r:embed="rId189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-4671060</wp:posOffset>
            </wp:positionV>
            <wp:extent cx="8255" cy="8255"/>
            <wp:wrapNone/>
            <wp:docPr id="1885" name="Picture 1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5"/>
                    <pic:cNvPicPr>
                      <a:picLocks noChangeAspect="1" noChangeArrowheads="1"/>
                    </pic:cNvPicPr>
                  </pic:nvPicPr>
                  <pic:blipFill>
                    <a:blip r:embed="rId18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-4653915</wp:posOffset>
            </wp:positionV>
            <wp:extent cx="8255" cy="8255"/>
            <wp:wrapNone/>
            <wp:docPr id="1886" name="Picture 1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6"/>
                    <pic:cNvPicPr>
                      <a:picLocks noChangeAspect="1" noChangeArrowheads="1"/>
                    </pic:cNvPicPr>
                  </pic:nvPicPr>
                  <pic:blipFill>
                    <a:blip r:embed="rId18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-4636770</wp:posOffset>
            </wp:positionV>
            <wp:extent cx="8255" cy="8255"/>
            <wp:wrapNone/>
            <wp:docPr id="1887" name="Picture 1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7"/>
                    <pic:cNvPicPr>
                      <a:picLocks noChangeAspect="1" noChangeArrowheads="1"/>
                    </pic:cNvPicPr>
                  </pic:nvPicPr>
                  <pic:blipFill>
                    <a:blip r:embed="rId18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-4619625</wp:posOffset>
            </wp:positionV>
            <wp:extent cx="8255" cy="8255"/>
            <wp:wrapNone/>
            <wp:docPr id="1888" name="Picture 1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8"/>
                    <pic:cNvPicPr>
                      <a:picLocks noChangeAspect="1" noChangeArrowheads="1"/>
                    </pic:cNvPicPr>
                  </pic:nvPicPr>
                  <pic:blipFill>
                    <a:blip r:embed="rId18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-4602480</wp:posOffset>
            </wp:positionV>
            <wp:extent cx="8255" cy="8890"/>
            <wp:wrapNone/>
            <wp:docPr id="1889" name="Picture 1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9"/>
                    <pic:cNvPicPr>
                      <a:picLocks noChangeAspect="1" noChangeArrowheads="1"/>
                    </pic:cNvPicPr>
                  </pic:nvPicPr>
                  <pic:blipFill>
                    <a:blip r:embed="rId189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-4585335</wp:posOffset>
            </wp:positionV>
            <wp:extent cx="8255" cy="8255"/>
            <wp:wrapNone/>
            <wp:docPr id="1890" name="Picture 1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0"/>
                    <pic:cNvPicPr>
                      <a:picLocks noChangeAspect="1" noChangeArrowheads="1"/>
                    </pic:cNvPicPr>
                  </pic:nvPicPr>
                  <pic:blipFill>
                    <a:blip r:embed="rId18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-4568190</wp:posOffset>
            </wp:positionV>
            <wp:extent cx="8255" cy="26035"/>
            <wp:wrapNone/>
            <wp:docPr id="1891" name="Picture 1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1"/>
                    <pic:cNvPicPr>
                      <a:picLocks noChangeAspect="1" noChangeArrowheads="1"/>
                    </pic:cNvPicPr>
                  </pic:nvPicPr>
                  <pic:blipFill>
                    <a:blip r:embed="rId1898">
                      <a:extLst>
                        <a:ext uri="{28A0092B-C50C-407E-A947-70E740481C1C}"/>
                      </a:extLst>
                    </a:blip>
                    <a:srcRect/>
                    <a:stretch>
                      <a:fillRect/>
                    </a:stretch>
                  </pic:blipFill>
                  <pic:spPr bwMode="auto">
                    <a:xfrm>
                      <a:off x="0" y="0"/>
                      <a:ext cx="8255" cy="2603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-4791075</wp:posOffset>
            </wp:positionV>
            <wp:extent cx="8255" cy="8255"/>
            <wp:wrapNone/>
            <wp:docPr id="1892" name="Picture 1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2"/>
                    <pic:cNvPicPr>
                      <a:picLocks noChangeAspect="1" noChangeArrowheads="1"/>
                    </pic:cNvPicPr>
                  </pic:nvPicPr>
                  <pic:blipFill>
                    <a:blip r:embed="rId18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-4773930</wp:posOffset>
            </wp:positionV>
            <wp:extent cx="8255" cy="8890"/>
            <wp:wrapNone/>
            <wp:docPr id="1893" name="Picture 1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3"/>
                    <pic:cNvPicPr>
                      <a:picLocks noChangeAspect="1" noChangeArrowheads="1"/>
                    </pic:cNvPicPr>
                  </pic:nvPicPr>
                  <pic:blipFill>
                    <a:blip r:embed="rId190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-4756785</wp:posOffset>
            </wp:positionV>
            <wp:extent cx="8255" cy="8255"/>
            <wp:wrapNone/>
            <wp:docPr id="1894" name="Picture 1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4"/>
                    <pic:cNvPicPr>
                      <a:picLocks noChangeAspect="1" noChangeArrowheads="1"/>
                    </pic:cNvPicPr>
                  </pic:nvPicPr>
                  <pic:blipFill>
                    <a:blip r:embed="rId19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-4739640</wp:posOffset>
            </wp:positionV>
            <wp:extent cx="8255" cy="8255"/>
            <wp:wrapNone/>
            <wp:docPr id="1895" name="Picture 1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5"/>
                    <pic:cNvPicPr>
                      <a:picLocks noChangeAspect="1" noChangeArrowheads="1"/>
                    </pic:cNvPicPr>
                  </pic:nvPicPr>
                  <pic:blipFill>
                    <a:blip r:embed="rId19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-4722495</wp:posOffset>
            </wp:positionV>
            <wp:extent cx="8255" cy="8255"/>
            <wp:wrapNone/>
            <wp:docPr id="1896" name="Picture 1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6"/>
                    <pic:cNvPicPr>
                      <a:picLocks noChangeAspect="1" noChangeArrowheads="1"/>
                    </pic:cNvPicPr>
                  </pic:nvPicPr>
                  <pic:blipFill>
                    <a:blip r:embed="rId19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-4705350</wp:posOffset>
            </wp:positionV>
            <wp:extent cx="8255" cy="8255"/>
            <wp:wrapNone/>
            <wp:docPr id="1897" name="Picture 1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7"/>
                    <pic:cNvPicPr>
                      <a:picLocks noChangeAspect="1" noChangeArrowheads="1"/>
                    </pic:cNvPicPr>
                  </pic:nvPicPr>
                  <pic:blipFill>
                    <a:blip r:embed="rId19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-4688205</wp:posOffset>
            </wp:positionV>
            <wp:extent cx="8255" cy="8890"/>
            <wp:wrapNone/>
            <wp:docPr id="1898" name="Picture 1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8"/>
                    <pic:cNvPicPr>
                      <a:picLocks noChangeAspect="1" noChangeArrowheads="1"/>
                    </pic:cNvPicPr>
                  </pic:nvPicPr>
                  <pic:blipFill>
                    <a:blip r:embed="rId190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-4671060</wp:posOffset>
            </wp:positionV>
            <wp:extent cx="8255" cy="8255"/>
            <wp:wrapNone/>
            <wp:docPr id="1899" name="Picture 1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9"/>
                    <pic:cNvPicPr>
                      <a:picLocks noChangeAspect="1" noChangeArrowheads="1"/>
                    </pic:cNvPicPr>
                  </pic:nvPicPr>
                  <pic:blipFill>
                    <a:blip r:embed="rId19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-4653915</wp:posOffset>
            </wp:positionV>
            <wp:extent cx="8255" cy="8255"/>
            <wp:wrapNone/>
            <wp:docPr id="1900" name="Picture 1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0"/>
                    <pic:cNvPicPr>
                      <a:picLocks noChangeAspect="1" noChangeArrowheads="1"/>
                    </pic:cNvPicPr>
                  </pic:nvPicPr>
                  <pic:blipFill>
                    <a:blip r:embed="rId19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-4636770</wp:posOffset>
            </wp:positionV>
            <wp:extent cx="8255" cy="8255"/>
            <wp:wrapNone/>
            <wp:docPr id="1901" name="Picture 1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1"/>
                    <pic:cNvPicPr>
                      <a:picLocks noChangeAspect="1" noChangeArrowheads="1"/>
                    </pic:cNvPicPr>
                  </pic:nvPicPr>
                  <pic:blipFill>
                    <a:blip r:embed="rId19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-4619625</wp:posOffset>
            </wp:positionV>
            <wp:extent cx="8255" cy="8255"/>
            <wp:wrapNone/>
            <wp:docPr id="1902" name="Picture 1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2"/>
                    <pic:cNvPicPr>
                      <a:picLocks noChangeAspect="1" noChangeArrowheads="1"/>
                    </pic:cNvPicPr>
                  </pic:nvPicPr>
                  <pic:blipFill>
                    <a:blip r:embed="rId19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-4602480</wp:posOffset>
            </wp:positionV>
            <wp:extent cx="8255" cy="8890"/>
            <wp:wrapNone/>
            <wp:docPr id="1903" name="Picture 1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3"/>
                    <pic:cNvPicPr>
                      <a:picLocks noChangeAspect="1" noChangeArrowheads="1"/>
                    </pic:cNvPicPr>
                  </pic:nvPicPr>
                  <pic:blipFill>
                    <a:blip r:embed="rId19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-4585335</wp:posOffset>
            </wp:positionV>
            <wp:extent cx="8255" cy="8255"/>
            <wp:wrapNone/>
            <wp:docPr id="1904" name="Picture 1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4"/>
                    <pic:cNvPicPr>
                      <a:picLocks noChangeAspect="1" noChangeArrowheads="1"/>
                    </pic:cNvPicPr>
                  </pic:nvPicPr>
                  <pic:blipFill>
                    <a:blip r:embed="rId19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-4568190</wp:posOffset>
            </wp:positionV>
            <wp:extent cx="8255" cy="26035"/>
            <wp:wrapNone/>
            <wp:docPr id="1905" name="Picture 1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5"/>
                    <pic:cNvPicPr>
                      <a:picLocks noChangeAspect="1" noChangeArrowheads="1"/>
                    </pic:cNvPicPr>
                  </pic:nvPicPr>
                  <pic:blipFill>
                    <a:blip r:embed="rId1912">
                      <a:extLst>
                        <a:ext uri="{28A0092B-C50C-407E-A947-70E740481C1C}"/>
                      </a:extLst>
                    </a:blip>
                    <a:srcRect/>
                    <a:stretch>
                      <a:fillRect/>
                    </a:stretch>
                  </pic:blipFill>
                  <pic:spPr bwMode="auto">
                    <a:xfrm>
                      <a:off x="0" y="0"/>
                      <a:ext cx="8255" cy="2603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-4791075</wp:posOffset>
            </wp:positionV>
            <wp:extent cx="8890" cy="8255"/>
            <wp:wrapNone/>
            <wp:docPr id="1906" name="Picture 1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6"/>
                    <pic:cNvPicPr>
                      <a:picLocks noChangeAspect="1" noChangeArrowheads="1"/>
                    </pic:cNvPicPr>
                  </pic:nvPicPr>
                  <pic:blipFill>
                    <a:blip r:embed="rId19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-4773930</wp:posOffset>
            </wp:positionV>
            <wp:extent cx="8890" cy="8890"/>
            <wp:wrapNone/>
            <wp:docPr id="1907" name="Picture 1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7"/>
                    <pic:cNvPicPr>
                      <a:picLocks noChangeAspect="1" noChangeArrowheads="1"/>
                    </pic:cNvPicPr>
                  </pic:nvPicPr>
                  <pic:blipFill>
                    <a:blip r:embed="rId19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-4756785</wp:posOffset>
            </wp:positionV>
            <wp:extent cx="8890" cy="8255"/>
            <wp:wrapNone/>
            <wp:docPr id="1908" name="Picture 1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8"/>
                    <pic:cNvPicPr>
                      <a:picLocks noChangeAspect="1" noChangeArrowheads="1"/>
                    </pic:cNvPicPr>
                  </pic:nvPicPr>
                  <pic:blipFill>
                    <a:blip r:embed="rId19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-4739640</wp:posOffset>
            </wp:positionV>
            <wp:extent cx="8890" cy="8255"/>
            <wp:wrapNone/>
            <wp:docPr id="1909" name="Picture 1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9"/>
                    <pic:cNvPicPr>
                      <a:picLocks noChangeAspect="1" noChangeArrowheads="1"/>
                    </pic:cNvPicPr>
                  </pic:nvPicPr>
                  <pic:blipFill>
                    <a:blip r:embed="rId19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-4722495</wp:posOffset>
            </wp:positionV>
            <wp:extent cx="8890" cy="8255"/>
            <wp:wrapNone/>
            <wp:docPr id="1910" name="Picture 1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0"/>
                    <pic:cNvPicPr>
                      <a:picLocks noChangeAspect="1" noChangeArrowheads="1"/>
                    </pic:cNvPicPr>
                  </pic:nvPicPr>
                  <pic:blipFill>
                    <a:blip r:embed="rId19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-4705350</wp:posOffset>
            </wp:positionV>
            <wp:extent cx="8890" cy="8255"/>
            <wp:wrapNone/>
            <wp:docPr id="1911" name="Picture 1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1"/>
                    <pic:cNvPicPr>
                      <a:picLocks noChangeAspect="1" noChangeArrowheads="1"/>
                    </pic:cNvPicPr>
                  </pic:nvPicPr>
                  <pic:blipFill>
                    <a:blip r:embed="rId19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-4688205</wp:posOffset>
            </wp:positionV>
            <wp:extent cx="8890" cy="8890"/>
            <wp:wrapNone/>
            <wp:docPr id="1912" name="Picture 1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2"/>
                    <pic:cNvPicPr>
                      <a:picLocks noChangeAspect="1" noChangeArrowheads="1"/>
                    </pic:cNvPicPr>
                  </pic:nvPicPr>
                  <pic:blipFill>
                    <a:blip r:embed="rId19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-4671060</wp:posOffset>
            </wp:positionV>
            <wp:extent cx="8890" cy="8255"/>
            <wp:wrapNone/>
            <wp:docPr id="1913" name="Picture 1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3"/>
                    <pic:cNvPicPr>
                      <a:picLocks noChangeAspect="1" noChangeArrowheads="1"/>
                    </pic:cNvPicPr>
                  </pic:nvPicPr>
                  <pic:blipFill>
                    <a:blip r:embed="rId19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-4653915</wp:posOffset>
            </wp:positionV>
            <wp:extent cx="8890" cy="8255"/>
            <wp:wrapNone/>
            <wp:docPr id="1914" name="Picture 1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4"/>
                    <pic:cNvPicPr>
                      <a:picLocks noChangeAspect="1" noChangeArrowheads="1"/>
                    </pic:cNvPicPr>
                  </pic:nvPicPr>
                  <pic:blipFill>
                    <a:blip r:embed="rId19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-4636770</wp:posOffset>
            </wp:positionV>
            <wp:extent cx="8890" cy="8255"/>
            <wp:wrapNone/>
            <wp:docPr id="1915" name="Picture 1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5"/>
                    <pic:cNvPicPr>
                      <a:picLocks noChangeAspect="1" noChangeArrowheads="1"/>
                    </pic:cNvPicPr>
                  </pic:nvPicPr>
                  <pic:blipFill>
                    <a:blip r:embed="rId19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-4619625</wp:posOffset>
            </wp:positionV>
            <wp:extent cx="8890" cy="8255"/>
            <wp:wrapNone/>
            <wp:docPr id="1916" name="Picture 1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6"/>
                    <pic:cNvPicPr>
                      <a:picLocks noChangeAspect="1" noChangeArrowheads="1"/>
                    </pic:cNvPicPr>
                  </pic:nvPicPr>
                  <pic:blipFill>
                    <a:blip r:embed="rId19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-4602480</wp:posOffset>
            </wp:positionV>
            <wp:extent cx="8890" cy="8890"/>
            <wp:wrapNone/>
            <wp:docPr id="1917" name="Picture 1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7"/>
                    <pic:cNvPicPr>
                      <a:picLocks noChangeAspect="1" noChangeArrowheads="1"/>
                    </pic:cNvPicPr>
                  </pic:nvPicPr>
                  <pic:blipFill>
                    <a:blip r:embed="rId19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-4585335</wp:posOffset>
            </wp:positionV>
            <wp:extent cx="8890" cy="8255"/>
            <wp:wrapNone/>
            <wp:docPr id="1918" name="Picture 1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8"/>
                    <pic:cNvPicPr>
                      <a:picLocks noChangeAspect="1" noChangeArrowheads="1"/>
                    </pic:cNvPicPr>
                  </pic:nvPicPr>
                  <pic:blipFill>
                    <a:blip r:embed="rId19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-4568190</wp:posOffset>
            </wp:positionV>
            <wp:extent cx="8890" cy="26035"/>
            <wp:wrapNone/>
            <wp:docPr id="1919" name="Picture 1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9"/>
                    <pic:cNvPicPr>
                      <a:picLocks noChangeAspect="1" noChangeArrowheads="1"/>
                    </pic:cNvPicPr>
                  </pic:nvPicPr>
                  <pic:blipFill>
                    <a:blip r:embed="rId1926">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-4962525</wp:posOffset>
            </wp:positionV>
            <wp:extent cx="8255" cy="8255"/>
            <wp:wrapNone/>
            <wp:docPr id="1920" name="Picture 1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0"/>
                    <pic:cNvPicPr>
                      <a:picLocks noChangeAspect="1" noChangeArrowheads="1"/>
                    </pic:cNvPicPr>
                  </pic:nvPicPr>
                  <pic:blipFill>
                    <a:blip r:embed="rId19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-4945380</wp:posOffset>
            </wp:positionV>
            <wp:extent cx="8255" cy="8890"/>
            <wp:wrapNone/>
            <wp:docPr id="1921" name="Picture 1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1"/>
                    <pic:cNvPicPr>
                      <a:picLocks noChangeAspect="1" noChangeArrowheads="1"/>
                    </pic:cNvPicPr>
                  </pic:nvPicPr>
                  <pic:blipFill>
                    <a:blip r:embed="rId192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-4928235</wp:posOffset>
            </wp:positionV>
            <wp:extent cx="8255" cy="8255"/>
            <wp:wrapNone/>
            <wp:docPr id="1922" name="Picture 1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2"/>
                    <pic:cNvPicPr>
                      <a:picLocks noChangeAspect="1" noChangeArrowheads="1"/>
                    </pic:cNvPicPr>
                  </pic:nvPicPr>
                  <pic:blipFill>
                    <a:blip r:embed="rId19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-4911090</wp:posOffset>
            </wp:positionV>
            <wp:extent cx="8255" cy="8255"/>
            <wp:wrapNone/>
            <wp:docPr id="1923" name="Picture 1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3"/>
                    <pic:cNvPicPr>
                      <a:picLocks noChangeAspect="1" noChangeArrowheads="1"/>
                    </pic:cNvPicPr>
                  </pic:nvPicPr>
                  <pic:blipFill>
                    <a:blip r:embed="rId19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-4893945</wp:posOffset>
            </wp:positionV>
            <wp:extent cx="8255" cy="8255"/>
            <wp:wrapNone/>
            <wp:docPr id="1924" name="Picture 1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4"/>
                    <pic:cNvPicPr>
                      <a:picLocks noChangeAspect="1" noChangeArrowheads="1"/>
                    </pic:cNvPicPr>
                  </pic:nvPicPr>
                  <pic:blipFill>
                    <a:blip r:embed="rId19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-4876800</wp:posOffset>
            </wp:positionV>
            <wp:extent cx="8255" cy="8255"/>
            <wp:wrapNone/>
            <wp:docPr id="1925" name="Picture 1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5"/>
                    <pic:cNvPicPr>
                      <a:picLocks noChangeAspect="1" noChangeArrowheads="1"/>
                    </pic:cNvPicPr>
                  </pic:nvPicPr>
                  <pic:blipFill>
                    <a:blip r:embed="rId19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-4859655</wp:posOffset>
            </wp:positionV>
            <wp:extent cx="8255" cy="8890"/>
            <wp:wrapNone/>
            <wp:docPr id="1926" name="Picture 1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6"/>
                    <pic:cNvPicPr>
                      <a:picLocks noChangeAspect="1" noChangeArrowheads="1"/>
                    </pic:cNvPicPr>
                  </pic:nvPicPr>
                  <pic:blipFill>
                    <a:blip r:embed="rId193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-4842510</wp:posOffset>
            </wp:positionV>
            <wp:extent cx="8255" cy="8255"/>
            <wp:wrapNone/>
            <wp:docPr id="1927" name="Picture 1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7"/>
                    <pic:cNvPicPr>
                      <a:picLocks noChangeAspect="1" noChangeArrowheads="1"/>
                    </pic:cNvPicPr>
                  </pic:nvPicPr>
                  <pic:blipFill>
                    <a:blip r:embed="rId19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-4825365</wp:posOffset>
            </wp:positionV>
            <wp:extent cx="8255" cy="26035"/>
            <wp:wrapNone/>
            <wp:docPr id="1928" name="Picture 1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8"/>
                    <pic:cNvPicPr>
                      <a:picLocks noChangeAspect="1" noChangeArrowheads="1"/>
                    </pic:cNvPicPr>
                  </pic:nvPicPr>
                  <pic:blipFill>
                    <a:blip r:embed="rId1935">
                      <a:extLst>
                        <a:ext uri="{28A0092B-C50C-407E-A947-70E740481C1C}"/>
                      </a:extLst>
                    </a:blip>
                    <a:srcRect/>
                    <a:stretch>
                      <a:fillRect/>
                    </a:stretch>
                  </pic:blipFill>
                  <pic:spPr bwMode="auto">
                    <a:xfrm>
                      <a:off x="0" y="0"/>
                      <a:ext cx="8255" cy="2603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-4962525</wp:posOffset>
            </wp:positionV>
            <wp:extent cx="8255" cy="8255"/>
            <wp:wrapNone/>
            <wp:docPr id="1929" name="Picture 1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9"/>
                    <pic:cNvPicPr>
                      <a:picLocks noChangeAspect="1" noChangeArrowheads="1"/>
                    </pic:cNvPicPr>
                  </pic:nvPicPr>
                  <pic:blipFill>
                    <a:blip r:embed="rId19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-4945380</wp:posOffset>
            </wp:positionV>
            <wp:extent cx="8255" cy="8890"/>
            <wp:wrapNone/>
            <wp:docPr id="1930" name="Picture 1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0"/>
                    <pic:cNvPicPr>
                      <a:picLocks noChangeAspect="1" noChangeArrowheads="1"/>
                    </pic:cNvPicPr>
                  </pic:nvPicPr>
                  <pic:blipFill>
                    <a:blip r:embed="rId193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-4928235</wp:posOffset>
            </wp:positionV>
            <wp:extent cx="8255" cy="8255"/>
            <wp:wrapNone/>
            <wp:docPr id="1931" name="Picture 1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1"/>
                    <pic:cNvPicPr>
                      <a:picLocks noChangeAspect="1" noChangeArrowheads="1"/>
                    </pic:cNvPicPr>
                  </pic:nvPicPr>
                  <pic:blipFill>
                    <a:blip r:embed="rId19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-4911090</wp:posOffset>
            </wp:positionV>
            <wp:extent cx="8255" cy="8255"/>
            <wp:wrapNone/>
            <wp:docPr id="1932" name="Picture 1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2"/>
                    <pic:cNvPicPr>
                      <a:picLocks noChangeAspect="1" noChangeArrowheads="1"/>
                    </pic:cNvPicPr>
                  </pic:nvPicPr>
                  <pic:blipFill>
                    <a:blip r:embed="rId19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-4893945</wp:posOffset>
            </wp:positionV>
            <wp:extent cx="8255" cy="8255"/>
            <wp:wrapNone/>
            <wp:docPr id="1933" name="Picture 1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3"/>
                    <pic:cNvPicPr>
                      <a:picLocks noChangeAspect="1" noChangeArrowheads="1"/>
                    </pic:cNvPicPr>
                  </pic:nvPicPr>
                  <pic:blipFill>
                    <a:blip r:embed="rId19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-4876800</wp:posOffset>
            </wp:positionV>
            <wp:extent cx="8255" cy="8255"/>
            <wp:wrapNone/>
            <wp:docPr id="1934" name="Picture 1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4"/>
                    <pic:cNvPicPr>
                      <a:picLocks noChangeAspect="1" noChangeArrowheads="1"/>
                    </pic:cNvPicPr>
                  </pic:nvPicPr>
                  <pic:blipFill>
                    <a:blip r:embed="rId19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-4859655</wp:posOffset>
            </wp:positionV>
            <wp:extent cx="8255" cy="8890"/>
            <wp:wrapNone/>
            <wp:docPr id="1935" name="Picture 1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5"/>
                    <pic:cNvPicPr>
                      <a:picLocks noChangeAspect="1" noChangeArrowheads="1"/>
                    </pic:cNvPicPr>
                  </pic:nvPicPr>
                  <pic:blipFill>
                    <a:blip r:embed="rId194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-4842510</wp:posOffset>
            </wp:positionV>
            <wp:extent cx="8255" cy="8255"/>
            <wp:wrapNone/>
            <wp:docPr id="1936" name="Picture 1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6"/>
                    <pic:cNvPicPr>
                      <a:picLocks noChangeAspect="1" noChangeArrowheads="1"/>
                    </pic:cNvPicPr>
                  </pic:nvPicPr>
                  <pic:blipFill>
                    <a:blip r:embed="rId19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-4825365</wp:posOffset>
            </wp:positionV>
            <wp:extent cx="8255" cy="26035"/>
            <wp:wrapNone/>
            <wp:docPr id="1937" name="Picture 1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7"/>
                    <pic:cNvPicPr>
                      <a:picLocks noChangeAspect="1" noChangeArrowheads="1"/>
                    </pic:cNvPicPr>
                  </pic:nvPicPr>
                  <pic:blipFill>
                    <a:blip r:embed="rId1944">
                      <a:extLst>
                        <a:ext uri="{28A0092B-C50C-407E-A947-70E740481C1C}"/>
                      </a:extLst>
                    </a:blip>
                    <a:srcRect/>
                    <a:stretch>
                      <a:fillRect/>
                    </a:stretch>
                  </pic:blipFill>
                  <pic:spPr bwMode="auto">
                    <a:xfrm>
                      <a:off x="0" y="0"/>
                      <a:ext cx="8255" cy="2603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-4962525</wp:posOffset>
            </wp:positionV>
            <wp:extent cx="8890" cy="8255"/>
            <wp:wrapNone/>
            <wp:docPr id="1938" name="Picture 1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8"/>
                    <pic:cNvPicPr>
                      <a:picLocks noChangeAspect="1" noChangeArrowheads="1"/>
                    </pic:cNvPicPr>
                  </pic:nvPicPr>
                  <pic:blipFill>
                    <a:blip r:embed="rId19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-4945380</wp:posOffset>
            </wp:positionV>
            <wp:extent cx="8890" cy="8890"/>
            <wp:wrapNone/>
            <wp:docPr id="1939" name="Picture 1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9"/>
                    <pic:cNvPicPr>
                      <a:picLocks noChangeAspect="1" noChangeArrowheads="1"/>
                    </pic:cNvPicPr>
                  </pic:nvPicPr>
                  <pic:blipFill>
                    <a:blip r:embed="rId19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-4928235</wp:posOffset>
            </wp:positionV>
            <wp:extent cx="8890" cy="8255"/>
            <wp:wrapNone/>
            <wp:docPr id="1940" name="Picture 1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0"/>
                    <pic:cNvPicPr>
                      <a:picLocks noChangeAspect="1" noChangeArrowheads="1"/>
                    </pic:cNvPicPr>
                  </pic:nvPicPr>
                  <pic:blipFill>
                    <a:blip r:embed="rId19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-4911090</wp:posOffset>
            </wp:positionV>
            <wp:extent cx="8890" cy="8255"/>
            <wp:wrapNone/>
            <wp:docPr id="1941" name="Picture 1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1"/>
                    <pic:cNvPicPr>
                      <a:picLocks noChangeAspect="1" noChangeArrowheads="1"/>
                    </pic:cNvPicPr>
                  </pic:nvPicPr>
                  <pic:blipFill>
                    <a:blip r:embed="rId19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-4893945</wp:posOffset>
            </wp:positionV>
            <wp:extent cx="8890" cy="8255"/>
            <wp:wrapNone/>
            <wp:docPr id="1942" name="Picture 1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2"/>
                    <pic:cNvPicPr>
                      <a:picLocks noChangeAspect="1" noChangeArrowheads="1"/>
                    </pic:cNvPicPr>
                  </pic:nvPicPr>
                  <pic:blipFill>
                    <a:blip r:embed="rId19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-4876800</wp:posOffset>
            </wp:positionV>
            <wp:extent cx="8890" cy="8255"/>
            <wp:wrapNone/>
            <wp:docPr id="1943" name="Picture 1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3"/>
                    <pic:cNvPicPr>
                      <a:picLocks noChangeAspect="1" noChangeArrowheads="1"/>
                    </pic:cNvPicPr>
                  </pic:nvPicPr>
                  <pic:blipFill>
                    <a:blip r:embed="rId19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-4859655</wp:posOffset>
            </wp:positionV>
            <wp:extent cx="8890" cy="8890"/>
            <wp:wrapNone/>
            <wp:docPr id="1944" name="Picture 1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4"/>
                    <pic:cNvPicPr>
                      <a:picLocks noChangeAspect="1" noChangeArrowheads="1"/>
                    </pic:cNvPicPr>
                  </pic:nvPicPr>
                  <pic:blipFill>
                    <a:blip r:embed="rId19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-4842510</wp:posOffset>
            </wp:positionV>
            <wp:extent cx="8890" cy="8255"/>
            <wp:wrapNone/>
            <wp:docPr id="1945" name="Picture 1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5"/>
                    <pic:cNvPicPr>
                      <a:picLocks noChangeAspect="1" noChangeArrowheads="1"/>
                    </pic:cNvPicPr>
                  </pic:nvPicPr>
                  <pic:blipFill>
                    <a:blip r:embed="rId19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-4825365</wp:posOffset>
            </wp:positionV>
            <wp:extent cx="8890" cy="26035"/>
            <wp:wrapNone/>
            <wp:docPr id="1946" name="Picture 1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6"/>
                    <pic:cNvPicPr>
                      <a:picLocks noChangeAspect="1" noChangeArrowheads="1"/>
                    </pic:cNvPicPr>
                  </pic:nvPicPr>
                  <pic:blipFill>
                    <a:blip r:embed="rId1953">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-5125720</wp:posOffset>
            </wp:positionV>
            <wp:extent cx="8255" cy="8255"/>
            <wp:wrapNone/>
            <wp:docPr id="1947" name="Picture 1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7"/>
                    <pic:cNvPicPr>
                      <a:picLocks noChangeAspect="1" noChangeArrowheads="1"/>
                    </pic:cNvPicPr>
                  </pic:nvPicPr>
                  <pic:blipFill>
                    <a:blip r:embed="rId19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-5108575</wp:posOffset>
            </wp:positionV>
            <wp:extent cx="8255" cy="8255"/>
            <wp:wrapNone/>
            <wp:docPr id="1948" name="Picture 1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8"/>
                    <pic:cNvPicPr>
                      <a:picLocks noChangeAspect="1" noChangeArrowheads="1"/>
                    </pic:cNvPicPr>
                  </pic:nvPicPr>
                  <pic:blipFill>
                    <a:blip r:embed="rId19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-5091430</wp:posOffset>
            </wp:positionV>
            <wp:extent cx="8255" cy="8255"/>
            <wp:wrapNone/>
            <wp:docPr id="1949" name="Picture 1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9"/>
                    <pic:cNvPicPr>
                      <a:picLocks noChangeAspect="1" noChangeArrowheads="1"/>
                    </pic:cNvPicPr>
                  </pic:nvPicPr>
                  <pic:blipFill>
                    <a:blip r:embed="rId19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-5074285</wp:posOffset>
            </wp:positionV>
            <wp:extent cx="8255" cy="8890"/>
            <wp:wrapNone/>
            <wp:docPr id="1950" name="Picture 1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0"/>
                    <pic:cNvPicPr>
                      <a:picLocks noChangeAspect="1" noChangeArrowheads="1"/>
                    </pic:cNvPicPr>
                  </pic:nvPicPr>
                  <pic:blipFill>
                    <a:blip r:embed="rId195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-5057140</wp:posOffset>
            </wp:positionV>
            <wp:extent cx="8255" cy="8255"/>
            <wp:wrapNone/>
            <wp:docPr id="1951" name="Picture 1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1"/>
                    <pic:cNvPicPr>
                      <a:picLocks noChangeAspect="1" noChangeArrowheads="1"/>
                    </pic:cNvPicPr>
                  </pic:nvPicPr>
                  <pic:blipFill>
                    <a:blip r:embed="rId19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-5039995</wp:posOffset>
            </wp:positionV>
            <wp:extent cx="8255" cy="8255"/>
            <wp:wrapNone/>
            <wp:docPr id="1952" name="Picture 1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2"/>
                    <pic:cNvPicPr>
                      <a:picLocks noChangeAspect="1" noChangeArrowheads="1"/>
                    </pic:cNvPicPr>
                  </pic:nvPicPr>
                  <pic:blipFill>
                    <a:blip r:embed="rId19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-5022850</wp:posOffset>
            </wp:positionV>
            <wp:extent cx="8255" cy="8255"/>
            <wp:wrapNone/>
            <wp:docPr id="1953" name="Picture 1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3"/>
                    <pic:cNvPicPr>
                      <a:picLocks noChangeAspect="1" noChangeArrowheads="1"/>
                    </pic:cNvPicPr>
                  </pic:nvPicPr>
                  <pic:blipFill>
                    <a:blip r:embed="rId19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-5005705</wp:posOffset>
            </wp:positionV>
            <wp:extent cx="8255" cy="8255"/>
            <wp:wrapNone/>
            <wp:docPr id="1954" name="Picture 1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4"/>
                    <pic:cNvPicPr>
                      <a:picLocks noChangeAspect="1" noChangeArrowheads="1"/>
                    </pic:cNvPicPr>
                  </pic:nvPicPr>
                  <pic:blipFill>
                    <a:blip r:embed="rId19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-4988560</wp:posOffset>
            </wp:positionV>
            <wp:extent cx="8255" cy="17145"/>
            <wp:wrapNone/>
            <wp:docPr id="1955" name="Picture 1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5"/>
                    <pic:cNvPicPr>
                      <a:picLocks noChangeAspect="1" noChangeArrowheads="1"/>
                    </pic:cNvPicPr>
                  </pic:nvPicPr>
                  <pic:blipFill>
                    <a:blip r:embed="rId1962">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-5125720</wp:posOffset>
            </wp:positionV>
            <wp:extent cx="8255" cy="8255"/>
            <wp:wrapNone/>
            <wp:docPr id="1956" name="Picture 1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6"/>
                    <pic:cNvPicPr>
                      <a:picLocks noChangeAspect="1" noChangeArrowheads="1"/>
                    </pic:cNvPicPr>
                  </pic:nvPicPr>
                  <pic:blipFill>
                    <a:blip r:embed="rId19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-5108575</wp:posOffset>
            </wp:positionV>
            <wp:extent cx="8255" cy="8255"/>
            <wp:wrapNone/>
            <wp:docPr id="1957" name="Picture 1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7"/>
                    <pic:cNvPicPr>
                      <a:picLocks noChangeAspect="1" noChangeArrowheads="1"/>
                    </pic:cNvPicPr>
                  </pic:nvPicPr>
                  <pic:blipFill>
                    <a:blip r:embed="rId19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-5091430</wp:posOffset>
            </wp:positionV>
            <wp:extent cx="8255" cy="8255"/>
            <wp:wrapNone/>
            <wp:docPr id="1958" name="Picture 1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8"/>
                    <pic:cNvPicPr>
                      <a:picLocks noChangeAspect="1" noChangeArrowheads="1"/>
                    </pic:cNvPicPr>
                  </pic:nvPicPr>
                  <pic:blipFill>
                    <a:blip r:embed="rId19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-5074285</wp:posOffset>
            </wp:positionV>
            <wp:extent cx="8255" cy="8890"/>
            <wp:wrapNone/>
            <wp:docPr id="1959" name="Picture 1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9"/>
                    <pic:cNvPicPr>
                      <a:picLocks noChangeAspect="1" noChangeArrowheads="1"/>
                    </pic:cNvPicPr>
                  </pic:nvPicPr>
                  <pic:blipFill>
                    <a:blip r:embed="rId196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-5057140</wp:posOffset>
            </wp:positionV>
            <wp:extent cx="8255" cy="8255"/>
            <wp:wrapNone/>
            <wp:docPr id="1960" name="Picture 1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0"/>
                    <pic:cNvPicPr>
                      <a:picLocks noChangeAspect="1" noChangeArrowheads="1"/>
                    </pic:cNvPicPr>
                  </pic:nvPicPr>
                  <pic:blipFill>
                    <a:blip r:embed="rId19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-5039995</wp:posOffset>
            </wp:positionV>
            <wp:extent cx="8255" cy="8255"/>
            <wp:wrapNone/>
            <wp:docPr id="1961" name="Picture 1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1"/>
                    <pic:cNvPicPr>
                      <a:picLocks noChangeAspect="1" noChangeArrowheads="1"/>
                    </pic:cNvPicPr>
                  </pic:nvPicPr>
                  <pic:blipFill>
                    <a:blip r:embed="rId19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-5022850</wp:posOffset>
            </wp:positionV>
            <wp:extent cx="8255" cy="8255"/>
            <wp:wrapNone/>
            <wp:docPr id="1962" name="Picture 1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2"/>
                    <pic:cNvPicPr>
                      <a:picLocks noChangeAspect="1" noChangeArrowheads="1"/>
                    </pic:cNvPicPr>
                  </pic:nvPicPr>
                  <pic:blipFill>
                    <a:blip r:embed="rId19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-5005705</wp:posOffset>
            </wp:positionV>
            <wp:extent cx="8255" cy="8255"/>
            <wp:wrapNone/>
            <wp:docPr id="1963" name="Picture 1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3"/>
                    <pic:cNvPicPr>
                      <a:picLocks noChangeAspect="1" noChangeArrowheads="1"/>
                    </pic:cNvPicPr>
                  </pic:nvPicPr>
                  <pic:blipFill>
                    <a:blip r:embed="rId19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-4988560</wp:posOffset>
            </wp:positionV>
            <wp:extent cx="8255" cy="17145"/>
            <wp:wrapNone/>
            <wp:docPr id="1964" name="Picture 1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4"/>
                    <pic:cNvPicPr>
                      <a:picLocks noChangeAspect="1" noChangeArrowheads="1"/>
                    </pic:cNvPicPr>
                  </pic:nvPicPr>
                  <pic:blipFill>
                    <a:blip r:embed="rId1971">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-5125720</wp:posOffset>
            </wp:positionV>
            <wp:extent cx="8890" cy="8255"/>
            <wp:wrapNone/>
            <wp:docPr id="1965" name="Picture 1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5"/>
                    <pic:cNvPicPr>
                      <a:picLocks noChangeAspect="1" noChangeArrowheads="1"/>
                    </pic:cNvPicPr>
                  </pic:nvPicPr>
                  <pic:blipFill>
                    <a:blip r:embed="rId19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-5108575</wp:posOffset>
            </wp:positionV>
            <wp:extent cx="8890" cy="8255"/>
            <wp:wrapNone/>
            <wp:docPr id="1966" name="Picture 1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6"/>
                    <pic:cNvPicPr>
                      <a:picLocks noChangeAspect="1" noChangeArrowheads="1"/>
                    </pic:cNvPicPr>
                  </pic:nvPicPr>
                  <pic:blipFill>
                    <a:blip r:embed="rId19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-5091430</wp:posOffset>
            </wp:positionV>
            <wp:extent cx="8890" cy="8255"/>
            <wp:wrapNone/>
            <wp:docPr id="1967" name="Picture 1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7"/>
                    <pic:cNvPicPr>
                      <a:picLocks noChangeAspect="1" noChangeArrowheads="1"/>
                    </pic:cNvPicPr>
                  </pic:nvPicPr>
                  <pic:blipFill>
                    <a:blip r:embed="rId19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-5074285</wp:posOffset>
            </wp:positionV>
            <wp:extent cx="8890" cy="8890"/>
            <wp:wrapNone/>
            <wp:docPr id="1968" name="Picture 1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8"/>
                    <pic:cNvPicPr>
                      <a:picLocks noChangeAspect="1" noChangeArrowheads="1"/>
                    </pic:cNvPicPr>
                  </pic:nvPicPr>
                  <pic:blipFill>
                    <a:blip r:embed="rId19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-5057140</wp:posOffset>
            </wp:positionV>
            <wp:extent cx="8890" cy="8255"/>
            <wp:wrapNone/>
            <wp:docPr id="1969" name="Picture 1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9"/>
                    <pic:cNvPicPr>
                      <a:picLocks noChangeAspect="1" noChangeArrowheads="1"/>
                    </pic:cNvPicPr>
                  </pic:nvPicPr>
                  <pic:blipFill>
                    <a:blip r:embed="rId19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-5039995</wp:posOffset>
            </wp:positionV>
            <wp:extent cx="8890" cy="8255"/>
            <wp:wrapNone/>
            <wp:docPr id="1970" name="Picture 1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0"/>
                    <pic:cNvPicPr>
                      <a:picLocks noChangeAspect="1" noChangeArrowheads="1"/>
                    </pic:cNvPicPr>
                  </pic:nvPicPr>
                  <pic:blipFill>
                    <a:blip r:embed="rId19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-5022850</wp:posOffset>
            </wp:positionV>
            <wp:extent cx="8890" cy="8255"/>
            <wp:wrapNone/>
            <wp:docPr id="1971" name="Picture 1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1"/>
                    <pic:cNvPicPr>
                      <a:picLocks noChangeAspect="1" noChangeArrowheads="1"/>
                    </pic:cNvPicPr>
                  </pic:nvPicPr>
                  <pic:blipFill>
                    <a:blip r:embed="rId19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-5005705</wp:posOffset>
            </wp:positionV>
            <wp:extent cx="8890" cy="8255"/>
            <wp:wrapNone/>
            <wp:docPr id="1972" name="Picture 1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2"/>
                    <pic:cNvPicPr>
                      <a:picLocks noChangeAspect="1" noChangeArrowheads="1"/>
                    </pic:cNvPicPr>
                  </pic:nvPicPr>
                  <pic:blipFill>
                    <a:blip r:embed="rId19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-4988560</wp:posOffset>
            </wp:positionV>
            <wp:extent cx="8890" cy="17145"/>
            <wp:wrapNone/>
            <wp:docPr id="1973" name="Picture 1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3"/>
                    <pic:cNvPicPr>
                      <a:picLocks noChangeAspect="1" noChangeArrowheads="1"/>
                    </pic:cNvPicPr>
                  </pic:nvPicPr>
                  <pic:blipFill>
                    <a:blip r:embed="rId1980">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-5374005</wp:posOffset>
            </wp:positionV>
            <wp:extent cx="8255" cy="8890"/>
            <wp:wrapNone/>
            <wp:docPr id="1974" name="Picture 1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4"/>
                    <pic:cNvPicPr>
                      <a:picLocks noChangeAspect="1" noChangeArrowheads="1"/>
                    </pic:cNvPicPr>
                  </pic:nvPicPr>
                  <pic:blipFill>
                    <a:blip r:embed="rId198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-5356860</wp:posOffset>
            </wp:positionV>
            <wp:extent cx="8255" cy="8255"/>
            <wp:wrapNone/>
            <wp:docPr id="1975" name="Picture 1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5"/>
                    <pic:cNvPicPr>
                      <a:picLocks noChangeAspect="1" noChangeArrowheads="1"/>
                    </pic:cNvPicPr>
                  </pic:nvPicPr>
                  <pic:blipFill>
                    <a:blip r:embed="rId19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-5339715</wp:posOffset>
            </wp:positionV>
            <wp:extent cx="8255" cy="8255"/>
            <wp:wrapNone/>
            <wp:docPr id="1976" name="Picture 1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6"/>
                    <pic:cNvPicPr>
                      <a:picLocks noChangeAspect="1" noChangeArrowheads="1"/>
                    </pic:cNvPicPr>
                  </pic:nvPicPr>
                  <pic:blipFill>
                    <a:blip r:embed="rId19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-5322570</wp:posOffset>
            </wp:positionV>
            <wp:extent cx="8255" cy="8255"/>
            <wp:wrapNone/>
            <wp:docPr id="1977" name="Picture 1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7"/>
                    <pic:cNvPicPr>
                      <a:picLocks noChangeAspect="1" noChangeArrowheads="1"/>
                    </pic:cNvPicPr>
                  </pic:nvPicPr>
                  <pic:blipFill>
                    <a:blip r:embed="rId19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-5305425</wp:posOffset>
            </wp:positionV>
            <wp:extent cx="8255" cy="8255"/>
            <wp:wrapNone/>
            <wp:docPr id="1978" name="Picture 1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8"/>
                    <pic:cNvPicPr>
                      <a:picLocks noChangeAspect="1" noChangeArrowheads="1"/>
                    </pic:cNvPicPr>
                  </pic:nvPicPr>
                  <pic:blipFill>
                    <a:blip r:embed="rId19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-5288280</wp:posOffset>
            </wp:positionV>
            <wp:extent cx="8255" cy="8890"/>
            <wp:wrapNone/>
            <wp:docPr id="1979" name="Picture 1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9"/>
                    <pic:cNvPicPr>
                      <a:picLocks noChangeAspect="1" noChangeArrowheads="1"/>
                    </pic:cNvPicPr>
                  </pic:nvPicPr>
                  <pic:blipFill>
                    <a:blip r:embed="rId198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-5271135</wp:posOffset>
            </wp:positionV>
            <wp:extent cx="8255" cy="8255"/>
            <wp:wrapNone/>
            <wp:docPr id="1980" name="Picture 1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0"/>
                    <pic:cNvPicPr>
                      <a:picLocks noChangeAspect="1" noChangeArrowheads="1"/>
                    </pic:cNvPicPr>
                  </pic:nvPicPr>
                  <pic:blipFill>
                    <a:blip r:embed="rId19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-5253990</wp:posOffset>
            </wp:positionV>
            <wp:extent cx="8255" cy="8255"/>
            <wp:wrapNone/>
            <wp:docPr id="1981" name="Picture 1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1"/>
                    <pic:cNvPicPr>
                      <a:picLocks noChangeAspect="1" noChangeArrowheads="1"/>
                    </pic:cNvPicPr>
                  </pic:nvPicPr>
                  <pic:blipFill>
                    <a:blip r:embed="rId19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-5236845</wp:posOffset>
            </wp:positionV>
            <wp:extent cx="8255" cy="8255"/>
            <wp:wrapNone/>
            <wp:docPr id="1982" name="Picture 1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2"/>
                    <pic:cNvPicPr>
                      <a:picLocks noChangeAspect="1" noChangeArrowheads="1"/>
                    </pic:cNvPicPr>
                  </pic:nvPicPr>
                  <pic:blipFill>
                    <a:blip r:embed="rId19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-5219700</wp:posOffset>
            </wp:positionV>
            <wp:extent cx="8255" cy="8255"/>
            <wp:wrapNone/>
            <wp:docPr id="1983" name="Picture 1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3"/>
                    <pic:cNvPicPr>
                      <a:picLocks noChangeAspect="1" noChangeArrowheads="1"/>
                    </pic:cNvPicPr>
                  </pic:nvPicPr>
                  <pic:blipFill>
                    <a:blip r:embed="rId19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-5202555</wp:posOffset>
            </wp:positionV>
            <wp:extent cx="8255" cy="8890"/>
            <wp:wrapNone/>
            <wp:docPr id="1984" name="Picture 1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4"/>
                    <pic:cNvPicPr>
                      <a:picLocks noChangeAspect="1" noChangeArrowheads="1"/>
                    </pic:cNvPicPr>
                  </pic:nvPicPr>
                  <pic:blipFill>
                    <a:blip r:embed="rId199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-5185410</wp:posOffset>
            </wp:positionV>
            <wp:extent cx="8255" cy="8255"/>
            <wp:wrapNone/>
            <wp:docPr id="1985" name="Picture 1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5"/>
                    <pic:cNvPicPr>
                      <a:picLocks noChangeAspect="1" noChangeArrowheads="1"/>
                    </pic:cNvPicPr>
                  </pic:nvPicPr>
                  <pic:blipFill>
                    <a:blip r:embed="rId19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-5168265</wp:posOffset>
            </wp:positionV>
            <wp:extent cx="8255" cy="8255"/>
            <wp:wrapNone/>
            <wp:docPr id="1986" name="Picture 1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6"/>
                    <pic:cNvPicPr>
                      <a:picLocks noChangeAspect="1" noChangeArrowheads="1"/>
                    </pic:cNvPicPr>
                  </pic:nvPicPr>
                  <pic:blipFill>
                    <a:blip r:embed="rId19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-5151120</wp:posOffset>
            </wp:positionV>
            <wp:extent cx="8255" cy="17145"/>
            <wp:wrapNone/>
            <wp:docPr id="1987" name="Picture 1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7"/>
                    <pic:cNvPicPr>
                      <a:picLocks noChangeAspect="1" noChangeArrowheads="1"/>
                    </pic:cNvPicPr>
                  </pic:nvPicPr>
                  <pic:blipFill>
                    <a:blip r:embed="rId1994">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-5374005</wp:posOffset>
            </wp:positionV>
            <wp:extent cx="8255" cy="8890"/>
            <wp:wrapNone/>
            <wp:docPr id="1988" name="Picture 1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8"/>
                    <pic:cNvPicPr>
                      <a:picLocks noChangeAspect="1" noChangeArrowheads="1"/>
                    </pic:cNvPicPr>
                  </pic:nvPicPr>
                  <pic:blipFill>
                    <a:blip r:embed="rId199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-5356860</wp:posOffset>
            </wp:positionV>
            <wp:extent cx="8255" cy="8255"/>
            <wp:wrapNone/>
            <wp:docPr id="1989" name="Picture 1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9"/>
                    <pic:cNvPicPr>
                      <a:picLocks noChangeAspect="1" noChangeArrowheads="1"/>
                    </pic:cNvPicPr>
                  </pic:nvPicPr>
                  <pic:blipFill>
                    <a:blip r:embed="rId19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-5339715</wp:posOffset>
            </wp:positionV>
            <wp:extent cx="8255" cy="8255"/>
            <wp:wrapNone/>
            <wp:docPr id="1990" name="Picture 1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0"/>
                    <pic:cNvPicPr>
                      <a:picLocks noChangeAspect="1" noChangeArrowheads="1"/>
                    </pic:cNvPicPr>
                  </pic:nvPicPr>
                  <pic:blipFill>
                    <a:blip r:embed="rId19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-5322570</wp:posOffset>
            </wp:positionV>
            <wp:extent cx="8255" cy="8255"/>
            <wp:wrapNone/>
            <wp:docPr id="1991" name="Picture 1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1"/>
                    <pic:cNvPicPr>
                      <a:picLocks noChangeAspect="1" noChangeArrowheads="1"/>
                    </pic:cNvPicPr>
                  </pic:nvPicPr>
                  <pic:blipFill>
                    <a:blip r:embed="rId19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-5305425</wp:posOffset>
            </wp:positionV>
            <wp:extent cx="8255" cy="8255"/>
            <wp:wrapNone/>
            <wp:docPr id="1992" name="Picture 1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2"/>
                    <pic:cNvPicPr>
                      <a:picLocks noChangeAspect="1" noChangeArrowheads="1"/>
                    </pic:cNvPicPr>
                  </pic:nvPicPr>
                  <pic:blipFill>
                    <a:blip r:embed="rId19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-5288280</wp:posOffset>
            </wp:positionV>
            <wp:extent cx="8255" cy="8890"/>
            <wp:wrapNone/>
            <wp:docPr id="1993" name="Picture 1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3"/>
                    <pic:cNvPicPr>
                      <a:picLocks noChangeAspect="1" noChangeArrowheads="1"/>
                    </pic:cNvPicPr>
                  </pic:nvPicPr>
                  <pic:blipFill>
                    <a:blip r:embed="rId200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-5271135</wp:posOffset>
            </wp:positionV>
            <wp:extent cx="8255" cy="8255"/>
            <wp:wrapNone/>
            <wp:docPr id="1994" name="Picture 1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4"/>
                    <pic:cNvPicPr>
                      <a:picLocks noChangeAspect="1" noChangeArrowheads="1"/>
                    </pic:cNvPicPr>
                  </pic:nvPicPr>
                  <pic:blipFill>
                    <a:blip r:embed="rId20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-5253990</wp:posOffset>
            </wp:positionV>
            <wp:extent cx="8255" cy="8255"/>
            <wp:wrapNone/>
            <wp:docPr id="1995" name="Picture 1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5"/>
                    <pic:cNvPicPr>
                      <a:picLocks noChangeAspect="1" noChangeArrowheads="1"/>
                    </pic:cNvPicPr>
                  </pic:nvPicPr>
                  <pic:blipFill>
                    <a:blip r:embed="rId20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-5236845</wp:posOffset>
            </wp:positionV>
            <wp:extent cx="8255" cy="8255"/>
            <wp:wrapNone/>
            <wp:docPr id="1996" name="Picture 1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6"/>
                    <pic:cNvPicPr>
                      <a:picLocks noChangeAspect="1" noChangeArrowheads="1"/>
                    </pic:cNvPicPr>
                  </pic:nvPicPr>
                  <pic:blipFill>
                    <a:blip r:embed="rId20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-5219700</wp:posOffset>
            </wp:positionV>
            <wp:extent cx="8255" cy="8255"/>
            <wp:wrapNone/>
            <wp:docPr id="1997" name="Picture 1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7"/>
                    <pic:cNvPicPr>
                      <a:picLocks noChangeAspect="1" noChangeArrowheads="1"/>
                    </pic:cNvPicPr>
                  </pic:nvPicPr>
                  <pic:blipFill>
                    <a:blip r:embed="rId20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-5202555</wp:posOffset>
            </wp:positionV>
            <wp:extent cx="8255" cy="8890"/>
            <wp:wrapNone/>
            <wp:docPr id="1998" name="Picture 1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8"/>
                    <pic:cNvPicPr>
                      <a:picLocks noChangeAspect="1" noChangeArrowheads="1"/>
                    </pic:cNvPicPr>
                  </pic:nvPicPr>
                  <pic:blipFill>
                    <a:blip r:embed="rId200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-5185410</wp:posOffset>
            </wp:positionV>
            <wp:extent cx="8255" cy="8255"/>
            <wp:wrapNone/>
            <wp:docPr id="1999" name="Picture 1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9"/>
                    <pic:cNvPicPr>
                      <a:picLocks noChangeAspect="1" noChangeArrowheads="1"/>
                    </pic:cNvPicPr>
                  </pic:nvPicPr>
                  <pic:blipFill>
                    <a:blip r:embed="rId20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-5168265</wp:posOffset>
            </wp:positionV>
            <wp:extent cx="8255" cy="8255"/>
            <wp:wrapNone/>
            <wp:docPr id="2000" name="Picture 2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0"/>
                    <pic:cNvPicPr>
                      <a:picLocks noChangeAspect="1" noChangeArrowheads="1"/>
                    </pic:cNvPicPr>
                  </pic:nvPicPr>
                  <pic:blipFill>
                    <a:blip r:embed="rId20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-5151120</wp:posOffset>
            </wp:positionV>
            <wp:extent cx="8255" cy="17145"/>
            <wp:wrapNone/>
            <wp:docPr id="2001" name="Picture 2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1"/>
                    <pic:cNvPicPr>
                      <a:picLocks noChangeAspect="1" noChangeArrowheads="1"/>
                    </pic:cNvPicPr>
                  </pic:nvPicPr>
                  <pic:blipFill>
                    <a:blip r:embed="rId2008">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-5374005</wp:posOffset>
            </wp:positionV>
            <wp:extent cx="8890" cy="8890"/>
            <wp:wrapNone/>
            <wp:docPr id="2002" name="Picture 2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2"/>
                    <pic:cNvPicPr>
                      <a:picLocks noChangeAspect="1" noChangeArrowheads="1"/>
                    </pic:cNvPicPr>
                  </pic:nvPicPr>
                  <pic:blipFill>
                    <a:blip r:embed="rId20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-5356860</wp:posOffset>
            </wp:positionV>
            <wp:extent cx="8890" cy="8255"/>
            <wp:wrapNone/>
            <wp:docPr id="2003" name="Picture 2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3"/>
                    <pic:cNvPicPr>
                      <a:picLocks noChangeAspect="1" noChangeArrowheads="1"/>
                    </pic:cNvPicPr>
                  </pic:nvPicPr>
                  <pic:blipFill>
                    <a:blip r:embed="rId20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-5339715</wp:posOffset>
            </wp:positionV>
            <wp:extent cx="8890" cy="8255"/>
            <wp:wrapNone/>
            <wp:docPr id="2004" name="Picture 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4"/>
                    <pic:cNvPicPr>
                      <a:picLocks noChangeAspect="1" noChangeArrowheads="1"/>
                    </pic:cNvPicPr>
                  </pic:nvPicPr>
                  <pic:blipFill>
                    <a:blip r:embed="rId20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-5322570</wp:posOffset>
            </wp:positionV>
            <wp:extent cx="8890" cy="8255"/>
            <wp:wrapNone/>
            <wp:docPr id="2005" name="Picture 2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5"/>
                    <pic:cNvPicPr>
                      <a:picLocks noChangeAspect="1" noChangeArrowheads="1"/>
                    </pic:cNvPicPr>
                  </pic:nvPicPr>
                  <pic:blipFill>
                    <a:blip r:embed="rId20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-5305425</wp:posOffset>
            </wp:positionV>
            <wp:extent cx="8890" cy="8255"/>
            <wp:wrapNone/>
            <wp:docPr id="2006" name="Picture 2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6"/>
                    <pic:cNvPicPr>
                      <a:picLocks noChangeAspect="1" noChangeArrowheads="1"/>
                    </pic:cNvPicPr>
                  </pic:nvPicPr>
                  <pic:blipFill>
                    <a:blip r:embed="rId20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-5288280</wp:posOffset>
            </wp:positionV>
            <wp:extent cx="8890" cy="8890"/>
            <wp:wrapNone/>
            <wp:docPr id="2007" name="Picture 2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7"/>
                    <pic:cNvPicPr>
                      <a:picLocks noChangeAspect="1" noChangeArrowheads="1"/>
                    </pic:cNvPicPr>
                  </pic:nvPicPr>
                  <pic:blipFill>
                    <a:blip r:embed="rId20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-5271135</wp:posOffset>
            </wp:positionV>
            <wp:extent cx="8890" cy="8255"/>
            <wp:wrapNone/>
            <wp:docPr id="2008" name="Picture 2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8"/>
                    <pic:cNvPicPr>
                      <a:picLocks noChangeAspect="1" noChangeArrowheads="1"/>
                    </pic:cNvPicPr>
                  </pic:nvPicPr>
                  <pic:blipFill>
                    <a:blip r:embed="rId20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-5253990</wp:posOffset>
            </wp:positionV>
            <wp:extent cx="8890" cy="8255"/>
            <wp:wrapNone/>
            <wp:docPr id="2009" name="Picture 2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9"/>
                    <pic:cNvPicPr>
                      <a:picLocks noChangeAspect="1" noChangeArrowheads="1"/>
                    </pic:cNvPicPr>
                  </pic:nvPicPr>
                  <pic:blipFill>
                    <a:blip r:embed="rId20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-5236845</wp:posOffset>
            </wp:positionV>
            <wp:extent cx="8890" cy="8255"/>
            <wp:wrapNone/>
            <wp:docPr id="2010" name="Picture 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0"/>
                    <pic:cNvPicPr>
                      <a:picLocks noChangeAspect="1" noChangeArrowheads="1"/>
                    </pic:cNvPicPr>
                  </pic:nvPicPr>
                  <pic:blipFill>
                    <a:blip r:embed="rId20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-5219700</wp:posOffset>
            </wp:positionV>
            <wp:extent cx="8890" cy="8255"/>
            <wp:wrapNone/>
            <wp:docPr id="2011" name="Picture 2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1"/>
                    <pic:cNvPicPr>
                      <a:picLocks noChangeAspect="1" noChangeArrowheads="1"/>
                    </pic:cNvPicPr>
                  </pic:nvPicPr>
                  <pic:blipFill>
                    <a:blip r:embed="rId20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-5202555</wp:posOffset>
            </wp:positionV>
            <wp:extent cx="8890" cy="8890"/>
            <wp:wrapNone/>
            <wp:docPr id="2012" name="Picture 2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2"/>
                    <pic:cNvPicPr>
                      <a:picLocks noChangeAspect="1" noChangeArrowheads="1"/>
                    </pic:cNvPicPr>
                  </pic:nvPicPr>
                  <pic:blipFill>
                    <a:blip r:embed="rId20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-5185410</wp:posOffset>
            </wp:positionV>
            <wp:extent cx="8890" cy="8255"/>
            <wp:wrapNone/>
            <wp:docPr id="2013" name="Picture 2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3"/>
                    <pic:cNvPicPr>
                      <a:picLocks noChangeAspect="1" noChangeArrowheads="1"/>
                    </pic:cNvPicPr>
                  </pic:nvPicPr>
                  <pic:blipFill>
                    <a:blip r:embed="rId20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-5168265</wp:posOffset>
            </wp:positionV>
            <wp:extent cx="8890" cy="8255"/>
            <wp:wrapNone/>
            <wp:docPr id="2014" name="Picture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4"/>
                    <pic:cNvPicPr>
                      <a:picLocks noChangeAspect="1" noChangeArrowheads="1"/>
                    </pic:cNvPicPr>
                  </pic:nvPicPr>
                  <pic:blipFill>
                    <a:blip r:embed="rId20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-5151120</wp:posOffset>
            </wp:positionV>
            <wp:extent cx="8890" cy="17145"/>
            <wp:wrapNone/>
            <wp:docPr id="2015" name="Picture 2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5"/>
                    <pic:cNvPicPr>
                      <a:picLocks noChangeAspect="1" noChangeArrowheads="1"/>
                    </pic:cNvPicPr>
                  </pic:nvPicPr>
                  <pic:blipFill>
                    <a:blip r:embed="rId2022">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-5631180</wp:posOffset>
            </wp:positionV>
            <wp:extent cx="8255" cy="8890"/>
            <wp:wrapNone/>
            <wp:docPr id="2016" name="Picture 2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6"/>
                    <pic:cNvPicPr>
                      <a:picLocks noChangeAspect="1" noChangeArrowheads="1"/>
                    </pic:cNvPicPr>
                  </pic:nvPicPr>
                  <pic:blipFill>
                    <a:blip r:embed="rId202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-5614035</wp:posOffset>
            </wp:positionV>
            <wp:extent cx="8255" cy="8255"/>
            <wp:wrapNone/>
            <wp:docPr id="2017" name="Picture 2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7"/>
                    <pic:cNvPicPr>
                      <a:picLocks noChangeAspect="1" noChangeArrowheads="1"/>
                    </pic:cNvPicPr>
                  </pic:nvPicPr>
                  <pic:blipFill>
                    <a:blip r:embed="rId20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-5596890</wp:posOffset>
            </wp:positionV>
            <wp:extent cx="8255" cy="8255"/>
            <wp:wrapNone/>
            <wp:docPr id="2018" name="Picture 2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8"/>
                    <pic:cNvPicPr>
                      <a:picLocks noChangeAspect="1" noChangeArrowheads="1"/>
                    </pic:cNvPicPr>
                  </pic:nvPicPr>
                  <pic:blipFill>
                    <a:blip r:embed="rId20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-5579745</wp:posOffset>
            </wp:positionV>
            <wp:extent cx="8255" cy="8255"/>
            <wp:wrapNone/>
            <wp:docPr id="2019" name="Picture 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9"/>
                    <pic:cNvPicPr>
                      <a:picLocks noChangeAspect="1" noChangeArrowheads="1"/>
                    </pic:cNvPicPr>
                  </pic:nvPicPr>
                  <pic:blipFill>
                    <a:blip r:embed="rId20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-5562600</wp:posOffset>
            </wp:positionV>
            <wp:extent cx="8255" cy="8255"/>
            <wp:wrapNone/>
            <wp:docPr id="2020" name="Picture 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0"/>
                    <pic:cNvPicPr>
                      <a:picLocks noChangeAspect="1" noChangeArrowheads="1"/>
                    </pic:cNvPicPr>
                  </pic:nvPicPr>
                  <pic:blipFill>
                    <a:blip r:embed="rId20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-5545455</wp:posOffset>
            </wp:positionV>
            <wp:extent cx="8255" cy="8890"/>
            <wp:wrapNone/>
            <wp:docPr id="2021" name="Picture 2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1"/>
                    <pic:cNvPicPr>
                      <a:picLocks noChangeAspect="1" noChangeArrowheads="1"/>
                    </pic:cNvPicPr>
                  </pic:nvPicPr>
                  <pic:blipFill>
                    <a:blip r:embed="rId202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-5528310</wp:posOffset>
            </wp:positionV>
            <wp:extent cx="8255" cy="8255"/>
            <wp:wrapNone/>
            <wp:docPr id="2022" name="Picture 2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2"/>
                    <pic:cNvPicPr>
                      <a:picLocks noChangeAspect="1" noChangeArrowheads="1"/>
                    </pic:cNvPicPr>
                  </pic:nvPicPr>
                  <pic:blipFill>
                    <a:blip r:embed="rId20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-5511165</wp:posOffset>
            </wp:positionV>
            <wp:extent cx="8255" cy="8255"/>
            <wp:wrapNone/>
            <wp:docPr id="2023" name="Picture 2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3"/>
                    <pic:cNvPicPr>
                      <a:picLocks noChangeAspect="1" noChangeArrowheads="1"/>
                    </pic:cNvPicPr>
                  </pic:nvPicPr>
                  <pic:blipFill>
                    <a:blip r:embed="rId20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-5494020</wp:posOffset>
            </wp:positionV>
            <wp:extent cx="8255" cy="8255"/>
            <wp:wrapNone/>
            <wp:docPr id="2024" name="Picture 2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4"/>
                    <pic:cNvPicPr>
                      <a:picLocks noChangeAspect="1" noChangeArrowheads="1"/>
                    </pic:cNvPicPr>
                  </pic:nvPicPr>
                  <pic:blipFill>
                    <a:blip r:embed="rId20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-5476875</wp:posOffset>
            </wp:positionV>
            <wp:extent cx="8255" cy="8255"/>
            <wp:wrapNone/>
            <wp:docPr id="2025" name="Picture 2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5"/>
                    <pic:cNvPicPr>
                      <a:picLocks noChangeAspect="1" noChangeArrowheads="1"/>
                    </pic:cNvPicPr>
                  </pic:nvPicPr>
                  <pic:blipFill>
                    <a:blip r:embed="rId20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-5459730</wp:posOffset>
            </wp:positionV>
            <wp:extent cx="8255" cy="8890"/>
            <wp:wrapNone/>
            <wp:docPr id="2026" name="Picture 2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6"/>
                    <pic:cNvPicPr>
                      <a:picLocks noChangeAspect="1" noChangeArrowheads="1"/>
                    </pic:cNvPicPr>
                  </pic:nvPicPr>
                  <pic:blipFill>
                    <a:blip r:embed="rId203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-5442585</wp:posOffset>
            </wp:positionV>
            <wp:extent cx="8255" cy="8255"/>
            <wp:wrapNone/>
            <wp:docPr id="2027" name="Picture 2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7"/>
                    <pic:cNvPicPr>
                      <a:picLocks noChangeAspect="1" noChangeArrowheads="1"/>
                    </pic:cNvPicPr>
                  </pic:nvPicPr>
                  <pic:blipFill>
                    <a:blip r:embed="rId20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-5425440</wp:posOffset>
            </wp:positionV>
            <wp:extent cx="8255" cy="8255"/>
            <wp:wrapNone/>
            <wp:docPr id="2028" name="Picture 2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8"/>
                    <pic:cNvPicPr>
                      <a:picLocks noChangeAspect="1" noChangeArrowheads="1"/>
                    </pic:cNvPicPr>
                  </pic:nvPicPr>
                  <pic:blipFill>
                    <a:blip r:embed="rId20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-5408295</wp:posOffset>
            </wp:positionV>
            <wp:extent cx="8255" cy="25400"/>
            <wp:wrapNone/>
            <wp:docPr id="2029" name="Picture 2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9"/>
                    <pic:cNvPicPr>
                      <a:picLocks noChangeAspect="1" noChangeArrowheads="1"/>
                    </pic:cNvPicPr>
                  </pic:nvPicPr>
                  <pic:blipFill>
                    <a:blip r:embed="rId2036">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-5631180</wp:posOffset>
            </wp:positionV>
            <wp:extent cx="8255" cy="8890"/>
            <wp:wrapNone/>
            <wp:docPr id="2030" name="Picture 2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0"/>
                    <pic:cNvPicPr>
                      <a:picLocks noChangeAspect="1" noChangeArrowheads="1"/>
                    </pic:cNvPicPr>
                  </pic:nvPicPr>
                  <pic:blipFill>
                    <a:blip r:embed="rId203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-5614035</wp:posOffset>
            </wp:positionV>
            <wp:extent cx="8255" cy="8255"/>
            <wp:wrapNone/>
            <wp:docPr id="2031" name="Picture 2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1"/>
                    <pic:cNvPicPr>
                      <a:picLocks noChangeAspect="1" noChangeArrowheads="1"/>
                    </pic:cNvPicPr>
                  </pic:nvPicPr>
                  <pic:blipFill>
                    <a:blip r:embed="rId20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-5596890</wp:posOffset>
            </wp:positionV>
            <wp:extent cx="8255" cy="8255"/>
            <wp:wrapNone/>
            <wp:docPr id="2032" name="Picture 2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2"/>
                    <pic:cNvPicPr>
                      <a:picLocks noChangeAspect="1" noChangeArrowheads="1"/>
                    </pic:cNvPicPr>
                  </pic:nvPicPr>
                  <pic:blipFill>
                    <a:blip r:embed="rId20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-5579745</wp:posOffset>
            </wp:positionV>
            <wp:extent cx="8255" cy="8255"/>
            <wp:wrapNone/>
            <wp:docPr id="2033" name="Picture 2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3"/>
                    <pic:cNvPicPr>
                      <a:picLocks noChangeAspect="1" noChangeArrowheads="1"/>
                    </pic:cNvPicPr>
                  </pic:nvPicPr>
                  <pic:blipFill>
                    <a:blip r:embed="rId20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-5562600</wp:posOffset>
            </wp:positionV>
            <wp:extent cx="8255" cy="8255"/>
            <wp:wrapNone/>
            <wp:docPr id="2034" name="Picture 2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4"/>
                    <pic:cNvPicPr>
                      <a:picLocks noChangeAspect="1" noChangeArrowheads="1"/>
                    </pic:cNvPicPr>
                  </pic:nvPicPr>
                  <pic:blipFill>
                    <a:blip r:embed="rId20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-5545455</wp:posOffset>
            </wp:positionV>
            <wp:extent cx="8255" cy="8890"/>
            <wp:wrapNone/>
            <wp:docPr id="2035" name="Picture 2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5"/>
                    <pic:cNvPicPr>
                      <a:picLocks noChangeAspect="1" noChangeArrowheads="1"/>
                    </pic:cNvPicPr>
                  </pic:nvPicPr>
                  <pic:blipFill>
                    <a:blip r:embed="rId204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-5528310</wp:posOffset>
            </wp:positionV>
            <wp:extent cx="8255" cy="8255"/>
            <wp:wrapNone/>
            <wp:docPr id="2036" name="Picture 2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6"/>
                    <pic:cNvPicPr>
                      <a:picLocks noChangeAspect="1" noChangeArrowheads="1"/>
                    </pic:cNvPicPr>
                  </pic:nvPicPr>
                  <pic:blipFill>
                    <a:blip r:embed="rId20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-5511165</wp:posOffset>
            </wp:positionV>
            <wp:extent cx="8255" cy="8255"/>
            <wp:wrapNone/>
            <wp:docPr id="2037" name="Picture 2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7"/>
                    <pic:cNvPicPr>
                      <a:picLocks noChangeAspect="1" noChangeArrowheads="1"/>
                    </pic:cNvPicPr>
                  </pic:nvPicPr>
                  <pic:blipFill>
                    <a:blip r:embed="rId20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-5494020</wp:posOffset>
            </wp:positionV>
            <wp:extent cx="8255" cy="8255"/>
            <wp:wrapNone/>
            <wp:docPr id="2038" name="Picture 2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8"/>
                    <pic:cNvPicPr>
                      <a:picLocks noChangeAspect="1" noChangeArrowheads="1"/>
                    </pic:cNvPicPr>
                  </pic:nvPicPr>
                  <pic:blipFill>
                    <a:blip r:embed="rId20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-5476875</wp:posOffset>
            </wp:positionV>
            <wp:extent cx="8255" cy="8255"/>
            <wp:wrapNone/>
            <wp:docPr id="2039" name="Picture 2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9"/>
                    <pic:cNvPicPr>
                      <a:picLocks noChangeAspect="1" noChangeArrowheads="1"/>
                    </pic:cNvPicPr>
                  </pic:nvPicPr>
                  <pic:blipFill>
                    <a:blip r:embed="rId20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-5459730</wp:posOffset>
            </wp:positionV>
            <wp:extent cx="8255" cy="8890"/>
            <wp:wrapNone/>
            <wp:docPr id="2040" name="Picture 2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0"/>
                    <pic:cNvPicPr>
                      <a:picLocks noChangeAspect="1" noChangeArrowheads="1"/>
                    </pic:cNvPicPr>
                  </pic:nvPicPr>
                  <pic:blipFill>
                    <a:blip r:embed="rId204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-5442585</wp:posOffset>
            </wp:positionV>
            <wp:extent cx="8255" cy="8255"/>
            <wp:wrapNone/>
            <wp:docPr id="2041" name="Picture 2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1"/>
                    <pic:cNvPicPr>
                      <a:picLocks noChangeAspect="1" noChangeArrowheads="1"/>
                    </pic:cNvPicPr>
                  </pic:nvPicPr>
                  <pic:blipFill>
                    <a:blip r:embed="rId20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-5425440</wp:posOffset>
            </wp:positionV>
            <wp:extent cx="8255" cy="8255"/>
            <wp:wrapNone/>
            <wp:docPr id="2042" name="Picture 2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2"/>
                    <pic:cNvPicPr>
                      <a:picLocks noChangeAspect="1" noChangeArrowheads="1"/>
                    </pic:cNvPicPr>
                  </pic:nvPicPr>
                  <pic:blipFill>
                    <a:blip r:embed="rId20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-5408295</wp:posOffset>
            </wp:positionV>
            <wp:extent cx="8255" cy="25400"/>
            <wp:wrapNone/>
            <wp:docPr id="2043" name="Picture 2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3"/>
                    <pic:cNvPicPr>
                      <a:picLocks noChangeAspect="1" noChangeArrowheads="1"/>
                    </pic:cNvPicPr>
                  </pic:nvPicPr>
                  <pic:blipFill>
                    <a:blip r:embed="rId2050">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-5631180</wp:posOffset>
            </wp:positionV>
            <wp:extent cx="8890" cy="8890"/>
            <wp:wrapNone/>
            <wp:docPr id="2044" name="Picture 2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4"/>
                    <pic:cNvPicPr>
                      <a:picLocks noChangeAspect="1" noChangeArrowheads="1"/>
                    </pic:cNvPicPr>
                  </pic:nvPicPr>
                  <pic:blipFill>
                    <a:blip r:embed="rId20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-5614035</wp:posOffset>
            </wp:positionV>
            <wp:extent cx="8890" cy="8255"/>
            <wp:wrapNone/>
            <wp:docPr id="2045" name="Picture 2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5"/>
                    <pic:cNvPicPr>
                      <a:picLocks noChangeAspect="1" noChangeArrowheads="1"/>
                    </pic:cNvPicPr>
                  </pic:nvPicPr>
                  <pic:blipFill>
                    <a:blip r:embed="rId20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-5596890</wp:posOffset>
            </wp:positionV>
            <wp:extent cx="8890" cy="8255"/>
            <wp:wrapNone/>
            <wp:docPr id="2046" name="Picture 2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6"/>
                    <pic:cNvPicPr>
                      <a:picLocks noChangeAspect="1" noChangeArrowheads="1"/>
                    </pic:cNvPicPr>
                  </pic:nvPicPr>
                  <pic:blipFill>
                    <a:blip r:embed="rId20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-5579745</wp:posOffset>
            </wp:positionV>
            <wp:extent cx="8890" cy="8255"/>
            <wp:wrapNone/>
            <wp:docPr id="2047" name="Picture 2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7"/>
                    <pic:cNvPicPr>
                      <a:picLocks noChangeAspect="1" noChangeArrowheads="1"/>
                    </pic:cNvPicPr>
                  </pic:nvPicPr>
                  <pic:blipFill>
                    <a:blip r:embed="rId20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-5562600</wp:posOffset>
            </wp:positionV>
            <wp:extent cx="8890" cy="8255"/>
            <wp:wrapNone/>
            <wp:docPr id="2048" name="Picture 2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8"/>
                    <pic:cNvPicPr>
                      <a:picLocks noChangeAspect="1" noChangeArrowheads="1"/>
                    </pic:cNvPicPr>
                  </pic:nvPicPr>
                  <pic:blipFill>
                    <a:blip r:embed="rId20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-5545455</wp:posOffset>
            </wp:positionV>
            <wp:extent cx="8890" cy="8890"/>
            <wp:wrapNone/>
            <wp:docPr id="2049" name="Picture 2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9"/>
                    <pic:cNvPicPr>
                      <a:picLocks noChangeAspect="1" noChangeArrowheads="1"/>
                    </pic:cNvPicPr>
                  </pic:nvPicPr>
                  <pic:blipFill>
                    <a:blip r:embed="rId20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-5528310</wp:posOffset>
            </wp:positionV>
            <wp:extent cx="8890" cy="8255"/>
            <wp:wrapNone/>
            <wp:docPr id="2050" name="Picture 2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0"/>
                    <pic:cNvPicPr>
                      <a:picLocks noChangeAspect="1" noChangeArrowheads="1"/>
                    </pic:cNvPicPr>
                  </pic:nvPicPr>
                  <pic:blipFill>
                    <a:blip r:embed="rId20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-5511165</wp:posOffset>
            </wp:positionV>
            <wp:extent cx="8890" cy="8255"/>
            <wp:wrapNone/>
            <wp:docPr id="2051" name="Picture 2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1"/>
                    <pic:cNvPicPr>
                      <a:picLocks noChangeAspect="1" noChangeArrowheads="1"/>
                    </pic:cNvPicPr>
                  </pic:nvPicPr>
                  <pic:blipFill>
                    <a:blip r:embed="rId20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-5494020</wp:posOffset>
            </wp:positionV>
            <wp:extent cx="8890" cy="8255"/>
            <wp:wrapNone/>
            <wp:docPr id="2052" name="Picture 2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2"/>
                    <pic:cNvPicPr>
                      <a:picLocks noChangeAspect="1" noChangeArrowheads="1"/>
                    </pic:cNvPicPr>
                  </pic:nvPicPr>
                  <pic:blipFill>
                    <a:blip r:embed="rId20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-5476875</wp:posOffset>
            </wp:positionV>
            <wp:extent cx="8890" cy="8255"/>
            <wp:wrapNone/>
            <wp:docPr id="2053" name="Picture 2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3"/>
                    <pic:cNvPicPr>
                      <a:picLocks noChangeAspect="1" noChangeArrowheads="1"/>
                    </pic:cNvPicPr>
                  </pic:nvPicPr>
                  <pic:blipFill>
                    <a:blip r:embed="rId20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-5459730</wp:posOffset>
            </wp:positionV>
            <wp:extent cx="8890" cy="8890"/>
            <wp:wrapNone/>
            <wp:docPr id="2054" name="Picture 2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4"/>
                    <pic:cNvPicPr>
                      <a:picLocks noChangeAspect="1" noChangeArrowheads="1"/>
                    </pic:cNvPicPr>
                  </pic:nvPicPr>
                  <pic:blipFill>
                    <a:blip r:embed="rId20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-5442585</wp:posOffset>
            </wp:positionV>
            <wp:extent cx="8890" cy="8255"/>
            <wp:wrapNone/>
            <wp:docPr id="2055" name="Picture 2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5"/>
                    <pic:cNvPicPr>
                      <a:picLocks noChangeAspect="1" noChangeArrowheads="1"/>
                    </pic:cNvPicPr>
                  </pic:nvPicPr>
                  <pic:blipFill>
                    <a:blip r:embed="rId20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-5425440</wp:posOffset>
            </wp:positionV>
            <wp:extent cx="8890" cy="8255"/>
            <wp:wrapNone/>
            <wp:docPr id="2056" name="Picture 2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6"/>
                    <pic:cNvPicPr>
                      <a:picLocks noChangeAspect="1" noChangeArrowheads="1"/>
                    </pic:cNvPicPr>
                  </pic:nvPicPr>
                  <pic:blipFill>
                    <a:blip r:embed="rId20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-5408295</wp:posOffset>
            </wp:positionV>
            <wp:extent cx="8890" cy="25400"/>
            <wp:wrapNone/>
            <wp:docPr id="2057" name="Picture 2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7"/>
                    <pic:cNvPicPr>
                      <a:picLocks noChangeAspect="1" noChangeArrowheads="1"/>
                    </pic:cNvPicPr>
                  </pic:nvPicPr>
                  <pic:blipFill>
                    <a:blip r:embed="rId2064">
                      <a:extLst>
                        <a:ext uri="{28A0092B-C50C-407E-A947-70E740481C1C}"/>
                      </a:extLst>
                    </a:blip>
                    <a:srcRect/>
                    <a:stretch>
                      <a:fillRect/>
                    </a:stretch>
                  </pic:blipFill>
                  <pic:spPr bwMode="auto">
                    <a:xfrm>
                      <a:off x="0" y="0"/>
                      <a:ext cx="8890" cy="2540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-5888355</wp:posOffset>
            </wp:positionV>
            <wp:extent cx="8255" cy="8890"/>
            <wp:wrapNone/>
            <wp:docPr id="2058" name="Picture 2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8"/>
                    <pic:cNvPicPr>
                      <a:picLocks noChangeAspect="1" noChangeArrowheads="1"/>
                    </pic:cNvPicPr>
                  </pic:nvPicPr>
                  <pic:blipFill>
                    <a:blip r:embed="rId206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-5871210</wp:posOffset>
            </wp:positionV>
            <wp:extent cx="8255" cy="8255"/>
            <wp:wrapNone/>
            <wp:docPr id="2059" name="Picture 2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9"/>
                    <pic:cNvPicPr>
                      <a:picLocks noChangeAspect="1" noChangeArrowheads="1"/>
                    </pic:cNvPicPr>
                  </pic:nvPicPr>
                  <pic:blipFill>
                    <a:blip r:embed="rId20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-5854065</wp:posOffset>
            </wp:positionV>
            <wp:extent cx="8255" cy="8255"/>
            <wp:wrapNone/>
            <wp:docPr id="2060" name="Picture 2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0"/>
                    <pic:cNvPicPr>
                      <a:picLocks noChangeAspect="1" noChangeArrowheads="1"/>
                    </pic:cNvPicPr>
                  </pic:nvPicPr>
                  <pic:blipFill>
                    <a:blip r:embed="rId20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-5836920</wp:posOffset>
            </wp:positionV>
            <wp:extent cx="8255" cy="8255"/>
            <wp:wrapNone/>
            <wp:docPr id="2061" name="Picture 2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1"/>
                    <pic:cNvPicPr>
                      <a:picLocks noChangeAspect="1" noChangeArrowheads="1"/>
                    </pic:cNvPicPr>
                  </pic:nvPicPr>
                  <pic:blipFill>
                    <a:blip r:embed="rId20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-5819775</wp:posOffset>
            </wp:positionV>
            <wp:extent cx="8255" cy="8255"/>
            <wp:wrapNone/>
            <wp:docPr id="2062" name="Picture 2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2"/>
                    <pic:cNvPicPr>
                      <a:picLocks noChangeAspect="1" noChangeArrowheads="1"/>
                    </pic:cNvPicPr>
                  </pic:nvPicPr>
                  <pic:blipFill>
                    <a:blip r:embed="rId20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-5802630</wp:posOffset>
            </wp:positionV>
            <wp:extent cx="8255" cy="8890"/>
            <wp:wrapNone/>
            <wp:docPr id="2063" name="Picture 2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3"/>
                    <pic:cNvPicPr>
                      <a:picLocks noChangeAspect="1" noChangeArrowheads="1"/>
                    </pic:cNvPicPr>
                  </pic:nvPicPr>
                  <pic:blipFill>
                    <a:blip r:embed="rId207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-5785485</wp:posOffset>
            </wp:positionV>
            <wp:extent cx="8255" cy="8255"/>
            <wp:wrapNone/>
            <wp:docPr id="2064" name="Picture 2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4"/>
                    <pic:cNvPicPr>
                      <a:picLocks noChangeAspect="1" noChangeArrowheads="1"/>
                    </pic:cNvPicPr>
                  </pic:nvPicPr>
                  <pic:blipFill>
                    <a:blip r:embed="rId20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-5768340</wp:posOffset>
            </wp:positionV>
            <wp:extent cx="8255" cy="8255"/>
            <wp:wrapNone/>
            <wp:docPr id="2065" name="Picture 2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5"/>
                    <pic:cNvPicPr>
                      <a:picLocks noChangeAspect="1" noChangeArrowheads="1"/>
                    </pic:cNvPicPr>
                  </pic:nvPicPr>
                  <pic:blipFill>
                    <a:blip r:embed="rId20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-5751195</wp:posOffset>
            </wp:positionV>
            <wp:extent cx="8255" cy="8255"/>
            <wp:wrapNone/>
            <wp:docPr id="2066" name="Picture 2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6"/>
                    <pic:cNvPicPr>
                      <a:picLocks noChangeAspect="1" noChangeArrowheads="1"/>
                    </pic:cNvPicPr>
                  </pic:nvPicPr>
                  <pic:blipFill>
                    <a:blip r:embed="rId20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-5734050</wp:posOffset>
            </wp:positionV>
            <wp:extent cx="8255" cy="8255"/>
            <wp:wrapNone/>
            <wp:docPr id="2067" name="Picture 2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7"/>
                    <pic:cNvPicPr>
                      <a:picLocks noChangeAspect="1" noChangeArrowheads="1"/>
                    </pic:cNvPicPr>
                  </pic:nvPicPr>
                  <pic:blipFill>
                    <a:blip r:embed="rId20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-5716905</wp:posOffset>
            </wp:positionV>
            <wp:extent cx="8255" cy="8890"/>
            <wp:wrapNone/>
            <wp:docPr id="2068" name="Picture 2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8"/>
                    <pic:cNvPicPr>
                      <a:picLocks noChangeAspect="1" noChangeArrowheads="1"/>
                    </pic:cNvPicPr>
                  </pic:nvPicPr>
                  <pic:blipFill>
                    <a:blip r:embed="rId207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-5699760</wp:posOffset>
            </wp:positionV>
            <wp:extent cx="8255" cy="8255"/>
            <wp:wrapNone/>
            <wp:docPr id="2069" name="Picture 2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9"/>
                    <pic:cNvPicPr>
                      <a:picLocks noChangeAspect="1" noChangeArrowheads="1"/>
                    </pic:cNvPicPr>
                  </pic:nvPicPr>
                  <pic:blipFill>
                    <a:blip r:embed="rId20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-5682615</wp:posOffset>
            </wp:positionV>
            <wp:extent cx="8255" cy="8255"/>
            <wp:wrapNone/>
            <wp:docPr id="2070" name="Picture 2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0"/>
                    <pic:cNvPicPr>
                      <a:picLocks noChangeAspect="1" noChangeArrowheads="1"/>
                    </pic:cNvPicPr>
                  </pic:nvPicPr>
                  <pic:blipFill>
                    <a:blip r:embed="rId20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-5665470</wp:posOffset>
            </wp:positionV>
            <wp:extent cx="8255" cy="25400"/>
            <wp:wrapNone/>
            <wp:docPr id="2071" name="Picture 2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1"/>
                    <pic:cNvPicPr>
                      <a:picLocks noChangeAspect="1" noChangeArrowheads="1"/>
                    </pic:cNvPicPr>
                  </pic:nvPicPr>
                  <pic:blipFill>
                    <a:blip r:embed="rId2078">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-5888355</wp:posOffset>
            </wp:positionV>
            <wp:extent cx="8255" cy="8890"/>
            <wp:wrapNone/>
            <wp:docPr id="2072" name="Picture 2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2"/>
                    <pic:cNvPicPr>
                      <a:picLocks noChangeAspect="1" noChangeArrowheads="1"/>
                    </pic:cNvPicPr>
                  </pic:nvPicPr>
                  <pic:blipFill>
                    <a:blip r:embed="rId207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-5871210</wp:posOffset>
            </wp:positionV>
            <wp:extent cx="8255" cy="8255"/>
            <wp:wrapNone/>
            <wp:docPr id="2073" name="Picture 2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3"/>
                    <pic:cNvPicPr>
                      <a:picLocks noChangeAspect="1" noChangeArrowheads="1"/>
                    </pic:cNvPicPr>
                  </pic:nvPicPr>
                  <pic:blipFill>
                    <a:blip r:embed="rId20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-5854065</wp:posOffset>
            </wp:positionV>
            <wp:extent cx="8255" cy="8255"/>
            <wp:wrapNone/>
            <wp:docPr id="2074" name="Picture 2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4"/>
                    <pic:cNvPicPr>
                      <a:picLocks noChangeAspect="1" noChangeArrowheads="1"/>
                    </pic:cNvPicPr>
                  </pic:nvPicPr>
                  <pic:blipFill>
                    <a:blip r:embed="rId20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-5836920</wp:posOffset>
            </wp:positionV>
            <wp:extent cx="8255" cy="8255"/>
            <wp:wrapNone/>
            <wp:docPr id="2075" name="Picture 2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5"/>
                    <pic:cNvPicPr>
                      <a:picLocks noChangeAspect="1" noChangeArrowheads="1"/>
                    </pic:cNvPicPr>
                  </pic:nvPicPr>
                  <pic:blipFill>
                    <a:blip r:embed="rId20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-5819775</wp:posOffset>
            </wp:positionV>
            <wp:extent cx="8255" cy="8255"/>
            <wp:wrapNone/>
            <wp:docPr id="2076" name="Picture 2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6"/>
                    <pic:cNvPicPr>
                      <a:picLocks noChangeAspect="1" noChangeArrowheads="1"/>
                    </pic:cNvPicPr>
                  </pic:nvPicPr>
                  <pic:blipFill>
                    <a:blip r:embed="rId20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-5802630</wp:posOffset>
            </wp:positionV>
            <wp:extent cx="8255" cy="8890"/>
            <wp:wrapNone/>
            <wp:docPr id="2077" name="Picture 2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7"/>
                    <pic:cNvPicPr>
                      <a:picLocks noChangeAspect="1" noChangeArrowheads="1"/>
                    </pic:cNvPicPr>
                  </pic:nvPicPr>
                  <pic:blipFill>
                    <a:blip r:embed="rId208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-5785485</wp:posOffset>
            </wp:positionV>
            <wp:extent cx="8255" cy="8255"/>
            <wp:wrapNone/>
            <wp:docPr id="2078" name="Picture 2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8"/>
                    <pic:cNvPicPr>
                      <a:picLocks noChangeAspect="1" noChangeArrowheads="1"/>
                    </pic:cNvPicPr>
                  </pic:nvPicPr>
                  <pic:blipFill>
                    <a:blip r:embed="rId20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-5768340</wp:posOffset>
            </wp:positionV>
            <wp:extent cx="8255" cy="8255"/>
            <wp:wrapNone/>
            <wp:docPr id="2079" name="Picture 2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9"/>
                    <pic:cNvPicPr>
                      <a:picLocks noChangeAspect="1" noChangeArrowheads="1"/>
                    </pic:cNvPicPr>
                  </pic:nvPicPr>
                  <pic:blipFill>
                    <a:blip r:embed="rId20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-5751195</wp:posOffset>
            </wp:positionV>
            <wp:extent cx="8255" cy="8255"/>
            <wp:wrapNone/>
            <wp:docPr id="2080" name="Picture 2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0"/>
                    <pic:cNvPicPr>
                      <a:picLocks noChangeAspect="1" noChangeArrowheads="1"/>
                    </pic:cNvPicPr>
                  </pic:nvPicPr>
                  <pic:blipFill>
                    <a:blip r:embed="rId20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-5734050</wp:posOffset>
            </wp:positionV>
            <wp:extent cx="8255" cy="8255"/>
            <wp:wrapNone/>
            <wp:docPr id="2081" name="Picture 2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1"/>
                    <pic:cNvPicPr>
                      <a:picLocks noChangeAspect="1" noChangeArrowheads="1"/>
                    </pic:cNvPicPr>
                  </pic:nvPicPr>
                  <pic:blipFill>
                    <a:blip r:embed="rId20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-5716905</wp:posOffset>
            </wp:positionV>
            <wp:extent cx="8255" cy="8890"/>
            <wp:wrapNone/>
            <wp:docPr id="2082" name="Picture 2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2"/>
                    <pic:cNvPicPr>
                      <a:picLocks noChangeAspect="1" noChangeArrowheads="1"/>
                    </pic:cNvPicPr>
                  </pic:nvPicPr>
                  <pic:blipFill>
                    <a:blip r:embed="rId208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-5699760</wp:posOffset>
            </wp:positionV>
            <wp:extent cx="8255" cy="8255"/>
            <wp:wrapNone/>
            <wp:docPr id="2083" name="Picture 2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3"/>
                    <pic:cNvPicPr>
                      <a:picLocks noChangeAspect="1" noChangeArrowheads="1"/>
                    </pic:cNvPicPr>
                  </pic:nvPicPr>
                  <pic:blipFill>
                    <a:blip r:embed="rId20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-5682615</wp:posOffset>
            </wp:positionV>
            <wp:extent cx="8255" cy="8255"/>
            <wp:wrapNone/>
            <wp:docPr id="2084" name="Picture 2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4"/>
                    <pic:cNvPicPr>
                      <a:picLocks noChangeAspect="1" noChangeArrowheads="1"/>
                    </pic:cNvPicPr>
                  </pic:nvPicPr>
                  <pic:blipFill>
                    <a:blip r:embed="rId20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-5665470</wp:posOffset>
            </wp:positionV>
            <wp:extent cx="8255" cy="25400"/>
            <wp:wrapNone/>
            <wp:docPr id="2085" name="Picture 2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5"/>
                    <pic:cNvPicPr>
                      <a:picLocks noChangeAspect="1" noChangeArrowheads="1"/>
                    </pic:cNvPicPr>
                  </pic:nvPicPr>
                  <pic:blipFill>
                    <a:blip r:embed="rId2092">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-5888355</wp:posOffset>
            </wp:positionV>
            <wp:extent cx="8890" cy="8890"/>
            <wp:wrapNone/>
            <wp:docPr id="2086" name="Picture 2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6"/>
                    <pic:cNvPicPr>
                      <a:picLocks noChangeAspect="1" noChangeArrowheads="1"/>
                    </pic:cNvPicPr>
                  </pic:nvPicPr>
                  <pic:blipFill>
                    <a:blip r:embed="rId20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-5871210</wp:posOffset>
            </wp:positionV>
            <wp:extent cx="8890" cy="8255"/>
            <wp:wrapNone/>
            <wp:docPr id="2087" name="Picture 2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7"/>
                    <pic:cNvPicPr>
                      <a:picLocks noChangeAspect="1" noChangeArrowheads="1"/>
                    </pic:cNvPicPr>
                  </pic:nvPicPr>
                  <pic:blipFill>
                    <a:blip r:embed="rId20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-5854065</wp:posOffset>
            </wp:positionV>
            <wp:extent cx="8890" cy="8255"/>
            <wp:wrapNone/>
            <wp:docPr id="2088" name="Picture 2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8"/>
                    <pic:cNvPicPr>
                      <a:picLocks noChangeAspect="1" noChangeArrowheads="1"/>
                    </pic:cNvPicPr>
                  </pic:nvPicPr>
                  <pic:blipFill>
                    <a:blip r:embed="rId20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-5836920</wp:posOffset>
            </wp:positionV>
            <wp:extent cx="8890" cy="8255"/>
            <wp:wrapNone/>
            <wp:docPr id="2089" name="Picture 2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9"/>
                    <pic:cNvPicPr>
                      <a:picLocks noChangeAspect="1" noChangeArrowheads="1"/>
                    </pic:cNvPicPr>
                  </pic:nvPicPr>
                  <pic:blipFill>
                    <a:blip r:embed="rId20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-5819775</wp:posOffset>
            </wp:positionV>
            <wp:extent cx="8890" cy="8255"/>
            <wp:wrapNone/>
            <wp:docPr id="2090" name="Picture 2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0"/>
                    <pic:cNvPicPr>
                      <a:picLocks noChangeAspect="1" noChangeArrowheads="1"/>
                    </pic:cNvPicPr>
                  </pic:nvPicPr>
                  <pic:blipFill>
                    <a:blip r:embed="rId20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-5802630</wp:posOffset>
            </wp:positionV>
            <wp:extent cx="8890" cy="8890"/>
            <wp:wrapNone/>
            <wp:docPr id="2091" name="Picture 2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1"/>
                    <pic:cNvPicPr>
                      <a:picLocks noChangeAspect="1" noChangeArrowheads="1"/>
                    </pic:cNvPicPr>
                  </pic:nvPicPr>
                  <pic:blipFill>
                    <a:blip r:embed="rId20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-5785485</wp:posOffset>
            </wp:positionV>
            <wp:extent cx="8890" cy="8255"/>
            <wp:wrapNone/>
            <wp:docPr id="2092" name="Picture 2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2"/>
                    <pic:cNvPicPr>
                      <a:picLocks noChangeAspect="1" noChangeArrowheads="1"/>
                    </pic:cNvPicPr>
                  </pic:nvPicPr>
                  <pic:blipFill>
                    <a:blip r:embed="rId20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-5768340</wp:posOffset>
            </wp:positionV>
            <wp:extent cx="8890" cy="8255"/>
            <wp:wrapNone/>
            <wp:docPr id="2093" name="Picture 2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3"/>
                    <pic:cNvPicPr>
                      <a:picLocks noChangeAspect="1" noChangeArrowheads="1"/>
                    </pic:cNvPicPr>
                  </pic:nvPicPr>
                  <pic:blipFill>
                    <a:blip r:embed="rId21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-5751195</wp:posOffset>
            </wp:positionV>
            <wp:extent cx="8890" cy="8255"/>
            <wp:wrapNone/>
            <wp:docPr id="2094" name="Picture 2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4"/>
                    <pic:cNvPicPr>
                      <a:picLocks noChangeAspect="1" noChangeArrowheads="1"/>
                    </pic:cNvPicPr>
                  </pic:nvPicPr>
                  <pic:blipFill>
                    <a:blip r:embed="rId21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-5734050</wp:posOffset>
            </wp:positionV>
            <wp:extent cx="8890" cy="8255"/>
            <wp:wrapNone/>
            <wp:docPr id="2095" name="Picture 2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5"/>
                    <pic:cNvPicPr>
                      <a:picLocks noChangeAspect="1" noChangeArrowheads="1"/>
                    </pic:cNvPicPr>
                  </pic:nvPicPr>
                  <pic:blipFill>
                    <a:blip r:embed="rId21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-5716905</wp:posOffset>
            </wp:positionV>
            <wp:extent cx="8890" cy="8890"/>
            <wp:wrapNone/>
            <wp:docPr id="2096" name="Picture 2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6"/>
                    <pic:cNvPicPr>
                      <a:picLocks noChangeAspect="1" noChangeArrowheads="1"/>
                    </pic:cNvPicPr>
                  </pic:nvPicPr>
                  <pic:blipFill>
                    <a:blip r:embed="rId21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-5699760</wp:posOffset>
            </wp:positionV>
            <wp:extent cx="8890" cy="8255"/>
            <wp:wrapNone/>
            <wp:docPr id="2097" name="Picture 2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7"/>
                    <pic:cNvPicPr>
                      <a:picLocks noChangeAspect="1" noChangeArrowheads="1"/>
                    </pic:cNvPicPr>
                  </pic:nvPicPr>
                  <pic:blipFill>
                    <a:blip r:embed="rId21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-5682615</wp:posOffset>
            </wp:positionV>
            <wp:extent cx="8890" cy="8255"/>
            <wp:wrapNone/>
            <wp:docPr id="2098" name="Picture 2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8"/>
                    <pic:cNvPicPr>
                      <a:picLocks noChangeAspect="1" noChangeArrowheads="1"/>
                    </pic:cNvPicPr>
                  </pic:nvPicPr>
                  <pic:blipFill>
                    <a:blip r:embed="rId21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-5665470</wp:posOffset>
            </wp:positionV>
            <wp:extent cx="8890" cy="25400"/>
            <wp:wrapNone/>
            <wp:docPr id="2099" name="Picture 2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9"/>
                    <pic:cNvPicPr>
                      <a:picLocks noChangeAspect="1" noChangeArrowheads="1"/>
                    </pic:cNvPicPr>
                  </pic:nvPicPr>
                  <pic:blipFill>
                    <a:blip r:embed="rId2106">
                      <a:extLst>
                        <a:ext uri="{28A0092B-C50C-407E-A947-70E740481C1C}"/>
                      </a:extLst>
                    </a:blip>
                    <a:srcRect/>
                    <a:stretch>
                      <a:fillRect/>
                    </a:stretch>
                  </pic:blipFill>
                  <pic:spPr bwMode="auto">
                    <a:xfrm>
                      <a:off x="0" y="0"/>
                      <a:ext cx="8890" cy="2540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-6145530</wp:posOffset>
            </wp:positionV>
            <wp:extent cx="8255" cy="8255"/>
            <wp:wrapNone/>
            <wp:docPr id="2100" name="Picture 2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0"/>
                    <pic:cNvPicPr>
                      <a:picLocks noChangeAspect="1" noChangeArrowheads="1"/>
                    </pic:cNvPicPr>
                  </pic:nvPicPr>
                  <pic:blipFill>
                    <a:blip r:embed="rId21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-6128385</wp:posOffset>
            </wp:positionV>
            <wp:extent cx="8255" cy="8255"/>
            <wp:wrapNone/>
            <wp:docPr id="2101" name="Picture 2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1"/>
                    <pic:cNvPicPr>
                      <a:picLocks noChangeAspect="1" noChangeArrowheads="1"/>
                    </pic:cNvPicPr>
                  </pic:nvPicPr>
                  <pic:blipFill>
                    <a:blip r:embed="rId21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-6111240</wp:posOffset>
            </wp:positionV>
            <wp:extent cx="8255" cy="8890"/>
            <wp:wrapNone/>
            <wp:docPr id="2102" name="Picture 2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2"/>
                    <pic:cNvPicPr>
                      <a:picLocks noChangeAspect="1" noChangeArrowheads="1"/>
                    </pic:cNvPicPr>
                  </pic:nvPicPr>
                  <pic:blipFill>
                    <a:blip r:embed="rId210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-6094095</wp:posOffset>
            </wp:positionV>
            <wp:extent cx="8255" cy="8255"/>
            <wp:wrapNone/>
            <wp:docPr id="2103" name="Picture 2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3"/>
                    <pic:cNvPicPr>
                      <a:picLocks noChangeAspect="1" noChangeArrowheads="1"/>
                    </pic:cNvPicPr>
                  </pic:nvPicPr>
                  <pic:blipFill>
                    <a:blip r:embed="rId21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-6076950</wp:posOffset>
            </wp:positionV>
            <wp:extent cx="8255" cy="8255"/>
            <wp:wrapNone/>
            <wp:docPr id="2104" name="Picture 2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4"/>
                    <pic:cNvPicPr>
                      <a:picLocks noChangeAspect="1" noChangeArrowheads="1"/>
                    </pic:cNvPicPr>
                  </pic:nvPicPr>
                  <pic:blipFill>
                    <a:blip r:embed="rId21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-6059805</wp:posOffset>
            </wp:positionV>
            <wp:extent cx="8255" cy="8255"/>
            <wp:wrapNone/>
            <wp:docPr id="2105" name="Picture 2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5"/>
                    <pic:cNvPicPr>
                      <a:picLocks noChangeAspect="1" noChangeArrowheads="1"/>
                    </pic:cNvPicPr>
                  </pic:nvPicPr>
                  <pic:blipFill>
                    <a:blip r:embed="rId21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-6042660</wp:posOffset>
            </wp:positionV>
            <wp:extent cx="8255" cy="8255"/>
            <wp:wrapNone/>
            <wp:docPr id="2106" name="Picture 2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6"/>
                    <pic:cNvPicPr>
                      <a:picLocks noChangeAspect="1" noChangeArrowheads="1"/>
                    </pic:cNvPicPr>
                  </pic:nvPicPr>
                  <pic:blipFill>
                    <a:blip r:embed="rId21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-6025515</wp:posOffset>
            </wp:positionV>
            <wp:extent cx="8255" cy="8890"/>
            <wp:wrapNone/>
            <wp:docPr id="2107" name="Picture 2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7"/>
                    <pic:cNvPicPr>
                      <a:picLocks noChangeAspect="1" noChangeArrowheads="1"/>
                    </pic:cNvPicPr>
                  </pic:nvPicPr>
                  <pic:blipFill>
                    <a:blip r:embed="rId21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-6008370</wp:posOffset>
            </wp:positionV>
            <wp:extent cx="8255" cy="8255"/>
            <wp:wrapNone/>
            <wp:docPr id="2108" name="Picture 2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8"/>
                    <pic:cNvPicPr>
                      <a:picLocks noChangeAspect="1" noChangeArrowheads="1"/>
                    </pic:cNvPicPr>
                  </pic:nvPicPr>
                  <pic:blipFill>
                    <a:blip r:embed="rId21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-5991225</wp:posOffset>
            </wp:positionV>
            <wp:extent cx="8255" cy="8255"/>
            <wp:wrapNone/>
            <wp:docPr id="2109" name="Picture 2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9"/>
                    <pic:cNvPicPr>
                      <a:picLocks noChangeAspect="1" noChangeArrowheads="1"/>
                    </pic:cNvPicPr>
                  </pic:nvPicPr>
                  <pic:blipFill>
                    <a:blip r:embed="rId21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-5974080</wp:posOffset>
            </wp:positionV>
            <wp:extent cx="8255" cy="8255"/>
            <wp:wrapNone/>
            <wp:docPr id="2110" name="Picture 2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0"/>
                    <pic:cNvPicPr>
                      <a:picLocks noChangeAspect="1" noChangeArrowheads="1"/>
                    </pic:cNvPicPr>
                  </pic:nvPicPr>
                  <pic:blipFill>
                    <a:blip r:embed="rId21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-5956935</wp:posOffset>
            </wp:positionV>
            <wp:extent cx="8255" cy="8255"/>
            <wp:wrapNone/>
            <wp:docPr id="2111" name="Picture 2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1"/>
                    <pic:cNvPicPr>
                      <a:picLocks noChangeAspect="1" noChangeArrowheads="1"/>
                    </pic:cNvPicPr>
                  </pic:nvPicPr>
                  <pic:blipFill>
                    <a:blip r:embed="rId21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-5939790</wp:posOffset>
            </wp:positionV>
            <wp:extent cx="8255" cy="8890"/>
            <wp:wrapNone/>
            <wp:docPr id="2112" name="Picture 2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2"/>
                    <pic:cNvPicPr>
                      <a:picLocks noChangeAspect="1" noChangeArrowheads="1"/>
                    </pic:cNvPicPr>
                  </pic:nvPicPr>
                  <pic:blipFill>
                    <a:blip r:embed="rId211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-5922645</wp:posOffset>
            </wp:positionV>
            <wp:extent cx="8255" cy="25400"/>
            <wp:wrapNone/>
            <wp:docPr id="2113" name="Picture 2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3"/>
                    <pic:cNvPicPr>
                      <a:picLocks noChangeAspect="1" noChangeArrowheads="1"/>
                    </pic:cNvPicPr>
                  </pic:nvPicPr>
                  <pic:blipFill>
                    <a:blip r:embed="rId2120">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-6145530</wp:posOffset>
            </wp:positionV>
            <wp:extent cx="8255" cy="8255"/>
            <wp:wrapNone/>
            <wp:docPr id="2114" name="Picture 2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4"/>
                    <pic:cNvPicPr>
                      <a:picLocks noChangeAspect="1" noChangeArrowheads="1"/>
                    </pic:cNvPicPr>
                  </pic:nvPicPr>
                  <pic:blipFill>
                    <a:blip r:embed="rId21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-6128385</wp:posOffset>
            </wp:positionV>
            <wp:extent cx="8255" cy="8255"/>
            <wp:wrapNone/>
            <wp:docPr id="2115" name="Picture 2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5"/>
                    <pic:cNvPicPr>
                      <a:picLocks noChangeAspect="1" noChangeArrowheads="1"/>
                    </pic:cNvPicPr>
                  </pic:nvPicPr>
                  <pic:blipFill>
                    <a:blip r:embed="rId21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-6111240</wp:posOffset>
            </wp:positionV>
            <wp:extent cx="8255" cy="8890"/>
            <wp:wrapNone/>
            <wp:docPr id="2116" name="Picture 2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6"/>
                    <pic:cNvPicPr>
                      <a:picLocks noChangeAspect="1" noChangeArrowheads="1"/>
                    </pic:cNvPicPr>
                  </pic:nvPicPr>
                  <pic:blipFill>
                    <a:blip r:embed="rId212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-6094095</wp:posOffset>
            </wp:positionV>
            <wp:extent cx="8255" cy="8255"/>
            <wp:wrapNone/>
            <wp:docPr id="2117" name="Picture 2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7"/>
                    <pic:cNvPicPr>
                      <a:picLocks noChangeAspect="1" noChangeArrowheads="1"/>
                    </pic:cNvPicPr>
                  </pic:nvPicPr>
                  <pic:blipFill>
                    <a:blip r:embed="rId21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-6076950</wp:posOffset>
            </wp:positionV>
            <wp:extent cx="8255" cy="8255"/>
            <wp:wrapNone/>
            <wp:docPr id="2118" name="Picture 2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8"/>
                    <pic:cNvPicPr>
                      <a:picLocks noChangeAspect="1" noChangeArrowheads="1"/>
                    </pic:cNvPicPr>
                  </pic:nvPicPr>
                  <pic:blipFill>
                    <a:blip r:embed="rId21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-6059805</wp:posOffset>
            </wp:positionV>
            <wp:extent cx="8255" cy="8255"/>
            <wp:wrapNone/>
            <wp:docPr id="2119" name="Picture 2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9"/>
                    <pic:cNvPicPr>
                      <a:picLocks noChangeAspect="1" noChangeArrowheads="1"/>
                    </pic:cNvPicPr>
                  </pic:nvPicPr>
                  <pic:blipFill>
                    <a:blip r:embed="rId21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-6042660</wp:posOffset>
            </wp:positionV>
            <wp:extent cx="8255" cy="8255"/>
            <wp:wrapNone/>
            <wp:docPr id="2120" name="Picture 2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0"/>
                    <pic:cNvPicPr>
                      <a:picLocks noChangeAspect="1" noChangeArrowheads="1"/>
                    </pic:cNvPicPr>
                  </pic:nvPicPr>
                  <pic:blipFill>
                    <a:blip r:embed="rId21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-6025515</wp:posOffset>
            </wp:positionV>
            <wp:extent cx="8255" cy="8890"/>
            <wp:wrapNone/>
            <wp:docPr id="2121" name="Picture 2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1"/>
                    <pic:cNvPicPr>
                      <a:picLocks noChangeAspect="1" noChangeArrowheads="1"/>
                    </pic:cNvPicPr>
                  </pic:nvPicPr>
                  <pic:blipFill>
                    <a:blip r:embed="rId212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-6008370</wp:posOffset>
            </wp:positionV>
            <wp:extent cx="8255" cy="8255"/>
            <wp:wrapNone/>
            <wp:docPr id="2122" name="Picture 2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2"/>
                    <pic:cNvPicPr>
                      <a:picLocks noChangeAspect="1" noChangeArrowheads="1"/>
                    </pic:cNvPicPr>
                  </pic:nvPicPr>
                  <pic:blipFill>
                    <a:blip r:embed="rId21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-5991225</wp:posOffset>
            </wp:positionV>
            <wp:extent cx="8255" cy="8255"/>
            <wp:wrapNone/>
            <wp:docPr id="2123" name="Picture 2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3"/>
                    <pic:cNvPicPr>
                      <a:picLocks noChangeAspect="1" noChangeArrowheads="1"/>
                    </pic:cNvPicPr>
                  </pic:nvPicPr>
                  <pic:blipFill>
                    <a:blip r:embed="rId21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-5974080</wp:posOffset>
            </wp:positionV>
            <wp:extent cx="8255" cy="8255"/>
            <wp:wrapNone/>
            <wp:docPr id="2124" name="Picture 2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4"/>
                    <pic:cNvPicPr>
                      <a:picLocks noChangeAspect="1" noChangeArrowheads="1"/>
                    </pic:cNvPicPr>
                  </pic:nvPicPr>
                  <pic:blipFill>
                    <a:blip r:embed="rId21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-5956935</wp:posOffset>
            </wp:positionV>
            <wp:extent cx="8255" cy="8255"/>
            <wp:wrapNone/>
            <wp:docPr id="2125" name="Picture 2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5"/>
                    <pic:cNvPicPr>
                      <a:picLocks noChangeAspect="1" noChangeArrowheads="1"/>
                    </pic:cNvPicPr>
                  </pic:nvPicPr>
                  <pic:blipFill>
                    <a:blip r:embed="rId21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-5939790</wp:posOffset>
            </wp:positionV>
            <wp:extent cx="8255" cy="8890"/>
            <wp:wrapNone/>
            <wp:docPr id="2126" name="Picture 2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6"/>
                    <pic:cNvPicPr>
                      <a:picLocks noChangeAspect="1" noChangeArrowheads="1"/>
                    </pic:cNvPicPr>
                  </pic:nvPicPr>
                  <pic:blipFill>
                    <a:blip r:embed="rId213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-5922645</wp:posOffset>
            </wp:positionV>
            <wp:extent cx="8255" cy="25400"/>
            <wp:wrapNone/>
            <wp:docPr id="2127" name="Picture 2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7"/>
                    <pic:cNvPicPr>
                      <a:picLocks noChangeAspect="1" noChangeArrowheads="1"/>
                    </pic:cNvPicPr>
                  </pic:nvPicPr>
                  <pic:blipFill>
                    <a:blip r:embed="rId2134">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-6145530</wp:posOffset>
            </wp:positionV>
            <wp:extent cx="8890" cy="8255"/>
            <wp:wrapNone/>
            <wp:docPr id="2128" name="Picture 2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8"/>
                    <pic:cNvPicPr>
                      <a:picLocks noChangeAspect="1" noChangeArrowheads="1"/>
                    </pic:cNvPicPr>
                  </pic:nvPicPr>
                  <pic:blipFill>
                    <a:blip r:embed="rId21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-6128385</wp:posOffset>
            </wp:positionV>
            <wp:extent cx="8890" cy="8255"/>
            <wp:wrapNone/>
            <wp:docPr id="2129" name="Picture 2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9"/>
                    <pic:cNvPicPr>
                      <a:picLocks noChangeAspect="1" noChangeArrowheads="1"/>
                    </pic:cNvPicPr>
                  </pic:nvPicPr>
                  <pic:blipFill>
                    <a:blip r:embed="rId21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-6111240</wp:posOffset>
            </wp:positionV>
            <wp:extent cx="8890" cy="8890"/>
            <wp:wrapNone/>
            <wp:docPr id="2130" name="Picture 2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0"/>
                    <pic:cNvPicPr>
                      <a:picLocks noChangeAspect="1" noChangeArrowheads="1"/>
                    </pic:cNvPicPr>
                  </pic:nvPicPr>
                  <pic:blipFill>
                    <a:blip r:embed="rId21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-6094095</wp:posOffset>
            </wp:positionV>
            <wp:extent cx="8890" cy="8255"/>
            <wp:wrapNone/>
            <wp:docPr id="2131" name="Picture 2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1"/>
                    <pic:cNvPicPr>
                      <a:picLocks noChangeAspect="1" noChangeArrowheads="1"/>
                    </pic:cNvPicPr>
                  </pic:nvPicPr>
                  <pic:blipFill>
                    <a:blip r:embed="rId21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-6076950</wp:posOffset>
            </wp:positionV>
            <wp:extent cx="8890" cy="8255"/>
            <wp:wrapNone/>
            <wp:docPr id="2132" name="Picture 2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2"/>
                    <pic:cNvPicPr>
                      <a:picLocks noChangeAspect="1" noChangeArrowheads="1"/>
                    </pic:cNvPicPr>
                  </pic:nvPicPr>
                  <pic:blipFill>
                    <a:blip r:embed="rId21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-6059805</wp:posOffset>
            </wp:positionV>
            <wp:extent cx="8890" cy="8255"/>
            <wp:wrapNone/>
            <wp:docPr id="2133" name="Picture 2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3"/>
                    <pic:cNvPicPr>
                      <a:picLocks noChangeAspect="1" noChangeArrowheads="1"/>
                    </pic:cNvPicPr>
                  </pic:nvPicPr>
                  <pic:blipFill>
                    <a:blip r:embed="rId21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-6042660</wp:posOffset>
            </wp:positionV>
            <wp:extent cx="8890" cy="8255"/>
            <wp:wrapNone/>
            <wp:docPr id="2134" name="Picture 2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4"/>
                    <pic:cNvPicPr>
                      <a:picLocks noChangeAspect="1" noChangeArrowheads="1"/>
                    </pic:cNvPicPr>
                  </pic:nvPicPr>
                  <pic:blipFill>
                    <a:blip r:embed="rId21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-6025515</wp:posOffset>
            </wp:positionV>
            <wp:extent cx="8890" cy="8890"/>
            <wp:wrapNone/>
            <wp:docPr id="2135" name="Picture 2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5"/>
                    <pic:cNvPicPr>
                      <a:picLocks noChangeAspect="1" noChangeArrowheads="1"/>
                    </pic:cNvPicPr>
                  </pic:nvPicPr>
                  <pic:blipFill>
                    <a:blip r:embed="rId21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-6008370</wp:posOffset>
            </wp:positionV>
            <wp:extent cx="8890" cy="8255"/>
            <wp:wrapNone/>
            <wp:docPr id="2136" name="Picture 2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6"/>
                    <pic:cNvPicPr>
                      <a:picLocks noChangeAspect="1" noChangeArrowheads="1"/>
                    </pic:cNvPicPr>
                  </pic:nvPicPr>
                  <pic:blipFill>
                    <a:blip r:embed="rId21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-5991225</wp:posOffset>
            </wp:positionV>
            <wp:extent cx="8890" cy="8255"/>
            <wp:wrapNone/>
            <wp:docPr id="2137" name="Picture 2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7"/>
                    <pic:cNvPicPr>
                      <a:picLocks noChangeAspect="1" noChangeArrowheads="1"/>
                    </pic:cNvPicPr>
                  </pic:nvPicPr>
                  <pic:blipFill>
                    <a:blip r:embed="rId21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-5974080</wp:posOffset>
            </wp:positionV>
            <wp:extent cx="8890" cy="8255"/>
            <wp:wrapNone/>
            <wp:docPr id="2138" name="Picture 2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8"/>
                    <pic:cNvPicPr>
                      <a:picLocks noChangeAspect="1" noChangeArrowheads="1"/>
                    </pic:cNvPicPr>
                  </pic:nvPicPr>
                  <pic:blipFill>
                    <a:blip r:embed="rId21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-5956935</wp:posOffset>
            </wp:positionV>
            <wp:extent cx="8890" cy="8255"/>
            <wp:wrapNone/>
            <wp:docPr id="2139" name="Picture 2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9"/>
                    <pic:cNvPicPr>
                      <a:picLocks noChangeAspect="1" noChangeArrowheads="1"/>
                    </pic:cNvPicPr>
                  </pic:nvPicPr>
                  <pic:blipFill>
                    <a:blip r:embed="rId21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-5939790</wp:posOffset>
            </wp:positionV>
            <wp:extent cx="8890" cy="8890"/>
            <wp:wrapNone/>
            <wp:docPr id="2140" name="Picture 2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0"/>
                    <pic:cNvPicPr>
                      <a:picLocks noChangeAspect="1" noChangeArrowheads="1"/>
                    </pic:cNvPicPr>
                  </pic:nvPicPr>
                  <pic:blipFill>
                    <a:blip r:embed="rId21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-5922645</wp:posOffset>
            </wp:positionV>
            <wp:extent cx="8890" cy="25400"/>
            <wp:wrapNone/>
            <wp:docPr id="2141" name="Picture 2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1"/>
                    <pic:cNvPicPr>
                      <a:picLocks noChangeAspect="1" noChangeArrowheads="1"/>
                    </pic:cNvPicPr>
                  </pic:nvPicPr>
                  <pic:blipFill>
                    <a:blip r:embed="rId2148">
                      <a:extLst>
                        <a:ext uri="{28A0092B-C50C-407E-A947-70E740481C1C}"/>
                      </a:extLst>
                    </a:blip>
                    <a:srcRect/>
                    <a:stretch>
                      <a:fillRect/>
                    </a:stretch>
                  </pic:blipFill>
                  <pic:spPr bwMode="auto">
                    <a:xfrm>
                      <a:off x="0" y="0"/>
                      <a:ext cx="8890" cy="2540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-6316980</wp:posOffset>
            </wp:positionV>
            <wp:extent cx="8255" cy="8255"/>
            <wp:wrapNone/>
            <wp:docPr id="2142" name="Picture 2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2"/>
                    <pic:cNvPicPr>
                      <a:picLocks noChangeAspect="1" noChangeArrowheads="1"/>
                    </pic:cNvPicPr>
                  </pic:nvPicPr>
                  <pic:blipFill>
                    <a:blip r:embed="rId21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-6299835</wp:posOffset>
            </wp:positionV>
            <wp:extent cx="8255" cy="8255"/>
            <wp:wrapNone/>
            <wp:docPr id="2143" name="Picture 2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3"/>
                    <pic:cNvPicPr>
                      <a:picLocks noChangeAspect="1" noChangeArrowheads="1"/>
                    </pic:cNvPicPr>
                  </pic:nvPicPr>
                  <pic:blipFill>
                    <a:blip r:embed="rId21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-6282690</wp:posOffset>
            </wp:positionV>
            <wp:extent cx="8255" cy="8890"/>
            <wp:wrapNone/>
            <wp:docPr id="2144" name="Picture 2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4"/>
                    <pic:cNvPicPr>
                      <a:picLocks noChangeAspect="1" noChangeArrowheads="1"/>
                    </pic:cNvPicPr>
                  </pic:nvPicPr>
                  <pic:blipFill>
                    <a:blip r:embed="rId215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-6265545</wp:posOffset>
            </wp:positionV>
            <wp:extent cx="8255" cy="8255"/>
            <wp:wrapNone/>
            <wp:docPr id="2145" name="Picture 2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5"/>
                    <pic:cNvPicPr>
                      <a:picLocks noChangeAspect="1" noChangeArrowheads="1"/>
                    </pic:cNvPicPr>
                  </pic:nvPicPr>
                  <pic:blipFill>
                    <a:blip r:embed="rId21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-6248400</wp:posOffset>
            </wp:positionV>
            <wp:extent cx="8255" cy="8255"/>
            <wp:wrapNone/>
            <wp:docPr id="2146" name="Picture 2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6"/>
                    <pic:cNvPicPr>
                      <a:picLocks noChangeAspect="1" noChangeArrowheads="1"/>
                    </pic:cNvPicPr>
                  </pic:nvPicPr>
                  <pic:blipFill>
                    <a:blip r:embed="rId21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-6231255</wp:posOffset>
            </wp:positionV>
            <wp:extent cx="8255" cy="8255"/>
            <wp:wrapNone/>
            <wp:docPr id="2147" name="Picture 2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7"/>
                    <pic:cNvPicPr>
                      <a:picLocks noChangeAspect="1" noChangeArrowheads="1"/>
                    </pic:cNvPicPr>
                  </pic:nvPicPr>
                  <pic:blipFill>
                    <a:blip r:embed="rId21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-6214110</wp:posOffset>
            </wp:positionV>
            <wp:extent cx="8255" cy="8255"/>
            <wp:wrapNone/>
            <wp:docPr id="2148" name="Picture 2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8"/>
                    <pic:cNvPicPr>
                      <a:picLocks noChangeAspect="1" noChangeArrowheads="1"/>
                    </pic:cNvPicPr>
                  </pic:nvPicPr>
                  <pic:blipFill>
                    <a:blip r:embed="rId21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-6196965</wp:posOffset>
            </wp:positionV>
            <wp:extent cx="8255" cy="8890"/>
            <wp:wrapNone/>
            <wp:docPr id="2149" name="Picture 2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9"/>
                    <pic:cNvPicPr>
                      <a:picLocks noChangeAspect="1" noChangeArrowheads="1"/>
                    </pic:cNvPicPr>
                  </pic:nvPicPr>
                  <pic:blipFill>
                    <a:blip r:embed="rId215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-6179820</wp:posOffset>
            </wp:positionV>
            <wp:extent cx="8255" cy="25400"/>
            <wp:wrapNone/>
            <wp:docPr id="2150" name="Picture 2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0"/>
                    <pic:cNvPicPr>
                      <a:picLocks noChangeAspect="1" noChangeArrowheads="1"/>
                    </pic:cNvPicPr>
                  </pic:nvPicPr>
                  <pic:blipFill>
                    <a:blip r:embed="rId2157">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-6316980</wp:posOffset>
            </wp:positionV>
            <wp:extent cx="8255" cy="8255"/>
            <wp:wrapNone/>
            <wp:docPr id="2151" name="Picture 2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1"/>
                    <pic:cNvPicPr>
                      <a:picLocks noChangeAspect="1" noChangeArrowheads="1"/>
                    </pic:cNvPicPr>
                  </pic:nvPicPr>
                  <pic:blipFill>
                    <a:blip r:embed="rId21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-6299835</wp:posOffset>
            </wp:positionV>
            <wp:extent cx="8255" cy="8255"/>
            <wp:wrapNone/>
            <wp:docPr id="2152" name="Picture 2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2"/>
                    <pic:cNvPicPr>
                      <a:picLocks noChangeAspect="1" noChangeArrowheads="1"/>
                    </pic:cNvPicPr>
                  </pic:nvPicPr>
                  <pic:blipFill>
                    <a:blip r:embed="rId21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-6282690</wp:posOffset>
            </wp:positionV>
            <wp:extent cx="8255" cy="8890"/>
            <wp:wrapNone/>
            <wp:docPr id="2153" name="Picture 2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3"/>
                    <pic:cNvPicPr>
                      <a:picLocks noChangeAspect="1" noChangeArrowheads="1"/>
                    </pic:cNvPicPr>
                  </pic:nvPicPr>
                  <pic:blipFill>
                    <a:blip r:embed="rId216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-6265545</wp:posOffset>
            </wp:positionV>
            <wp:extent cx="8255" cy="8255"/>
            <wp:wrapNone/>
            <wp:docPr id="2154" name="Picture 2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4"/>
                    <pic:cNvPicPr>
                      <a:picLocks noChangeAspect="1" noChangeArrowheads="1"/>
                    </pic:cNvPicPr>
                  </pic:nvPicPr>
                  <pic:blipFill>
                    <a:blip r:embed="rId21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-6248400</wp:posOffset>
            </wp:positionV>
            <wp:extent cx="8255" cy="8255"/>
            <wp:wrapNone/>
            <wp:docPr id="2155" name="Picture 2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5"/>
                    <pic:cNvPicPr>
                      <a:picLocks noChangeAspect="1" noChangeArrowheads="1"/>
                    </pic:cNvPicPr>
                  </pic:nvPicPr>
                  <pic:blipFill>
                    <a:blip r:embed="rId21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-6231255</wp:posOffset>
            </wp:positionV>
            <wp:extent cx="8255" cy="8255"/>
            <wp:wrapNone/>
            <wp:docPr id="2156" name="Picture 2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6"/>
                    <pic:cNvPicPr>
                      <a:picLocks noChangeAspect="1" noChangeArrowheads="1"/>
                    </pic:cNvPicPr>
                  </pic:nvPicPr>
                  <pic:blipFill>
                    <a:blip r:embed="rId21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-6214110</wp:posOffset>
            </wp:positionV>
            <wp:extent cx="8255" cy="8255"/>
            <wp:wrapNone/>
            <wp:docPr id="2157" name="Picture 2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7"/>
                    <pic:cNvPicPr>
                      <a:picLocks noChangeAspect="1" noChangeArrowheads="1"/>
                    </pic:cNvPicPr>
                  </pic:nvPicPr>
                  <pic:blipFill>
                    <a:blip r:embed="rId21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-6196965</wp:posOffset>
            </wp:positionV>
            <wp:extent cx="8255" cy="8890"/>
            <wp:wrapNone/>
            <wp:docPr id="2158" name="Picture 2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8"/>
                    <pic:cNvPicPr>
                      <a:picLocks noChangeAspect="1" noChangeArrowheads="1"/>
                    </pic:cNvPicPr>
                  </pic:nvPicPr>
                  <pic:blipFill>
                    <a:blip r:embed="rId216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-6179820</wp:posOffset>
            </wp:positionV>
            <wp:extent cx="8255" cy="25400"/>
            <wp:wrapNone/>
            <wp:docPr id="2159" name="Picture 2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9"/>
                    <pic:cNvPicPr>
                      <a:picLocks noChangeAspect="1" noChangeArrowheads="1"/>
                    </pic:cNvPicPr>
                  </pic:nvPicPr>
                  <pic:blipFill>
                    <a:blip r:embed="rId2166">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-6316980</wp:posOffset>
            </wp:positionV>
            <wp:extent cx="8890" cy="8255"/>
            <wp:wrapNone/>
            <wp:docPr id="2160" name="Picture 2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0"/>
                    <pic:cNvPicPr>
                      <a:picLocks noChangeAspect="1" noChangeArrowheads="1"/>
                    </pic:cNvPicPr>
                  </pic:nvPicPr>
                  <pic:blipFill>
                    <a:blip r:embed="rId21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-6299835</wp:posOffset>
            </wp:positionV>
            <wp:extent cx="8890" cy="8255"/>
            <wp:wrapNone/>
            <wp:docPr id="2161" name="Picture 2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1"/>
                    <pic:cNvPicPr>
                      <a:picLocks noChangeAspect="1" noChangeArrowheads="1"/>
                    </pic:cNvPicPr>
                  </pic:nvPicPr>
                  <pic:blipFill>
                    <a:blip r:embed="rId21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-6282690</wp:posOffset>
            </wp:positionV>
            <wp:extent cx="8890" cy="8890"/>
            <wp:wrapNone/>
            <wp:docPr id="2162" name="Picture 2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2"/>
                    <pic:cNvPicPr>
                      <a:picLocks noChangeAspect="1" noChangeArrowheads="1"/>
                    </pic:cNvPicPr>
                  </pic:nvPicPr>
                  <pic:blipFill>
                    <a:blip r:embed="rId21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-6265545</wp:posOffset>
            </wp:positionV>
            <wp:extent cx="8890" cy="8255"/>
            <wp:wrapNone/>
            <wp:docPr id="2163" name="Picture 2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3"/>
                    <pic:cNvPicPr>
                      <a:picLocks noChangeAspect="1" noChangeArrowheads="1"/>
                    </pic:cNvPicPr>
                  </pic:nvPicPr>
                  <pic:blipFill>
                    <a:blip r:embed="rId21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-6248400</wp:posOffset>
            </wp:positionV>
            <wp:extent cx="8890" cy="8255"/>
            <wp:wrapNone/>
            <wp:docPr id="2164" name="Picture 2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4"/>
                    <pic:cNvPicPr>
                      <a:picLocks noChangeAspect="1" noChangeArrowheads="1"/>
                    </pic:cNvPicPr>
                  </pic:nvPicPr>
                  <pic:blipFill>
                    <a:blip r:embed="rId21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-6231255</wp:posOffset>
            </wp:positionV>
            <wp:extent cx="8890" cy="8255"/>
            <wp:wrapNone/>
            <wp:docPr id="2165" name="Picture 2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5"/>
                    <pic:cNvPicPr>
                      <a:picLocks noChangeAspect="1" noChangeArrowheads="1"/>
                    </pic:cNvPicPr>
                  </pic:nvPicPr>
                  <pic:blipFill>
                    <a:blip r:embed="rId21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-6214110</wp:posOffset>
            </wp:positionV>
            <wp:extent cx="8890" cy="8255"/>
            <wp:wrapNone/>
            <wp:docPr id="2166" name="Picture 2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6"/>
                    <pic:cNvPicPr>
                      <a:picLocks noChangeAspect="1" noChangeArrowheads="1"/>
                    </pic:cNvPicPr>
                  </pic:nvPicPr>
                  <pic:blipFill>
                    <a:blip r:embed="rId21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-6196965</wp:posOffset>
            </wp:positionV>
            <wp:extent cx="8890" cy="8890"/>
            <wp:wrapNone/>
            <wp:docPr id="2167" name="Picture 2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7"/>
                    <pic:cNvPicPr>
                      <a:picLocks noChangeAspect="1" noChangeArrowheads="1"/>
                    </pic:cNvPicPr>
                  </pic:nvPicPr>
                  <pic:blipFill>
                    <a:blip r:embed="rId21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-6179820</wp:posOffset>
            </wp:positionV>
            <wp:extent cx="8890" cy="25400"/>
            <wp:wrapNone/>
            <wp:docPr id="2168" name="Picture 2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8"/>
                    <pic:cNvPicPr>
                      <a:picLocks noChangeAspect="1" noChangeArrowheads="1"/>
                    </pic:cNvPicPr>
                  </pic:nvPicPr>
                  <pic:blipFill>
                    <a:blip r:embed="rId2175">
                      <a:extLst>
                        <a:ext uri="{28A0092B-C50C-407E-A947-70E740481C1C}"/>
                      </a:extLst>
                    </a:blip>
                    <a:srcRect/>
                    <a:stretch>
                      <a:fillRect/>
                    </a:stretch>
                  </pic:blipFill>
                  <pic:spPr bwMode="auto">
                    <a:xfrm>
                      <a:off x="0" y="0"/>
                      <a:ext cx="8890" cy="2540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-6480175</wp:posOffset>
            </wp:positionV>
            <wp:extent cx="8255" cy="8255"/>
            <wp:wrapNone/>
            <wp:docPr id="2169" name="Picture 2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9"/>
                    <pic:cNvPicPr>
                      <a:picLocks noChangeAspect="1" noChangeArrowheads="1"/>
                    </pic:cNvPicPr>
                  </pic:nvPicPr>
                  <pic:blipFill>
                    <a:blip r:embed="rId21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-6463030</wp:posOffset>
            </wp:positionV>
            <wp:extent cx="8255" cy="8255"/>
            <wp:wrapNone/>
            <wp:docPr id="2170" name="Picture 2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0"/>
                    <pic:cNvPicPr>
                      <a:picLocks noChangeAspect="1" noChangeArrowheads="1"/>
                    </pic:cNvPicPr>
                  </pic:nvPicPr>
                  <pic:blipFill>
                    <a:blip r:embed="rId21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-6445885</wp:posOffset>
            </wp:positionV>
            <wp:extent cx="8255" cy="8255"/>
            <wp:wrapNone/>
            <wp:docPr id="2171" name="Picture 2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1"/>
                    <pic:cNvPicPr>
                      <a:picLocks noChangeAspect="1" noChangeArrowheads="1"/>
                    </pic:cNvPicPr>
                  </pic:nvPicPr>
                  <pic:blipFill>
                    <a:blip r:embed="rId21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-6428740</wp:posOffset>
            </wp:positionV>
            <wp:extent cx="8255" cy="8255"/>
            <wp:wrapNone/>
            <wp:docPr id="2172" name="Picture 2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2"/>
                    <pic:cNvPicPr>
                      <a:picLocks noChangeAspect="1" noChangeArrowheads="1"/>
                    </pic:cNvPicPr>
                  </pic:nvPicPr>
                  <pic:blipFill>
                    <a:blip r:embed="rId21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-6411595</wp:posOffset>
            </wp:positionV>
            <wp:extent cx="8255" cy="8890"/>
            <wp:wrapNone/>
            <wp:docPr id="2173" name="Picture 2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3"/>
                    <pic:cNvPicPr>
                      <a:picLocks noChangeAspect="1" noChangeArrowheads="1"/>
                    </pic:cNvPicPr>
                  </pic:nvPicPr>
                  <pic:blipFill>
                    <a:blip r:embed="rId218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-6394450</wp:posOffset>
            </wp:positionV>
            <wp:extent cx="8255" cy="8255"/>
            <wp:wrapNone/>
            <wp:docPr id="2174" name="Picture 2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4"/>
                    <pic:cNvPicPr>
                      <a:picLocks noChangeAspect="1" noChangeArrowheads="1"/>
                    </pic:cNvPicPr>
                  </pic:nvPicPr>
                  <pic:blipFill>
                    <a:blip r:embed="rId21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-6377305</wp:posOffset>
            </wp:positionV>
            <wp:extent cx="8255" cy="8255"/>
            <wp:wrapNone/>
            <wp:docPr id="2175" name="Picture 2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5"/>
                    <pic:cNvPicPr>
                      <a:picLocks noChangeAspect="1" noChangeArrowheads="1"/>
                    </pic:cNvPicPr>
                  </pic:nvPicPr>
                  <pic:blipFill>
                    <a:blip r:embed="rId21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-6360160</wp:posOffset>
            </wp:positionV>
            <wp:extent cx="8255" cy="8255"/>
            <wp:wrapNone/>
            <wp:docPr id="2176" name="Picture 2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6"/>
                    <pic:cNvPicPr>
                      <a:picLocks noChangeAspect="1" noChangeArrowheads="1"/>
                    </pic:cNvPicPr>
                  </pic:nvPicPr>
                  <pic:blipFill>
                    <a:blip r:embed="rId21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-6343015</wp:posOffset>
            </wp:positionV>
            <wp:extent cx="8255" cy="17145"/>
            <wp:wrapNone/>
            <wp:docPr id="2177" name="Picture 2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7"/>
                    <pic:cNvPicPr>
                      <a:picLocks noChangeAspect="1" noChangeArrowheads="1"/>
                    </pic:cNvPicPr>
                  </pic:nvPicPr>
                  <pic:blipFill>
                    <a:blip r:embed="rId2184">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-6480175</wp:posOffset>
            </wp:positionV>
            <wp:extent cx="8255" cy="8255"/>
            <wp:wrapNone/>
            <wp:docPr id="2178" name="Picture 2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8"/>
                    <pic:cNvPicPr>
                      <a:picLocks noChangeAspect="1" noChangeArrowheads="1"/>
                    </pic:cNvPicPr>
                  </pic:nvPicPr>
                  <pic:blipFill>
                    <a:blip r:embed="rId21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-6463030</wp:posOffset>
            </wp:positionV>
            <wp:extent cx="8255" cy="8255"/>
            <wp:wrapNone/>
            <wp:docPr id="2179" name="Picture 2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9"/>
                    <pic:cNvPicPr>
                      <a:picLocks noChangeAspect="1" noChangeArrowheads="1"/>
                    </pic:cNvPicPr>
                  </pic:nvPicPr>
                  <pic:blipFill>
                    <a:blip r:embed="rId21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-6445885</wp:posOffset>
            </wp:positionV>
            <wp:extent cx="8255" cy="8255"/>
            <wp:wrapNone/>
            <wp:docPr id="2180" name="Picture 2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0"/>
                    <pic:cNvPicPr>
                      <a:picLocks noChangeAspect="1" noChangeArrowheads="1"/>
                    </pic:cNvPicPr>
                  </pic:nvPicPr>
                  <pic:blipFill>
                    <a:blip r:embed="rId21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-6428740</wp:posOffset>
            </wp:positionV>
            <wp:extent cx="8255" cy="8255"/>
            <wp:wrapNone/>
            <wp:docPr id="2181" name="Picture 2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1"/>
                    <pic:cNvPicPr>
                      <a:picLocks noChangeAspect="1" noChangeArrowheads="1"/>
                    </pic:cNvPicPr>
                  </pic:nvPicPr>
                  <pic:blipFill>
                    <a:blip r:embed="rId21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-6411595</wp:posOffset>
            </wp:positionV>
            <wp:extent cx="8255" cy="8890"/>
            <wp:wrapNone/>
            <wp:docPr id="2182" name="Picture 2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2"/>
                    <pic:cNvPicPr>
                      <a:picLocks noChangeAspect="1" noChangeArrowheads="1"/>
                    </pic:cNvPicPr>
                  </pic:nvPicPr>
                  <pic:blipFill>
                    <a:blip r:embed="rId218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-6394450</wp:posOffset>
            </wp:positionV>
            <wp:extent cx="8255" cy="8255"/>
            <wp:wrapNone/>
            <wp:docPr id="2183" name="Picture 2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3"/>
                    <pic:cNvPicPr>
                      <a:picLocks noChangeAspect="1" noChangeArrowheads="1"/>
                    </pic:cNvPicPr>
                  </pic:nvPicPr>
                  <pic:blipFill>
                    <a:blip r:embed="rId21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-6377305</wp:posOffset>
            </wp:positionV>
            <wp:extent cx="8255" cy="8255"/>
            <wp:wrapNone/>
            <wp:docPr id="2184" name="Picture 2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4"/>
                    <pic:cNvPicPr>
                      <a:picLocks noChangeAspect="1" noChangeArrowheads="1"/>
                    </pic:cNvPicPr>
                  </pic:nvPicPr>
                  <pic:blipFill>
                    <a:blip r:embed="rId21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-6360160</wp:posOffset>
            </wp:positionV>
            <wp:extent cx="8255" cy="8255"/>
            <wp:wrapNone/>
            <wp:docPr id="2185" name="Picture 2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5"/>
                    <pic:cNvPicPr>
                      <a:picLocks noChangeAspect="1" noChangeArrowheads="1"/>
                    </pic:cNvPicPr>
                  </pic:nvPicPr>
                  <pic:blipFill>
                    <a:blip r:embed="rId21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-6343015</wp:posOffset>
            </wp:positionV>
            <wp:extent cx="8255" cy="17145"/>
            <wp:wrapNone/>
            <wp:docPr id="2186" name="Picture 2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6"/>
                    <pic:cNvPicPr>
                      <a:picLocks noChangeAspect="1" noChangeArrowheads="1"/>
                    </pic:cNvPicPr>
                  </pic:nvPicPr>
                  <pic:blipFill>
                    <a:blip r:embed="rId2193">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-6480175</wp:posOffset>
            </wp:positionV>
            <wp:extent cx="8890" cy="8255"/>
            <wp:wrapNone/>
            <wp:docPr id="2187" name="Picture 2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7"/>
                    <pic:cNvPicPr>
                      <a:picLocks noChangeAspect="1" noChangeArrowheads="1"/>
                    </pic:cNvPicPr>
                  </pic:nvPicPr>
                  <pic:blipFill>
                    <a:blip r:embed="rId21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-6463030</wp:posOffset>
            </wp:positionV>
            <wp:extent cx="8890" cy="8255"/>
            <wp:wrapNone/>
            <wp:docPr id="2188" name="Picture 2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8"/>
                    <pic:cNvPicPr>
                      <a:picLocks noChangeAspect="1" noChangeArrowheads="1"/>
                    </pic:cNvPicPr>
                  </pic:nvPicPr>
                  <pic:blipFill>
                    <a:blip r:embed="rId21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-6445885</wp:posOffset>
            </wp:positionV>
            <wp:extent cx="8890" cy="8255"/>
            <wp:wrapNone/>
            <wp:docPr id="2189" name="Picture 2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9"/>
                    <pic:cNvPicPr>
                      <a:picLocks noChangeAspect="1" noChangeArrowheads="1"/>
                    </pic:cNvPicPr>
                  </pic:nvPicPr>
                  <pic:blipFill>
                    <a:blip r:embed="rId21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-6428740</wp:posOffset>
            </wp:positionV>
            <wp:extent cx="8890" cy="8255"/>
            <wp:wrapNone/>
            <wp:docPr id="2190" name="Picture 2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0"/>
                    <pic:cNvPicPr>
                      <a:picLocks noChangeAspect="1" noChangeArrowheads="1"/>
                    </pic:cNvPicPr>
                  </pic:nvPicPr>
                  <pic:blipFill>
                    <a:blip r:embed="rId21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-6411595</wp:posOffset>
            </wp:positionV>
            <wp:extent cx="8890" cy="8890"/>
            <wp:wrapNone/>
            <wp:docPr id="2191" name="Picture 2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1"/>
                    <pic:cNvPicPr>
                      <a:picLocks noChangeAspect="1" noChangeArrowheads="1"/>
                    </pic:cNvPicPr>
                  </pic:nvPicPr>
                  <pic:blipFill>
                    <a:blip r:embed="rId21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-6394450</wp:posOffset>
            </wp:positionV>
            <wp:extent cx="8890" cy="8255"/>
            <wp:wrapNone/>
            <wp:docPr id="2192" name="Picture 2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2"/>
                    <pic:cNvPicPr>
                      <a:picLocks noChangeAspect="1" noChangeArrowheads="1"/>
                    </pic:cNvPicPr>
                  </pic:nvPicPr>
                  <pic:blipFill>
                    <a:blip r:embed="rId21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-6377305</wp:posOffset>
            </wp:positionV>
            <wp:extent cx="8890" cy="8255"/>
            <wp:wrapNone/>
            <wp:docPr id="2193" name="Picture 2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3"/>
                    <pic:cNvPicPr>
                      <a:picLocks noChangeAspect="1" noChangeArrowheads="1"/>
                    </pic:cNvPicPr>
                  </pic:nvPicPr>
                  <pic:blipFill>
                    <a:blip r:embed="rId22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-6360160</wp:posOffset>
            </wp:positionV>
            <wp:extent cx="8890" cy="8255"/>
            <wp:wrapNone/>
            <wp:docPr id="2194" name="Picture 2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4"/>
                    <pic:cNvPicPr>
                      <a:picLocks noChangeAspect="1" noChangeArrowheads="1"/>
                    </pic:cNvPicPr>
                  </pic:nvPicPr>
                  <pic:blipFill>
                    <a:blip r:embed="rId22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-6343015</wp:posOffset>
            </wp:positionV>
            <wp:extent cx="8890" cy="17145"/>
            <wp:wrapNone/>
            <wp:docPr id="2195" name="Picture 2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5"/>
                    <pic:cNvPicPr>
                      <a:picLocks noChangeAspect="1" noChangeArrowheads="1"/>
                    </pic:cNvPicPr>
                  </pic:nvPicPr>
                  <pic:blipFill>
                    <a:blip r:embed="rId2202">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-6728460</wp:posOffset>
            </wp:positionV>
            <wp:extent cx="8255" cy="8255"/>
            <wp:wrapNone/>
            <wp:docPr id="2196" name="Picture 2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6"/>
                    <pic:cNvPicPr>
                      <a:picLocks noChangeAspect="1" noChangeArrowheads="1"/>
                    </pic:cNvPicPr>
                  </pic:nvPicPr>
                  <pic:blipFill>
                    <a:blip r:embed="rId22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-6711315</wp:posOffset>
            </wp:positionV>
            <wp:extent cx="8255" cy="8890"/>
            <wp:wrapNone/>
            <wp:docPr id="2197" name="Picture 2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7"/>
                    <pic:cNvPicPr>
                      <a:picLocks noChangeAspect="1" noChangeArrowheads="1"/>
                    </pic:cNvPicPr>
                  </pic:nvPicPr>
                  <pic:blipFill>
                    <a:blip r:embed="rId220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-6694170</wp:posOffset>
            </wp:positionV>
            <wp:extent cx="8255" cy="8255"/>
            <wp:wrapNone/>
            <wp:docPr id="2198" name="Picture 2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8"/>
                    <pic:cNvPicPr>
                      <a:picLocks noChangeAspect="1" noChangeArrowheads="1"/>
                    </pic:cNvPicPr>
                  </pic:nvPicPr>
                  <pic:blipFill>
                    <a:blip r:embed="rId22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-6677025</wp:posOffset>
            </wp:positionV>
            <wp:extent cx="8255" cy="8255"/>
            <wp:wrapNone/>
            <wp:docPr id="2199" name="Picture 2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9"/>
                    <pic:cNvPicPr>
                      <a:picLocks noChangeAspect="1" noChangeArrowheads="1"/>
                    </pic:cNvPicPr>
                  </pic:nvPicPr>
                  <pic:blipFill>
                    <a:blip r:embed="rId22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-6659880</wp:posOffset>
            </wp:positionV>
            <wp:extent cx="8255" cy="8255"/>
            <wp:wrapNone/>
            <wp:docPr id="2200" name="Picture 2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0"/>
                    <pic:cNvPicPr>
                      <a:picLocks noChangeAspect="1" noChangeArrowheads="1"/>
                    </pic:cNvPicPr>
                  </pic:nvPicPr>
                  <pic:blipFill>
                    <a:blip r:embed="rId22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-6642735</wp:posOffset>
            </wp:positionV>
            <wp:extent cx="8255" cy="8255"/>
            <wp:wrapNone/>
            <wp:docPr id="2201" name="Picture 2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1"/>
                    <pic:cNvPicPr>
                      <a:picLocks noChangeAspect="1" noChangeArrowheads="1"/>
                    </pic:cNvPicPr>
                  </pic:nvPicPr>
                  <pic:blipFill>
                    <a:blip r:embed="rId22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-6625590</wp:posOffset>
            </wp:positionV>
            <wp:extent cx="8255" cy="8890"/>
            <wp:wrapNone/>
            <wp:docPr id="2202" name="Picture 2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2"/>
                    <pic:cNvPicPr>
                      <a:picLocks noChangeAspect="1" noChangeArrowheads="1"/>
                    </pic:cNvPicPr>
                  </pic:nvPicPr>
                  <pic:blipFill>
                    <a:blip r:embed="rId220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-6608445</wp:posOffset>
            </wp:positionV>
            <wp:extent cx="8255" cy="8255"/>
            <wp:wrapNone/>
            <wp:docPr id="2203" name="Picture 2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3"/>
                    <pic:cNvPicPr>
                      <a:picLocks noChangeAspect="1" noChangeArrowheads="1"/>
                    </pic:cNvPicPr>
                  </pic:nvPicPr>
                  <pic:blipFill>
                    <a:blip r:embed="rId22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-6591300</wp:posOffset>
            </wp:positionV>
            <wp:extent cx="8255" cy="8255"/>
            <wp:wrapNone/>
            <wp:docPr id="2204" name="Picture 2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4"/>
                    <pic:cNvPicPr>
                      <a:picLocks noChangeAspect="1" noChangeArrowheads="1"/>
                    </pic:cNvPicPr>
                  </pic:nvPicPr>
                  <pic:blipFill>
                    <a:blip r:embed="rId22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-6574155</wp:posOffset>
            </wp:positionV>
            <wp:extent cx="8255" cy="8255"/>
            <wp:wrapNone/>
            <wp:docPr id="2205" name="Picture 2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5"/>
                    <pic:cNvPicPr>
                      <a:picLocks noChangeAspect="1" noChangeArrowheads="1"/>
                    </pic:cNvPicPr>
                  </pic:nvPicPr>
                  <pic:blipFill>
                    <a:blip r:embed="rId22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-6557010</wp:posOffset>
            </wp:positionV>
            <wp:extent cx="8255" cy="8255"/>
            <wp:wrapNone/>
            <wp:docPr id="2206" name="Picture 2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6"/>
                    <pic:cNvPicPr>
                      <a:picLocks noChangeAspect="1" noChangeArrowheads="1"/>
                    </pic:cNvPicPr>
                  </pic:nvPicPr>
                  <pic:blipFill>
                    <a:blip r:embed="rId22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-6539865</wp:posOffset>
            </wp:positionV>
            <wp:extent cx="8255" cy="8890"/>
            <wp:wrapNone/>
            <wp:docPr id="2207" name="Picture 2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7"/>
                    <pic:cNvPicPr>
                      <a:picLocks noChangeAspect="1" noChangeArrowheads="1"/>
                    </pic:cNvPicPr>
                  </pic:nvPicPr>
                  <pic:blipFill>
                    <a:blip r:embed="rId22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-6522720</wp:posOffset>
            </wp:positionV>
            <wp:extent cx="8255" cy="8255"/>
            <wp:wrapNone/>
            <wp:docPr id="2208" name="Picture 2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8"/>
                    <pic:cNvPicPr>
                      <a:picLocks noChangeAspect="1" noChangeArrowheads="1"/>
                    </pic:cNvPicPr>
                  </pic:nvPicPr>
                  <pic:blipFill>
                    <a:blip r:embed="rId22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-6505575</wp:posOffset>
            </wp:positionV>
            <wp:extent cx="8255" cy="17145"/>
            <wp:wrapNone/>
            <wp:docPr id="2209" name="Picture 2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9"/>
                    <pic:cNvPicPr>
                      <a:picLocks noChangeAspect="1" noChangeArrowheads="1"/>
                    </pic:cNvPicPr>
                  </pic:nvPicPr>
                  <pic:blipFill>
                    <a:blip r:embed="rId2216">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-6728460</wp:posOffset>
            </wp:positionV>
            <wp:extent cx="8255" cy="8255"/>
            <wp:wrapNone/>
            <wp:docPr id="2210" name="Picture 2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0"/>
                    <pic:cNvPicPr>
                      <a:picLocks noChangeAspect="1" noChangeArrowheads="1"/>
                    </pic:cNvPicPr>
                  </pic:nvPicPr>
                  <pic:blipFill>
                    <a:blip r:embed="rId22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-6711315</wp:posOffset>
            </wp:positionV>
            <wp:extent cx="8255" cy="8890"/>
            <wp:wrapNone/>
            <wp:docPr id="2211" name="Picture 2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1"/>
                    <pic:cNvPicPr>
                      <a:picLocks noChangeAspect="1" noChangeArrowheads="1"/>
                    </pic:cNvPicPr>
                  </pic:nvPicPr>
                  <pic:blipFill>
                    <a:blip r:embed="rId22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-6694170</wp:posOffset>
            </wp:positionV>
            <wp:extent cx="8255" cy="8255"/>
            <wp:wrapNone/>
            <wp:docPr id="2212" name="Picture 2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2"/>
                    <pic:cNvPicPr>
                      <a:picLocks noChangeAspect="1" noChangeArrowheads="1"/>
                    </pic:cNvPicPr>
                  </pic:nvPicPr>
                  <pic:blipFill>
                    <a:blip r:embed="rId22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-6677025</wp:posOffset>
            </wp:positionV>
            <wp:extent cx="8255" cy="8255"/>
            <wp:wrapNone/>
            <wp:docPr id="2213" name="Picture 2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3"/>
                    <pic:cNvPicPr>
                      <a:picLocks noChangeAspect="1" noChangeArrowheads="1"/>
                    </pic:cNvPicPr>
                  </pic:nvPicPr>
                  <pic:blipFill>
                    <a:blip r:embed="rId22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-6659880</wp:posOffset>
            </wp:positionV>
            <wp:extent cx="8255" cy="8255"/>
            <wp:wrapNone/>
            <wp:docPr id="2214" name="Picture 2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4"/>
                    <pic:cNvPicPr>
                      <a:picLocks noChangeAspect="1" noChangeArrowheads="1"/>
                    </pic:cNvPicPr>
                  </pic:nvPicPr>
                  <pic:blipFill>
                    <a:blip r:embed="rId22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-6642735</wp:posOffset>
            </wp:positionV>
            <wp:extent cx="8255" cy="8255"/>
            <wp:wrapNone/>
            <wp:docPr id="2215" name="Picture 2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5"/>
                    <pic:cNvPicPr>
                      <a:picLocks noChangeAspect="1" noChangeArrowheads="1"/>
                    </pic:cNvPicPr>
                  </pic:nvPicPr>
                  <pic:blipFill>
                    <a:blip r:embed="rId22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-6625590</wp:posOffset>
            </wp:positionV>
            <wp:extent cx="8255" cy="8890"/>
            <wp:wrapNone/>
            <wp:docPr id="2216" name="Picture 2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6"/>
                    <pic:cNvPicPr>
                      <a:picLocks noChangeAspect="1" noChangeArrowheads="1"/>
                    </pic:cNvPicPr>
                  </pic:nvPicPr>
                  <pic:blipFill>
                    <a:blip r:embed="rId222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-6608445</wp:posOffset>
            </wp:positionV>
            <wp:extent cx="8255" cy="8255"/>
            <wp:wrapNone/>
            <wp:docPr id="2217" name="Picture 2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7"/>
                    <pic:cNvPicPr>
                      <a:picLocks noChangeAspect="1" noChangeArrowheads="1"/>
                    </pic:cNvPicPr>
                  </pic:nvPicPr>
                  <pic:blipFill>
                    <a:blip r:embed="rId22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-6591300</wp:posOffset>
            </wp:positionV>
            <wp:extent cx="8255" cy="8255"/>
            <wp:wrapNone/>
            <wp:docPr id="2218" name="Picture 2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8"/>
                    <pic:cNvPicPr>
                      <a:picLocks noChangeAspect="1" noChangeArrowheads="1"/>
                    </pic:cNvPicPr>
                  </pic:nvPicPr>
                  <pic:blipFill>
                    <a:blip r:embed="rId22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-6574155</wp:posOffset>
            </wp:positionV>
            <wp:extent cx="8255" cy="8255"/>
            <wp:wrapNone/>
            <wp:docPr id="2219" name="Picture 2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9"/>
                    <pic:cNvPicPr>
                      <a:picLocks noChangeAspect="1" noChangeArrowheads="1"/>
                    </pic:cNvPicPr>
                  </pic:nvPicPr>
                  <pic:blipFill>
                    <a:blip r:embed="rId22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-6557010</wp:posOffset>
            </wp:positionV>
            <wp:extent cx="8255" cy="8255"/>
            <wp:wrapNone/>
            <wp:docPr id="2220" name="Picture 2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0"/>
                    <pic:cNvPicPr>
                      <a:picLocks noChangeAspect="1" noChangeArrowheads="1"/>
                    </pic:cNvPicPr>
                  </pic:nvPicPr>
                  <pic:blipFill>
                    <a:blip r:embed="rId22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-6539865</wp:posOffset>
            </wp:positionV>
            <wp:extent cx="8255" cy="8890"/>
            <wp:wrapNone/>
            <wp:docPr id="2221" name="Picture 2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1"/>
                    <pic:cNvPicPr>
                      <a:picLocks noChangeAspect="1" noChangeArrowheads="1"/>
                    </pic:cNvPicPr>
                  </pic:nvPicPr>
                  <pic:blipFill>
                    <a:blip r:embed="rId222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-6522720</wp:posOffset>
            </wp:positionV>
            <wp:extent cx="8255" cy="8255"/>
            <wp:wrapNone/>
            <wp:docPr id="2222" name="Picture 2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2"/>
                    <pic:cNvPicPr>
                      <a:picLocks noChangeAspect="1" noChangeArrowheads="1"/>
                    </pic:cNvPicPr>
                  </pic:nvPicPr>
                  <pic:blipFill>
                    <a:blip r:embed="rId22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-6505575</wp:posOffset>
            </wp:positionV>
            <wp:extent cx="8255" cy="17145"/>
            <wp:wrapNone/>
            <wp:docPr id="2223" name="Picture 2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3"/>
                    <pic:cNvPicPr>
                      <a:picLocks noChangeAspect="1" noChangeArrowheads="1"/>
                    </pic:cNvPicPr>
                  </pic:nvPicPr>
                  <pic:blipFill>
                    <a:blip r:embed="rId2230">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-6728460</wp:posOffset>
            </wp:positionV>
            <wp:extent cx="8890" cy="8255"/>
            <wp:wrapNone/>
            <wp:docPr id="2224" name="Picture 2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4"/>
                    <pic:cNvPicPr>
                      <a:picLocks noChangeAspect="1" noChangeArrowheads="1"/>
                    </pic:cNvPicPr>
                  </pic:nvPicPr>
                  <pic:blipFill>
                    <a:blip r:embed="rId22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-6711315</wp:posOffset>
            </wp:positionV>
            <wp:extent cx="8890" cy="8890"/>
            <wp:wrapNone/>
            <wp:docPr id="2225" name="Picture 2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5"/>
                    <pic:cNvPicPr>
                      <a:picLocks noChangeAspect="1" noChangeArrowheads="1"/>
                    </pic:cNvPicPr>
                  </pic:nvPicPr>
                  <pic:blipFill>
                    <a:blip r:embed="rId22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-6694170</wp:posOffset>
            </wp:positionV>
            <wp:extent cx="8890" cy="8255"/>
            <wp:wrapNone/>
            <wp:docPr id="2226" name="Picture 2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6"/>
                    <pic:cNvPicPr>
                      <a:picLocks noChangeAspect="1" noChangeArrowheads="1"/>
                    </pic:cNvPicPr>
                  </pic:nvPicPr>
                  <pic:blipFill>
                    <a:blip r:embed="rId22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-6677025</wp:posOffset>
            </wp:positionV>
            <wp:extent cx="8890" cy="8255"/>
            <wp:wrapNone/>
            <wp:docPr id="2227" name="Picture 2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7"/>
                    <pic:cNvPicPr>
                      <a:picLocks noChangeAspect="1" noChangeArrowheads="1"/>
                    </pic:cNvPicPr>
                  </pic:nvPicPr>
                  <pic:blipFill>
                    <a:blip r:embed="rId22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-6659880</wp:posOffset>
            </wp:positionV>
            <wp:extent cx="8890" cy="8255"/>
            <wp:wrapNone/>
            <wp:docPr id="2228" name="Picture 2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8"/>
                    <pic:cNvPicPr>
                      <a:picLocks noChangeAspect="1" noChangeArrowheads="1"/>
                    </pic:cNvPicPr>
                  </pic:nvPicPr>
                  <pic:blipFill>
                    <a:blip r:embed="rId22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-6642735</wp:posOffset>
            </wp:positionV>
            <wp:extent cx="8890" cy="8255"/>
            <wp:wrapNone/>
            <wp:docPr id="2229" name="Picture 2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9"/>
                    <pic:cNvPicPr>
                      <a:picLocks noChangeAspect="1" noChangeArrowheads="1"/>
                    </pic:cNvPicPr>
                  </pic:nvPicPr>
                  <pic:blipFill>
                    <a:blip r:embed="rId22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-6625590</wp:posOffset>
            </wp:positionV>
            <wp:extent cx="8890" cy="8890"/>
            <wp:wrapNone/>
            <wp:docPr id="2230" name="Picture 2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0"/>
                    <pic:cNvPicPr>
                      <a:picLocks noChangeAspect="1" noChangeArrowheads="1"/>
                    </pic:cNvPicPr>
                  </pic:nvPicPr>
                  <pic:blipFill>
                    <a:blip r:embed="rId22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-6608445</wp:posOffset>
            </wp:positionV>
            <wp:extent cx="8890" cy="8255"/>
            <wp:wrapNone/>
            <wp:docPr id="2231" name="Picture 2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1"/>
                    <pic:cNvPicPr>
                      <a:picLocks noChangeAspect="1" noChangeArrowheads="1"/>
                    </pic:cNvPicPr>
                  </pic:nvPicPr>
                  <pic:blipFill>
                    <a:blip r:embed="rId22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-6591300</wp:posOffset>
            </wp:positionV>
            <wp:extent cx="8890" cy="8255"/>
            <wp:wrapNone/>
            <wp:docPr id="2232" name="Picture 2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2"/>
                    <pic:cNvPicPr>
                      <a:picLocks noChangeAspect="1" noChangeArrowheads="1"/>
                    </pic:cNvPicPr>
                  </pic:nvPicPr>
                  <pic:blipFill>
                    <a:blip r:embed="rId22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-6574155</wp:posOffset>
            </wp:positionV>
            <wp:extent cx="8890" cy="8255"/>
            <wp:wrapNone/>
            <wp:docPr id="2233" name="Picture 2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3"/>
                    <pic:cNvPicPr>
                      <a:picLocks noChangeAspect="1" noChangeArrowheads="1"/>
                    </pic:cNvPicPr>
                  </pic:nvPicPr>
                  <pic:blipFill>
                    <a:blip r:embed="rId22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-6557010</wp:posOffset>
            </wp:positionV>
            <wp:extent cx="8890" cy="8255"/>
            <wp:wrapNone/>
            <wp:docPr id="2234" name="Picture 2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4"/>
                    <pic:cNvPicPr>
                      <a:picLocks noChangeAspect="1" noChangeArrowheads="1"/>
                    </pic:cNvPicPr>
                  </pic:nvPicPr>
                  <pic:blipFill>
                    <a:blip r:embed="rId22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-6539865</wp:posOffset>
            </wp:positionV>
            <wp:extent cx="8890" cy="8890"/>
            <wp:wrapNone/>
            <wp:docPr id="2235" name="Picture 2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5"/>
                    <pic:cNvPicPr>
                      <a:picLocks noChangeAspect="1" noChangeArrowheads="1"/>
                    </pic:cNvPicPr>
                  </pic:nvPicPr>
                  <pic:blipFill>
                    <a:blip r:embed="rId22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-6522720</wp:posOffset>
            </wp:positionV>
            <wp:extent cx="8890" cy="8255"/>
            <wp:wrapNone/>
            <wp:docPr id="2236" name="Picture 2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6"/>
                    <pic:cNvPicPr>
                      <a:picLocks noChangeAspect="1" noChangeArrowheads="1"/>
                    </pic:cNvPicPr>
                  </pic:nvPicPr>
                  <pic:blipFill>
                    <a:blip r:embed="rId22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-6505575</wp:posOffset>
            </wp:positionV>
            <wp:extent cx="8890" cy="17145"/>
            <wp:wrapNone/>
            <wp:docPr id="2237" name="Picture 2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7"/>
                    <pic:cNvPicPr>
                      <a:picLocks noChangeAspect="1" noChangeArrowheads="1"/>
                    </pic:cNvPicPr>
                  </pic:nvPicPr>
                  <pic:blipFill>
                    <a:blip r:embed="rId2244">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-6985635</wp:posOffset>
            </wp:positionV>
            <wp:extent cx="8255" cy="8255"/>
            <wp:wrapNone/>
            <wp:docPr id="2238" name="Picture 2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8"/>
                    <pic:cNvPicPr>
                      <a:picLocks noChangeAspect="1" noChangeArrowheads="1"/>
                    </pic:cNvPicPr>
                  </pic:nvPicPr>
                  <pic:blipFill>
                    <a:blip r:embed="rId22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-6968490</wp:posOffset>
            </wp:positionV>
            <wp:extent cx="8255" cy="8890"/>
            <wp:wrapNone/>
            <wp:docPr id="2239" name="Picture 2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9"/>
                    <pic:cNvPicPr>
                      <a:picLocks noChangeAspect="1" noChangeArrowheads="1"/>
                    </pic:cNvPicPr>
                  </pic:nvPicPr>
                  <pic:blipFill>
                    <a:blip r:embed="rId224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-6951345</wp:posOffset>
            </wp:positionV>
            <wp:extent cx="8255" cy="8255"/>
            <wp:wrapNone/>
            <wp:docPr id="2240" name="Picture 2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0"/>
                    <pic:cNvPicPr>
                      <a:picLocks noChangeAspect="1" noChangeArrowheads="1"/>
                    </pic:cNvPicPr>
                  </pic:nvPicPr>
                  <pic:blipFill>
                    <a:blip r:embed="rId22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-6934200</wp:posOffset>
            </wp:positionV>
            <wp:extent cx="8255" cy="8255"/>
            <wp:wrapNone/>
            <wp:docPr id="2241" name="Picture 2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1"/>
                    <pic:cNvPicPr>
                      <a:picLocks noChangeAspect="1" noChangeArrowheads="1"/>
                    </pic:cNvPicPr>
                  </pic:nvPicPr>
                  <pic:blipFill>
                    <a:blip r:embed="rId22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-6917055</wp:posOffset>
            </wp:positionV>
            <wp:extent cx="8255" cy="8255"/>
            <wp:wrapNone/>
            <wp:docPr id="2242" name="Picture 2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2"/>
                    <pic:cNvPicPr>
                      <a:picLocks noChangeAspect="1" noChangeArrowheads="1"/>
                    </pic:cNvPicPr>
                  </pic:nvPicPr>
                  <pic:blipFill>
                    <a:blip r:embed="rId22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-6899910</wp:posOffset>
            </wp:positionV>
            <wp:extent cx="8255" cy="8255"/>
            <wp:wrapNone/>
            <wp:docPr id="2243" name="Picture 2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3"/>
                    <pic:cNvPicPr>
                      <a:picLocks noChangeAspect="1" noChangeArrowheads="1"/>
                    </pic:cNvPicPr>
                  </pic:nvPicPr>
                  <pic:blipFill>
                    <a:blip r:embed="rId22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-6882765</wp:posOffset>
            </wp:positionV>
            <wp:extent cx="8255" cy="8890"/>
            <wp:wrapNone/>
            <wp:docPr id="2244" name="Picture 2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4"/>
                    <pic:cNvPicPr>
                      <a:picLocks noChangeAspect="1" noChangeArrowheads="1"/>
                    </pic:cNvPicPr>
                  </pic:nvPicPr>
                  <pic:blipFill>
                    <a:blip r:embed="rId225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-6865620</wp:posOffset>
            </wp:positionV>
            <wp:extent cx="8255" cy="8255"/>
            <wp:wrapNone/>
            <wp:docPr id="2245" name="Picture 2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5"/>
                    <pic:cNvPicPr>
                      <a:picLocks noChangeAspect="1" noChangeArrowheads="1"/>
                    </pic:cNvPicPr>
                  </pic:nvPicPr>
                  <pic:blipFill>
                    <a:blip r:embed="rId22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-6848475</wp:posOffset>
            </wp:positionV>
            <wp:extent cx="8255" cy="8255"/>
            <wp:wrapNone/>
            <wp:docPr id="2246" name="Picture 2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6"/>
                    <pic:cNvPicPr>
                      <a:picLocks noChangeAspect="1" noChangeArrowheads="1"/>
                    </pic:cNvPicPr>
                  </pic:nvPicPr>
                  <pic:blipFill>
                    <a:blip r:embed="rId22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-6831330</wp:posOffset>
            </wp:positionV>
            <wp:extent cx="8255" cy="8255"/>
            <wp:wrapNone/>
            <wp:docPr id="2247" name="Picture 2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7"/>
                    <pic:cNvPicPr>
                      <a:picLocks noChangeAspect="1" noChangeArrowheads="1"/>
                    </pic:cNvPicPr>
                  </pic:nvPicPr>
                  <pic:blipFill>
                    <a:blip r:embed="rId22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-6814185</wp:posOffset>
            </wp:positionV>
            <wp:extent cx="8255" cy="8255"/>
            <wp:wrapNone/>
            <wp:docPr id="2248" name="Picture 2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8"/>
                    <pic:cNvPicPr>
                      <a:picLocks noChangeAspect="1" noChangeArrowheads="1"/>
                    </pic:cNvPicPr>
                  </pic:nvPicPr>
                  <pic:blipFill>
                    <a:blip r:embed="rId22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-6797040</wp:posOffset>
            </wp:positionV>
            <wp:extent cx="8255" cy="8890"/>
            <wp:wrapNone/>
            <wp:docPr id="2249" name="Picture 2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9"/>
                    <pic:cNvPicPr>
                      <a:picLocks noChangeAspect="1" noChangeArrowheads="1"/>
                    </pic:cNvPicPr>
                  </pic:nvPicPr>
                  <pic:blipFill>
                    <a:blip r:embed="rId225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-6779895</wp:posOffset>
            </wp:positionV>
            <wp:extent cx="8255" cy="8255"/>
            <wp:wrapNone/>
            <wp:docPr id="2250" name="Picture 2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0"/>
                    <pic:cNvPicPr>
                      <a:picLocks noChangeAspect="1" noChangeArrowheads="1"/>
                    </pic:cNvPicPr>
                  </pic:nvPicPr>
                  <pic:blipFill>
                    <a:blip r:embed="rId22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-6762750</wp:posOffset>
            </wp:positionV>
            <wp:extent cx="8255" cy="26035"/>
            <wp:wrapNone/>
            <wp:docPr id="2251" name="Picture 2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1"/>
                    <pic:cNvPicPr>
                      <a:picLocks noChangeAspect="1" noChangeArrowheads="1"/>
                    </pic:cNvPicPr>
                  </pic:nvPicPr>
                  <pic:blipFill>
                    <a:blip r:embed="rId2258">
                      <a:extLst>
                        <a:ext uri="{28A0092B-C50C-407E-A947-70E740481C1C}"/>
                      </a:extLst>
                    </a:blip>
                    <a:srcRect/>
                    <a:stretch>
                      <a:fillRect/>
                    </a:stretch>
                  </pic:blipFill>
                  <pic:spPr bwMode="auto">
                    <a:xfrm>
                      <a:off x="0" y="0"/>
                      <a:ext cx="8255" cy="2603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-6985635</wp:posOffset>
            </wp:positionV>
            <wp:extent cx="8255" cy="8255"/>
            <wp:wrapNone/>
            <wp:docPr id="2252" name="Picture 2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2"/>
                    <pic:cNvPicPr>
                      <a:picLocks noChangeAspect="1" noChangeArrowheads="1"/>
                    </pic:cNvPicPr>
                  </pic:nvPicPr>
                  <pic:blipFill>
                    <a:blip r:embed="rId22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-6968490</wp:posOffset>
            </wp:positionV>
            <wp:extent cx="8255" cy="8890"/>
            <wp:wrapNone/>
            <wp:docPr id="2253" name="Picture 2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3"/>
                    <pic:cNvPicPr>
                      <a:picLocks noChangeAspect="1" noChangeArrowheads="1"/>
                    </pic:cNvPicPr>
                  </pic:nvPicPr>
                  <pic:blipFill>
                    <a:blip r:embed="rId226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-6951345</wp:posOffset>
            </wp:positionV>
            <wp:extent cx="8255" cy="8255"/>
            <wp:wrapNone/>
            <wp:docPr id="2254" name="Picture 2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4"/>
                    <pic:cNvPicPr>
                      <a:picLocks noChangeAspect="1" noChangeArrowheads="1"/>
                    </pic:cNvPicPr>
                  </pic:nvPicPr>
                  <pic:blipFill>
                    <a:blip r:embed="rId22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-6934200</wp:posOffset>
            </wp:positionV>
            <wp:extent cx="8255" cy="8255"/>
            <wp:wrapNone/>
            <wp:docPr id="2255" name="Picture 2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5"/>
                    <pic:cNvPicPr>
                      <a:picLocks noChangeAspect="1" noChangeArrowheads="1"/>
                    </pic:cNvPicPr>
                  </pic:nvPicPr>
                  <pic:blipFill>
                    <a:blip r:embed="rId22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-6917055</wp:posOffset>
            </wp:positionV>
            <wp:extent cx="8255" cy="8255"/>
            <wp:wrapNone/>
            <wp:docPr id="2256" name="Picture 2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6"/>
                    <pic:cNvPicPr>
                      <a:picLocks noChangeAspect="1" noChangeArrowheads="1"/>
                    </pic:cNvPicPr>
                  </pic:nvPicPr>
                  <pic:blipFill>
                    <a:blip r:embed="rId22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-6899910</wp:posOffset>
            </wp:positionV>
            <wp:extent cx="8255" cy="8255"/>
            <wp:wrapNone/>
            <wp:docPr id="2257" name="Picture 2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7"/>
                    <pic:cNvPicPr>
                      <a:picLocks noChangeAspect="1" noChangeArrowheads="1"/>
                    </pic:cNvPicPr>
                  </pic:nvPicPr>
                  <pic:blipFill>
                    <a:blip r:embed="rId22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-6882765</wp:posOffset>
            </wp:positionV>
            <wp:extent cx="8255" cy="8890"/>
            <wp:wrapNone/>
            <wp:docPr id="2258" name="Picture 2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8"/>
                    <pic:cNvPicPr>
                      <a:picLocks noChangeAspect="1" noChangeArrowheads="1"/>
                    </pic:cNvPicPr>
                  </pic:nvPicPr>
                  <pic:blipFill>
                    <a:blip r:embed="rId226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-6865620</wp:posOffset>
            </wp:positionV>
            <wp:extent cx="8255" cy="8255"/>
            <wp:wrapNone/>
            <wp:docPr id="2259" name="Picture 2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9"/>
                    <pic:cNvPicPr>
                      <a:picLocks noChangeAspect="1" noChangeArrowheads="1"/>
                    </pic:cNvPicPr>
                  </pic:nvPicPr>
                  <pic:blipFill>
                    <a:blip r:embed="rId22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-6848475</wp:posOffset>
            </wp:positionV>
            <wp:extent cx="8255" cy="8255"/>
            <wp:wrapNone/>
            <wp:docPr id="2260" name="Picture 2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0"/>
                    <pic:cNvPicPr>
                      <a:picLocks noChangeAspect="1" noChangeArrowheads="1"/>
                    </pic:cNvPicPr>
                  </pic:nvPicPr>
                  <pic:blipFill>
                    <a:blip r:embed="rId22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-6831330</wp:posOffset>
            </wp:positionV>
            <wp:extent cx="8255" cy="8255"/>
            <wp:wrapNone/>
            <wp:docPr id="2261" name="Picture 2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1"/>
                    <pic:cNvPicPr>
                      <a:picLocks noChangeAspect="1" noChangeArrowheads="1"/>
                    </pic:cNvPicPr>
                  </pic:nvPicPr>
                  <pic:blipFill>
                    <a:blip r:embed="rId22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-6814185</wp:posOffset>
            </wp:positionV>
            <wp:extent cx="8255" cy="8255"/>
            <wp:wrapNone/>
            <wp:docPr id="2262" name="Picture 2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2"/>
                    <pic:cNvPicPr>
                      <a:picLocks noChangeAspect="1" noChangeArrowheads="1"/>
                    </pic:cNvPicPr>
                  </pic:nvPicPr>
                  <pic:blipFill>
                    <a:blip r:embed="rId22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-6797040</wp:posOffset>
            </wp:positionV>
            <wp:extent cx="8255" cy="8890"/>
            <wp:wrapNone/>
            <wp:docPr id="2263" name="Picture 2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3"/>
                    <pic:cNvPicPr>
                      <a:picLocks noChangeAspect="1" noChangeArrowheads="1"/>
                    </pic:cNvPicPr>
                  </pic:nvPicPr>
                  <pic:blipFill>
                    <a:blip r:embed="rId227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-6779895</wp:posOffset>
            </wp:positionV>
            <wp:extent cx="8255" cy="8255"/>
            <wp:wrapNone/>
            <wp:docPr id="2264" name="Picture 2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4"/>
                    <pic:cNvPicPr>
                      <a:picLocks noChangeAspect="1" noChangeArrowheads="1"/>
                    </pic:cNvPicPr>
                  </pic:nvPicPr>
                  <pic:blipFill>
                    <a:blip r:embed="rId22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-6762750</wp:posOffset>
            </wp:positionV>
            <wp:extent cx="8255" cy="26035"/>
            <wp:wrapNone/>
            <wp:docPr id="2265" name="Picture 2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5"/>
                    <pic:cNvPicPr>
                      <a:picLocks noChangeAspect="1" noChangeArrowheads="1"/>
                    </pic:cNvPicPr>
                  </pic:nvPicPr>
                  <pic:blipFill>
                    <a:blip r:embed="rId2272">
                      <a:extLst>
                        <a:ext uri="{28A0092B-C50C-407E-A947-70E740481C1C}"/>
                      </a:extLst>
                    </a:blip>
                    <a:srcRect/>
                    <a:stretch>
                      <a:fillRect/>
                    </a:stretch>
                  </pic:blipFill>
                  <pic:spPr bwMode="auto">
                    <a:xfrm>
                      <a:off x="0" y="0"/>
                      <a:ext cx="8255" cy="2603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-6985635</wp:posOffset>
            </wp:positionV>
            <wp:extent cx="8890" cy="8255"/>
            <wp:wrapNone/>
            <wp:docPr id="2266" name="Picture 2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6"/>
                    <pic:cNvPicPr>
                      <a:picLocks noChangeAspect="1" noChangeArrowheads="1"/>
                    </pic:cNvPicPr>
                  </pic:nvPicPr>
                  <pic:blipFill>
                    <a:blip r:embed="rId22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-6968490</wp:posOffset>
            </wp:positionV>
            <wp:extent cx="8890" cy="8890"/>
            <wp:wrapNone/>
            <wp:docPr id="2267" name="Picture 2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7"/>
                    <pic:cNvPicPr>
                      <a:picLocks noChangeAspect="1" noChangeArrowheads="1"/>
                    </pic:cNvPicPr>
                  </pic:nvPicPr>
                  <pic:blipFill>
                    <a:blip r:embed="rId22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-6951345</wp:posOffset>
            </wp:positionV>
            <wp:extent cx="8890" cy="8255"/>
            <wp:wrapNone/>
            <wp:docPr id="2268" name="Picture 2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8"/>
                    <pic:cNvPicPr>
                      <a:picLocks noChangeAspect="1" noChangeArrowheads="1"/>
                    </pic:cNvPicPr>
                  </pic:nvPicPr>
                  <pic:blipFill>
                    <a:blip r:embed="rId22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-6934200</wp:posOffset>
            </wp:positionV>
            <wp:extent cx="8890" cy="8255"/>
            <wp:wrapNone/>
            <wp:docPr id="2269" name="Picture 2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9"/>
                    <pic:cNvPicPr>
                      <a:picLocks noChangeAspect="1" noChangeArrowheads="1"/>
                    </pic:cNvPicPr>
                  </pic:nvPicPr>
                  <pic:blipFill>
                    <a:blip r:embed="rId22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-6917055</wp:posOffset>
            </wp:positionV>
            <wp:extent cx="8890" cy="8255"/>
            <wp:wrapNone/>
            <wp:docPr id="2270" name="Picture 2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0"/>
                    <pic:cNvPicPr>
                      <a:picLocks noChangeAspect="1" noChangeArrowheads="1"/>
                    </pic:cNvPicPr>
                  </pic:nvPicPr>
                  <pic:blipFill>
                    <a:blip r:embed="rId22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-6899910</wp:posOffset>
            </wp:positionV>
            <wp:extent cx="8890" cy="8255"/>
            <wp:wrapNone/>
            <wp:docPr id="2271" name="Picture 2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1"/>
                    <pic:cNvPicPr>
                      <a:picLocks noChangeAspect="1" noChangeArrowheads="1"/>
                    </pic:cNvPicPr>
                  </pic:nvPicPr>
                  <pic:blipFill>
                    <a:blip r:embed="rId22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-6882765</wp:posOffset>
            </wp:positionV>
            <wp:extent cx="8890" cy="8890"/>
            <wp:wrapNone/>
            <wp:docPr id="2272" name="Picture 2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2"/>
                    <pic:cNvPicPr>
                      <a:picLocks noChangeAspect="1" noChangeArrowheads="1"/>
                    </pic:cNvPicPr>
                  </pic:nvPicPr>
                  <pic:blipFill>
                    <a:blip r:embed="rId22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-6865620</wp:posOffset>
            </wp:positionV>
            <wp:extent cx="8890" cy="8255"/>
            <wp:wrapNone/>
            <wp:docPr id="2273" name="Picture 2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3"/>
                    <pic:cNvPicPr>
                      <a:picLocks noChangeAspect="1" noChangeArrowheads="1"/>
                    </pic:cNvPicPr>
                  </pic:nvPicPr>
                  <pic:blipFill>
                    <a:blip r:embed="rId22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-6848475</wp:posOffset>
            </wp:positionV>
            <wp:extent cx="8890" cy="8255"/>
            <wp:wrapNone/>
            <wp:docPr id="2274" name="Picture 2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4"/>
                    <pic:cNvPicPr>
                      <a:picLocks noChangeAspect="1" noChangeArrowheads="1"/>
                    </pic:cNvPicPr>
                  </pic:nvPicPr>
                  <pic:blipFill>
                    <a:blip r:embed="rId22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-6831330</wp:posOffset>
            </wp:positionV>
            <wp:extent cx="8890" cy="8255"/>
            <wp:wrapNone/>
            <wp:docPr id="2275" name="Picture 2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5"/>
                    <pic:cNvPicPr>
                      <a:picLocks noChangeAspect="1" noChangeArrowheads="1"/>
                    </pic:cNvPicPr>
                  </pic:nvPicPr>
                  <pic:blipFill>
                    <a:blip r:embed="rId22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-6814185</wp:posOffset>
            </wp:positionV>
            <wp:extent cx="8890" cy="8255"/>
            <wp:wrapNone/>
            <wp:docPr id="2276" name="Picture 2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6"/>
                    <pic:cNvPicPr>
                      <a:picLocks noChangeAspect="1" noChangeArrowheads="1"/>
                    </pic:cNvPicPr>
                  </pic:nvPicPr>
                  <pic:blipFill>
                    <a:blip r:embed="rId22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-6797040</wp:posOffset>
            </wp:positionV>
            <wp:extent cx="8890" cy="8890"/>
            <wp:wrapNone/>
            <wp:docPr id="2277" name="Picture 2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7"/>
                    <pic:cNvPicPr>
                      <a:picLocks noChangeAspect="1" noChangeArrowheads="1"/>
                    </pic:cNvPicPr>
                  </pic:nvPicPr>
                  <pic:blipFill>
                    <a:blip r:embed="rId22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-6779895</wp:posOffset>
            </wp:positionV>
            <wp:extent cx="8890" cy="8255"/>
            <wp:wrapNone/>
            <wp:docPr id="2278" name="Picture 2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8"/>
                    <pic:cNvPicPr>
                      <a:picLocks noChangeAspect="1" noChangeArrowheads="1"/>
                    </pic:cNvPicPr>
                  </pic:nvPicPr>
                  <pic:blipFill>
                    <a:blip r:embed="rId22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-6762750</wp:posOffset>
            </wp:positionV>
            <wp:extent cx="8890" cy="26035"/>
            <wp:wrapNone/>
            <wp:docPr id="2279" name="Picture 2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9"/>
                    <pic:cNvPicPr>
                      <a:picLocks noChangeAspect="1" noChangeArrowheads="1"/>
                    </pic:cNvPicPr>
                  </pic:nvPicPr>
                  <pic:blipFill>
                    <a:blip r:embed="rId2286">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-7139940</wp:posOffset>
            </wp:positionV>
            <wp:extent cx="8255" cy="8890"/>
            <wp:wrapNone/>
            <wp:docPr id="2280" name="Picture 2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0"/>
                    <pic:cNvPicPr>
                      <a:picLocks noChangeAspect="1" noChangeArrowheads="1"/>
                    </pic:cNvPicPr>
                  </pic:nvPicPr>
                  <pic:blipFill>
                    <a:blip r:embed="rId228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-7122795</wp:posOffset>
            </wp:positionV>
            <wp:extent cx="8255" cy="8255"/>
            <wp:wrapNone/>
            <wp:docPr id="2281" name="Picture 2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1"/>
                    <pic:cNvPicPr>
                      <a:picLocks noChangeAspect="1" noChangeArrowheads="1"/>
                    </pic:cNvPicPr>
                  </pic:nvPicPr>
                  <pic:blipFill>
                    <a:blip r:embed="rId22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-7105650</wp:posOffset>
            </wp:positionV>
            <wp:extent cx="8255" cy="8255"/>
            <wp:wrapNone/>
            <wp:docPr id="2282" name="Picture 2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2"/>
                    <pic:cNvPicPr>
                      <a:picLocks noChangeAspect="1" noChangeArrowheads="1"/>
                    </pic:cNvPicPr>
                  </pic:nvPicPr>
                  <pic:blipFill>
                    <a:blip r:embed="rId22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-7088505</wp:posOffset>
            </wp:positionV>
            <wp:extent cx="8255" cy="8255"/>
            <wp:wrapNone/>
            <wp:docPr id="2283" name="Picture 2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3"/>
                    <pic:cNvPicPr>
                      <a:picLocks noChangeAspect="1" noChangeArrowheads="1"/>
                    </pic:cNvPicPr>
                  </pic:nvPicPr>
                  <pic:blipFill>
                    <a:blip r:embed="rId22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-7071360</wp:posOffset>
            </wp:positionV>
            <wp:extent cx="8255" cy="8255"/>
            <wp:wrapNone/>
            <wp:docPr id="2284" name="Picture 2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4"/>
                    <pic:cNvPicPr>
                      <a:picLocks noChangeAspect="1" noChangeArrowheads="1"/>
                    </pic:cNvPicPr>
                  </pic:nvPicPr>
                  <pic:blipFill>
                    <a:blip r:embed="rId22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-7054215</wp:posOffset>
            </wp:positionV>
            <wp:extent cx="8255" cy="8890"/>
            <wp:wrapNone/>
            <wp:docPr id="2285" name="Picture 2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5"/>
                    <pic:cNvPicPr>
                      <a:picLocks noChangeAspect="1" noChangeArrowheads="1"/>
                    </pic:cNvPicPr>
                  </pic:nvPicPr>
                  <pic:blipFill>
                    <a:blip r:embed="rId229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-7037070</wp:posOffset>
            </wp:positionV>
            <wp:extent cx="8255" cy="8255"/>
            <wp:wrapNone/>
            <wp:docPr id="2286" name="Picture 2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6"/>
                    <pic:cNvPicPr>
                      <a:picLocks noChangeAspect="1" noChangeArrowheads="1"/>
                    </pic:cNvPicPr>
                  </pic:nvPicPr>
                  <pic:blipFill>
                    <a:blip r:embed="rId22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-7019925</wp:posOffset>
            </wp:positionV>
            <wp:extent cx="8255" cy="26035"/>
            <wp:wrapNone/>
            <wp:docPr id="2287" name="Picture 2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7"/>
                    <pic:cNvPicPr>
                      <a:picLocks noChangeAspect="1" noChangeArrowheads="1"/>
                    </pic:cNvPicPr>
                  </pic:nvPicPr>
                  <pic:blipFill>
                    <a:blip r:embed="rId2294">
                      <a:extLst>
                        <a:ext uri="{28A0092B-C50C-407E-A947-70E740481C1C}"/>
                      </a:extLst>
                    </a:blip>
                    <a:srcRect/>
                    <a:stretch>
                      <a:fillRect/>
                    </a:stretch>
                  </pic:blipFill>
                  <pic:spPr bwMode="auto">
                    <a:xfrm>
                      <a:off x="0" y="0"/>
                      <a:ext cx="8255" cy="2603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-7139940</wp:posOffset>
            </wp:positionV>
            <wp:extent cx="8255" cy="8890"/>
            <wp:wrapNone/>
            <wp:docPr id="2288" name="Picture 2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8"/>
                    <pic:cNvPicPr>
                      <a:picLocks noChangeAspect="1" noChangeArrowheads="1"/>
                    </pic:cNvPicPr>
                  </pic:nvPicPr>
                  <pic:blipFill>
                    <a:blip r:embed="rId229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-7122795</wp:posOffset>
            </wp:positionV>
            <wp:extent cx="8255" cy="8255"/>
            <wp:wrapNone/>
            <wp:docPr id="2289" name="Picture 2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9"/>
                    <pic:cNvPicPr>
                      <a:picLocks noChangeAspect="1" noChangeArrowheads="1"/>
                    </pic:cNvPicPr>
                  </pic:nvPicPr>
                  <pic:blipFill>
                    <a:blip r:embed="rId22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-7105650</wp:posOffset>
            </wp:positionV>
            <wp:extent cx="8255" cy="8255"/>
            <wp:wrapNone/>
            <wp:docPr id="2290" name="Picture 2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0"/>
                    <pic:cNvPicPr>
                      <a:picLocks noChangeAspect="1" noChangeArrowheads="1"/>
                    </pic:cNvPicPr>
                  </pic:nvPicPr>
                  <pic:blipFill>
                    <a:blip r:embed="rId22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-7088505</wp:posOffset>
            </wp:positionV>
            <wp:extent cx="8255" cy="8255"/>
            <wp:wrapNone/>
            <wp:docPr id="2291" name="Picture 2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1"/>
                    <pic:cNvPicPr>
                      <a:picLocks noChangeAspect="1" noChangeArrowheads="1"/>
                    </pic:cNvPicPr>
                  </pic:nvPicPr>
                  <pic:blipFill>
                    <a:blip r:embed="rId22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-7071360</wp:posOffset>
            </wp:positionV>
            <wp:extent cx="8255" cy="8255"/>
            <wp:wrapNone/>
            <wp:docPr id="2292" name="Picture 2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2"/>
                    <pic:cNvPicPr>
                      <a:picLocks noChangeAspect="1" noChangeArrowheads="1"/>
                    </pic:cNvPicPr>
                  </pic:nvPicPr>
                  <pic:blipFill>
                    <a:blip r:embed="rId22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-7054215</wp:posOffset>
            </wp:positionV>
            <wp:extent cx="8255" cy="8890"/>
            <wp:wrapNone/>
            <wp:docPr id="2293" name="Picture 2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3"/>
                    <pic:cNvPicPr>
                      <a:picLocks noChangeAspect="1" noChangeArrowheads="1"/>
                    </pic:cNvPicPr>
                  </pic:nvPicPr>
                  <pic:blipFill>
                    <a:blip r:embed="rId230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-7037070</wp:posOffset>
            </wp:positionV>
            <wp:extent cx="8255" cy="8255"/>
            <wp:wrapNone/>
            <wp:docPr id="2294" name="Picture 2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4"/>
                    <pic:cNvPicPr>
                      <a:picLocks noChangeAspect="1" noChangeArrowheads="1"/>
                    </pic:cNvPicPr>
                  </pic:nvPicPr>
                  <pic:blipFill>
                    <a:blip r:embed="rId23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-7019925</wp:posOffset>
            </wp:positionV>
            <wp:extent cx="8255" cy="26035"/>
            <wp:wrapNone/>
            <wp:docPr id="2295" name="Picture 2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5"/>
                    <pic:cNvPicPr>
                      <a:picLocks noChangeAspect="1" noChangeArrowheads="1"/>
                    </pic:cNvPicPr>
                  </pic:nvPicPr>
                  <pic:blipFill>
                    <a:blip r:embed="rId2302">
                      <a:extLst>
                        <a:ext uri="{28A0092B-C50C-407E-A947-70E740481C1C}"/>
                      </a:extLst>
                    </a:blip>
                    <a:srcRect/>
                    <a:stretch>
                      <a:fillRect/>
                    </a:stretch>
                  </pic:blipFill>
                  <pic:spPr bwMode="auto">
                    <a:xfrm>
                      <a:off x="0" y="0"/>
                      <a:ext cx="8255" cy="2603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-7139940</wp:posOffset>
            </wp:positionV>
            <wp:extent cx="8890" cy="8890"/>
            <wp:wrapNone/>
            <wp:docPr id="2296" name="Picture 2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6"/>
                    <pic:cNvPicPr>
                      <a:picLocks noChangeAspect="1" noChangeArrowheads="1"/>
                    </pic:cNvPicPr>
                  </pic:nvPicPr>
                  <pic:blipFill>
                    <a:blip r:embed="rId23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-7122795</wp:posOffset>
            </wp:positionV>
            <wp:extent cx="8890" cy="8255"/>
            <wp:wrapNone/>
            <wp:docPr id="2297" name="Picture 2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7"/>
                    <pic:cNvPicPr>
                      <a:picLocks noChangeAspect="1" noChangeArrowheads="1"/>
                    </pic:cNvPicPr>
                  </pic:nvPicPr>
                  <pic:blipFill>
                    <a:blip r:embed="rId23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-7105650</wp:posOffset>
            </wp:positionV>
            <wp:extent cx="8890" cy="8255"/>
            <wp:wrapNone/>
            <wp:docPr id="2298" name="Picture 2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8"/>
                    <pic:cNvPicPr>
                      <a:picLocks noChangeAspect="1" noChangeArrowheads="1"/>
                    </pic:cNvPicPr>
                  </pic:nvPicPr>
                  <pic:blipFill>
                    <a:blip r:embed="rId23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-7088505</wp:posOffset>
            </wp:positionV>
            <wp:extent cx="8890" cy="8255"/>
            <wp:wrapNone/>
            <wp:docPr id="2299" name="Picture 2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9"/>
                    <pic:cNvPicPr>
                      <a:picLocks noChangeAspect="1" noChangeArrowheads="1"/>
                    </pic:cNvPicPr>
                  </pic:nvPicPr>
                  <pic:blipFill>
                    <a:blip r:embed="rId23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-7071360</wp:posOffset>
            </wp:positionV>
            <wp:extent cx="8890" cy="8255"/>
            <wp:wrapNone/>
            <wp:docPr id="2300" name="Picture 2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0"/>
                    <pic:cNvPicPr>
                      <a:picLocks noChangeAspect="1" noChangeArrowheads="1"/>
                    </pic:cNvPicPr>
                  </pic:nvPicPr>
                  <pic:blipFill>
                    <a:blip r:embed="rId23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-7054215</wp:posOffset>
            </wp:positionV>
            <wp:extent cx="8890" cy="8890"/>
            <wp:wrapNone/>
            <wp:docPr id="2301" name="Picture 2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1"/>
                    <pic:cNvPicPr>
                      <a:picLocks noChangeAspect="1" noChangeArrowheads="1"/>
                    </pic:cNvPicPr>
                  </pic:nvPicPr>
                  <pic:blipFill>
                    <a:blip r:embed="rId23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-7037070</wp:posOffset>
            </wp:positionV>
            <wp:extent cx="8890" cy="8255"/>
            <wp:wrapNone/>
            <wp:docPr id="2302" name="Picture 2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2"/>
                    <pic:cNvPicPr>
                      <a:picLocks noChangeAspect="1" noChangeArrowheads="1"/>
                    </pic:cNvPicPr>
                  </pic:nvPicPr>
                  <pic:blipFill>
                    <a:blip r:embed="rId23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-7019925</wp:posOffset>
            </wp:positionV>
            <wp:extent cx="8890" cy="26035"/>
            <wp:wrapNone/>
            <wp:docPr id="2303" name="Picture 2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3"/>
                    <pic:cNvPicPr>
                      <a:picLocks noChangeAspect="1" noChangeArrowheads="1"/>
                    </pic:cNvPicPr>
                  </pic:nvPicPr>
                  <pic:blipFill>
                    <a:blip r:embed="rId2310">
                      <a:extLst>
                        <a:ext uri="{28A0092B-C50C-407E-A947-70E740481C1C}"/>
                      </a:extLst>
                    </a:blip>
                    <a:srcRect/>
                    <a:stretch>
                      <a:fillRect/>
                    </a:stretch>
                  </pic:blipFill>
                  <pic:spPr bwMode="auto">
                    <a:xfrm>
                      <a:off x="0" y="0"/>
                      <a:ext cx="8890" cy="26035"/>
                    </a:xfrm>
                    <a:prstGeom prst="rect">
                      <a:avLst/>
                    </a:prstGeom>
                    <a:noFill/>
                  </pic:spPr>
                </pic:pic>
              </a:graphicData>
            </a:graphic>
          </wp:anchor>
        </w:drawing>
      </w:r>
    </w:p>
    <w:p>
      <w:pPr>
        <w:spacing w:after="0" w:line="91" w:lineRule="exact"/>
        <w:rPr>
          <w:sz w:val="20"/>
          <w:szCs w:val="20"/>
          <w:color w:val="auto"/>
        </w:rPr>
      </w:pPr>
    </w:p>
    <w:p>
      <w:pPr>
        <w:ind w:left="160" w:hanging="152"/>
        <w:spacing w:after="0"/>
        <w:tabs>
          <w:tab w:leader="none" w:pos="160" w:val="left"/>
        </w:tabs>
        <w:numPr>
          <w:ilvl w:val="0"/>
          <w:numId w:val="146"/>
        </w:numPr>
        <w:rPr>
          <w:rFonts w:ascii="Arial" w:cs="Arial" w:eastAsia="Arial" w:hAnsi="Arial"/>
          <w:sz w:val="19"/>
          <w:szCs w:val="19"/>
          <w:color w:val="auto"/>
          <w:vertAlign w:val="superscript"/>
        </w:rPr>
      </w:pPr>
      <w:r>
        <w:rPr>
          <w:rFonts w:ascii="Arial" w:cs="Arial" w:eastAsia="Arial" w:hAnsi="Arial"/>
          <w:sz w:val="14"/>
          <w:szCs w:val="14"/>
          <w:color w:val="auto"/>
        </w:rPr>
        <w:t>To assure grant timing is not manipulated for employee gain, the annual grant date is established in advance by the Committee.</w:t>
      </w:r>
    </w:p>
    <w:p>
      <w:pPr>
        <w:spacing w:after="0" w:line="40" w:lineRule="exact"/>
        <w:rPr>
          <w:sz w:val="20"/>
          <w:szCs w:val="20"/>
          <w:color w:val="auto"/>
        </w:rPr>
      </w:pPr>
    </w:p>
    <w:p>
      <w:pPr>
        <w:ind w:left="180" w:hanging="172"/>
        <w:spacing w:after="0" w:line="272" w:lineRule="auto"/>
        <w:tabs>
          <w:tab w:leader="none" w:pos="174" w:val="left"/>
        </w:tabs>
        <w:numPr>
          <w:ilvl w:val="0"/>
          <w:numId w:val="147"/>
        </w:numPr>
        <w:rPr>
          <w:rFonts w:ascii="Arial" w:cs="Arial" w:eastAsia="Arial" w:hAnsi="Arial"/>
          <w:sz w:val="9"/>
          <w:szCs w:val="9"/>
          <w:color w:val="auto"/>
        </w:rPr>
      </w:pPr>
      <w:r>
        <w:rPr>
          <w:rFonts w:ascii="Arial" w:cs="Arial" w:eastAsia="Arial" w:hAnsi="Arial"/>
          <w:sz w:val="14"/>
          <w:szCs w:val="14"/>
          <w:color w:val="auto"/>
        </w:rPr>
        <w:t>These columns show the threshold, target and maximum payouts for performance under the Bonus Plan. The Bonus Plan payouts range from 0 to 250 percent of target. The Bonus Plan payout for 2024 performance was 225 percent of target. Actual payouts are shown in the Summary Compensation Table in the column titled “Non-Equity Incentive Plan Compensation.”</w:t>
      </w:r>
    </w:p>
    <w:p>
      <w:pPr>
        <w:spacing w:after="0" w:line="19" w:lineRule="exact"/>
        <w:rPr>
          <w:sz w:val="20"/>
          <w:szCs w:val="20"/>
          <w:color w:val="auto"/>
        </w:rPr>
      </w:pPr>
    </w:p>
    <w:p>
      <w:pPr>
        <w:ind w:left="180" w:right="60" w:hanging="172"/>
        <w:spacing w:after="0" w:line="231" w:lineRule="auto"/>
        <w:tabs>
          <w:tab w:leader="none" w:pos="174" w:val="left"/>
        </w:tabs>
        <w:numPr>
          <w:ilvl w:val="0"/>
          <w:numId w:val="148"/>
        </w:numPr>
        <w:rPr>
          <w:rFonts w:ascii="Arial" w:cs="Arial" w:eastAsia="Arial" w:hAnsi="Arial"/>
          <w:sz w:val="19"/>
          <w:szCs w:val="19"/>
          <w:color w:val="auto"/>
          <w:vertAlign w:val="superscript"/>
        </w:rPr>
      </w:pPr>
      <w:r>
        <w:rPr>
          <w:rFonts w:ascii="Arial" w:cs="Arial" w:eastAsia="Arial" w:hAnsi="Arial"/>
          <w:sz w:val="14"/>
          <w:szCs w:val="14"/>
          <w:color w:val="auto"/>
        </w:rPr>
        <w:t>The amounts in this column reflect the grant date fair value of the shareholder value awards and relative value awards computed in accordance with the requirements of ASC Topic 718 and were based upon the probable outcome of performance conditions.</w:t>
      </w:r>
    </w:p>
    <w:p>
      <w:pPr>
        <w:spacing w:after="0" w:line="26" w:lineRule="exact"/>
        <w:rPr>
          <w:sz w:val="20"/>
          <w:szCs w:val="20"/>
          <w:color w:val="auto"/>
        </w:rPr>
      </w:pPr>
    </w:p>
    <w:p>
      <w:pPr>
        <w:ind w:left="180" w:right="20" w:hanging="172"/>
        <w:spacing w:after="0" w:line="300" w:lineRule="auto"/>
        <w:tabs>
          <w:tab w:leader="none" w:pos="174" w:val="left"/>
        </w:tabs>
        <w:numPr>
          <w:ilvl w:val="0"/>
          <w:numId w:val="149"/>
        </w:numPr>
        <w:rPr>
          <w:rFonts w:ascii="Arial" w:cs="Arial" w:eastAsia="Arial" w:hAnsi="Arial"/>
          <w:sz w:val="9"/>
          <w:szCs w:val="9"/>
          <w:color w:val="auto"/>
        </w:rPr>
      </w:pPr>
      <w:r>
        <w:rPr>
          <w:rFonts w:ascii="Arial" w:cs="Arial" w:eastAsia="Arial" w:hAnsi="Arial"/>
          <w:sz w:val="14"/>
          <w:szCs w:val="14"/>
          <w:color w:val="auto"/>
        </w:rPr>
        <w:t>This row shows the range of payouts for the 2024-2026 shareholder value awards. This shareholder value award will pay out in February 2027, with payouts ranging from 0 to 200 percent of target based on share price performance.</w:t>
      </w:r>
    </w:p>
    <w:p>
      <w:pPr>
        <w:spacing w:after="0" w:line="3" w:lineRule="exact"/>
        <w:rPr>
          <w:sz w:val="20"/>
          <w:szCs w:val="20"/>
          <w:color w:val="auto"/>
        </w:rPr>
      </w:pPr>
    </w:p>
    <w:p>
      <w:pPr>
        <w:ind w:left="180" w:right="600" w:hanging="172"/>
        <w:spacing w:after="0" w:line="231" w:lineRule="auto"/>
        <w:tabs>
          <w:tab w:leader="none" w:pos="174" w:val="left"/>
        </w:tabs>
        <w:numPr>
          <w:ilvl w:val="0"/>
          <w:numId w:val="150"/>
        </w:numPr>
        <w:rPr>
          <w:rFonts w:ascii="Arial" w:cs="Arial" w:eastAsia="Arial" w:hAnsi="Arial"/>
          <w:sz w:val="19"/>
          <w:szCs w:val="19"/>
          <w:color w:val="auto"/>
          <w:vertAlign w:val="superscript"/>
        </w:rPr>
      </w:pPr>
      <w:r>
        <w:rPr>
          <w:rFonts w:ascii="Arial" w:cs="Arial" w:eastAsia="Arial" w:hAnsi="Arial"/>
          <w:sz w:val="14"/>
          <w:szCs w:val="14"/>
          <w:color w:val="auto"/>
        </w:rPr>
        <w:t>This row shows the range of payouts for the 2024-2026 relative value awards. This relative value award will pay out in February 2027, with payouts ranging from 0 to 200 percent of target based on relative TSR performance.</w:t>
      </w:r>
    </w:p>
    <w:p>
      <w:pPr>
        <w:spacing w:after="0" w:line="40" w:lineRule="exact"/>
        <w:rPr>
          <w:sz w:val="20"/>
          <w:szCs w:val="20"/>
          <w:color w:val="auto"/>
        </w:rPr>
      </w:pPr>
    </w:p>
    <w:p>
      <w:pPr>
        <w:ind w:left="180" w:right="240" w:hanging="172"/>
        <w:spacing w:after="0" w:line="222" w:lineRule="auto"/>
        <w:tabs>
          <w:tab w:leader="none" w:pos="174" w:val="left"/>
        </w:tabs>
        <w:numPr>
          <w:ilvl w:val="0"/>
          <w:numId w:val="151"/>
        </w:numPr>
        <w:rPr>
          <w:rFonts w:ascii="Arial" w:cs="Arial" w:eastAsia="Arial" w:hAnsi="Arial"/>
          <w:sz w:val="19"/>
          <w:szCs w:val="19"/>
          <w:color w:val="auto"/>
          <w:vertAlign w:val="superscript"/>
        </w:rPr>
      </w:pPr>
      <w:r>
        <w:rPr>
          <w:rFonts w:ascii="Arial" w:cs="Arial" w:eastAsia="Arial" w:hAnsi="Arial"/>
          <w:sz w:val="14"/>
          <w:szCs w:val="14"/>
          <w:color w:val="auto"/>
        </w:rPr>
        <w:t>These grants were made within the normal annual cycle. Mr. Montarce and Mr. Brooks received restricted stock units as they were not executive officers on the grant date. The 2-year grants will vest on 2/16/2026, and the 3-year grants will vest on 2/16/2027.</w:t>
      </w:r>
    </w:p>
    <w:p>
      <w:pPr>
        <w:spacing w:after="0" w:line="40" w:lineRule="exact"/>
        <w:rPr>
          <w:sz w:val="20"/>
          <w:szCs w:val="20"/>
          <w:color w:val="auto"/>
        </w:rPr>
      </w:pPr>
    </w:p>
    <w:p>
      <w:pPr>
        <w:ind w:left="160" w:hanging="152"/>
        <w:spacing w:after="0"/>
        <w:tabs>
          <w:tab w:leader="none" w:pos="160" w:val="left"/>
        </w:tabs>
        <w:numPr>
          <w:ilvl w:val="0"/>
          <w:numId w:val="152"/>
        </w:numPr>
        <w:rPr>
          <w:rFonts w:ascii="Arial" w:cs="Arial" w:eastAsia="Arial" w:hAnsi="Arial"/>
          <w:sz w:val="9"/>
          <w:szCs w:val="9"/>
          <w:color w:val="auto"/>
        </w:rPr>
      </w:pPr>
      <w:r>
        <w:rPr>
          <w:rFonts w:ascii="Arial" w:cs="Arial" w:eastAsia="Arial" w:hAnsi="Arial"/>
          <w:sz w:val="14"/>
          <w:szCs w:val="14"/>
          <w:color w:val="auto"/>
        </w:rPr>
        <w:t>This grant was made outside of the normal annual cycle and will vest on October 1, 2027. The grant was approved by the Executive Vice President, Chief People Officer.</w:t>
      </w:r>
    </w:p>
    <w:p>
      <w:pPr>
        <w:sectPr>
          <w:pgSz w:w="11900" w:h="16838" w:orient="portrait"/>
          <w:cols w:equalWidth="0" w:num="1">
            <w:col w:w="11240"/>
          </w:cols>
          <w:pgMar w:left="320" w:top="944" w:right="339" w:bottom="0" w:gutter="0" w:footer="0" w:header="0"/>
        </w:sectPr>
      </w:pPr>
    </w:p>
    <w:bookmarkStart w:id="68" w:name="page69"/>
    <w:bookmarkEnd w:id="68"/>
    <w:p>
      <w:pPr>
        <w:jc w:val="center"/>
        <w:ind w:right="19"/>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94615</wp:posOffset>
            </wp:positionV>
            <wp:extent cx="7157720" cy="42545"/>
            <wp:wrapNone/>
            <wp:docPr id="2304" name="Picture 2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4"/>
                    <pic:cNvPicPr>
                      <a:picLocks noChangeAspect="1" noChangeArrowheads="1"/>
                    </pic:cNvPicPr>
                  </pic:nvPicPr>
                  <pic:blipFill>
                    <a:blip r:embed="rId2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234" w:right="1440" w:bottom="1440" w:gutter="0" w:footer="0" w:header="0"/>
        </w:sectPr>
      </w:pPr>
    </w:p>
    <w:bookmarkStart w:id="69" w:name="page70"/>
    <w:bookmarkEnd w:id="69"/>
    <w:p>
      <w:pPr>
        <w:spacing w:after="0"/>
        <w:rPr>
          <w:sz w:val="20"/>
          <w:szCs w:val="20"/>
          <w:color w:val="auto"/>
        </w:rPr>
      </w:pPr>
      <w:r>
        <w:rPr>
          <w:rFonts w:ascii="Arial" w:cs="Arial" w:eastAsia="Arial" w:hAnsi="Arial"/>
          <w:sz w:val="25"/>
          <w:szCs w:val="25"/>
          <w:b w:val="1"/>
          <w:bCs w:val="1"/>
          <w:color w:val="00A1DE"/>
        </w:rPr>
        <w:t>Outstanding Equity Awards on December 31, 2024</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The 2024 closing stock price used to calculate the values in the table below was $772.00.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2079625</wp:posOffset>
            </wp:positionH>
            <wp:positionV relativeFrom="paragraph">
              <wp:posOffset>137795</wp:posOffset>
            </wp:positionV>
            <wp:extent cx="3686175" cy="8255"/>
            <wp:wrapNone/>
            <wp:docPr id="2305" name="Picture 2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5"/>
                    <pic:cNvPicPr>
                      <a:picLocks noChangeAspect="1" noChangeArrowheads="1"/>
                    </pic:cNvPicPr>
                  </pic:nvPicPr>
                  <pic:blipFill>
                    <a:blip r:embed="rId2312">
                      <a:extLst>
                        <a:ext uri="{28A0092B-C50C-407E-A947-70E740481C1C}"/>
                      </a:extLst>
                    </a:blip>
                    <a:srcRect/>
                    <a:stretch>
                      <a:fillRect/>
                    </a:stretch>
                  </pic:blipFill>
                  <pic:spPr bwMode="auto">
                    <a:xfrm>
                      <a:off x="0" y="0"/>
                      <a:ext cx="3686175" cy="8255"/>
                    </a:xfrm>
                    <a:prstGeom prst="rect">
                      <a:avLst/>
                    </a:prstGeom>
                    <a:noFill/>
                  </pic:spPr>
                </pic:pic>
              </a:graphicData>
            </a:graphic>
          </wp:anchor>
        </w:drawing>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6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430"/>
              <w:spacing w:after="0"/>
              <w:rPr>
                <w:sz w:val="20"/>
                <w:szCs w:val="20"/>
                <w:color w:val="auto"/>
              </w:rPr>
            </w:pPr>
            <w:r>
              <w:rPr>
                <w:rFonts w:ascii="Arial" w:cs="Arial" w:eastAsia="Arial" w:hAnsi="Arial"/>
                <w:sz w:val="13"/>
                <w:szCs w:val="13"/>
                <w:b w:val="1"/>
                <w:bCs w:val="1"/>
                <w:color w:val="auto"/>
              </w:rPr>
              <w:t>Stock Awards</w:t>
            </w:r>
          </w:p>
        </w:tc>
        <w:tc>
          <w:tcPr>
            <w:tcW w:w="3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6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6"/>
              </w:rPr>
              <w:t>Number of Shares</w:t>
            </w:r>
          </w:p>
        </w:tc>
        <w:tc>
          <w:tcPr>
            <w:tcW w:w="11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7"/>
              </w:rPr>
              <w:t>Market Value of</w:t>
            </w:r>
          </w:p>
        </w:tc>
        <w:tc>
          <w:tcPr>
            <w:tcW w:w="170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6"/>
              </w:rPr>
              <w:t>Equity Incentive Plan</w:t>
            </w:r>
          </w:p>
        </w:tc>
        <w:tc>
          <w:tcPr>
            <w:tcW w:w="1680" w:type="dxa"/>
            <w:vAlign w:val="bottom"/>
          </w:tcPr>
          <w:p>
            <w:pPr>
              <w:jc w:val="center"/>
              <w:spacing w:after="0"/>
              <w:rPr>
                <w:sz w:val="20"/>
                <w:szCs w:val="20"/>
                <w:color w:val="auto"/>
              </w:rPr>
            </w:pPr>
            <w:r>
              <w:rPr>
                <w:rFonts w:ascii="Arial" w:cs="Arial" w:eastAsia="Arial" w:hAnsi="Arial"/>
                <w:sz w:val="13"/>
                <w:szCs w:val="13"/>
                <w:b w:val="1"/>
                <w:bCs w:val="1"/>
                <w:color w:val="auto"/>
                <w:w w:val="97"/>
              </w:rPr>
              <w:t>Equity Incentive Plan</w:t>
            </w:r>
          </w:p>
        </w:tc>
        <w:tc>
          <w:tcPr>
            <w:tcW w:w="0" w:type="dxa"/>
            <w:vAlign w:val="bottom"/>
          </w:tcPr>
          <w:p>
            <w:pPr>
              <w:spacing w:after="0"/>
              <w:rPr>
                <w:sz w:val="1"/>
                <w:szCs w:val="1"/>
                <w:color w:val="auto"/>
              </w:rPr>
            </w:pPr>
          </w:p>
        </w:tc>
      </w:tr>
      <w:tr>
        <w:trPr>
          <w:trHeight w:val="126"/>
        </w:trPr>
        <w:tc>
          <w:tcPr>
            <w:tcW w:w="16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gridSpan w:val="2"/>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1700" w:type="dxa"/>
            <w:vAlign w:val="bottom"/>
            <w:gridSpan w:val="2"/>
            <w:vMerge w:val="continue"/>
          </w:tcPr>
          <w:p>
            <w:pPr>
              <w:spacing w:after="0"/>
              <w:rPr>
                <w:sz w:val="10"/>
                <w:szCs w:val="10"/>
                <w:color w:val="auto"/>
              </w:rPr>
            </w:pPr>
          </w:p>
        </w:tc>
        <w:tc>
          <w:tcPr>
            <w:tcW w:w="168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97"/>
              </w:rPr>
              <w:t>Awards: Market or Payout</w:t>
            </w:r>
          </w:p>
        </w:tc>
        <w:tc>
          <w:tcPr>
            <w:tcW w:w="0" w:type="dxa"/>
            <w:vAlign w:val="bottom"/>
          </w:tcPr>
          <w:p>
            <w:pPr>
              <w:spacing w:after="0"/>
              <w:rPr>
                <w:sz w:val="1"/>
                <w:szCs w:val="1"/>
                <w:color w:val="auto"/>
              </w:rPr>
            </w:pPr>
          </w:p>
        </w:tc>
      </w:tr>
      <w:tr>
        <w:trPr>
          <w:trHeight w:val="81"/>
        </w:trPr>
        <w:tc>
          <w:tcPr>
            <w:tcW w:w="1680" w:type="dxa"/>
            <w:vAlign w:val="bottom"/>
          </w:tcPr>
          <w:p>
            <w:pPr>
              <w:spacing w:after="0"/>
              <w:rPr>
                <w:sz w:val="7"/>
                <w:szCs w:val="7"/>
                <w:color w:val="auto"/>
              </w:rPr>
            </w:pPr>
          </w:p>
        </w:tc>
        <w:tc>
          <w:tcPr>
            <w:tcW w:w="13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6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6"/>
              </w:rPr>
              <w:t>or Units of Stock</w:t>
            </w:r>
          </w:p>
        </w:tc>
        <w:tc>
          <w:tcPr>
            <w:tcW w:w="11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8"/>
              </w:rPr>
              <w:t>Shares or Units of</w:t>
            </w:r>
          </w:p>
        </w:tc>
        <w:tc>
          <w:tcPr>
            <w:tcW w:w="1700" w:type="dxa"/>
            <w:vAlign w:val="bottom"/>
            <w:gridSpan w:val="2"/>
          </w:tcPr>
          <w:p>
            <w:pPr>
              <w:jc w:val="center"/>
              <w:spacing w:after="0" w:line="81" w:lineRule="exact"/>
              <w:rPr>
                <w:sz w:val="20"/>
                <w:szCs w:val="20"/>
                <w:color w:val="auto"/>
              </w:rPr>
            </w:pPr>
            <w:r>
              <w:rPr>
                <w:rFonts w:ascii="Arial" w:cs="Arial" w:eastAsia="Arial" w:hAnsi="Arial"/>
                <w:sz w:val="9"/>
                <w:szCs w:val="9"/>
                <w:b w:val="1"/>
                <w:bCs w:val="1"/>
                <w:color w:val="auto"/>
              </w:rPr>
              <w:t>Awards: Number of</w:t>
            </w:r>
          </w:p>
        </w:tc>
        <w:tc>
          <w:tcPr>
            <w:tcW w:w="16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7"/>
              </w:rPr>
              <w:t>Value of Unearned Shares,</w:t>
            </w:r>
          </w:p>
        </w:tc>
        <w:tc>
          <w:tcPr>
            <w:tcW w:w="0" w:type="dxa"/>
            <w:vAlign w:val="bottom"/>
          </w:tcPr>
          <w:p>
            <w:pPr>
              <w:spacing w:after="0"/>
              <w:rPr>
                <w:sz w:val="1"/>
                <w:szCs w:val="1"/>
                <w:color w:val="auto"/>
              </w:rPr>
            </w:pPr>
          </w:p>
        </w:tc>
      </w:tr>
      <w:tr>
        <w:trPr>
          <w:trHeight w:val="122"/>
        </w:trPr>
        <w:tc>
          <w:tcPr>
            <w:tcW w:w="16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gridSpan w:val="2"/>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170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97"/>
              </w:rPr>
              <w:t>Unearned Shares, Units, or</w:t>
            </w:r>
          </w:p>
        </w:tc>
        <w:tc>
          <w:tcPr>
            <w:tcW w:w="1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680" w:type="dxa"/>
            <w:vAlign w:val="bottom"/>
            <w:vMerge w:val="restart"/>
          </w:tcPr>
          <w:p>
            <w:pPr>
              <w:ind w:left="60"/>
              <w:spacing w:after="0"/>
              <w:rPr>
                <w:sz w:val="20"/>
                <w:szCs w:val="20"/>
                <w:color w:val="auto"/>
              </w:rPr>
            </w:pPr>
            <w:r>
              <w:rPr>
                <w:rFonts w:ascii="Arial" w:cs="Arial" w:eastAsia="Arial" w:hAnsi="Arial"/>
                <w:sz w:val="13"/>
                <w:szCs w:val="13"/>
                <w:color w:val="auto"/>
              </w:rPr>
              <w:t>Name</w:t>
            </w:r>
          </w:p>
        </w:tc>
        <w:tc>
          <w:tcPr>
            <w:tcW w:w="1360" w:type="dxa"/>
            <w:vAlign w:val="bottom"/>
            <w:vMerge w:val="restart"/>
          </w:tcPr>
          <w:p>
            <w:pPr>
              <w:ind w:left="500"/>
              <w:spacing w:after="0"/>
              <w:rPr>
                <w:sz w:val="20"/>
                <w:szCs w:val="20"/>
                <w:color w:val="auto"/>
              </w:rPr>
            </w:pPr>
            <w:r>
              <w:rPr>
                <w:rFonts w:ascii="Arial" w:cs="Arial" w:eastAsia="Arial" w:hAnsi="Arial"/>
                <w:sz w:val="13"/>
                <w:szCs w:val="13"/>
                <w:b w:val="1"/>
                <w:bCs w:val="1"/>
                <w:color w:val="auto"/>
              </w:rPr>
              <w:t>Award</w:t>
            </w:r>
          </w:p>
        </w:tc>
        <w:tc>
          <w:tcPr>
            <w:tcW w:w="240" w:type="dxa"/>
            <w:vAlign w:val="bottom"/>
          </w:tcPr>
          <w:p>
            <w:pPr>
              <w:spacing w:after="0"/>
              <w:rPr>
                <w:sz w:val="10"/>
                <w:szCs w:val="10"/>
                <w:color w:val="auto"/>
              </w:rPr>
            </w:pPr>
          </w:p>
        </w:tc>
        <w:tc>
          <w:tcPr>
            <w:tcW w:w="126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96"/>
              </w:rPr>
              <w:t>That Have Not</w:t>
            </w:r>
          </w:p>
        </w:tc>
        <w:tc>
          <w:tcPr>
            <w:tcW w:w="116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6"/>
              </w:rPr>
              <w:t>Stock That Have</w:t>
            </w:r>
          </w:p>
        </w:tc>
        <w:tc>
          <w:tcPr>
            <w:tcW w:w="170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97"/>
              </w:rPr>
              <w:t>Other Rights That Have Not</w:t>
            </w:r>
          </w:p>
        </w:tc>
        <w:tc>
          <w:tcPr>
            <w:tcW w:w="168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6"/>
              </w:rPr>
              <w:t>Units, or Other Rights That</w:t>
            </w:r>
          </w:p>
        </w:tc>
        <w:tc>
          <w:tcPr>
            <w:tcW w:w="0" w:type="dxa"/>
            <w:vAlign w:val="bottom"/>
          </w:tcPr>
          <w:p>
            <w:pPr>
              <w:spacing w:after="0"/>
              <w:rPr>
                <w:sz w:val="1"/>
                <w:szCs w:val="1"/>
                <w:color w:val="auto"/>
              </w:rPr>
            </w:pPr>
          </w:p>
        </w:tc>
      </w:tr>
      <w:tr>
        <w:trPr>
          <w:trHeight w:val="185"/>
        </w:trPr>
        <w:tc>
          <w:tcPr>
            <w:tcW w:w="1680" w:type="dxa"/>
            <w:vAlign w:val="bottom"/>
            <w:tcBorders>
              <w:bottom w:val="single" w:sz="8" w:color="auto"/>
            </w:tcBorders>
            <w:vMerge w:val="continue"/>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left="252"/>
              <w:spacing w:after="0"/>
              <w:rPr>
                <w:sz w:val="20"/>
                <w:szCs w:val="20"/>
                <w:color w:val="auto"/>
              </w:rPr>
            </w:pPr>
            <w:r>
              <w:rPr>
                <w:rFonts w:ascii="Arial" w:cs="Arial" w:eastAsia="Arial" w:hAnsi="Arial"/>
                <w:sz w:val="13"/>
                <w:szCs w:val="13"/>
                <w:b w:val="1"/>
                <w:bCs w:val="1"/>
                <w:color w:val="auto"/>
                <w:w w:val="96"/>
              </w:rPr>
              <w:t>Vested (#)</w:t>
            </w: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Not Vested ($)</w:t>
            </w:r>
          </w:p>
        </w:tc>
        <w:tc>
          <w:tcPr>
            <w:tcW w:w="1400" w:type="dxa"/>
            <w:vAlign w:val="bottom"/>
            <w:tcBorders>
              <w:bottom w:val="single" w:sz="8" w:color="auto"/>
            </w:tcBorders>
          </w:tcPr>
          <w:p>
            <w:pPr>
              <w:jc w:val="center"/>
              <w:ind w:left="230"/>
              <w:spacing w:after="0"/>
              <w:rPr>
                <w:sz w:val="20"/>
                <w:szCs w:val="20"/>
                <w:color w:val="auto"/>
              </w:rPr>
            </w:pPr>
            <w:r>
              <w:rPr>
                <w:rFonts w:ascii="Arial" w:cs="Arial" w:eastAsia="Arial" w:hAnsi="Arial"/>
                <w:sz w:val="13"/>
                <w:szCs w:val="13"/>
                <w:b w:val="1"/>
                <w:bCs w:val="1"/>
                <w:color w:val="auto"/>
                <w:w w:val="93"/>
              </w:rPr>
              <w:t>Vested (#)</w:t>
            </w:r>
          </w:p>
        </w:tc>
        <w:tc>
          <w:tcPr>
            <w:tcW w:w="3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Have Not Vested ($)</w:t>
            </w:r>
          </w:p>
        </w:tc>
        <w:tc>
          <w:tcPr>
            <w:tcW w:w="0" w:type="dxa"/>
            <w:vAlign w:val="bottom"/>
          </w:tcPr>
          <w:p>
            <w:pPr>
              <w:spacing w:after="0"/>
              <w:rPr>
                <w:sz w:val="1"/>
                <w:szCs w:val="1"/>
                <w:color w:val="auto"/>
              </w:rPr>
            </w:pPr>
          </w:p>
        </w:tc>
      </w:tr>
      <w:tr>
        <w:trPr>
          <w:trHeight w:val="215"/>
        </w:trPr>
        <w:tc>
          <w:tcPr>
            <w:tcW w:w="1680" w:type="dxa"/>
            <w:vAlign w:val="bottom"/>
            <w:shd w:val="clear" w:color="auto" w:fill="F2F2F2"/>
          </w:tcPr>
          <w:p>
            <w:pPr>
              <w:ind w:left="20"/>
              <w:spacing w:after="0"/>
              <w:rPr>
                <w:sz w:val="20"/>
                <w:szCs w:val="20"/>
                <w:color w:val="auto"/>
              </w:rPr>
            </w:pPr>
            <w:r>
              <w:rPr>
                <w:rFonts w:ascii="Arial" w:cs="Arial" w:eastAsia="Arial" w:hAnsi="Arial"/>
                <w:sz w:val="14"/>
                <w:szCs w:val="14"/>
                <w:color w:val="auto"/>
              </w:rPr>
              <w:t>Mr. Ricks</w:t>
            </w:r>
          </w:p>
        </w:tc>
        <w:tc>
          <w:tcPr>
            <w:tcW w:w="1360" w:type="dxa"/>
            <w:vAlign w:val="bottom"/>
            <w:shd w:val="clear" w:color="auto" w:fill="F2F2F2"/>
          </w:tcPr>
          <w:p>
            <w:pPr>
              <w:ind w:left="100"/>
              <w:spacing w:after="0"/>
              <w:rPr>
                <w:sz w:val="20"/>
                <w:szCs w:val="20"/>
                <w:color w:val="auto"/>
              </w:rPr>
            </w:pPr>
            <w:r>
              <w:rPr>
                <w:rFonts w:ascii="Arial" w:cs="Arial" w:eastAsia="Arial" w:hAnsi="Arial"/>
                <w:sz w:val="14"/>
                <w:szCs w:val="14"/>
                <w:color w:val="auto"/>
              </w:rPr>
              <w:t>2024-2026 SVA</w:t>
            </w:r>
          </w:p>
        </w:tc>
        <w:tc>
          <w:tcPr>
            <w:tcW w:w="240" w:type="dxa"/>
            <w:vAlign w:val="bottom"/>
            <w:shd w:val="clear" w:color="auto" w:fill="F2F2F2"/>
          </w:tcPr>
          <w:p>
            <w:pPr>
              <w:spacing w:after="0"/>
              <w:rPr>
                <w:sz w:val="18"/>
                <w:szCs w:val="18"/>
                <w:color w:val="auto"/>
              </w:rPr>
            </w:pPr>
          </w:p>
        </w:tc>
        <w:tc>
          <w:tcPr>
            <w:tcW w:w="920" w:type="dxa"/>
            <w:vAlign w:val="bottom"/>
            <w:shd w:val="clear" w:color="auto" w:fill="F2F2F2"/>
          </w:tcPr>
          <w:p>
            <w:pPr>
              <w:spacing w:after="0"/>
              <w:rPr>
                <w:sz w:val="18"/>
                <w:szCs w:val="18"/>
                <w:color w:val="auto"/>
              </w:rPr>
            </w:pPr>
          </w:p>
        </w:tc>
        <w:tc>
          <w:tcPr>
            <w:tcW w:w="340" w:type="dxa"/>
            <w:vAlign w:val="bottom"/>
            <w:shd w:val="clear" w:color="auto" w:fill="F2F2F2"/>
          </w:tcPr>
          <w:p>
            <w:pPr>
              <w:spacing w:after="0"/>
              <w:rPr>
                <w:sz w:val="18"/>
                <w:szCs w:val="18"/>
                <w:color w:val="auto"/>
              </w:rPr>
            </w:pPr>
          </w:p>
        </w:tc>
        <w:tc>
          <w:tcPr>
            <w:tcW w:w="1160" w:type="dxa"/>
            <w:vAlign w:val="bottom"/>
            <w:shd w:val="clear" w:color="auto" w:fill="F2F2F2"/>
          </w:tcPr>
          <w:p>
            <w:pPr>
              <w:spacing w:after="0"/>
              <w:rPr>
                <w:sz w:val="18"/>
                <w:szCs w:val="18"/>
                <w:color w:val="auto"/>
              </w:rPr>
            </w:pPr>
          </w:p>
        </w:tc>
        <w:tc>
          <w:tcPr>
            <w:tcW w:w="1400" w:type="dxa"/>
            <w:vAlign w:val="bottom"/>
            <w:shd w:val="clear" w:color="auto" w:fill="F2F2F2"/>
          </w:tcPr>
          <w:p>
            <w:pPr>
              <w:jc w:val="right"/>
              <w:spacing w:after="0"/>
              <w:rPr>
                <w:sz w:val="20"/>
                <w:szCs w:val="20"/>
                <w:color w:val="auto"/>
              </w:rPr>
            </w:pPr>
            <w:r>
              <w:rPr>
                <w:rFonts w:ascii="Arial" w:cs="Arial" w:eastAsia="Arial" w:hAnsi="Arial"/>
                <w:sz w:val="14"/>
                <w:szCs w:val="14"/>
                <w:color w:val="auto"/>
              </w:rPr>
              <w:t>19,158</w:t>
            </w:r>
          </w:p>
        </w:tc>
        <w:tc>
          <w:tcPr>
            <w:tcW w:w="300" w:type="dxa"/>
            <w:vAlign w:val="bottom"/>
            <w:shd w:val="clear" w:color="auto" w:fill="F2F2F2"/>
          </w:tcPr>
          <w:p>
            <w:pPr>
              <w:jc w:val="right"/>
              <w:ind w:right="193"/>
              <w:spacing w:after="0"/>
              <w:rPr>
                <w:sz w:val="20"/>
                <w:szCs w:val="20"/>
                <w:color w:val="auto"/>
              </w:rPr>
            </w:pPr>
            <w:r>
              <w:rPr>
                <w:rFonts w:ascii="Arial" w:cs="Arial" w:eastAsia="Arial" w:hAnsi="Arial"/>
                <w:sz w:val="9"/>
                <w:szCs w:val="9"/>
                <w:color w:val="auto"/>
                <w:w w:val="78"/>
              </w:rPr>
              <w:t>1</w:t>
            </w:r>
          </w:p>
        </w:tc>
        <w:tc>
          <w:tcPr>
            <w:tcW w:w="1680" w:type="dxa"/>
            <w:vAlign w:val="bottom"/>
            <w:shd w:val="clear" w:color="auto" w:fill="F2F2F2"/>
          </w:tcPr>
          <w:p>
            <w:pPr>
              <w:jc w:val="right"/>
              <w:spacing w:after="0"/>
              <w:rPr>
                <w:sz w:val="20"/>
                <w:szCs w:val="20"/>
                <w:color w:val="auto"/>
              </w:rPr>
            </w:pPr>
            <w:r>
              <w:rPr>
                <w:rFonts w:ascii="Arial" w:cs="Arial" w:eastAsia="Arial" w:hAnsi="Arial"/>
                <w:sz w:val="14"/>
                <w:szCs w:val="14"/>
                <w:color w:val="auto"/>
              </w:rPr>
              <w:t>$14,789,976</w:t>
            </w:r>
          </w:p>
        </w:tc>
        <w:tc>
          <w:tcPr>
            <w:tcW w:w="0" w:type="dxa"/>
            <w:vAlign w:val="bottom"/>
          </w:tcPr>
          <w:p>
            <w:pPr>
              <w:spacing w:after="0"/>
              <w:rPr>
                <w:sz w:val="1"/>
                <w:szCs w:val="1"/>
                <w:color w:val="auto"/>
              </w:rPr>
            </w:pPr>
          </w:p>
        </w:tc>
      </w:tr>
      <w:tr>
        <w:trPr>
          <w:trHeight w:val="257"/>
        </w:trPr>
        <w:tc>
          <w:tcPr>
            <w:tcW w:w="1680" w:type="dxa"/>
            <w:vAlign w:val="bottom"/>
            <w:shd w:val="clear" w:color="auto" w:fill="F2F2F2"/>
          </w:tcPr>
          <w:p>
            <w:pPr>
              <w:spacing w:after="0"/>
              <w:rPr>
                <w:sz w:val="22"/>
                <w:szCs w:val="22"/>
                <w:color w:val="auto"/>
              </w:rPr>
            </w:pPr>
          </w:p>
        </w:tc>
        <w:tc>
          <w:tcPr>
            <w:tcW w:w="1360" w:type="dxa"/>
            <w:vAlign w:val="bottom"/>
            <w:shd w:val="clear" w:color="auto" w:fill="F2F2F2"/>
          </w:tcPr>
          <w:p>
            <w:pPr>
              <w:ind w:left="100"/>
              <w:spacing w:after="0"/>
              <w:rPr>
                <w:sz w:val="20"/>
                <w:szCs w:val="20"/>
                <w:color w:val="auto"/>
              </w:rPr>
            </w:pPr>
            <w:r>
              <w:rPr>
                <w:rFonts w:ascii="Arial" w:cs="Arial" w:eastAsia="Arial" w:hAnsi="Arial"/>
                <w:sz w:val="14"/>
                <w:szCs w:val="14"/>
                <w:color w:val="auto"/>
              </w:rPr>
              <w:t>2023-2025 SVA</w:t>
            </w:r>
          </w:p>
        </w:tc>
        <w:tc>
          <w:tcPr>
            <w:tcW w:w="240" w:type="dxa"/>
            <w:vAlign w:val="bottom"/>
            <w:shd w:val="clear" w:color="auto" w:fill="F2F2F2"/>
          </w:tcPr>
          <w:p>
            <w:pPr>
              <w:spacing w:after="0"/>
              <w:rPr>
                <w:sz w:val="22"/>
                <w:szCs w:val="22"/>
                <w:color w:val="auto"/>
              </w:rPr>
            </w:pPr>
          </w:p>
        </w:tc>
        <w:tc>
          <w:tcPr>
            <w:tcW w:w="920" w:type="dxa"/>
            <w:vAlign w:val="bottom"/>
            <w:shd w:val="clear" w:color="auto" w:fill="F2F2F2"/>
          </w:tcPr>
          <w:p>
            <w:pPr>
              <w:spacing w:after="0"/>
              <w:rPr>
                <w:sz w:val="22"/>
                <w:szCs w:val="22"/>
                <w:color w:val="auto"/>
              </w:rPr>
            </w:pPr>
          </w:p>
        </w:tc>
        <w:tc>
          <w:tcPr>
            <w:tcW w:w="340" w:type="dxa"/>
            <w:vAlign w:val="bottom"/>
            <w:shd w:val="clear" w:color="auto" w:fill="F2F2F2"/>
          </w:tcPr>
          <w:p>
            <w:pPr>
              <w:spacing w:after="0"/>
              <w:rPr>
                <w:sz w:val="22"/>
                <w:szCs w:val="22"/>
                <w:color w:val="auto"/>
              </w:rPr>
            </w:pPr>
          </w:p>
        </w:tc>
        <w:tc>
          <w:tcPr>
            <w:tcW w:w="1160" w:type="dxa"/>
            <w:vAlign w:val="bottom"/>
            <w:shd w:val="clear" w:color="auto" w:fill="F2F2F2"/>
          </w:tcPr>
          <w:p>
            <w:pPr>
              <w:spacing w:after="0"/>
              <w:rPr>
                <w:sz w:val="22"/>
                <w:szCs w:val="22"/>
                <w:color w:val="auto"/>
              </w:rPr>
            </w:pPr>
          </w:p>
        </w:tc>
        <w:tc>
          <w:tcPr>
            <w:tcW w:w="1400" w:type="dxa"/>
            <w:vAlign w:val="bottom"/>
            <w:shd w:val="clear" w:color="auto" w:fill="F2F2F2"/>
          </w:tcPr>
          <w:p>
            <w:pPr>
              <w:jc w:val="right"/>
              <w:spacing w:after="0"/>
              <w:rPr>
                <w:sz w:val="20"/>
                <w:szCs w:val="20"/>
                <w:color w:val="auto"/>
              </w:rPr>
            </w:pPr>
            <w:r>
              <w:rPr>
                <w:rFonts w:ascii="Arial" w:cs="Arial" w:eastAsia="Arial" w:hAnsi="Arial"/>
                <w:sz w:val="14"/>
                <w:szCs w:val="14"/>
                <w:color w:val="auto"/>
              </w:rPr>
              <w:t>39,024</w:t>
            </w:r>
          </w:p>
        </w:tc>
        <w:tc>
          <w:tcPr>
            <w:tcW w:w="300" w:type="dxa"/>
            <w:vAlign w:val="bottom"/>
            <w:shd w:val="clear" w:color="auto" w:fill="F2F2F2"/>
          </w:tcPr>
          <w:p>
            <w:pPr>
              <w:jc w:val="right"/>
              <w:ind w:right="193"/>
              <w:spacing w:after="0"/>
              <w:rPr>
                <w:sz w:val="20"/>
                <w:szCs w:val="20"/>
                <w:color w:val="auto"/>
              </w:rPr>
            </w:pPr>
            <w:r>
              <w:rPr>
                <w:rFonts w:ascii="Arial" w:cs="Arial" w:eastAsia="Arial" w:hAnsi="Arial"/>
                <w:sz w:val="9"/>
                <w:szCs w:val="9"/>
                <w:color w:val="auto"/>
                <w:w w:val="78"/>
              </w:rPr>
              <w:t>2</w:t>
            </w:r>
          </w:p>
        </w:tc>
        <w:tc>
          <w:tcPr>
            <w:tcW w:w="1680" w:type="dxa"/>
            <w:vAlign w:val="bottom"/>
            <w:shd w:val="clear" w:color="auto" w:fill="F2F2F2"/>
          </w:tcPr>
          <w:p>
            <w:pPr>
              <w:jc w:val="right"/>
              <w:spacing w:after="0"/>
              <w:rPr>
                <w:sz w:val="20"/>
                <w:szCs w:val="20"/>
                <w:color w:val="auto"/>
              </w:rPr>
            </w:pPr>
            <w:r>
              <w:rPr>
                <w:rFonts w:ascii="Arial" w:cs="Arial" w:eastAsia="Arial" w:hAnsi="Arial"/>
                <w:sz w:val="14"/>
                <w:szCs w:val="14"/>
                <w:color w:val="auto"/>
              </w:rPr>
              <w:t>$30,126,528</w:t>
            </w:r>
          </w:p>
        </w:tc>
        <w:tc>
          <w:tcPr>
            <w:tcW w:w="0" w:type="dxa"/>
            <w:vAlign w:val="bottom"/>
          </w:tcPr>
          <w:p>
            <w:pPr>
              <w:spacing w:after="0"/>
              <w:rPr>
                <w:sz w:val="1"/>
                <w:szCs w:val="1"/>
                <w:color w:val="auto"/>
              </w:rPr>
            </w:pPr>
          </w:p>
        </w:tc>
      </w:tr>
      <w:tr>
        <w:trPr>
          <w:trHeight w:val="256"/>
        </w:trPr>
        <w:tc>
          <w:tcPr>
            <w:tcW w:w="1680" w:type="dxa"/>
            <w:vAlign w:val="bottom"/>
            <w:shd w:val="clear" w:color="auto" w:fill="F2F2F2"/>
          </w:tcPr>
          <w:p>
            <w:pPr>
              <w:spacing w:after="0"/>
              <w:rPr>
                <w:sz w:val="22"/>
                <w:szCs w:val="22"/>
                <w:color w:val="auto"/>
              </w:rPr>
            </w:pPr>
          </w:p>
        </w:tc>
        <w:tc>
          <w:tcPr>
            <w:tcW w:w="1360" w:type="dxa"/>
            <w:vAlign w:val="bottom"/>
            <w:shd w:val="clear" w:color="auto" w:fill="F2F2F2"/>
          </w:tcPr>
          <w:p>
            <w:pPr>
              <w:ind w:left="100"/>
              <w:spacing w:after="0"/>
              <w:rPr>
                <w:sz w:val="20"/>
                <w:szCs w:val="20"/>
                <w:color w:val="auto"/>
              </w:rPr>
            </w:pPr>
            <w:r>
              <w:rPr>
                <w:rFonts w:ascii="Arial" w:cs="Arial" w:eastAsia="Arial" w:hAnsi="Arial"/>
                <w:sz w:val="14"/>
                <w:szCs w:val="14"/>
                <w:color w:val="auto"/>
              </w:rPr>
              <w:t>2024-2026 RVA</w:t>
            </w:r>
          </w:p>
        </w:tc>
        <w:tc>
          <w:tcPr>
            <w:tcW w:w="240" w:type="dxa"/>
            <w:vAlign w:val="bottom"/>
            <w:shd w:val="clear" w:color="auto" w:fill="F2F2F2"/>
          </w:tcPr>
          <w:p>
            <w:pPr>
              <w:spacing w:after="0"/>
              <w:rPr>
                <w:sz w:val="22"/>
                <w:szCs w:val="22"/>
                <w:color w:val="auto"/>
              </w:rPr>
            </w:pPr>
          </w:p>
        </w:tc>
        <w:tc>
          <w:tcPr>
            <w:tcW w:w="920" w:type="dxa"/>
            <w:vAlign w:val="bottom"/>
            <w:shd w:val="clear" w:color="auto" w:fill="F2F2F2"/>
          </w:tcPr>
          <w:p>
            <w:pPr>
              <w:spacing w:after="0"/>
              <w:rPr>
                <w:sz w:val="22"/>
                <w:szCs w:val="22"/>
                <w:color w:val="auto"/>
              </w:rPr>
            </w:pPr>
          </w:p>
        </w:tc>
        <w:tc>
          <w:tcPr>
            <w:tcW w:w="340" w:type="dxa"/>
            <w:vAlign w:val="bottom"/>
            <w:shd w:val="clear" w:color="auto" w:fill="F2F2F2"/>
          </w:tcPr>
          <w:p>
            <w:pPr>
              <w:spacing w:after="0"/>
              <w:rPr>
                <w:sz w:val="22"/>
                <w:szCs w:val="22"/>
                <w:color w:val="auto"/>
              </w:rPr>
            </w:pPr>
          </w:p>
        </w:tc>
        <w:tc>
          <w:tcPr>
            <w:tcW w:w="1160" w:type="dxa"/>
            <w:vAlign w:val="bottom"/>
            <w:shd w:val="clear" w:color="auto" w:fill="F2F2F2"/>
          </w:tcPr>
          <w:p>
            <w:pPr>
              <w:spacing w:after="0"/>
              <w:rPr>
                <w:sz w:val="22"/>
                <w:szCs w:val="22"/>
                <w:color w:val="auto"/>
              </w:rPr>
            </w:pPr>
          </w:p>
        </w:tc>
        <w:tc>
          <w:tcPr>
            <w:tcW w:w="1400" w:type="dxa"/>
            <w:vAlign w:val="bottom"/>
            <w:shd w:val="clear" w:color="auto" w:fill="F2F2F2"/>
          </w:tcPr>
          <w:p>
            <w:pPr>
              <w:jc w:val="right"/>
              <w:spacing w:after="0"/>
              <w:rPr>
                <w:sz w:val="20"/>
                <w:szCs w:val="20"/>
                <w:color w:val="auto"/>
              </w:rPr>
            </w:pPr>
            <w:r>
              <w:rPr>
                <w:rFonts w:ascii="Arial" w:cs="Arial" w:eastAsia="Arial" w:hAnsi="Arial"/>
                <w:sz w:val="14"/>
                <w:szCs w:val="14"/>
                <w:color w:val="auto"/>
              </w:rPr>
              <w:t>17,850</w:t>
            </w:r>
          </w:p>
        </w:tc>
        <w:tc>
          <w:tcPr>
            <w:tcW w:w="300" w:type="dxa"/>
            <w:vAlign w:val="bottom"/>
            <w:shd w:val="clear" w:color="auto" w:fill="F2F2F2"/>
          </w:tcPr>
          <w:p>
            <w:pPr>
              <w:jc w:val="right"/>
              <w:ind w:right="193"/>
              <w:spacing w:after="0"/>
              <w:rPr>
                <w:sz w:val="20"/>
                <w:szCs w:val="20"/>
                <w:color w:val="auto"/>
              </w:rPr>
            </w:pPr>
            <w:r>
              <w:rPr>
                <w:rFonts w:ascii="Arial" w:cs="Arial" w:eastAsia="Arial" w:hAnsi="Arial"/>
                <w:sz w:val="9"/>
                <w:szCs w:val="9"/>
                <w:color w:val="auto"/>
                <w:w w:val="78"/>
              </w:rPr>
              <w:t>3</w:t>
            </w:r>
          </w:p>
        </w:tc>
        <w:tc>
          <w:tcPr>
            <w:tcW w:w="1680" w:type="dxa"/>
            <w:vAlign w:val="bottom"/>
            <w:shd w:val="clear" w:color="auto" w:fill="F2F2F2"/>
          </w:tcPr>
          <w:p>
            <w:pPr>
              <w:jc w:val="right"/>
              <w:spacing w:after="0"/>
              <w:rPr>
                <w:sz w:val="20"/>
                <w:szCs w:val="20"/>
                <w:color w:val="auto"/>
              </w:rPr>
            </w:pPr>
            <w:r>
              <w:rPr>
                <w:rFonts w:ascii="Arial" w:cs="Arial" w:eastAsia="Arial" w:hAnsi="Arial"/>
                <w:sz w:val="14"/>
                <w:szCs w:val="14"/>
                <w:color w:val="auto"/>
              </w:rPr>
              <w:t>$13,780,200</w:t>
            </w:r>
          </w:p>
        </w:tc>
        <w:tc>
          <w:tcPr>
            <w:tcW w:w="0" w:type="dxa"/>
            <w:vAlign w:val="bottom"/>
          </w:tcPr>
          <w:p>
            <w:pPr>
              <w:spacing w:after="0"/>
              <w:rPr>
                <w:sz w:val="1"/>
                <w:szCs w:val="1"/>
                <w:color w:val="auto"/>
              </w:rPr>
            </w:pPr>
          </w:p>
        </w:tc>
      </w:tr>
      <w:tr>
        <w:trPr>
          <w:trHeight w:val="260"/>
        </w:trPr>
        <w:tc>
          <w:tcPr>
            <w:tcW w:w="1680" w:type="dxa"/>
            <w:vAlign w:val="bottom"/>
            <w:shd w:val="clear" w:color="auto" w:fill="F2F2F2"/>
          </w:tcPr>
          <w:p>
            <w:pPr>
              <w:spacing w:after="0"/>
              <w:rPr>
                <w:sz w:val="22"/>
                <w:szCs w:val="22"/>
                <w:color w:val="auto"/>
              </w:rPr>
            </w:pPr>
          </w:p>
        </w:tc>
        <w:tc>
          <w:tcPr>
            <w:tcW w:w="1360" w:type="dxa"/>
            <w:vAlign w:val="bottom"/>
            <w:shd w:val="clear" w:color="auto" w:fill="F2F2F2"/>
          </w:tcPr>
          <w:p>
            <w:pPr>
              <w:ind w:left="100"/>
              <w:spacing w:after="0"/>
              <w:rPr>
                <w:sz w:val="20"/>
                <w:szCs w:val="20"/>
                <w:color w:val="auto"/>
              </w:rPr>
            </w:pPr>
            <w:r>
              <w:rPr>
                <w:rFonts w:ascii="Arial" w:cs="Arial" w:eastAsia="Arial" w:hAnsi="Arial"/>
                <w:sz w:val="14"/>
                <w:szCs w:val="14"/>
                <w:color w:val="auto"/>
              </w:rPr>
              <w:t>2023-2025 RVA</w:t>
            </w:r>
          </w:p>
        </w:tc>
        <w:tc>
          <w:tcPr>
            <w:tcW w:w="240" w:type="dxa"/>
            <w:vAlign w:val="bottom"/>
            <w:shd w:val="clear" w:color="auto" w:fill="F2F2F2"/>
          </w:tcPr>
          <w:p>
            <w:pPr>
              <w:spacing w:after="0"/>
              <w:rPr>
                <w:sz w:val="22"/>
                <w:szCs w:val="22"/>
                <w:color w:val="auto"/>
              </w:rPr>
            </w:pPr>
          </w:p>
        </w:tc>
        <w:tc>
          <w:tcPr>
            <w:tcW w:w="920" w:type="dxa"/>
            <w:vAlign w:val="bottom"/>
            <w:shd w:val="clear" w:color="auto" w:fill="F2F2F2"/>
          </w:tcPr>
          <w:p>
            <w:pPr>
              <w:spacing w:after="0"/>
              <w:rPr>
                <w:sz w:val="22"/>
                <w:szCs w:val="22"/>
                <w:color w:val="auto"/>
              </w:rPr>
            </w:pPr>
          </w:p>
        </w:tc>
        <w:tc>
          <w:tcPr>
            <w:tcW w:w="340" w:type="dxa"/>
            <w:vAlign w:val="bottom"/>
            <w:vMerge w:val="restart"/>
            <w:shd w:val="clear" w:color="auto" w:fill="F2F2F2"/>
          </w:tcPr>
          <w:p>
            <w:pPr>
              <w:jc w:val="right"/>
              <w:ind w:right="233"/>
              <w:spacing w:after="0"/>
              <w:rPr>
                <w:sz w:val="20"/>
                <w:szCs w:val="20"/>
                <w:color w:val="auto"/>
              </w:rPr>
            </w:pPr>
            <w:r>
              <w:rPr>
                <w:rFonts w:ascii="Arial" w:cs="Arial" w:eastAsia="Arial" w:hAnsi="Arial"/>
                <w:sz w:val="9"/>
                <w:szCs w:val="9"/>
                <w:color w:val="auto"/>
                <w:w w:val="78"/>
              </w:rPr>
              <w:t>5</w:t>
            </w:r>
          </w:p>
        </w:tc>
        <w:tc>
          <w:tcPr>
            <w:tcW w:w="1160" w:type="dxa"/>
            <w:vAlign w:val="bottom"/>
            <w:shd w:val="clear" w:color="auto" w:fill="F2F2F2"/>
          </w:tcPr>
          <w:p>
            <w:pPr>
              <w:spacing w:after="0"/>
              <w:rPr>
                <w:sz w:val="22"/>
                <w:szCs w:val="22"/>
                <w:color w:val="auto"/>
              </w:rPr>
            </w:pPr>
          </w:p>
        </w:tc>
        <w:tc>
          <w:tcPr>
            <w:tcW w:w="1400" w:type="dxa"/>
            <w:vAlign w:val="bottom"/>
            <w:shd w:val="clear" w:color="auto" w:fill="F2F2F2"/>
          </w:tcPr>
          <w:p>
            <w:pPr>
              <w:jc w:val="right"/>
              <w:spacing w:after="0"/>
              <w:rPr>
                <w:sz w:val="20"/>
                <w:szCs w:val="20"/>
                <w:color w:val="auto"/>
              </w:rPr>
            </w:pPr>
            <w:r>
              <w:rPr>
                <w:rFonts w:ascii="Arial" w:cs="Arial" w:eastAsia="Arial" w:hAnsi="Arial"/>
                <w:sz w:val="14"/>
                <w:szCs w:val="14"/>
                <w:color w:val="auto"/>
              </w:rPr>
              <w:t>31,442</w:t>
            </w:r>
          </w:p>
        </w:tc>
        <w:tc>
          <w:tcPr>
            <w:tcW w:w="300" w:type="dxa"/>
            <w:vAlign w:val="bottom"/>
            <w:shd w:val="clear" w:color="auto" w:fill="F2F2F2"/>
          </w:tcPr>
          <w:p>
            <w:pPr>
              <w:jc w:val="right"/>
              <w:ind w:right="193"/>
              <w:spacing w:after="0"/>
              <w:rPr>
                <w:sz w:val="20"/>
                <w:szCs w:val="20"/>
                <w:color w:val="auto"/>
              </w:rPr>
            </w:pPr>
            <w:r>
              <w:rPr>
                <w:rFonts w:ascii="Arial" w:cs="Arial" w:eastAsia="Arial" w:hAnsi="Arial"/>
                <w:sz w:val="9"/>
                <w:szCs w:val="9"/>
                <w:color w:val="auto"/>
                <w:w w:val="78"/>
              </w:rPr>
              <w:t>4</w:t>
            </w:r>
          </w:p>
        </w:tc>
        <w:tc>
          <w:tcPr>
            <w:tcW w:w="1680" w:type="dxa"/>
            <w:vAlign w:val="bottom"/>
            <w:shd w:val="clear" w:color="auto" w:fill="F2F2F2"/>
          </w:tcPr>
          <w:p>
            <w:pPr>
              <w:jc w:val="right"/>
              <w:spacing w:after="0"/>
              <w:rPr>
                <w:sz w:val="20"/>
                <w:szCs w:val="20"/>
                <w:color w:val="auto"/>
              </w:rPr>
            </w:pPr>
            <w:r>
              <w:rPr>
                <w:rFonts w:ascii="Arial" w:cs="Arial" w:eastAsia="Arial" w:hAnsi="Arial"/>
                <w:sz w:val="14"/>
                <w:szCs w:val="14"/>
                <w:color w:val="auto"/>
              </w:rPr>
              <w:t>$24,273,224</w:t>
            </w:r>
          </w:p>
        </w:tc>
        <w:tc>
          <w:tcPr>
            <w:tcW w:w="0" w:type="dxa"/>
            <w:vAlign w:val="bottom"/>
          </w:tcPr>
          <w:p>
            <w:pPr>
              <w:spacing w:after="0"/>
              <w:rPr>
                <w:sz w:val="1"/>
                <w:szCs w:val="1"/>
                <w:color w:val="auto"/>
              </w:rPr>
            </w:pPr>
          </w:p>
        </w:tc>
      </w:tr>
      <w:tr>
        <w:trPr>
          <w:trHeight w:val="253"/>
        </w:trPr>
        <w:tc>
          <w:tcPr>
            <w:tcW w:w="1680" w:type="dxa"/>
            <w:vAlign w:val="bottom"/>
            <w:shd w:val="clear" w:color="auto" w:fill="F2F2F2"/>
          </w:tcPr>
          <w:p>
            <w:pPr>
              <w:spacing w:after="0"/>
              <w:rPr>
                <w:sz w:val="21"/>
                <w:szCs w:val="21"/>
                <w:color w:val="auto"/>
              </w:rPr>
            </w:pPr>
          </w:p>
        </w:tc>
        <w:tc>
          <w:tcPr>
            <w:tcW w:w="1360" w:type="dxa"/>
            <w:vAlign w:val="bottom"/>
            <w:shd w:val="clear" w:color="auto" w:fill="F2F2F2"/>
          </w:tcPr>
          <w:p>
            <w:pPr>
              <w:ind w:left="100"/>
              <w:spacing w:after="0"/>
              <w:rPr>
                <w:sz w:val="20"/>
                <w:szCs w:val="20"/>
                <w:color w:val="auto"/>
              </w:rPr>
            </w:pPr>
            <w:r>
              <w:rPr>
                <w:rFonts w:ascii="Arial" w:cs="Arial" w:eastAsia="Arial" w:hAnsi="Arial"/>
                <w:sz w:val="14"/>
                <w:szCs w:val="14"/>
                <w:color w:val="auto"/>
              </w:rPr>
              <w:t>2023-2025 PA</w:t>
            </w:r>
          </w:p>
        </w:tc>
        <w:tc>
          <w:tcPr>
            <w:tcW w:w="240" w:type="dxa"/>
            <w:vAlign w:val="bottom"/>
            <w:shd w:val="clear" w:color="auto" w:fill="F2F2F2"/>
          </w:tcPr>
          <w:p>
            <w:pPr>
              <w:spacing w:after="0"/>
              <w:rPr>
                <w:sz w:val="21"/>
                <w:szCs w:val="21"/>
                <w:color w:val="auto"/>
              </w:rPr>
            </w:pPr>
          </w:p>
        </w:tc>
        <w:tc>
          <w:tcPr>
            <w:tcW w:w="920" w:type="dxa"/>
            <w:vAlign w:val="bottom"/>
            <w:shd w:val="clear" w:color="auto" w:fill="F2F2F2"/>
          </w:tcPr>
          <w:p>
            <w:pPr>
              <w:jc w:val="right"/>
              <w:spacing w:after="0"/>
              <w:rPr>
                <w:sz w:val="20"/>
                <w:szCs w:val="20"/>
                <w:color w:val="auto"/>
              </w:rPr>
            </w:pPr>
            <w:r>
              <w:rPr>
                <w:rFonts w:ascii="Arial" w:cs="Arial" w:eastAsia="Arial" w:hAnsi="Arial"/>
                <w:sz w:val="14"/>
                <w:szCs w:val="14"/>
                <w:color w:val="auto"/>
              </w:rPr>
              <w:t>27,941</w:t>
            </w:r>
          </w:p>
        </w:tc>
        <w:tc>
          <w:tcPr>
            <w:tcW w:w="340" w:type="dxa"/>
            <w:vAlign w:val="bottom"/>
            <w:vMerge w:val="continue"/>
            <w:shd w:val="clear" w:color="auto" w:fill="F2F2F2"/>
          </w:tcPr>
          <w:p>
            <w:pPr>
              <w:spacing w:after="0"/>
              <w:rPr>
                <w:sz w:val="21"/>
                <w:szCs w:val="21"/>
                <w:color w:val="auto"/>
              </w:rPr>
            </w:pPr>
          </w:p>
        </w:tc>
        <w:tc>
          <w:tcPr>
            <w:tcW w:w="1160" w:type="dxa"/>
            <w:vAlign w:val="bottom"/>
            <w:shd w:val="clear" w:color="auto" w:fill="F2F2F2"/>
          </w:tcPr>
          <w:p>
            <w:pPr>
              <w:jc w:val="right"/>
              <w:spacing w:after="0"/>
              <w:rPr>
                <w:sz w:val="20"/>
                <w:szCs w:val="20"/>
                <w:color w:val="auto"/>
              </w:rPr>
            </w:pPr>
            <w:r>
              <w:rPr>
                <w:rFonts w:ascii="Arial" w:cs="Arial" w:eastAsia="Arial" w:hAnsi="Arial"/>
                <w:sz w:val="14"/>
                <w:szCs w:val="14"/>
                <w:color w:val="auto"/>
              </w:rPr>
              <w:t>$21,570,452</w:t>
            </w:r>
          </w:p>
        </w:tc>
        <w:tc>
          <w:tcPr>
            <w:tcW w:w="1400" w:type="dxa"/>
            <w:vAlign w:val="bottom"/>
            <w:shd w:val="clear" w:color="auto" w:fill="F2F2F2"/>
          </w:tcPr>
          <w:p>
            <w:pPr>
              <w:spacing w:after="0"/>
              <w:rPr>
                <w:sz w:val="21"/>
                <w:szCs w:val="21"/>
                <w:color w:val="auto"/>
              </w:rPr>
            </w:pPr>
          </w:p>
        </w:tc>
        <w:tc>
          <w:tcPr>
            <w:tcW w:w="300" w:type="dxa"/>
            <w:vAlign w:val="bottom"/>
            <w:shd w:val="clear" w:color="auto" w:fill="F2F2F2"/>
          </w:tcPr>
          <w:p>
            <w:pPr>
              <w:spacing w:after="0"/>
              <w:rPr>
                <w:sz w:val="21"/>
                <w:szCs w:val="21"/>
                <w:color w:val="auto"/>
              </w:rPr>
            </w:pPr>
          </w:p>
        </w:tc>
        <w:tc>
          <w:tcPr>
            <w:tcW w:w="1680" w:type="dxa"/>
            <w:vAlign w:val="bottom"/>
            <w:shd w:val="clear" w:color="auto" w:fill="F2F2F2"/>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1680" w:type="dxa"/>
            <w:vAlign w:val="bottom"/>
            <w:tcBorders>
              <w:bottom w:val="single" w:sz="8" w:color="F2F2F2"/>
            </w:tcBorders>
            <w:shd w:val="clear" w:color="auto" w:fill="F2F2F2"/>
          </w:tcPr>
          <w:p>
            <w:pPr>
              <w:spacing w:after="0"/>
              <w:rPr>
                <w:sz w:val="22"/>
                <w:szCs w:val="22"/>
                <w:color w:val="auto"/>
              </w:rPr>
            </w:pPr>
          </w:p>
        </w:tc>
        <w:tc>
          <w:tcPr>
            <w:tcW w:w="1360" w:type="dxa"/>
            <w:vAlign w:val="bottom"/>
            <w:tcBorders>
              <w:bottom w:val="single" w:sz="8" w:color="F2F2F2"/>
            </w:tcBorders>
            <w:shd w:val="clear" w:color="auto" w:fill="F2F2F2"/>
          </w:tcPr>
          <w:p>
            <w:pPr>
              <w:ind w:left="100"/>
              <w:spacing w:after="0"/>
              <w:rPr>
                <w:sz w:val="20"/>
                <w:szCs w:val="20"/>
                <w:color w:val="auto"/>
              </w:rPr>
            </w:pPr>
            <w:r>
              <w:rPr>
                <w:rFonts w:ascii="Arial" w:cs="Arial" w:eastAsia="Arial" w:hAnsi="Arial"/>
                <w:sz w:val="14"/>
                <w:szCs w:val="14"/>
                <w:color w:val="auto"/>
              </w:rPr>
              <w:t>2022-2024 PA</w:t>
            </w:r>
          </w:p>
        </w:tc>
        <w:tc>
          <w:tcPr>
            <w:tcW w:w="240" w:type="dxa"/>
            <w:vAlign w:val="bottom"/>
            <w:tcBorders>
              <w:bottom w:val="single" w:sz="8" w:color="F2F2F2"/>
            </w:tcBorders>
            <w:shd w:val="clear" w:color="auto" w:fill="F2F2F2"/>
          </w:tcPr>
          <w:p>
            <w:pPr>
              <w:spacing w:after="0"/>
              <w:rPr>
                <w:sz w:val="22"/>
                <w:szCs w:val="22"/>
                <w:color w:val="auto"/>
              </w:rPr>
            </w:pPr>
          </w:p>
        </w:tc>
        <w:tc>
          <w:tcPr>
            <w:tcW w:w="92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26,561</w:t>
            </w:r>
          </w:p>
        </w:tc>
        <w:tc>
          <w:tcPr>
            <w:tcW w:w="340" w:type="dxa"/>
            <w:vAlign w:val="bottom"/>
            <w:tcBorders>
              <w:bottom w:val="single" w:sz="8" w:color="F2F2F2"/>
            </w:tcBorders>
            <w:shd w:val="clear" w:color="auto" w:fill="F2F2F2"/>
          </w:tcPr>
          <w:p>
            <w:pPr>
              <w:jc w:val="right"/>
              <w:ind w:right="233"/>
              <w:spacing w:after="0"/>
              <w:rPr>
                <w:sz w:val="20"/>
                <w:szCs w:val="20"/>
                <w:color w:val="auto"/>
              </w:rPr>
            </w:pPr>
            <w:r>
              <w:rPr>
                <w:rFonts w:ascii="Arial" w:cs="Arial" w:eastAsia="Arial" w:hAnsi="Arial"/>
                <w:sz w:val="9"/>
                <w:szCs w:val="9"/>
                <w:color w:val="auto"/>
                <w:w w:val="78"/>
              </w:rPr>
              <w:t>6</w:t>
            </w:r>
          </w:p>
        </w:tc>
        <w:tc>
          <w:tcPr>
            <w:tcW w:w="116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$20,505,092</w:t>
            </w:r>
          </w:p>
        </w:tc>
        <w:tc>
          <w:tcPr>
            <w:tcW w:w="1400" w:type="dxa"/>
            <w:vAlign w:val="bottom"/>
            <w:tcBorders>
              <w:bottom w:val="single" w:sz="8" w:color="F2F2F2"/>
            </w:tcBorders>
            <w:shd w:val="clear" w:color="auto" w:fill="F2F2F2"/>
          </w:tcPr>
          <w:p>
            <w:pPr>
              <w:spacing w:after="0"/>
              <w:rPr>
                <w:sz w:val="22"/>
                <w:szCs w:val="22"/>
                <w:color w:val="auto"/>
              </w:rPr>
            </w:pPr>
          </w:p>
        </w:tc>
        <w:tc>
          <w:tcPr>
            <w:tcW w:w="300" w:type="dxa"/>
            <w:vAlign w:val="bottom"/>
            <w:tcBorders>
              <w:bottom w:val="single" w:sz="8" w:color="F2F2F2"/>
            </w:tcBorders>
            <w:shd w:val="clear" w:color="auto" w:fill="F2F2F2"/>
          </w:tcPr>
          <w:p>
            <w:pPr>
              <w:spacing w:after="0"/>
              <w:rPr>
                <w:sz w:val="22"/>
                <w:szCs w:val="22"/>
                <w:color w:val="auto"/>
              </w:rPr>
            </w:pPr>
          </w:p>
        </w:tc>
        <w:tc>
          <w:tcPr>
            <w:tcW w:w="1680" w:type="dxa"/>
            <w:vAlign w:val="bottom"/>
            <w:tcBorders>
              <w:bottom w:val="single" w:sz="8" w:color="F2F2F2"/>
            </w:tcBorders>
            <w:shd w:val="clear" w:color="auto" w:fill="F2F2F2"/>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1680" w:type="dxa"/>
            <w:vAlign w:val="bottom"/>
          </w:tcPr>
          <w:p>
            <w:pPr>
              <w:ind w:left="20"/>
              <w:spacing w:after="0"/>
              <w:rPr>
                <w:sz w:val="20"/>
                <w:szCs w:val="20"/>
                <w:color w:val="auto"/>
              </w:rPr>
            </w:pPr>
            <w:r>
              <w:rPr>
                <w:rFonts w:ascii="Arial" w:cs="Arial" w:eastAsia="Arial" w:hAnsi="Arial"/>
                <w:sz w:val="14"/>
                <w:szCs w:val="14"/>
                <w:color w:val="auto"/>
              </w:rPr>
              <w:t>Mr. Montarce</w:t>
            </w:r>
          </w:p>
        </w:tc>
        <w:tc>
          <w:tcPr>
            <w:tcW w:w="1360" w:type="dxa"/>
            <w:vAlign w:val="bottom"/>
          </w:tcPr>
          <w:p>
            <w:pPr>
              <w:ind w:left="100"/>
              <w:spacing w:after="0"/>
              <w:rPr>
                <w:sz w:val="20"/>
                <w:szCs w:val="20"/>
                <w:color w:val="auto"/>
              </w:rPr>
            </w:pPr>
            <w:r>
              <w:rPr>
                <w:rFonts w:ascii="Arial" w:cs="Arial" w:eastAsia="Arial" w:hAnsi="Arial"/>
                <w:sz w:val="14"/>
                <w:szCs w:val="14"/>
                <w:color w:val="auto"/>
              </w:rPr>
              <w:t>2024-2026 SVA</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518</w:t>
            </w:r>
          </w:p>
        </w:tc>
        <w:tc>
          <w:tcPr>
            <w:tcW w:w="300" w:type="dxa"/>
            <w:vAlign w:val="bottom"/>
          </w:tcPr>
          <w:p>
            <w:pPr>
              <w:jc w:val="right"/>
              <w:ind w:right="193"/>
              <w:spacing w:after="0"/>
              <w:rPr>
                <w:sz w:val="20"/>
                <w:szCs w:val="20"/>
                <w:color w:val="auto"/>
              </w:rPr>
            </w:pPr>
            <w:r>
              <w:rPr>
                <w:rFonts w:ascii="Arial" w:cs="Arial" w:eastAsia="Arial" w:hAnsi="Arial"/>
                <w:sz w:val="9"/>
                <w:szCs w:val="9"/>
                <w:color w:val="auto"/>
                <w:w w:val="78"/>
              </w:rPr>
              <w:t>1</w:t>
            </w:r>
          </w:p>
        </w:tc>
        <w:tc>
          <w:tcPr>
            <w:tcW w:w="1680" w:type="dxa"/>
            <w:vAlign w:val="bottom"/>
          </w:tcPr>
          <w:p>
            <w:pPr>
              <w:jc w:val="right"/>
              <w:spacing w:after="0"/>
              <w:rPr>
                <w:sz w:val="20"/>
                <w:szCs w:val="20"/>
                <w:color w:val="auto"/>
              </w:rPr>
            </w:pPr>
            <w:r>
              <w:rPr>
                <w:rFonts w:ascii="Arial" w:cs="Arial" w:eastAsia="Arial" w:hAnsi="Arial"/>
                <w:sz w:val="14"/>
                <w:szCs w:val="14"/>
                <w:color w:val="auto"/>
              </w:rPr>
              <w:t>$399,896</w:t>
            </w:r>
          </w:p>
        </w:tc>
        <w:tc>
          <w:tcPr>
            <w:tcW w:w="0" w:type="dxa"/>
            <w:vAlign w:val="bottom"/>
          </w:tcPr>
          <w:p>
            <w:pPr>
              <w:spacing w:after="0"/>
              <w:rPr>
                <w:sz w:val="1"/>
                <w:szCs w:val="1"/>
                <w:color w:val="auto"/>
              </w:rPr>
            </w:pPr>
          </w:p>
        </w:tc>
      </w:tr>
      <w:tr>
        <w:trPr>
          <w:trHeight w:val="256"/>
        </w:trPr>
        <w:tc>
          <w:tcPr>
            <w:tcW w:w="1680" w:type="dxa"/>
            <w:vAlign w:val="bottom"/>
          </w:tcPr>
          <w:p>
            <w:pPr>
              <w:spacing w:after="0"/>
              <w:rPr>
                <w:sz w:val="22"/>
                <w:szCs w:val="22"/>
                <w:color w:val="auto"/>
              </w:rPr>
            </w:pPr>
          </w:p>
        </w:tc>
        <w:tc>
          <w:tcPr>
            <w:tcW w:w="1360" w:type="dxa"/>
            <w:vAlign w:val="bottom"/>
          </w:tcPr>
          <w:p>
            <w:pPr>
              <w:ind w:left="100"/>
              <w:spacing w:after="0"/>
              <w:rPr>
                <w:sz w:val="20"/>
                <w:szCs w:val="20"/>
                <w:color w:val="auto"/>
              </w:rPr>
            </w:pPr>
            <w:r>
              <w:rPr>
                <w:rFonts w:ascii="Arial" w:cs="Arial" w:eastAsia="Arial" w:hAnsi="Arial"/>
                <w:sz w:val="14"/>
                <w:szCs w:val="14"/>
                <w:color w:val="auto"/>
              </w:rPr>
              <w:t>2023-2025 SVA</w:t>
            </w: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1,118</w:t>
            </w:r>
          </w:p>
        </w:tc>
        <w:tc>
          <w:tcPr>
            <w:tcW w:w="300" w:type="dxa"/>
            <w:vAlign w:val="bottom"/>
          </w:tcPr>
          <w:p>
            <w:pPr>
              <w:jc w:val="right"/>
              <w:ind w:right="193"/>
              <w:spacing w:after="0"/>
              <w:rPr>
                <w:sz w:val="20"/>
                <w:szCs w:val="20"/>
                <w:color w:val="auto"/>
              </w:rPr>
            </w:pPr>
            <w:r>
              <w:rPr>
                <w:rFonts w:ascii="Arial" w:cs="Arial" w:eastAsia="Arial" w:hAnsi="Arial"/>
                <w:sz w:val="9"/>
                <w:szCs w:val="9"/>
                <w:color w:val="auto"/>
                <w:w w:val="78"/>
              </w:rPr>
              <w:t>2</w:t>
            </w:r>
          </w:p>
        </w:tc>
        <w:tc>
          <w:tcPr>
            <w:tcW w:w="1680" w:type="dxa"/>
            <w:vAlign w:val="bottom"/>
          </w:tcPr>
          <w:p>
            <w:pPr>
              <w:jc w:val="right"/>
              <w:spacing w:after="0"/>
              <w:rPr>
                <w:sz w:val="20"/>
                <w:szCs w:val="20"/>
                <w:color w:val="auto"/>
              </w:rPr>
            </w:pPr>
            <w:r>
              <w:rPr>
                <w:rFonts w:ascii="Arial" w:cs="Arial" w:eastAsia="Arial" w:hAnsi="Arial"/>
                <w:sz w:val="14"/>
                <w:szCs w:val="14"/>
                <w:color w:val="auto"/>
              </w:rPr>
              <w:t>$863,096</w:t>
            </w:r>
          </w:p>
        </w:tc>
        <w:tc>
          <w:tcPr>
            <w:tcW w:w="0" w:type="dxa"/>
            <w:vAlign w:val="bottom"/>
          </w:tcPr>
          <w:p>
            <w:pPr>
              <w:spacing w:after="0"/>
              <w:rPr>
                <w:sz w:val="1"/>
                <w:szCs w:val="1"/>
                <w:color w:val="auto"/>
              </w:rPr>
            </w:pPr>
          </w:p>
        </w:tc>
      </w:tr>
      <w:tr>
        <w:trPr>
          <w:trHeight w:val="257"/>
        </w:trPr>
        <w:tc>
          <w:tcPr>
            <w:tcW w:w="1680" w:type="dxa"/>
            <w:vAlign w:val="bottom"/>
          </w:tcPr>
          <w:p>
            <w:pPr>
              <w:spacing w:after="0"/>
              <w:rPr>
                <w:sz w:val="22"/>
                <w:szCs w:val="22"/>
                <w:color w:val="auto"/>
              </w:rPr>
            </w:pPr>
          </w:p>
        </w:tc>
        <w:tc>
          <w:tcPr>
            <w:tcW w:w="1360" w:type="dxa"/>
            <w:vAlign w:val="bottom"/>
          </w:tcPr>
          <w:p>
            <w:pPr>
              <w:ind w:left="100"/>
              <w:spacing w:after="0"/>
              <w:rPr>
                <w:sz w:val="20"/>
                <w:szCs w:val="20"/>
                <w:color w:val="auto"/>
              </w:rPr>
            </w:pPr>
            <w:r>
              <w:rPr>
                <w:rFonts w:ascii="Arial" w:cs="Arial" w:eastAsia="Arial" w:hAnsi="Arial"/>
                <w:sz w:val="14"/>
                <w:szCs w:val="14"/>
                <w:color w:val="auto"/>
              </w:rPr>
              <w:t>2024-2026 RVA</w:t>
            </w: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482</w:t>
            </w:r>
          </w:p>
        </w:tc>
        <w:tc>
          <w:tcPr>
            <w:tcW w:w="300" w:type="dxa"/>
            <w:vAlign w:val="bottom"/>
          </w:tcPr>
          <w:p>
            <w:pPr>
              <w:jc w:val="right"/>
              <w:ind w:right="193"/>
              <w:spacing w:after="0"/>
              <w:rPr>
                <w:sz w:val="20"/>
                <w:szCs w:val="20"/>
                <w:color w:val="auto"/>
              </w:rPr>
            </w:pPr>
            <w:r>
              <w:rPr>
                <w:rFonts w:ascii="Arial" w:cs="Arial" w:eastAsia="Arial" w:hAnsi="Arial"/>
                <w:sz w:val="9"/>
                <w:szCs w:val="9"/>
                <w:color w:val="auto"/>
                <w:w w:val="78"/>
              </w:rPr>
              <w:t>3</w:t>
            </w:r>
          </w:p>
        </w:tc>
        <w:tc>
          <w:tcPr>
            <w:tcW w:w="1680" w:type="dxa"/>
            <w:vAlign w:val="bottom"/>
          </w:tcPr>
          <w:p>
            <w:pPr>
              <w:jc w:val="right"/>
              <w:spacing w:after="0"/>
              <w:rPr>
                <w:sz w:val="20"/>
                <w:szCs w:val="20"/>
                <w:color w:val="auto"/>
              </w:rPr>
            </w:pPr>
            <w:r>
              <w:rPr>
                <w:rFonts w:ascii="Arial" w:cs="Arial" w:eastAsia="Arial" w:hAnsi="Arial"/>
                <w:sz w:val="14"/>
                <w:szCs w:val="14"/>
                <w:color w:val="auto"/>
              </w:rPr>
              <w:t>$372,104</w:t>
            </w:r>
          </w:p>
        </w:tc>
        <w:tc>
          <w:tcPr>
            <w:tcW w:w="0" w:type="dxa"/>
            <w:vAlign w:val="bottom"/>
          </w:tcPr>
          <w:p>
            <w:pPr>
              <w:spacing w:after="0"/>
              <w:rPr>
                <w:sz w:val="1"/>
                <w:szCs w:val="1"/>
                <w:color w:val="auto"/>
              </w:rPr>
            </w:pPr>
          </w:p>
        </w:tc>
      </w:tr>
      <w:tr>
        <w:trPr>
          <w:trHeight w:val="260"/>
        </w:trPr>
        <w:tc>
          <w:tcPr>
            <w:tcW w:w="1680" w:type="dxa"/>
            <w:vAlign w:val="bottom"/>
          </w:tcPr>
          <w:p>
            <w:pPr>
              <w:spacing w:after="0"/>
              <w:rPr>
                <w:sz w:val="22"/>
                <w:szCs w:val="22"/>
                <w:color w:val="auto"/>
              </w:rPr>
            </w:pPr>
          </w:p>
        </w:tc>
        <w:tc>
          <w:tcPr>
            <w:tcW w:w="1360" w:type="dxa"/>
            <w:vAlign w:val="bottom"/>
          </w:tcPr>
          <w:p>
            <w:pPr>
              <w:ind w:left="100"/>
              <w:spacing w:after="0"/>
              <w:rPr>
                <w:sz w:val="20"/>
                <w:szCs w:val="20"/>
                <w:color w:val="auto"/>
              </w:rPr>
            </w:pPr>
            <w:r>
              <w:rPr>
                <w:rFonts w:ascii="Arial" w:cs="Arial" w:eastAsia="Arial" w:hAnsi="Arial"/>
                <w:sz w:val="14"/>
                <w:szCs w:val="14"/>
                <w:color w:val="auto"/>
              </w:rPr>
              <w:t>2023-2025 RVA</w:t>
            </w: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1,006</w:t>
            </w:r>
          </w:p>
        </w:tc>
        <w:tc>
          <w:tcPr>
            <w:tcW w:w="300" w:type="dxa"/>
            <w:vAlign w:val="bottom"/>
          </w:tcPr>
          <w:p>
            <w:pPr>
              <w:jc w:val="right"/>
              <w:ind w:right="193"/>
              <w:spacing w:after="0"/>
              <w:rPr>
                <w:sz w:val="20"/>
                <w:szCs w:val="20"/>
                <w:color w:val="auto"/>
              </w:rPr>
            </w:pPr>
            <w:r>
              <w:rPr>
                <w:rFonts w:ascii="Arial" w:cs="Arial" w:eastAsia="Arial" w:hAnsi="Arial"/>
                <w:sz w:val="9"/>
                <w:szCs w:val="9"/>
                <w:color w:val="auto"/>
                <w:w w:val="78"/>
              </w:rPr>
              <w:t>4</w:t>
            </w:r>
          </w:p>
        </w:tc>
        <w:tc>
          <w:tcPr>
            <w:tcW w:w="1680" w:type="dxa"/>
            <w:vAlign w:val="bottom"/>
          </w:tcPr>
          <w:p>
            <w:pPr>
              <w:jc w:val="right"/>
              <w:spacing w:after="0"/>
              <w:rPr>
                <w:sz w:val="20"/>
                <w:szCs w:val="20"/>
                <w:color w:val="auto"/>
              </w:rPr>
            </w:pPr>
            <w:r>
              <w:rPr>
                <w:rFonts w:ascii="Arial" w:cs="Arial" w:eastAsia="Arial" w:hAnsi="Arial"/>
                <w:sz w:val="14"/>
                <w:szCs w:val="14"/>
                <w:color w:val="auto"/>
              </w:rPr>
              <w:t>$776,632</w:t>
            </w:r>
          </w:p>
        </w:tc>
        <w:tc>
          <w:tcPr>
            <w:tcW w:w="0" w:type="dxa"/>
            <w:vAlign w:val="bottom"/>
          </w:tcPr>
          <w:p>
            <w:pPr>
              <w:spacing w:after="0"/>
              <w:rPr>
                <w:sz w:val="1"/>
                <w:szCs w:val="1"/>
                <w:color w:val="auto"/>
              </w:rPr>
            </w:pPr>
          </w:p>
        </w:tc>
      </w:tr>
      <w:tr>
        <w:trPr>
          <w:trHeight w:val="257"/>
        </w:trPr>
        <w:tc>
          <w:tcPr>
            <w:tcW w:w="1680" w:type="dxa"/>
            <w:vAlign w:val="bottom"/>
          </w:tcPr>
          <w:p>
            <w:pPr>
              <w:spacing w:after="0"/>
              <w:rPr>
                <w:sz w:val="22"/>
                <w:szCs w:val="22"/>
                <w:color w:val="auto"/>
              </w:rPr>
            </w:pPr>
          </w:p>
        </w:tc>
        <w:tc>
          <w:tcPr>
            <w:tcW w:w="1360" w:type="dxa"/>
            <w:vAlign w:val="bottom"/>
          </w:tcPr>
          <w:p>
            <w:pPr>
              <w:ind w:left="100"/>
              <w:spacing w:after="0"/>
              <w:rPr>
                <w:sz w:val="20"/>
                <w:szCs w:val="20"/>
                <w:color w:val="auto"/>
              </w:rPr>
            </w:pPr>
            <w:r>
              <w:rPr>
                <w:rFonts w:ascii="Arial" w:cs="Arial" w:eastAsia="Arial" w:hAnsi="Arial"/>
                <w:sz w:val="14"/>
                <w:szCs w:val="14"/>
                <w:color w:val="auto"/>
              </w:rPr>
              <w:t>RSU</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2,349</w:t>
            </w:r>
          </w:p>
        </w:tc>
        <w:tc>
          <w:tcPr>
            <w:tcW w:w="340" w:type="dxa"/>
            <w:vAlign w:val="bottom"/>
          </w:tcPr>
          <w:p>
            <w:pPr>
              <w:jc w:val="right"/>
              <w:ind w:right="233"/>
              <w:spacing w:after="0"/>
              <w:rPr>
                <w:sz w:val="20"/>
                <w:szCs w:val="20"/>
                <w:color w:val="auto"/>
              </w:rPr>
            </w:pPr>
            <w:r>
              <w:rPr>
                <w:rFonts w:ascii="Arial" w:cs="Arial" w:eastAsia="Arial" w:hAnsi="Arial"/>
                <w:sz w:val="9"/>
                <w:szCs w:val="9"/>
                <w:color w:val="auto"/>
                <w:w w:val="78"/>
              </w:rPr>
              <w:t>7</w:t>
            </w:r>
          </w:p>
        </w:tc>
        <w:tc>
          <w:tcPr>
            <w:tcW w:w="1160" w:type="dxa"/>
            <w:vAlign w:val="bottom"/>
          </w:tcPr>
          <w:p>
            <w:pPr>
              <w:jc w:val="right"/>
              <w:spacing w:after="0"/>
              <w:rPr>
                <w:sz w:val="20"/>
                <w:szCs w:val="20"/>
                <w:color w:val="auto"/>
              </w:rPr>
            </w:pPr>
            <w:r>
              <w:rPr>
                <w:rFonts w:ascii="Arial" w:cs="Arial" w:eastAsia="Arial" w:hAnsi="Arial"/>
                <w:sz w:val="14"/>
                <w:szCs w:val="14"/>
                <w:color w:val="auto"/>
              </w:rPr>
              <w:t>$1,813,428</w:t>
            </w:r>
          </w:p>
        </w:tc>
        <w:tc>
          <w:tcPr>
            <w:tcW w:w="14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
        </w:trPr>
        <w:tc>
          <w:tcPr>
            <w:tcW w:w="16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1680" w:type="dxa"/>
            <w:vAlign w:val="bottom"/>
            <w:shd w:val="clear" w:color="auto" w:fill="F2F2F2"/>
          </w:tcPr>
          <w:p>
            <w:pPr>
              <w:ind w:left="20"/>
              <w:spacing w:after="0"/>
              <w:rPr>
                <w:sz w:val="20"/>
                <w:szCs w:val="20"/>
                <w:color w:val="auto"/>
              </w:rPr>
            </w:pPr>
            <w:r>
              <w:rPr>
                <w:rFonts w:ascii="Arial" w:cs="Arial" w:eastAsia="Arial" w:hAnsi="Arial"/>
                <w:sz w:val="14"/>
                <w:szCs w:val="14"/>
                <w:color w:val="auto"/>
              </w:rPr>
              <w:t>Dr. Skovronsky</w:t>
            </w:r>
          </w:p>
        </w:tc>
        <w:tc>
          <w:tcPr>
            <w:tcW w:w="1360" w:type="dxa"/>
            <w:vAlign w:val="bottom"/>
            <w:shd w:val="clear" w:color="auto" w:fill="F2F2F2"/>
          </w:tcPr>
          <w:p>
            <w:pPr>
              <w:ind w:left="100"/>
              <w:spacing w:after="0"/>
              <w:rPr>
                <w:sz w:val="20"/>
                <w:szCs w:val="20"/>
                <w:color w:val="auto"/>
              </w:rPr>
            </w:pPr>
            <w:r>
              <w:rPr>
                <w:rFonts w:ascii="Arial" w:cs="Arial" w:eastAsia="Arial" w:hAnsi="Arial"/>
                <w:sz w:val="14"/>
                <w:szCs w:val="14"/>
                <w:color w:val="auto"/>
              </w:rPr>
              <w:t>2024-2026 SVA</w:t>
            </w:r>
          </w:p>
        </w:tc>
        <w:tc>
          <w:tcPr>
            <w:tcW w:w="240" w:type="dxa"/>
            <w:vAlign w:val="bottom"/>
            <w:shd w:val="clear" w:color="auto" w:fill="F2F2F2"/>
          </w:tcPr>
          <w:p>
            <w:pPr>
              <w:spacing w:after="0"/>
              <w:rPr>
                <w:sz w:val="20"/>
                <w:szCs w:val="20"/>
                <w:color w:val="auto"/>
              </w:rPr>
            </w:pPr>
          </w:p>
        </w:tc>
        <w:tc>
          <w:tcPr>
            <w:tcW w:w="920" w:type="dxa"/>
            <w:vAlign w:val="bottom"/>
            <w:shd w:val="clear" w:color="auto" w:fill="F2F2F2"/>
          </w:tcPr>
          <w:p>
            <w:pPr>
              <w:spacing w:after="0"/>
              <w:rPr>
                <w:sz w:val="20"/>
                <w:szCs w:val="20"/>
                <w:color w:val="auto"/>
              </w:rPr>
            </w:pPr>
          </w:p>
        </w:tc>
        <w:tc>
          <w:tcPr>
            <w:tcW w:w="340" w:type="dxa"/>
            <w:vAlign w:val="bottom"/>
            <w:shd w:val="clear" w:color="auto" w:fill="F2F2F2"/>
          </w:tcPr>
          <w:p>
            <w:pPr>
              <w:spacing w:after="0"/>
              <w:rPr>
                <w:sz w:val="20"/>
                <w:szCs w:val="20"/>
                <w:color w:val="auto"/>
              </w:rPr>
            </w:pPr>
          </w:p>
        </w:tc>
        <w:tc>
          <w:tcPr>
            <w:tcW w:w="1160" w:type="dxa"/>
            <w:vAlign w:val="bottom"/>
            <w:shd w:val="clear" w:color="auto" w:fill="F2F2F2"/>
          </w:tcPr>
          <w:p>
            <w:pPr>
              <w:spacing w:after="0"/>
              <w:rPr>
                <w:sz w:val="20"/>
                <w:szCs w:val="20"/>
                <w:color w:val="auto"/>
              </w:rPr>
            </w:pPr>
          </w:p>
        </w:tc>
        <w:tc>
          <w:tcPr>
            <w:tcW w:w="1400" w:type="dxa"/>
            <w:vAlign w:val="bottom"/>
            <w:shd w:val="clear" w:color="auto" w:fill="F2F2F2"/>
          </w:tcPr>
          <w:p>
            <w:pPr>
              <w:jc w:val="right"/>
              <w:spacing w:after="0"/>
              <w:rPr>
                <w:sz w:val="20"/>
                <w:szCs w:val="20"/>
                <w:color w:val="auto"/>
              </w:rPr>
            </w:pPr>
            <w:r>
              <w:rPr>
                <w:rFonts w:ascii="Arial" w:cs="Arial" w:eastAsia="Arial" w:hAnsi="Arial"/>
                <w:sz w:val="14"/>
                <w:szCs w:val="14"/>
                <w:color w:val="auto"/>
              </w:rPr>
              <w:t>7,276</w:t>
            </w:r>
          </w:p>
        </w:tc>
        <w:tc>
          <w:tcPr>
            <w:tcW w:w="300" w:type="dxa"/>
            <w:vAlign w:val="bottom"/>
            <w:shd w:val="clear" w:color="auto" w:fill="F2F2F2"/>
          </w:tcPr>
          <w:p>
            <w:pPr>
              <w:jc w:val="right"/>
              <w:ind w:right="193"/>
              <w:spacing w:after="0"/>
              <w:rPr>
                <w:sz w:val="20"/>
                <w:szCs w:val="20"/>
                <w:color w:val="auto"/>
              </w:rPr>
            </w:pPr>
            <w:r>
              <w:rPr>
                <w:rFonts w:ascii="Arial" w:cs="Arial" w:eastAsia="Arial" w:hAnsi="Arial"/>
                <w:sz w:val="9"/>
                <w:szCs w:val="9"/>
                <w:color w:val="auto"/>
                <w:w w:val="78"/>
              </w:rPr>
              <w:t>1</w:t>
            </w:r>
          </w:p>
        </w:tc>
        <w:tc>
          <w:tcPr>
            <w:tcW w:w="1680" w:type="dxa"/>
            <w:vAlign w:val="bottom"/>
            <w:shd w:val="clear" w:color="auto" w:fill="F2F2F2"/>
          </w:tcPr>
          <w:p>
            <w:pPr>
              <w:jc w:val="right"/>
              <w:spacing w:after="0"/>
              <w:rPr>
                <w:sz w:val="20"/>
                <w:szCs w:val="20"/>
                <w:color w:val="auto"/>
              </w:rPr>
            </w:pPr>
            <w:r>
              <w:rPr>
                <w:rFonts w:ascii="Arial" w:cs="Arial" w:eastAsia="Arial" w:hAnsi="Arial"/>
                <w:sz w:val="14"/>
                <w:szCs w:val="14"/>
                <w:color w:val="auto"/>
              </w:rPr>
              <w:t>$5,617,072</w:t>
            </w:r>
          </w:p>
        </w:tc>
        <w:tc>
          <w:tcPr>
            <w:tcW w:w="0" w:type="dxa"/>
            <w:vAlign w:val="bottom"/>
          </w:tcPr>
          <w:p>
            <w:pPr>
              <w:spacing w:after="0"/>
              <w:rPr>
                <w:sz w:val="1"/>
                <w:szCs w:val="1"/>
                <w:color w:val="auto"/>
              </w:rPr>
            </w:pPr>
          </w:p>
        </w:tc>
      </w:tr>
      <w:tr>
        <w:trPr>
          <w:trHeight w:val="257"/>
        </w:trPr>
        <w:tc>
          <w:tcPr>
            <w:tcW w:w="1680" w:type="dxa"/>
            <w:vAlign w:val="bottom"/>
            <w:shd w:val="clear" w:color="auto" w:fill="F2F2F2"/>
          </w:tcPr>
          <w:p>
            <w:pPr>
              <w:spacing w:after="0"/>
              <w:rPr>
                <w:sz w:val="22"/>
                <w:szCs w:val="22"/>
                <w:color w:val="auto"/>
              </w:rPr>
            </w:pPr>
          </w:p>
        </w:tc>
        <w:tc>
          <w:tcPr>
            <w:tcW w:w="1360" w:type="dxa"/>
            <w:vAlign w:val="bottom"/>
            <w:shd w:val="clear" w:color="auto" w:fill="F2F2F2"/>
          </w:tcPr>
          <w:p>
            <w:pPr>
              <w:ind w:left="100"/>
              <w:spacing w:after="0"/>
              <w:rPr>
                <w:sz w:val="20"/>
                <w:szCs w:val="20"/>
                <w:color w:val="auto"/>
              </w:rPr>
            </w:pPr>
            <w:r>
              <w:rPr>
                <w:rFonts w:ascii="Arial" w:cs="Arial" w:eastAsia="Arial" w:hAnsi="Arial"/>
                <w:sz w:val="14"/>
                <w:szCs w:val="14"/>
                <w:color w:val="auto"/>
              </w:rPr>
              <w:t>2023-2025 SVA</w:t>
            </w:r>
          </w:p>
        </w:tc>
        <w:tc>
          <w:tcPr>
            <w:tcW w:w="240" w:type="dxa"/>
            <w:vAlign w:val="bottom"/>
            <w:shd w:val="clear" w:color="auto" w:fill="F2F2F2"/>
          </w:tcPr>
          <w:p>
            <w:pPr>
              <w:spacing w:after="0"/>
              <w:rPr>
                <w:sz w:val="22"/>
                <w:szCs w:val="22"/>
                <w:color w:val="auto"/>
              </w:rPr>
            </w:pPr>
          </w:p>
        </w:tc>
        <w:tc>
          <w:tcPr>
            <w:tcW w:w="920" w:type="dxa"/>
            <w:vAlign w:val="bottom"/>
            <w:shd w:val="clear" w:color="auto" w:fill="F2F2F2"/>
          </w:tcPr>
          <w:p>
            <w:pPr>
              <w:spacing w:after="0"/>
              <w:rPr>
                <w:sz w:val="22"/>
                <w:szCs w:val="22"/>
                <w:color w:val="auto"/>
              </w:rPr>
            </w:pPr>
          </w:p>
        </w:tc>
        <w:tc>
          <w:tcPr>
            <w:tcW w:w="340" w:type="dxa"/>
            <w:vAlign w:val="bottom"/>
            <w:shd w:val="clear" w:color="auto" w:fill="F2F2F2"/>
          </w:tcPr>
          <w:p>
            <w:pPr>
              <w:spacing w:after="0"/>
              <w:rPr>
                <w:sz w:val="22"/>
                <w:szCs w:val="22"/>
                <w:color w:val="auto"/>
              </w:rPr>
            </w:pPr>
          </w:p>
        </w:tc>
        <w:tc>
          <w:tcPr>
            <w:tcW w:w="1160" w:type="dxa"/>
            <w:vAlign w:val="bottom"/>
            <w:shd w:val="clear" w:color="auto" w:fill="F2F2F2"/>
          </w:tcPr>
          <w:p>
            <w:pPr>
              <w:spacing w:after="0"/>
              <w:rPr>
                <w:sz w:val="22"/>
                <w:szCs w:val="22"/>
                <w:color w:val="auto"/>
              </w:rPr>
            </w:pPr>
          </w:p>
        </w:tc>
        <w:tc>
          <w:tcPr>
            <w:tcW w:w="1400" w:type="dxa"/>
            <w:vAlign w:val="bottom"/>
            <w:shd w:val="clear" w:color="auto" w:fill="F2F2F2"/>
          </w:tcPr>
          <w:p>
            <w:pPr>
              <w:jc w:val="right"/>
              <w:spacing w:after="0"/>
              <w:rPr>
                <w:sz w:val="20"/>
                <w:szCs w:val="20"/>
                <w:color w:val="auto"/>
              </w:rPr>
            </w:pPr>
            <w:r>
              <w:rPr>
                <w:rFonts w:ascii="Arial" w:cs="Arial" w:eastAsia="Arial" w:hAnsi="Arial"/>
                <w:sz w:val="14"/>
                <w:szCs w:val="14"/>
                <w:color w:val="auto"/>
              </w:rPr>
              <w:t>15,500</w:t>
            </w:r>
          </w:p>
        </w:tc>
        <w:tc>
          <w:tcPr>
            <w:tcW w:w="300" w:type="dxa"/>
            <w:vAlign w:val="bottom"/>
            <w:shd w:val="clear" w:color="auto" w:fill="F2F2F2"/>
          </w:tcPr>
          <w:p>
            <w:pPr>
              <w:jc w:val="right"/>
              <w:ind w:right="193"/>
              <w:spacing w:after="0"/>
              <w:rPr>
                <w:sz w:val="20"/>
                <w:szCs w:val="20"/>
                <w:color w:val="auto"/>
              </w:rPr>
            </w:pPr>
            <w:r>
              <w:rPr>
                <w:rFonts w:ascii="Arial" w:cs="Arial" w:eastAsia="Arial" w:hAnsi="Arial"/>
                <w:sz w:val="9"/>
                <w:szCs w:val="9"/>
                <w:color w:val="auto"/>
                <w:w w:val="78"/>
              </w:rPr>
              <w:t>2</w:t>
            </w:r>
          </w:p>
        </w:tc>
        <w:tc>
          <w:tcPr>
            <w:tcW w:w="1680" w:type="dxa"/>
            <w:vAlign w:val="bottom"/>
            <w:shd w:val="clear" w:color="auto" w:fill="F2F2F2"/>
          </w:tcPr>
          <w:p>
            <w:pPr>
              <w:jc w:val="right"/>
              <w:spacing w:after="0"/>
              <w:rPr>
                <w:sz w:val="20"/>
                <w:szCs w:val="20"/>
                <w:color w:val="auto"/>
              </w:rPr>
            </w:pPr>
            <w:r>
              <w:rPr>
                <w:rFonts w:ascii="Arial" w:cs="Arial" w:eastAsia="Arial" w:hAnsi="Arial"/>
                <w:sz w:val="14"/>
                <w:szCs w:val="14"/>
                <w:color w:val="auto"/>
              </w:rPr>
              <w:t>$11,966,000</w:t>
            </w:r>
          </w:p>
        </w:tc>
        <w:tc>
          <w:tcPr>
            <w:tcW w:w="0" w:type="dxa"/>
            <w:vAlign w:val="bottom"/>
          </w:tcPr>
          <w:p>
            <w:pPr>
              <w:spacing w:after="0"/>
              <w:rPr>
                <w:sz w:val="1"/>
                <w:szCs w:val="1"/>
                <w:color w:val="auto"/>
              </w:rPr>
            </w:pPr>
          </w:p>
        </w:tc>
      </w:tr>
      <w:tr>
        <w:trPr>
          <w:trHeight w:val="257"/>
        </w:trPr>
        <w:tc>
          <w:tcPr>
            <w:tcW w:w="1680" w:type="dxa"/>
            <w:vAlign w:val="bottom"/>
            <w:shd w:val="clear" w:color="auto" w:fill="F2F2F2"/>
          </w:tcPr>
          <w:p>
            <w:pPr>
              <w:spacing w:after="0"/>
              <w:rPr>
                <w:sz w:val="22"/>
                <w:szCs w:val="22"/>
                <w:color w:val="auto"/>
              </w:rPr>
            </w:pPr>
          </w:p>
        </w:tc>
        <w:tc>
          <w:tcPr>
            <w:tcW w:w="1360" w:type="dxa"/>
            <w:vAlign w:val="bottom"/>
            <w:shd w:val="clear" w:color="auto" w:fill="F2F2F2"/>
          </w:tcPr>
          <w:p>
            <w:pPr>
              <w:ind w:left="100"/>
              <w:spacing w:after="0"/>
              <w:rPr>
                <w:sz w:val="20"/>
                <w:szCs w:val="20"/>
                <w:color w:val="auto"/>
              </w:rPr>
            </w:pPr>
            <w:r>
              <w:rPr>
                <w:rFonts w:ascii="Arial" w:cs="Arial" w:eastAsia="Arial" w:hAnsi="Arial"/>
                <w:sz w:val="14"/>
                <w:szCs w:val="14"/>
                <w:color w:val="auto"/>
              </w:rPr>
              <w:t>2024-2026 RVA</w:t>
            </w:r>
          </w:p>
        </w:tc>
        <w:tc>
          <w:tcPr>
            <w:tcW w:w="240" w:type="dxa"/>
            <w:vAlign w:val="bottom"/>
            <w:shd w:val="clear" w:color="auto" w:fill="F2F2F2"/>
          </w:tcPr>
          <w:p>
            <w:pPr>
              <w:spacing w:after="0"/>
              <w:rPr>
                <w:sz w:val="22"/>
                <w:szCs w:val="22"/>
                <w:color w:val="auto"/>
              </w:rPr>
            </w:pPr>
          </w:p>
        </w:tc>
        <w:tc>
          <w:tcPr>
            <w:tcW w:w="920" w:type="dxa"/>
            <w:vAlign w:val="bottom"/>
            <w:shd w:val="clear" w:color="auto" w:fill="F2F2F2"/>
          </w:tcPr>
          <w:p>
            <w:pPr>
              <w:spacing w:after="0"/>
              <w:rPr>
                <w:sz w:val="22"/>
                <w:szCs w:val="22"/>
                <w:color w:val="auto"/>
              </w:rPr>
            </w:pPr>
          </w:p>
        </w:tc>
        <w:tc>
          <w:tcPr>
            <w:tcW w:w="340" w:type="dxa"/>
            <w:vAlign w:val="bottom"/>
            <w:shd w:val="clear" w:color="auto" w:fill="F2F2F2"/>
          </w:tcPr>
          <w:p>
            <w:pPr>
              <w:spacing w:after="0"/>
              <w:rPr>
                <w:sz w:val="22"/>
                <w:szCs w:val="22"/>
                <w:color w:val="auto"/>
              </w:rPr>
            </w:pPr>
          </w:p>
        </w:tc>
        <w:tc>
          <w:tcPr>
            <w:tcW w:w="1160" w:type="dxa"/>
            <w:vAlign w:val="bottom"/>
            <w:shd w:val="clear" w:color="auto" w:fill="F2F2F2"/>
          </w:tcPr>
          <w:p>
            <w:pPr>
              <w:spacing w:after="0"/>
              <w:rPr>
                <w:sz w:val="22"/>
                <w:szCs w:val="22"/>
                <w:color w:val="auto"/>
              </w:rPr>
            </w:pPr>
          </w:p>
        </w:tc>
        <w:tc>
          <w:tcPr>
            <w:tcW w:w="1400" w:type="dxa"/>
            <w:vAlign w:val="bottom"/>
            <w:shd w:val="clear" w:color="auto" w:fill="F2F2F2"/>
          </w:tcPr>
          <w:p>
            <w:pPr>
              <w:jc w:val="right"/>
              <w:spacing w:after="0"/>
              <w:rPr>
                <w:sz w:val="20"/>
                <w:szCs w:val="20"/>
                <w:color w:val="auto"/>
              </w:rPr>
            </w:pPr>
            <w:r>
              <w:rPr>
                <w:rFonts w:ascii="Arial" w:cs="Arial" w:eastAsia="Arial" w:hAnsi="Arial"/>
                <w:sz w:val="14"/>
                <w:szCs w:val="14"/>
                <w:color w:val="auto"/>
              </w:rPr>
              <w:t>6,778</w:t>
            </w:r>
          </w:p>
        </w:tc>
        <w:tc>
          <w:tcPr>
            <w:tcW w:w="300" w:type="dxa"/>
            <w:vAlign w:val="bottom"/>
            <w:shd w:val="clear" w:color="auto" w:fill="F2F2F2"/>
          </w:tcPr>
          <w:p>
            <w:pPr>
              <w:jc w:val="right"/>
              <w:ind w:right="193"/>
              <w:spacing w:after="0"/>
              <w:rPr>
                <w:sz w:val="20"/>
                <w:szCs w:val="20"/>
                <w:color w:val="auto"/>
              </w:rPr>
            </w:pPr>
            <w:r>
              <w:rPr>
                <w:rFonts w:ascii="Arial" w:cs="Arial" w:eastAsia="Arial" w:hAnsi="Arial"/>
                <w:sz w:val="9"/>
                <w:szCs w:val="9"/>
                <w:color w:val="auto"/>
                <w:w w:val="78"/>
              </w:rPr>
              <w:t>3</w:t>
            </w:r>
          </w:p>
        </w:tc>
        <w:tc>
          <w:tcPr>
            <w:tcW w:w="1680" w:type="dxa"/>
            <w:vAlign w:val="bottom"/>
            <w:shd w:val="clear" w:color="auto" w:fill="F2F2F2"/>
          </w:tcPr>
          <w:p>
            <w:pPr>
              <w:jc w:val="right"/>
              <w:spacing w:after="0"/>
              <w:rPr>
                <w:sz w:val="20"/>
                <w:szCs w:val="20"/>
                <w:color w:val="auto"/>
              </w:rPr>
            </w:pPr>
            <w:r>
              <w:rPr>
                <w:rFonts w:ascii="Arial" w:cs="Arial" w:eastAsia="Arial" w:hAnsi="Arial"/>
                <w:sz w:val="14"/>
                <w:szCs w:val="14"/>
                <w:color w:val="auto"/>
              </w:rPr>
              <w:t>$5,232,616</w:t>
            </w:r>
          </w:p>
        </w:tc>
        <w:tc>
          <w:tcPr>
            <w:tcW w:w="0" w:type="dxa"/>
            <w:vAlign w:val="bottom"/>
          </w:tcPr>
          <w:p>
            <w:pPr>
              <w:spacing w:after="0"/>
              <w:rPr>
                <w:sz w:val="1"/>
                <w:szCs w:val="1"/>
                <w:color w:val="auto"/>
              </w:rPr>
            </w:pPr>
          </w:p>
        </w:tc>
      </w:tr>
      <w:tr>
        <w:trPr>
          <w:trHeight w:val="260"/>
        </w:trPr>
        <w:tc>
          <w:tcPr>
            <w:tcW w:w="1680" w:type="dxa"/>
            <w:vAlign w:val="bottom"/>
            <w:shd w:val="clear" w:color="auto" w:fill="F2F2F2"/>
          </w:tcPr>
          <w:p>
            <w:pPr>
              <w:spacing w:after="0"/>
              <w:rPr>
                <w:sz w:val="22"/>
                <w:szCs w:val="22"/>
                <w:color w:val="auto"/>
              </w:rPr>
            </w:pPr>
          </w:p>
        </w:tc>
        <w:tc>
          <w:tcPr>
            <w:tcW w:w="1360" w:type="dxa"/>
            <w:vAlign w:val="bottom"/>
            <w:shd w:val="clear" w:color="auto" w:fill="F2F2F2"/>
          </w:tcPr>
          <w:p>
            <w:pPr>
              <w:ind w:left="100"/>
              <w:spacing w:after="0"/>
              <w:rPr>
                <w:sz w:val="20"/>
                <w:szCs w:val="20"/>
                <w:color w:val="auto"/>
              </w:rPr>
            </w:pPr>
            <w:r>
              <w:rPr>
                <w:rFonts w:ascii="Arial" w:cs="Arial" w:eastAsia="Arial" w:hAnsi="Arial"/>
                <w:sz w:val="14"/>
                <w:szCs w:val="14"/>
                <w:color w:val="auto"/>
              </w:rPr>
              <w:t>2023-2025 RVA</w:t>
            </w:r>
          </w:p>
        </w:tc>
        <w:tc>
          <w:tcPr>
            <w:tcW w:w="240" w:type="dxa"/>
            <w:vAlign w:val="bottom"/>
            <w:shd w:val="clear" w:color="auto" w:fill="F2F2F2"/>
          </w:tcPr>
          <w:p>
            <w:pPr>
              <w:spacing w:after="0"/>
              <w:rPr>
                <w:sz w:val="22"/>
                <w:szCs w:val="22"/>
                <w:color w:val="auto"/>
              </w:rPr>
            </w:pPr>
          </w:p>
        </w:tc>
        <w:tc>
          <w:tcPr>
            <w:tcW w:w="920" w:type="dxa"/>
            <w:vAlign w:val="bottom"/>
            <w:shd w:val="clear" w:color="auto" w:fill="F2F2F2"/>
          </w:tcPr>
          <w:p>
            <w:pPr>
              <w:spacing w:after="0"/>
              <w:rPr>
                <w:sz w:val="22"/>
                <w:szCs w:val="22"/>
                <w:color w:val="auto"/>
              </w:rPr>
            </w:pPr>
          </w:p>
        </w:tc>
        <w:tc>
          <w:tcPr>
            <w:tcW w:w="340" w:type="dxa"/>
            <w:vAlign w:val="bottom"/>
            <w:vMerge w:val="restart"/>
            <w:shd w:val="clear" w:color="auto" w:fill="F2F2F2"/>
          </w:tcPr>
          <w:p>
            <w:pPr>
              <w:jc w:val="right"/>
              <w:ind w:right="233"/>
              <w:spacing w:after="0"/>
              <w:rPr>
                <w:sz w:val="20"/>
                <w:szCs w:val="20"/>
                <w:color w:val="auto"/>
              </w:rPr>
            </w:pPr>
            <w:r>
              <w:rPr>
                <w:rFonts w:ascii="Arial" w:cs="Arial" w:eastAsia="Arial" w:hAnsi="Arial"/>
                <w:sz w:val="9"/>
                <w:szCs w:val="9"/>
                <w:color w:val="auto"/>
                <w:w w:val="78"/>
              </w:rPr>
              <w:t>5</w:t>
            </w:r>
          </w:p>
        </w:tc>
        <w:tc>
          <w:tcPr>
            <w:tcW w:w="1160" w:type="dxa"/>
            <w:vAlign w:val="bottom"/>
            <w:shd w:val="clear" w:color="auto" w:fill="F2F2F2"/>
          </w:tcPr>
          <w:p>
            <w:pPr>
              <w:spacing w:after="0"/>
              <w:rPr>
                <w:sz w:val="22"/>
                <w:szCs w:val="22"/>
                <w:color w:val="auto"/>
              </w:rPr>
            </w:pPr>
          </w:p>
        </w:tc>
        <w:tc>
          <w:tcPr>
            <w:tcW w:w="1400" w:type="dxa"/>
            <w:vAlign w:val="bottom"/>
            <w:shd w:val="clear" w:color="auto" w:fill="F2F2F2"/>
          </w:tcPr>
          <w:p>
            <w:pPr>
              <w:jc w:val="right"/>
              <w:spacing w:after="0"/>
              <w:rPr>
                <w:sz w:val="20"/>
                <w:szCs w:val="20"/>
                <w:color w:val="auto"/>
              </w:rPr>
            </w:pPr>
            <w:r>
              <w:rPr>
                <w:rFonts w:ascii="Arial" w:cs="Arial" w:eastAsia="Arial" w:hAnsi="Arial"/>
                <w:sz w:val="14"/>
                <w:szCs w:val="14"/>
                <w:color w:val="auto"/>
              </w:rPr>
              <w:t>12,490</w:t>
            </w:r>
          </w:p>
        </w:tc>
        <w:tc>
          <w:tcPr>
            <w:tcW w:w="300" w:type="dxa"/>
            <w:vAlign w:val="bottom"/>
            <w:shd w:val="clear" w:color="auto" w:fill="F2F2F2"/>
          </w:tcPr>
          <w:p>
            <w:pPr>
              <w:jc w:val="right"/>
              <w:ind w:right="193"/>
              <w:spacing w:after="0"/>
              <w:rPr>
                <w:sz w:val="20"/>
                <w:szCs w:val="20"/>
                <w:color w:val="auto"/>
              </w:rPr>
            </w:pPr>
            <w:r>
              <w:rPr>
                <w:rFonts w:ascii="Arial" w:cs="Arial" w:eastAsia="Arial" w:hAnsi="Arial"/>
                <w:sz w:val="9"/>
                <w:szCs w:val="9"/>
                <w:color w:val="auto"/>
                <w:w w:val="78"/>
              </w:rPr>
              <w:t>4</w:t>
            </w:r>
          </w:p>
        </w:tc>
        <w:tc>
          <w:tcPr>
            <w:tcW w:w="1680" w:type="dxa"/>
            <w:vAlign w:val="bottom"/>
            <w:shd w:val="clear" w:color="auto" w:fill="F2F2F2"/>
          </w:tcPr>
          <w:p>
            <w:pPr>
              <w:jc w:val="right"/>
              <w:spacing w:after="0"/>
              <w:rPr>
                <w:sz w:val="20"/>
                <w:szCs w:val="20"/>
                <w:color w:val="auto"/>
              </w:rPr>
            </w:pPr>
            <w:r>
              <w:rPr>
                <w:rFonts w:ascii="Arial" w:cs="Arial" w:eastAsia="Arial" w:hAnsi="Arial"/>
                <w:sz w:val="14"/>
                <w:szCs w:val="14"/>
                <w:color w:val="auto"/>
              </w:rPr>
              <w:t>$9,642,280</w:t>
            </w:r>
          </w:p>
        </w:tc>
        <w:tc>
          <w:tcPr>
            <w:tcW w:w="0" w:type="dxa"/>
            <w:vAlign w:val="bottom"/>
          </w:tcPr>
          <w:p>
            <w:pPr>
              <w:spacing w:after="0"/>
              <w:rPr>
                <w:sz w:val="1"/>
                <w:szCs w:val="1"/>
                <w:color w:val="auto"/>
              </w:rPr>
            </w:pPr>
          </w:p>
        </w:tc>
      </w:tr>
      <w:tr>
        <w:trPr>
          <w:trHeight w:val="253"/>
        </w:trPr>
        <w:tc>
          <w:tcPr>
            <w:tcW w:w="1680" w:type="dxa"/>
            <w:vAlign w:val="bottom"/>
            <w:shd w:val="clear" w:color="auto" w:fill="F2F2F2"/>
          </w:tcPr>
          <w:p>
            <w:pPr>
              <w:spacing w:after="0"/>
              <w:rPr>
                <w:sz w:val="21"/>
                <w:szCs w:val="21"/>
                <w:color w:val="auto"/>
              </w:rPr>
            </w:pPr>
          </w:p>
        </w:tc>
        <w:tc>
          <w:tcPr>
            <w:tcW w:w="1360" w:type="dxa"/>
            <w:vAlign w:val="bottom"/>
            <w:shd w:val="clear" w:color="auto" w:fill="F2F2F2"/>
          </w:tcPr>
          <w:p>
            <w:pPr>
              <w:ind w:left="100"/>
              <w:spacing w:after="0"/>
              <w:rPr>
                <w:sz w:val="20"/>
                <w:szCs w:val="20"/>
                <w:color w:val="auto"/>
              </w:rPr>
            </w:pPr>
            <w:r>
              <w:rPr>
                <w:rFonts w:ascii="Arial" w:cs="Arial" w:eastAsia="Arial" w:hAnsi="Arial"/>
                <w:sz w:val="14"/>
                <w:szCs w:val="14"/>
                <w:color w:val="auto"/>
              </w:rPr>
              <w:t>2023-2025 PA</w:t>
            </w:r>
          </w:p>
        </w:tc>
        <w:tc>
          <w:tcPr>
            <w:tcW w:w="240" w:type="dxa"/>
            <w:vAlign w:val="bottom"/>
            <w:shd w:val="clear" w:color="auto" w:fill="F2F2F2"/>
          </w:tcPr>
          <w:p>
            <w:pPr>
              <w:spacing w:after="0"/>
              <w:rPr>
                <w:sz w:val="21"/>
                <w:szCs w:val="21"/>
                <w:color w:val="auto"/>
              </w:rPr>
            </w:pPr>
          </w:p>
        </w:tc>
        <w:tc>
          <w:tcPr>
            <w:tcW w:w="920" w:type="dxa"/>
            <w:vAlign w:val="bottom"/>
            <w:shd w:val="clear" w:color="auto" w:fill="F2F2F2"/>
          </w:tcPr>
          <w:p>
            <w:pPr>
              <w:jc w:val="right"/>
              <w:spacing w:after="0"/>
              <w:rPr>
                <w:sz w:val="20"/>
                <w:szCs w:val="20"/>
                <w:color w:val="auto"/>
              </w:rPr>
            </w:pPr>
            <w:r>
              <w:rPr>
                <w:rFonts w:ascii="Arial" w:cs="Arial" w:eastAsia="Arial" w:hAnsi="Arial"/>
                <w:sz w:val="14"/>
                <w:szCs w:val="14"/>
                <w:color w:val="auto"/>
              </w:rPr>
              <w:t>12,684</w:t>
            </w:r>
          </w:p>
        </w:tc>
        <w:tc>
          <w:tcPr>
            <w:tcW w:w="340" w:type="dxa"/>
            <w:vAlign w:val="bottom"/>
            <w:vMerge w:val="continue"/>
            <w:shd w:val="clear" w:color="auto" w:fill="F2F2F2"/>
          </w:tcPr>
          <w:p>
            <w:pPr>
              <w:spacing w:after="0"/>
              <w:rPr>
                <w:sz w:val="21"/>
                <w:szCs w:val="21"/>
                <w:color w:val="auto"/>
              </w:rPr>
            </w:pPr>
          </w:p>
        </w:tc>
        <w:tc>
          <w:tcPr>
            <w:tcW w:w="1160" w:type="dxa"/>
            <w:vAlign w:val="bottom"/>
            <w:shd w:val="clear" w:color="auto" w:fill="F2F2F2"/>
          </w:tcPr>
          <w:p>
            <w:pPr>
              <w:jc w:val="right"/>
              <w:spacing w:after="0"/>
              <w:rPr>
                <w:sz w:val="20"/>
                <w:szCs w:val="20"/>
                <w:color w:val="auto"/>
              </w:rPr>
            </w:pPr>
            <w:r>
              <w:rPr>
                <w:rFonts w:ascii="Arial" w:cs="Arial" w:eastAsia="Arial" w:hAnsi="Arial"/>
                <w:sz w:val="14"/>
                <w:szCs w:val="14"/>
                <w:color w:val="auto"/>
              </w:rPr>
              <w:t>$9,792,048</w:t>
            </w:r>
          </w:p>
        </w:tc>
        <w:tc>
          <w:tcPr>
            <w:tcW w:w="1400" w:type="dxa"/>
            <w:vAlign w:val="bottom"/>
            <w:shd w:val="clear" w:color="auto" w:fill="F2F2F2"/>
          </w:tcPr>
          <w:p>
            <w:pPr>
              <w:spacing w:after="0"/>
              <w:rPr>
                <w:sz w:val="21"/>
                <w:szCs w:val="21"/>
                <w:color w:val="auto"/>
              </w:rPr>
            </w:pPr>
          </w:p>
        </w:tc>
        <w:tc>
          <w:tcPr>
            <w:tcW w:w="300" w:type="dxa"/>
            <w:vAlign w:val="bottom"/>
            <w:shd w:val="clear" w:color="auto" w:fill="F2F2F2"/>
          </w:tcPr>
          <w:p>
            <w:pPr>
              <w:spacing w:after="0"/>
              <w:rPr>
                <w:sz w:val="21"/>
                <w:szCs w:val="21"/>
                <w:color w:val="auto"/>
              </w:rPr>
            </w:pPr>
          </w:p>
        </w:tc>
        <w:tc>
          <w:tcPr>
            <w:tcW w:w="1680" w:type="dxa"/>
            <w:vAlign w:val="bottom"/>
            <w:shd w:val="clear" w:color="auto" w:fill="F2F2F2"/>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1680" w:type="dxa"/>
            <w:vAlign w:val="bottom"/>
            <w:tcBorders>
              <w:bottom w:val="single" w:sz="8" w:color="F2F2F2"/>
            </w:tcBorders>
            <w:shd w:val="clear" w:color="auto" w:fill="F2F2F2"/>
          </w:tcPr>
          <w:p>
            <w:pPr>
              <w:spacing w:after="0"/>
              <w:rPr>
                <w:sz w:val="22"/>
                <w:szCs w:val="22"/>
                <w:color w:val="auto"/>
              </w:rPr>
            </w:pPr>
          </w:p>
        </w:tc>
        <w:tc>
          <w:tcPr>
            <w:tcW w:w="1360" w:type="dxa"/>
            <w:vAlign w:val="bottom"/>
            <w:tcBorders>
              <w:bottom w:val="single" w:sz="8" w:color="F2F2F2"/>
            </w:tcBorders>
            <w:shd w:val="clear" w:color="auto" w:fill="F2F2F2"/>
          </w:tcPr>
          <w:p>
            <w:pPr>
              <w:ind w:left="100"/>
              <w:spacing w:after="0"/>
              <w:rPr>
                <w:sz w:val="20"/>
                <w:szCs w:val="20"/>
                <w:color w:val="auto"/>
              </w:rPr>
            </w:pPr>
            <w:r>
              <w:rPr>
                <w:rFonts w:ascii="Arial" w:cs="Arial" w:eastAsia="Arial" w:hAnsi="Arial"/>
                <w:sz w:val="14"/>
                <w:szCs w:val="14"/>
                <w:color w:val="auto"/>
              </w:rPr>
              <w:t>2022-2024 PA</w:t>
            </w:r>
          </w:p>
        </w:tc>
        <w:tc>
          <w:tcPr>
            <w:tcW w:w="240" w:type="dxa"/>
            <w:vAlign w:val="bottom"/>
            <w:tcBorders>
              <w:bottom w:val="single" w:sz="8" w:color="F2F2F2"/>
            </w:tcBorders>
            <w:shd w:val="clear" w:color="auto" w:fill="F2F2F2"/>
          </w:tcPr>
          <w:p>
            <w:pPr>
              <w:spacing w:after="0"/>
              <w:rPr>
                <w:sz w:val="22"/>
                <w:szCs w:val="22"/>
                <w:color w:val="auto"/>
              </w:rPr>
            </w:pPr>
          </w:p>
        </w:tc>
        <w:tc>
          <w:tcPr>
            <w:tcW w:w="92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8,989</w:t>
            </w:r>
          </w:p>
        </w:tc>
        <w:tc>
          <w:tcPr>
            <w:tcW w:w="340" w:type="dxa"/>
            <w:vAlign w:val="bottom"/>
            <w:tcBorders>
              <w:bottom w:val="single" w:sz="8" w:color="F2F2F2"/>
            </w:tcBorders>
            <w:shd w:val="clear" w:color="auto" w:fill="F2F2F2"/>
          </w:tcPr>
          <w:p>
            <w:pPr>
              <w:jc w:val="right"/>
              <w:ind w:right="233"/>
              <w:spacing w:after="0"/>
              <w:rPr>
                <w:sz w:val="20"/>
                <w:szCs w:val="20"/>
                <w:color w:val="auto"/>
              </w:rPr>
            </w:pPr>
            <w:r>
              <w:rPr>
                <w:rFonts w:ascii="Arial" w:cs="Arial" w:eastAsia="Arial" w:hAnsi="Arial"/>
                <w:sz w:val="9"/>
                <w:szCs w:val="9"/>
                <w:color w:val="auto"/>
                <w:w w:val="78"/>
              </w:rPr>
              <w:t>6</w:t>
            </w:r>
          </w:p>
        </w:tc>
        <w:tc>
          <w:tcPr>
            <w:tcW w:w="116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$6,939,508</w:t>
            </w:r>
          </w:p>
        </w:tc>
        <w:tc>
          <w:tcPr>
            <w:tcW w:w="1400" w:type="dxa"/>
            <w:vAlign w:val="bottom"/>
            <w:tcBorders>
              <w:bottom w:val="single" w:sz="8" w:color="F2F2F2"/>
            </w:tcBorders>
            <w:shd w:val="clear" w:color="auto" w:fill="F2F2F2"/>
          </w:tcPr>
          <w:p>
            <w:pPr>
              <w:spacing w:after="0"/>
              <w:rPr>
                <w:sz w:val="22"/>
                <w:szCs w:val="22"/>
                <w:color w:val="auto"/>
              </w:rPr>
            </w:pPr>
          </w:p>
        </w:tc>
        <w:tc>
          <w:tcPr>
            <w:tcW w:w="300" w:type="dxa"/>
            <w:vAlign w:val="bottom"/>
            <w:tcBorders>
              <w:bottom w:val="single" w:sz="8" w:color="F2F2F2"/>
            </w:tcBorders>
            <w:shd w:val="clear" w:color="auto" w:fill="F2F2F2"/>
          </w:tcPr>
          <w:p>
            <w:pPr>
              <w:spacing w:after="0"/>
              <w:rPr>
                <w:sz w:val="22"/>
                <w:szCs w:val="22"/>
                <w:color w:val="auto"/>
              </w:rPr>
            </w:pPr>
          </w:p>
        </w:tc>
        <w:tc>
          <w:tcPr>
            <w:tcW w:w="1680" w:type="dxa"/>
            <w:vAlign w:val="bottom"/>
            <w:tcBorders>
              <w:bottom w:val="single" w:sz="8" w:color="F2F2F2"/>
            </w:tcBorders>
            <w:shd w:val="clear" w:color="auto" w:fill="F2F2F2"/>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1680" w:type="dxa"/>
            <w:vAlign w:val="bottom"/>
          </w:tcPr>
          <w:p>
            <w:pPr>
              <w:ind w:left="20"/>
              <w:spacing w:after="0"/>
              <w:rPr>
                <w:sz w:val="20"/>
                <w:szCs w:val="20"/>
                <w:color w:val="auto"/>
              </w:rPr>
            </w:pPr>
            <w:r>
              <w:rPr>
                <w:rFonts w:ascii="Arial" w:cs="Arial" w:eastAsia="Arial" w:hAnsi="Arial"/>
                <w:sz w:val="14"/>
                <w:szCs w:val="14"/>
                <w:color w:val="auto"/>
              </w:rPr>
              <w:t>Ms. Hakim</w:t>
            </w:r>
          </w:p>
        </w:tc>
        <w:tc>
          <w:tcPr>
            <w:tcW w:w="1360" w:type="dxa"/>
            <w:vAlign w:val="bottom"/>
          </w:tcPr>
          <w:p>
            <w:pPr>
              <w:ind w:left="100"/>
              <w:spacing w:after="0"/>
              <w:rPr>
                <w:sz w:val="20"/>
                <w:szCs w:val="20"/>
                <w:color w:val="auto"/>
              </w:rPr>
            </w:pPr>
            <w:r>
              <w:rPr>
                <w:rFonts w:ascii="Arial" w:cs="Arial" w:eastAsia="Arial" w:hAnsi="Arial"/>
                <w:sz w:val="14"/>
                <w:szCs w:val="14"/>
                <w:color w:val="auto"/>
              </w:rPr>
              <w:t>2024-2026 SVA</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3,832</w:t>
            </w:r>
          </w:p>
        </w:tc>
        <w:tc>
          <w:tcPr>
            <w:tcW w:w="300" w:type="dxa"/>
            <w:vAlign w:val="bottom"/>
          </w:tcPr>
          <w:p>
            <w:pPr>
              <w:jc w:val="right"/>
              <w:ind w:right="193"/>
              <w:spacing w:after="0"/>
              <w:rPr>
                <w:sz w:val="20"/>
                <w:szCs w:val="20"/>
                <w:color w:val="auto"/>
              </w:rPr>
            </w:pPr>
            <w:r>
              <w:rPr>
                <w:rFonts w:ascii="Arial" w:cs="Arial" w:eastAsia="Arial" w:hAnsi="Arial"/>
                <w:sz w:val="9"/>
                <w:szCs w:val="9"/>
                <w:color w:val="auto"/>
                <w:w w:val="78"/>
              </w:rPr>
              <w:t>1</w:t>
            </w:r>
          </w:p>
        </w:tc>
        <w:tc>
          <w:tcPr>
            <w:tcW w:w="1680" w:type="dxa"/>
            <w:vAlign w:val="bottom"/>
          </w:tcPr>
          <w:p>
            <w:pPr>
              <w:jc w:val="right"/>
              <w:spacing w:after="0"/>
              <w:rPr>
                <w:sz w:val="20"/>
                <w:szCs w:val="20"/>
                <w:color w:val="auto"/>
              </w:rPr>
            </w:pPr>
            <w:r>
              <w:rPr>
                <w:rFonts w:ascii="Arial" w:cs="Arial" w:eastAsia="Arial" w:hAnsi="Arial"/>
                <w:sz w:val="14"/>
                <w:szCs w:val="14"/>
                <w:color w:val="auto"/>
              </w:rPr>
              <w:t>$2,958,304</w:t>
            </w:r>
          </w:p>
        </w:tc>
        <w:tc>
          <w:tcPr>
            <w:tcW w:w="0" w:type="dxa"/>
            <w:vAlign w:val="bottom"/>
          </w:tcPr>
          <w:p>
            <w:pPr>
              <w:spacing w:after="0"/>
              <w:rPr>
                <w:sz w:val="1"/>
                <w:szCs w:val="1"/>
                <w:color w:val="auto"/>
              </w:rPr>
            </w:pPr>
          </w:p>
        </w:tc>
      </w:tr>
      <w:tr>
        <w:trPr>
          <w:trHeight w:val="257"/>
        </w:trPr>
        <w:tc>
          <w:tcPr>
            <w:tcW w:w="1680" w:type="dxa"/>
            <w:vAlign w:val="bottom"/>
          </w:tcPr>
          <w:p>
            <w:pPr>
              <w:spacing w:after="0"/>
              <w:rPr>
                <w:sz w:val="22"/>
                <w:szCs w:val="22"/>
                <w:color w:val="auto"/>
              </w:rPr>
            </w:pPr>
          </w:p>
        </w:tc>
        <w:tc>
          <w:tcPr>
            <w:tcW w:w="1360" w:type="dxa"/>
            <w:vAlign w:val="bottom"/>
          </w:tcPr>
          <w:p>
            <w:pPr>
              <w:ind w:left="100"/>
              <w:spacing w:after="0"/>
              <w:rPr>
                <w:sz w:val="20"/>
                <w:szCs w:val="20"/>
                <w:color w:val="auto"/>
              </w:rPr>
            </w:pPr>
            <w:r>
              <w:rPr>
                <w:rFonts w:ascii="Arial" w:cs="Arial" w:eastAsia="Arial" w:hAnsi="Arial"/>
                <w:sz w:val="14"/>
                <w:szCs w:val="14"/>
                <w:color w:val="auto"/>
              </w:rPr>
              <w:t>2023-2025 SVA</w:t>
            </w: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8,186</w:t>
            </w:r>
          </w:p>
        </w:tc>
        <w:tc>
          <w:tcPr>
            <w:tcW w:w="300" w:type="dxa"/>
            <w:vAlign w:val="bottom"/>
          </w:tcPr>
          <w:p>
            <w:pPr>
              <w:jc w:val="right"/>
              <w:ind w:right="193"/>
              <w:spacing w:after="0"/>
              <w:rPr>
                <w:sz w:val="20"/>
                <w:szCs w:val="20"/>
                <w:color w:val="auto"/>
              </w:rPr>
            </w:pPr>
            <w:r>
              <w:rPr>
                <w:rFonts w:ascii="Arial" w:cs="Arial" w:eastAsia="Arial" w:hAnsi="Arial"/>
                <w:sz w:val="9"/>
                <w:szCs w:val="9"/>
                <w:color w:val="auto"/>
                <w:w w:val="78"/>
              </w:rPr>
              <w:t>2</w:t>
            </w:r>
          </w:p>
        </w:tc>
        <w:tc>
          <w:tcPr>
            <w:tcW w:w="1680" w:type="dxa"/>
            <w:vAlign w:val="bottom"/>
          </w:tcPr>
          <w:p>
            <w:pPr>
              <w:jc w:val="right"/>
              <w:spacing w:after="0"/>
              <w:rPr>
                <w:sz w:val="20"/>
                <w:szCs w:val="20"/>
                <w:color w:val="auto"/>
              </w:rPr>
            </w:pPr>
            <w:r>
              <w:rPr>
                <w:rFonts w:ascii="Arial" w:cs="Arial" w:eastAsia="Arial" w:hAnsi="Arial"/>
                <w:sz w:val="14"/>
                <w:szCs w:val="14"/>
                <w:color w:val="auto"/>
              </w:rPr>
              <w:t>$6,319,592</w:t>
            </w:r>
          </w:p>
        </w:tc>
        <w:tc>
          <w:tcPr>
            <w:tcW w:w="0" w:type="dxa"/>
            <w:vAlign w:val="bottom"/>
          </w:tcPr>
          <w:p>
            <w:pPr>
              <w:spacing w:after="0"/>
              <w:rPr>
                <w:sz w:val="1"/>
                <w:szCs w:val="1"/>
                <w:color w:val="auto"/>
              </w:rPr>
            </w:pPr>
          </w:p>
        </w:tc>
      </w:tr>
      <w:tr>
        <w:trPr>
          <w:trHeight w:val="256"/>
        </w:trPr>
        <w:tc>
          <w:tcPr>
            <w:tcW w:w="1680" w:type="dxa"/>
            <w:vAlign w:val="bottom"/>
          </w:tcPr>
          <w:p>
            <w:pPr>
              <w:spacing w:after="0"/>
              <w:rPr>
                <w:sz w:val="22"/>
                <w:szCs w:val="22"/>
                <w:color w:val="auto"/>
              </w:rPr>
            </w:pPr>
          </w:p>
        </w:tc>
        <w:tc>
          <w:tcPr>
            <w:tcW w:w="1360" w:type="dxa"/>
            <w:vAlign w:val="bottom"/>
          </w:tcPr>
          <w:p>
            <w:pPr>
              <w:ind w:left="100"/>
              <w:spacing w:after="0"/>
              <w:rPr>
                <w:sz w:val="20"/>
                <w:szCs w:val="20"/>
                <w:color w:val="auto"/>
              </w:rPr>
            </w:pPr>
            <w:r>
              <w:rPr>
                <w:rFonts w:ascii="Arial" w:cs="Arial" w:eastAsia="Arial" w:hAnsi="Arial"/>
                <w:sz w:val="14"/>
                <w:szCs w:val="14"/>
                <w:color w:val="auto"/>
              </w:rPr>
              <w:t>2024-2026 RVA</w:t>
            </w: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3,570</w:t>
            </w:r>
          </w:p>
        </w:tc>
        <w:tc>
          <w:tcPr>
            <w:tcW w:w="300" w:type="dxa"/>
            <w:vAlign w:val="bottom"/>
          </w:tcPr>
          <w:p>
            <w:pPr>
              <w:jc w:val="right"/>
              <w:ind w:right="193"/>
              <w:spacing w:after="0"/>
              <w:rPr>
                <w:sz w:val="20"/>
                <w:szCs w:val="20"/>
                <w:color w:val="auto"/>
              </w:rPr>
            </w:pPr>
            <w:r>
              <w:rPr>
                <w:rFonts w:ascii="Arial" w:cs="Arial" w:eastAsia="Arial" w:hAnsi="Arial"/>
                <w:sz w:val="9"/>
                <w:szCs w:val="9"/>
                <w:color w:val="auto"/>
                <w:w w:val="78"/>
              </w:rPr>
              <w:t>3</w:t>
            </w:r>
          </w:p>
        </w:tc>
        <w:tc>
          <w:tcPr>
            <w:tcW w:w="1680" w:type="dxa"/>
            <w:vAlign w:val="bottom"/>
          </w:tcPr>
          <w:p>
            <w:pPr>
              <w:jc w:val="right"/>
              <w:spacing w:after="0"/>
              <w:rPr>
                <w:sz w:val="20"/>
                <w:szCs w:val="20"/>
                <w:color w:val="auto"/>
              </w:rPr>
            </w:pPr>
            <w:r>
              <w:rPr>
                <w:rFonts w:ascii="Arial" w:cs="Arial" w:eastAsia="Arial" w:hAnsi="Arial"/>
                <w:sz w:val="14"/>
                <w:szCs w:val="14"/>
                <w:color w:val="auto"/>
              </w:rPr>
              <w:t>$2,756,040</w:t>
            </w:r>
          </w:p>
        </w:tc>
        <w:tc>
          <w:tcPr>
            <w:tcW w:w="0" w:type="dxa"/>
            <w:vAlign w:val="bottom"/>
          </w:tcPr>
          <w:p>
            <w:pPr>
              <w:spacing w:after="0"/>
              <w:rPr>
                <w:sz w:val="1"/>
                <w:szCs w:val="1"/>
                <w:color w:val="auto"/>
              </w:rPr>
            </w:pPr>
          </w:p>
        </w:tc>
      </w:tr>
      <w:tr>
        <w:trPr>
          <w:trHeight w:val="260"/>
        </w:trPr>
        <w:tc>
          <w:tcPr>
            <w:tcW w:w="1680" w:type="dxa"/>
            <w:vAlign w:val="bottom"/>
          </w:tcPr>
          <w:p>
            <w:pPr>
              <w:spacing w:after="0"/>
              <w:rPr>
                <w:sz w:val="22"/>
                <w:szCs w:val="22"/>
                <w:color w:val="auto"/>
              </w:rPr>
            </w:pPr>
          </w:p>
        </w:tc>
        <w:tc>
          <w:tcPr>
            <w:tcW w:w="1360" w:type="dxa"/>
            <w:vAlign w:val="bottom"/>
          </w:tcPr>
          <w:p>
            <w:pPr>
              <w:ind w:left="100"/>
              <w:spacing w:after="0"/>
              <w:rPr>
                <w:sz w:val="20"/>
                <w:szCs w:val="20"/>
                <w:color w:val="auto"/>
              </w:rPr>
            </w:pPr>
            <w:r>
              <w:rPr>
                <w:rFonts w:ascii="Arial" w:cs="Arial" w:eastAsia="Arial" w:hAnsi="Arial"/>
                <w:sz w:val="14"/>
                <w:szCs w:val="14"/>
                <w:color w:val="auto"/>
              </w:rPr>
              <w:t>2023-2025 RVA</w:t>
            </w: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40" w:type="dxa"/>
            <w:vAlign w:val="bottom"/>
            <w:vMerge w:val="restart"/>
          </w:tcPr>
          <w:p>
            <w:pPr>
              <w:jc w:val="right"/>
              <w:ind w:right="233"/>
              <w:spacing w:after="0"/>
              <w:rPr>
                <w:sz w:val="20"/>
                <w:szCs w:val="20"/>
                <w:color w:val="auto"/>
              </w:rPr>
            </w:pPr>
            <w:r>
              <w:rPr>
                <w:rFonts w:ascii="Arial" w:cs="Arial" w:eastAsia="Arial" w:hAnsi="Arial"/>
                <w:sz w:val="9"/>
                <w:szCs w:val="9"/>
                <w:color w:val="auto"/>
                <w:w w:val="78"/>
              </w:rPr>
              <w:t>5</w:t>
            </w:r>
          </w:p>
        </w:tc>
        <w:tc>
          <w:tcPr>
            <w:tcW w:w="116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6,596</w:t>
            </w:r>
          </w:p>
        </w:tc>
        <w:tc>
          <w:tcPr>
            <w:tcW w:w="300" w:type="dxa"/>
            <w:vAlign w:val="bottom"/>
          </w:tcPr>
          <w:p>
            <w:pPr>
              <w:jc w:val="right"/>
              <w:ind w:right="193"/>
              <w:spacing w:after="0"/>
              <w:rPr>
                <w:sz w:val="20"/>
                <w:szCs w:val="20"/>
                <w:color w:val="auto"/>
              </w:rPr>
            </w:pPr>
            <w:r>
              <w:rPr>
                <w:rFonts w:ascii="Arial" w:cs="Arial" w:eastAsia="Arial" w:hAnsi="Arial"/>
                <w:sz w:val="9"/>
                <w:szCs w:val="9"/>
                <w:color w:val="auto"/>
                <w:w w:val="78"/>
              </w:rPr>
              <w:t>4</w:t>
            </w:r>
          </w:p>
        </w:tc>
        <w:tc>
          <w:tcPr>
            <w:tcW w:w="1680" w:type="dxa"/>
            <w:vAlign w:val="bottom"/>
          </w:tcPr>
          <w:p>
            <w:pPr>
              <w:jc w:val="right"/>
              <w:spacing w:after="0"/>
              <w:rPr>
                <w:sz w:val="20"/>
                <w:szCs w:val="20"/>
                <w:color w:val="auto"/>
              </w:rPr>
            </w:pPr>
            <w:r>
              <w:rPr>
                <w:rFonts w:ascii="Arial" w:cs="Arial" w:eastAsia="Arial" w:hAnsi="Arial"/>
                <w:sz w:val="14"/>
                <w:szCs w:val="14"/>
                <w:color w:val="auto"/>
              </w:rPr>
              <w:t>$5,092,112</w:t>
            </w:r>
          </w:p>
        </w:tc>
        <w:tc>
          <w:tcPr>
            <w:tcW w:w="0" w:type="dxa"/>
            <w:vAlign w:val="bottom"/>
          </w:tcPr>
          <w:p>
            <w:pPr>
              <w:spacing w:after="0"/>
              <w:rPr>
                <w:sz w:val="1"/>
                <w:szCs w:val="1"/>
                <w:color w:val="auto"/>
              </w:rPr>
            </w:pPr>
          </w:p>
        </w:tc>
      </w:tr>
      <w:tr>
        <w:trPr>
          <w:trHeight w:val="253"/>
        </w:trPr>
        <w:tc>
          <w:tcPr>
            <w:tcW w:w="1680" w:type="dxa"/>
            <w:vAlign w:val="bottom"/>
          </w:tcPr>
          <w:p>
            <w:pPr>
              <w:spacing w:after="0"/>
              <w:rPr>
                <w:sz w:val="21"/>
                <w:szCs w:val="21"/>
                <w:color w:val="auto"/>
              </w:rPr>
            </w:pPr>
          </w:p>
        </w:tc>
        <w:tc>
          <w:tcPr>
            <w:tcW w:w="1360" w:type="dxa"/>
            <w:vAlign w:val="bottom"/>
          </w:tcPr>
          <w:p>
            <w:pPr>
              <w:ind w:left="100"/>
              <w:spacing w:after="0"/>
              <w:rPr>
                <w:sz w:val="20"/>
                <w:szCs w:val="20"/>
                <w:color w:val="auto"/>
              </w:rPr>
            </w:pPr>
            <w:r>
              <w:rPr>
                <w:rFonts w:ascii="Arial" w:cs="Arial" w:eastAsia="Arial" w:hAnsi="Arial"/>
                <w:sz w:val="14"/>
                <w:szCs w:val="14"/>
                <w:color w:val="auto"/>
              </w:rPr>
              <w:t>2023-2025 PA</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6,700</w:t>
            </w:r>
          </w:p>
        </w:tc>
        <w:tc>
          <w:tcPr>
            <w:tcW w:w="340" w:type="dxa"/>
            <w:vAlign w:val="bottom"/>
            <w:vMerge w:val="continue"/>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$5,172,400</w:t>
            </w:r>
          </w:p>
        </w:tc>
        <w:tc>
          <w:tcPr>
            <w:tcW w:w="1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1680" w:type="dxa"/>
            <w:vAlign w:val="bottom"/>
          </w:tcPr>
          <w:p>
            <w:pPr>
              <w:spacing w:after="0"/>
              <w:rPr>
                <w:sz w:val="22"/>
                <w:szCs w:val="22"/>
                <w:color w:val="auto"/>
              </w:rPr>
            </w:pPr>
          </w:p>
        </w:tc>
        <w:tc>
          <w:tcPr>
            <w:tcW w:w="1360" w:type="dxa"/>
            <w:vAlign w:val="bottom"/>
          </w:tcPr>
          <w:p>
            <w:pPr>
              <w:ind w:left="100"/>
              <w:spacing w:after="0"/>
              <w:rPr>
                <w:sz w:val="20"/>
                <w:szCs w:val="20"/>
                <w:color w:val="auto"/>
              </w:rPr>
            </w:pPr>
            <w:r>
              <w:rPr>
                <w:rFonts w:ascii="Arial" w:cs="Arial" w:eastAsia="Arial" w:hAnsi="Arial"/>
                <w:sz w:val="14"/>
                <w:szCs w:val="14"/>
                <w:color w:val="auto"/>
              </w:rPr>
              <w:t>2022-2024 PA</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4,904</w:t>
            </w:r>
          </w:p>
        </w:tc>
        <w:tc>
          <w:tcPr>
            <w:tcW w:w="340" w:type="dxa"/>
            <w:vAlign w:val="bottom"/>
          </w:tcPr>
          <w:p>
            <w:pPr>
              <w:jc w:val="right"/>
              <w:ind w:right="233"/>
              <w:spacing w:after="0"/>
              <w:rPr>
                <w:sz w:val="20"/>
                <w:szCs w:val="20"/>
                <w:color w:val="auto"/>
              </w:rPr>
            </w:pPr>
            <w:r>
              <w:rPr>
                <w:rFonts w:ascii="Arial" w:cs="Arial" w:eastAsia="Arial" w:hAnsi="Arial"/>
                <w:sz w:val="9"/>
                <w:szCs w:val="9"/>
                <w:color w:val="auto"/>
                <w:w w:val="78"/>
              </w:rPr>
              <w:t>6</w:t>
            </w:r>
          </w:p>
        </w:tc>
        <w:tc>
          <w:tcPr>
            <w:tcW w:w="1160" w:type="dxa"/>
            <w:vAlign w:val="bottom"/>
          </w:tcPr>
          <w:p>
            <w:pPr>
              <w:jc w:val="right"/>
              <w:spacing w:after="0"/>
              <w:rPr>
                <w:sz w:val="20"/>
                <w:szCs w:val="20"/>
                <w:color w:val="auto"/>
              </w:rPr>
            </w:pPr>
            <w:r>
              <w:rPr>
                <w:rFonts w:ascii="Arial" w:cs="Arial" w:eastAsia="Arial" w:hAnsi="Arial"/>
                <w:sz w:val="14"/>
                <w:szCs w:val="14"/>
                <w:color w:val="auto"/>
              </w:rPr>
              <w:t>$3,785,888</w:t>
            </w:r>
          </w:p>
        </w:tc>
        <w:tc>
          <w:tcPr>
            <w:tcW w:w="14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
        </w:trPr>
        <w:tc>
          <w:tcPr>
            <w:tcW w:w="16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1680" w:type="dxa"/>
            <w:vAlign w:val="bottom"/>
            <w:shd w:val="clear" w:color="auto" w:fill="F2F2F2"/>
          </w:tcPr>
          <w:p>
            <w:pPr>
              <w:ind w:left="20"/>
              <w:spacing w:after="0"/>
              <w:rPr>
                <w:sz w:val="20"/>
                <w:szCs w:val="20"/>
                <w:color w:val="auto"/>
              </w:rPr>
            </w:pPr>
            <w:r>
              <w:rPr>
                <w:rFonts w:ascii="Arial" w:cs="Arial" w:eastAsia="Arial" w:hAnsi="Arial"/>
                <w:sz w:val="14"/>
                <w:szCs w:val="14"/>
                <w:color w:val="auto"/>
              </w:rPr>
              <w:t>Mr. Van Naarden</w:t>
            </w:r>
          </w:p>
        </w:tc>
        <w:tc>
          <w:tcPr>
            <w:tcW w:w="1360" w:type="dxa"/>
            <w:vAlign w:val="bottom"/>
            <w:shd w:val="clear" w:color="auto" w:fill="F2F2F2"/>
          </w:tcPr>
          <w:p>
            <w:pPr>
              <w:ind w:left="100"/>
              <w:spacing w:after="0"/>
              <w:rPr>
                <w:sz w:val="20"/>
                <w:szCs w:val="20"/>
                <w:color w:val="auto"/>
              </w:rPr>
            </w:pPr>
            <w:r>
              <w:rPr>
                <w:rFonts w:ascii="Arial" w:cs="Arial" w:eastAsia="Arial" w:hAnsi="Arial"/>
                <w:sz w:val="14"/>
                <w:szCs w:val="14"/>
                <w:color w:val="auto"/>
              </w:rPr>
              <w:t>2024-2026 SVA</w:t>
            </w:r>
          </w:p>
        </w:tc>
        <w:tc>
          <w:tcPr>
            <w:tcW w:w="240" w:type="dxa"/>
            <w:vAlign w:val="bottom"/>
            <w:shd w:val="clear" w:color="auto" w:fill="F2F2F2"/>
          </w:tcPr>
          <w:p>
            <w:pPr>
              <w:spacing w:after="0"/>
              <w:rPr>
                <w:sz w:val="20"/>
                <w:szCs w:val="20"/>
                <w:color w:val="auto"/>
              </w:rPr>
            </w:pPr>
          </w:p>
        </w:tc>
        <w:tc>
          <w:tcPr>
            <w:tcW w:w="920" w:type="dxa"/>
            <w:vAlign w:val="bottom"/>
            <w:shd w:val="clear" w:color="auto" w:fill="F2F2F2"/>
          </w:tcPr>
          <w:p>
            <w:pPr>
              <w:spacing w:after="0"/>
              <w:rPr>
                <w:sz w:val="20"/>
                <w:szCs w:val="20"/>
                <w:color w:val="auto"/>
              </w:rPr>
            </w:pPr>
          </w:p>
        </w:tc>
        <w:tc>
          <w:tcPr>
            <w:tcW w:w="340" w:type="dxa"/>
            <w:vAlign w:val="bottom"/>
            <w:shd w:val="clear" w:color="auto" w:fill="F2F2F2"/>
          </w:tcPr>
          <w:p>
            <w:pPr>
              <w:spacing w:after="0"/>
              <w:rPr>
                <w:sz w:val="20"/>
                <w:szCs w:val="20"/>
                <w:color w:val="auto"/>
              </w:rPr>
            </w:pPr>
          </w:p>
        </w:tc>
        <w:tc>
          <w:tcPr>
            <w:tcW w:w="1160" w:type="dxa"/>
            <w:vAlign w:val="bottom"/>
            <w:shd w:val="clear" w:color="auto" w:fill="F2F2F2"/>
          </w:tcPr>
          <w:p>
            <w:pPr>
              <w:spacing w:after="0"/>
              <w:rPr>
                <w:sz w:val="20"/>
                <w:szCs w:val="20"/>
                <w:color w:val="auto"/>
              </w:rPr>
            </w:pPr>
          </w:p>
        </w:tc>
        <w:tc>
          <w:tcPr>
            <w:tcW w:w="1400" w:type="dxa"/>
            <w:vAlign w:val="bottom"/>
            <w:shd w:val="clear" w:color="auto" w:fill="F2F2F2"/>
          </w:tcPr>
          <w:p>
            <w:pPr>
              <w:jc w:val="right"/>
              <w:spacing w:after="0"/>
              <w:rPr>
                <w:sz w:val="20"/>
                <w:szCs w:val="20"/>
                <w:color w:val="auto"/>
              </w:rPr>
            </w:pPr>
            <w:r>
              <w:rPr>
                <w:rFonts w:ascii="Arial" w:cs="Arial" w:eastAsia="Arial" w:hAnsi="Arial"/>
                <w:sz w:val="14"/>
                <w:szCs w:val="14"/>
                <w:color w:val="auto"/>
              </w:rPr>
              <w:t>2,620</w:t>
            </w:r>
          </w:p>
        </w:tc>
        <w:tc>
          <w:tcPr>
            <w:tcW w:w="300" w:type="dxa"/>
            <w:vAlign w:val="bottom"/>
            <w:shd w:val="clear" w:color="auto" w:fill="F2F2F2"/>
          </w:tcPr>
          <w:p>
            <w:pPr>
              <w:jc w:val="right"/>
              <w:ind w:right="193"/>
              <w:spacing w:after="0"/>
              <w:rPr>
                <w:sz w:val="20"/>
                <w:szCs w:val="20"/>
                <w:color w:val="auto"/>
              </w:rPr>
            </w:pPr>
            <w:r>
              <w:rPr>
                <w:rFonts w:ascii="Arial" w:cs="Arial" w:eastAsia="Arial" w:hAnsi="Arial"/>
                <w:sz w:val="9"/>
                <w:szCs w:val="9"/>
                <w:color w:val="auto"/>
                <w:w w:val="78"/>
              </w:rPr>
              <w:t>1</w:t>
            </w:r>
          </w:p>
        </w:tc>
        <w:tc>
          <w:tcPr>
            <w:tcW w:w="1680" w:type="dxa"/>
            <w:vAlign w:val="bottom"/>
            <w:shd w:val="clear" w:color="auto" w:fill="F2F2F2"/>
          </w:tcPr>
          <w:p>
            <w:pPr>
              <w:jc w:val="right"/>
              <w:spacing w:after="0"/>
              <w:rPr>
                <w:sz w:val="20"/>
                <w:szCs w:val="20"/>
                <w:color w:val="auto"/>
              </w:rPr>
            </w:pPr>
            <w:r>
              <w:rPr>
                <w:rFonts w:ascii="Arial" w:cs="Arial" w:eastAsia="Arial" w:hAnsi="Arial"/>
                <w:sz w:val="14"/>
                <w:szCs w:val="14"/>
                <w:color w:val="auto"/>
              </w:rPr>
              <w:t>$2,022,640</w:t>
            </w:r>
          </w:p>
        </w:tc>
        <w:tc>
          <w:tcPr>
            <w:tcW w:w="0" w:type="dxa"/>
            <w:vAlign w:val="bottom"/>
          </w:tcPr>
          <w:p>
            <w:pPr>
              <w:spacing w:after="0"/>
              <w:rPr>
                <w:sz w:val="1"/>
                <w:szCs w:val="1"/>
                <w:color w:val="auto"/>
              </w:rPr>
            </w:pPr>
          </w:p>
        </w:tc>
      </w:tr>
      <w:tr>
        <w:trPr>
          <w:trHeight w:val="257"/>
        </w:trPr>
        <w:tc>
          <w:tcPr>
            <w:tcW w:w="1680" w:type="dxa"/>
            <w:vAlign w:val="bottom"/>
            <w:shd w:val="clear" w:color="auto" w:fill="F2F2F2"/>
          </w:tcPr>
          <w:p>
            <w:pPr>
              <w:spacing w:after="0"/>
              <w:rPr>
                <w:sz w:val="22"/>
                <w:szCs w:val="22"/>
                <w:color w:val="auto"/>
              </w:rPr>
            </w:pPr>
          </w:p>
        </w:tc>
        <w:tc>
          <w:tcPr>
            <w:tcW w:w="1360" w:type="dxa"/>
            <w:vAlign w:val="bottom"/>
            <w:shd w:val="clear" w:color="auto" w:fill="F2F2F2"/>
          </w:tcPr>
          <w:p>
            <w:pPr>
              <w:ind w:left="100"/>
              <w:spacing w:after="0"/>
              <w:rPr>
                <w:sz w:val="20"/>
                <w:szCs w:val="20"/>
                <w:color w:val="auto"/>
              </w:rPr>
            </w:pPr>
            <w:r>
              <w:rPr>
                <w:rFonts w:ascii="Arial" w:cs="Arial" w:eastAsia="Arial" w:hAnsi="Arial"/>
                <w:sz w:val="14"/>
                <w:szCs w:val="14"/>
                <w:color w:val="auto"/>
              </w:rPr>
              <w:t>2023-2025 SVA</w:t>
            </w:r>
          </w:p>
        </w:tc>
        <w:tc>
          <w:tcPr>
            <w:tcW w:w="240" w:type="dxa"/>
            <w:vAlign w:val="bottom"/>
            <w:shd w:val="clear" w:color="auto" w:fill="F2F2F2"/>
          </w:tcPr>
          <w:p>
            <w:pPr>
              <w:spacing w:after="0"/>
              <w:rPr>
                <w:sz w:val="22"/>
                <w:szCs w:val="22"/>
                <w:color w:val="auto"/>
              </w:rPr>
            </w:pPr>
          </w:p>
        </w:tc>
        <w:tc>
          <w:tcPr>
            <w:tcW w:w="920" w:type="dxa"/>
            <w:vAlign w:val="bottom"/>
            <w:shd w:val="clear" w:color="auto" w:fill="F2F2F2"/>
          </w:tcPr>
          <w:p>
            <w:pPr>
              <w:spacing w:after="0"/>
              <w:rPr>
                <w:sz w:val="22"/>
                <w:szCs w:val="22"/>
                <w:color w:val="auto"/>
              </w:rPr>
            </w:pPr>
          </w:p>
        </w:tc>
        <w:tc>
          <w:tcPr>
            <w:tcW w:w="340" w:type="dxa"/>
            <w:vAlign w:val="bottom"/>
            <w:shd w:val="clear" w:color="auto" w:fill="F2F2F2"/>
          </w:tcPr>
          <w:p>
            <w:pPr>
              <w:spacing w:after="0"/>
              <w:rPr>
                <w:sz w:val="22"/>
                <w:szCs w:val="22"/>
                <w:color w:val="auto"/>
              </w:rPr>
            </w:pPr>
          </w:p>
        </w:tc>
        <w:tc>
          <w:tcPr>
            <w:tcW w:w="1160" w:type="dxa"/>
            <w:vAlign w:val="bottom"/>
            <w:shd w:val="clear" w:color="auto" w:fill="F2F2F2"/>
          </w:tcPr>
          <w:p>
            <w:pPr>
              <w:spacing w:after="0"/>
              <w:rPr>
                <w:sz w:val="22"/>
                <w:szCs w:val="22"/>
                <w:color w:val="auto"/>
              </w:rPr>
            </w:pPr>
          </w:p>
        </w:tc>
        <w:tc>
          <w:tcPr>
            <w:tcW w:w="1400" w:type="dxa"/>
            <w:vAlign w:val="bottom"/>
            <w:shd w:val="clear" w:color="auto" w:fill="F2F2F2"/>
          </w:tcPr>
          <w:p>
            <w:pPr>
              <w:jc w:val="right"/>
              <w:spacing w:after="0"/>
              <w:rPr>
                <w:sz w:val="20"/>
                <w:szCs w:val="20"/>
                <w:color w:val="auto"/>
              </w:rPr>
            </w:pPr>
            <w:r>
              <w:rPr>
                <w:rFonts w:ascii="Arial" w:cs="Arial" w:eastAsia="Arial" w:hAnsi="Arial"/>
                <w:sz w:val="14"/>
                <w:szCs w:val="14"/>
                <w:color w:val="auto"/>
              </w:rPr>
              <w:t>5,022</w:t>
            </w:r>
          </w:p>
        </w:tc>
        <w:tc>
          <w:tcPr>
            <w:tcW w:w="300" w:type="dxa"/>
            <w:vAlign w:val="bottom"/>
            <w:shd w:val="clear" w:color="auto" w:fill="F2F2F2"/>
          </w:tcPr>
          <w:p>
            <w:pPr>
              <w:jc w:val="right"/>
              <w:ind w:right="193"/>
              <w:spacing w:after="0"/>
              <w:rPr>
                <w:sz w:val="20"/>
                <w:szCs w:val="20"/>
                <w:color w:val="auto"/>
              </w:rPr>
            </w:pPr>
            <w:r>
              <w:rPr>
                <w:rFonts w:ascii="Arial" w:cs="Arial" w:eastAsia="Arial" w:hAnsi="Arial"/>
                <w:sz w:val="9"/>
                <w:szCs w:val="9"/>
                <w:color w:val="auto"/>
                <w:w w:val="78"/>
              </w:rPr>
              <w:t>2</w:t>
            </w:r>
          </w:p>
        </w:tc>
        <w:tc>
          <w:tcPr>
            <w:tcW w:w="1680" w:type="dxa"/>
            <w:vAlign w:val="bottom"/>
            <w:shd w:val="clear" w:color="auto" w:fill="F2F2F2"/>
          </w:tcPr>
          <w:p>
            <w:pPr>
              <w:jc w:val="right"/>
              <w:spacing w:after="0"/>
              <w:rPr>
                <w:sz w:val="20"/>
                <w:szCs w:val="20"/>
                <w:color w:val="auto"/>
              </w:rPr>
            </w:pPr>
            <w:r>
              <w:rPr>
                <w:rFonts w:ascii="Arial" w:cs="Arial" w:eastAsia="Arial" w:hAnsi="Arial"/>
                <w:sz w:val="14"/>
                <w:szCs w:val="14"/>
                <w:color w:val="auto"/>
              </w:rPr>
              <w:t>$3,876,984</w:t>
            </w:r>
          </w:p>
        </w:tc>
        <w:tc>
          <w:tcPr>
            <w:tcW w:w="0" w:type="dxa"/>
            <w:vAlign w:val="bottom"/>
          </w:tcPr>
          <w:p>
            <w:pPr>
              <w:spacing w:after="0"/>
              <w:rPr>
                <w:sz w:val="1"/>
                <w:szCs w:val="1"/>
                <w:color w:val="auto"/>
              </w:rPr>
            </w:pPr>
          </w:p>
        </w:tc>
      </w:tr>
      <w:tr>
        <w:trPr>
          <w:trHeight w:val="257"/>
        </w:trPr>
        <w:tc>
          <w:tcPr>
            <w:tcW w:w="1680" w:type="dxa"/>
            <w:vAlign w:val="bottom"/>
            <w:shd w:val="clear" w:color="auto" w:fill="F2F2F2"/>
          </w:tcPr>
          <w:p>
            <w:pPr>
              <w:spacing w:after="0"/>
              <w:rPr>
                <w:sz w:val="22"/>
                <w:szCs w:val="22"/>
                <w:color w:val="auto"/>
              </w:rPr>
            </w:pPr>
          </w:p>
        </w:tc>
        <w:tc>
          <w:tcPr>
            <w:tcW w:w="1360" w:type="dxa"/>
            <w:vAlign w:val="bottom"/>
            <w:shd w:val="clear" w:color="auto" w:fill="F2F2F2"/>
          </w:tcPr>
          <w:p>
            <w:pPr>
              <w:ind w:left="100"/>
              <w:spacing w:after="0"/>
              <w:rPr>
                <w:sz w:val="20"/>
                <w:szCs w:val="20"/>
                <w:color w:val="auto"/>
              </w:rPr>
            </w:pPr>
            <w:r>
              <w:rPr>
                <w:rFonts w:ascii="Arial" w:cs="Arial" w:eastAsia="Arial" w:hAnsi="Arial"/>
                <w:sz w:val="14"/>
                <w:szCs w:val="14"/>
                <w:color w:val="auto"/>
              </w:rPr>
              <w:t>2024-2026 RVA</w:t>
            </w:r>
          </w:p>
        </w:tc>
        <w:tc>
          <w:tcPr>
            <w:tcW w:w="240" w:type="dxa"/>
            <w:vAlign w:val="bottom"/>
            <w:shd w:val="clear" w:color="auto" w:fill="F2F2F2"/>
          </w:tcPr>
          <w:p>
            <w:pPr>
              <w:spacing w:after="0"/>
              <w:rPr>
                <w:sz w:val="22"/>
                <w:szCs w:val="22"/>
                <w:color w:val="auto"/>
              </w:rPr>
            </w:pPr>
          </w:p>
        </w:tc>
        <w:tc>
          <w:tcPr>
            <w:tcW w:w="920" w:type="dxa"/>
            <w:vAlign w:val="bottom"/>
            <w:shd w:val="clear" w:color="auto" w:fill="F2F2F2"/>
          </w:tcPr>
          <w:p>
            <w:pPr>
              <w:spacing w:after="0"/>
              <w:rPr>
                <w:sz w:val="22"/>
                <w:szCs w:val="22"/>
                <w:color w:val="auto"/>
              </w:rPr>
            </w:pPr>
          </w:p>
        </w:tc>
        <w:tc>
          <w:tcPr>
            <w:tcW w:w="340" w:type="dxa"/>
            <w:vAlign w:val="bottom"/>
            <w:shd w:val="clear" w:color="auto" w:fill="F2F2F2"/>
          </w:tcPr>
          <w:p>
            <w:pPr>
              <w:spacing w:after="0"/>
              <w:rPr>
                <w:sz w:val="22"/>
                <w:szCs w:val="22"/>
                <w:color w:val="auto"/>
              </w:rPr>
            </w:pPr>
          </w:p>
        </w:tc>
        <w:tc>
          <w:tcPr>
            <w:tcW w:w="1160" w:type="dxa"/>
            <w:vAlign w:val="bottom"/>
            <w:shd w:val="clear" w:color="auto" w:fill="F2F2F2"/>
          </w:tcPr>
          <w:p>
            <w:pPr>
              <w:spacing w:after="0"/>
              <w:rPr>
                <w:sz w:val="22"/>
                <w:szCs w:val="22"/>
                <w:color w:val="auto"/>
              </w:rPr>
            </w:pPr>
          </w:p>
        </w:tc>
        <w:tc>
          <w:tcPr>
            <w:tcW w:w="1400" w:type="dxa"/>
            <w:vAlign w:val="bottom"/>
            <w:shd w:val="clear" w:color="auto" w:fill="F2F2F2"/>
          </w:tcPr>
          <w:p>
            <w:pPr>
              <w:jc w:val="right"/>
              <w:spacing w:after="0"/>
              <w:rPr>
                <w:sz w:val="20"/>
                <w:szCs w:val="20"/>
                <w:color w:val="auto"/>
              </w:rPr>
            </w:pPr>
            <w:r>
              <w:rPr>
                <w:rFonts w:ascii="Arial" w:cs="Arial" w:eastAsia="Arial" w:hAnsi="Arial"/>
                <w:sz w:val="14"/>
                <w:szCs w:val="14"/>
                <w:color w:val="auto"/>
              </w:rPr>
              <w:t>2,440</w:t>
            </w:r>
          </w:p>
        </w:tc>
        <w:tc>
          <w:tcPr>
            <w:tcW w:w="300" w:type="dxa"/>
            <w:vAlign w:val="bottom"/>
            <w:shd w:val="clear" w:color="auto" w:fill="F2F2F2"/>
          </w:tcPr>
          <w:p>
            <w:pPr>
              <w:jc w:val="right"/>
              <w:ind w:right="193"/>
              <w:spacing w:after="0"/>
              <w:rPr>
                <w:sz w:val="20"/>
                <w:szCs w:val="20"/>
                <w:color w:val="auto"/>
              </w:rPr>
            </w:pPr>
            <w:r>
              <w:rPr>
                <w:rFonts w:ascii="Arial" w:cs="Arial" w:eastAsia="Arial" w:hAnsi="Arial"/>
                <w:sz w:val="9"/>
                <w:szCs w:val="9"/>
                <w:color w:val="auto"/>
                <w:w w:val="78"/>
              </w:rPr>
              <w:t>3</w:t>
            </w:r>
          </w:p>
        </w:tc>
        <w:tc>
          <w:tcPr>
            <w:tcW w:w="1680" w:type="dxa"/>
            <w:vAlign w:val="bottom"/>
            <w:shd w:val="clear" w:color="auto" w:fill="F2F2F2"/>
          </w:tcPr>
          <w:p>
            <w:pPr>
              <w:jc w:val="right"/>
              <w:spacing w:after="0"/>
              <w:rPr>
                <w:sz w:val="20"/>
                <w:szCs w:val="20"/>
                <w:color w:val="auto"/>
              </w:rPr>
            </w:pPr>
            <w:r>
              <w:rPr>
                <w:rFonts w:ascii="Arial" w:cs="Arial" w:eastAsia="Arial" w:hAnsi="Arial"/>
                <w:sz w:val="14"/>
                <w:szCs w:val="14"/>
                <w:color w:val="auto"/>
              </w:rPr>
              <w:t>$1,883,680</w:t>
            </w:r>
          </w:p>
        </w:tc>
        <w:tc>
          <w:tcPr>
            <w:tcW w:w="0" w:type="dxa"/>
            <w:vAlign w:val="bottom"/>
          </w:tcPr>
          <w:p>
            <w:pPr>
              <w:spacing w:after="0"/>
              <w:rPr>
                <w:sz w:val="1"/>
                <w:szCs w:val="1"/>
                <w:color w:val="auto"/>
              </w:rPr>
            </w:pPr>
          </w:p>
        </w:tc>
      </w:tr>
      <w:tr>
        <w:trPr>
          <w:trHeight w:val="260"/>
        </w:trPr>
        <w:tc>
          <w:tcPr>
            <w:tcW w:w="1680" w:type="dxa"/>
            <w:vAlign w:val="bottom"/>
            <w:shd w:val="clear" w:color="auto" w:fill="F2F2F2"/>
          </w:tcPr>
          <w:p>
            <w:pPr>
              <w:spacing w:after="0"/>
              <w:rPr>
                <w:sz w:val="22"/>
                <w:szCs w:val="22"/>
                <w:color w:val="auto"/>
              </w:rPr>
            </w:pPr>
          </w:p>
        </w:tc>
        <w:tc>
          <w:tcPr>
            <w:tcW w:w="1360" w:type="dxa"/>
            <w:vAlign w:val="bottom"/>
            <w:shd w:val="clear" w:color="auto" w:fill="F2F2F2"/>
          </w:tcPr>
          <w:p>
            <w:pPr>
              <w:ind w:left="100"/>
              <w:spacing w:after="0"/>
              <w:rPr>
                <w:sz w:val="20"/>
                <w:szCs w:val="20"/>
                <w:color w:val="auto"/>
              </w:rPr>
            </w:pPr>
            <w:r>
              <w:rPr>
                <w:rFonts w:ascii="Arial" w:cs="Arial" w:eastAsia="Arial" w:hAnsi="Arial"/>
                <w:sz w:val="14"/>
                <w:szCs w:val="14"/>
                <w:color w:val="auto"/>
              </w:rPr>
              <w:t>2023-2025 RVA</w:t>
            </w:r>
          </w:p>
        </w:tc>
        <w:tc>
          <w:tcPr>
            <w:tcW w:w="240" w:type="dxa"/>
            <w:vAlign w:val="bottom"/>
            <w:shd w:val="clear" w:color="auto" w:fill="F2F2F2"/>
          </w:tcPr>
          <w:p>
            <w:pPr>
              <w:spacing w:after="0"/>
              <w:rPr>
                <w:sz w:val="22"/>
                <w:szCs w:val="22"/>
                <w:color w:val="auto"/>
              </w:rPr>
            </w:pPr>
          </w:p>
        </w:tc>
        <w:tc>
          <w:tcPr>
            <w:tcW w:w="920" w:type="dxa"/>
            <w:vAlign w:val="bottom"/>
            <w:shd w:val="clear" w:color="auto" w:fill="F2F2F2"/>
          </w:tcPr>
          <w:p>
            <w:pPr>
              <w:spacing w:after="0"/>
              <w:rPr>
                <w:sz w:val="22"/>
                <w:szCs w:val="22"/>
                <w:color w:val="auto"/>
              </w:rPr>
            </w:pPr>
          </w:p>
        </w:tc>
        <w:tc>
          <w:tcPr>
            <w:tcW w:w="340" w:type="dxa"/>
            <w:vAlign w:val="bottom"/>
            <w:vMerge w:val="restart"/>
            <w:shd w:val="clear" w:color="auto" w:fill="F2F2F2"/>
          </w:tcPr>
          <w:p>
            <w:pPr>
              <w:jc w:val="right"/>
              <w:ind w:right="233"/>
              <w:spacing w:after="0"/>
              <w:rPr>
                <w:sz w:val="20"/>
                <w:szCs w:val="20"/>
                <w:color w:val="auto"/>
              </w:rPr>
            </w:pPr>
            <w:r>
              <w:rPr>
                <w:rFonts w:ascii="Arial" w:cs="Arial" w:eastAsia="Arial" w:hAnsi="Arial"/>
                <w:sz w:val="9"/>
                <w:szCs w:val="9"/>
                <w:color w:val="auto"/>
                <w:w w:val="78"/>
              </w:rPr>
              <w:t>5</w:t>
            </w:r>
          </w:p>
        </w:tc>
        <w:tc>
          <w:tcPr>
            <w:tcW w:w="1160" w:type="dxa"/>
            <w:vAlign w:val="bottom"/>
            <w:shd w:val="clear" w:color="auto" w:fill="F2F2F2"/>
          </w:tcPr>
          <w:p>
            <w:pPr>
              <w:spacing w:after="0"/>
              <w:rPr>
                <w:sz w:val="22"/>
                <w:szCs w:val="22"/>
                <w:color w:val="auto"/>
              </w:rPr>
            </w:pPr>
          </w:p>
        </w:tc>
        <w:tc>
          <w:tcPr>
            <w:tcW w:w="1400" w:type="dxa"/>
            <w:vAlign w:val="bottom"/>
            <w:shd w:val="clear" w:color="auto" w:fill="F2F2F2"/>
          </w:tcPr>
          <w:p>
            <w:pPr>
              <w:jc w:val="right"/>
              <w:spacing w:after="0"/>
              <w:rPr>
                <w:sz w:val="20"/>
                <w:szCs w:val="20"/>
                <w:color w:val="auto"/>
              </w:rPr>
            </w:pPr>
            <w:r>
              <w:rPr>
                <w:rFonts w:ascii="Arial" w:cs="Arial" w:eastAsia="Arial" w:hAnsi="Arial"/>
                <w:sz w:val="14"/>
                <w:szCs w:val="14"/>
                <w:color w:val="auto"/>
              </w:rPr>
              <w:t>4,046</w:t>
            </w:r>
          </w:p>
        </w:tc>
        <w:tc>
          <w:tcPr>
            <w:tcW w:w="300" w:type="dxa"/>
            <w:vAlign w:val="bottom"/>
            <w:shd w:val="clear" w:color="auto" w:fill="F2F2F2"/>
          </w:tcPr>
          <w:p>
            <w:pPr>
              <w:jc w:val="right"/>
              <w:ind w:right="193"/>
              <w:spacing w:after="0"/>
              <w:rPr>
                <w:sz w:val="20"/>
                <w:szCs w:val="20"/>
                <w:color w:val="auto"/>
              </w:rPr>
            </w:pPr>
            <w:r>
              <w:rPr>
                <w:rFonts w:ascii="Arial" w:cs="Arial" w:eastAsia="Arial" w:hAnsi="Arial"/>
                <w:sz w:val="9"/>
                <w:szCs w:val="9"/>
                <w:color w:val="auto"/>
                <w:w w:val="78"/>
              </w:rPr>
              <w:t>4</w:t>
            </w:r>
          </w:p>
        </w:tc>
        <w:tc>
          <w:tcPr>
            <w:tcW w:w="1680" w:type="dxa"/>
            <w:vAlign w:val="bottom"/>
            <w:shd w:val="clear" w:color="auto" w:fill="F2F2F2"/>
          </w:tcPr>
          <w:p>
            <w:pPr>
              <w:jc w:val="right"/>
              <w:spacing w:after="0"/>
              <w:rPr>
                <w:sz w:val="20"/>
                <w:szCs w:val="20"/>
                <w:color w:val="auto"/>
              </w:rPr>
            </w:pPr>
            <w:r>
              <w:rPr>
                <w:rFonts w:ascii="Arial" w:cs="Arial" w:eastAsia="Arial" w:hAnsi="Arial"/>
                <w:sz w:val="14"/>
                <w:szCs w:val="14"/>
                <w:color w:val="auto"/>
              </w:rPr>
              <w:t>$3,123,512</w:t>
            </w:r>
          </w:p>
        </w:tc>
        <w:tc>
          <w:tcPr>
            <w:tcW w:w="0" w:type="dxa"/>
            <w:vAlign w:val="bottom"/>
          </w:tcPr>
          <w:p>
            <w:pPr>
              <w:spacing w:after="0"/>
              <w:rPr>
                <w:sz w:val="1"/>
                <w:szCs w:val="1"/>
                <w:color w:val="auto"/>
              </w:rPr>
            </w:pPr>
          </w:p>
        </w:tc>
      </w:tr>
      <w:tr>
        <w:trPr>
          <w:trHeight w:val="253"/>
        </w:trPr>
        <w:tc>
          <w:tcPr>
            <w:tcW w:w="1680" w:type="dxa"/>
            <w:vAlign w:val="bottom"/>
            <w:shd w:val="clear" w:color="auto" w:fill="F2F2F2"/>
          </w:tcPr>
          <w:p>
            <w:pPr>
              <w:spacing w:after="0"/>
              <w:rPr>
                <w:sz w:val="21"/>
                <w:szCs w:val="21"/>
                <w:color w:val="auto"/>
              </w:rPr>
            </w:pPr>
          </w:p>
        </w:tc>
        <w:tc>
          <w:tcPr>
            <w:tcW w:w="1360" w:type="dxa"/>
            <w:vAlign w:val="bottom"/>
            <w:shd w:val="clear" w:color="auto" w:fill="F2F2F2"/>
          </w:tcPr>
          <w:p>
            <w:pPr>
              <w:ind w:left="100"/>
              <w:spacing w:after="0"/>
              <w:rPr>
                <w:sz w:val="20"/>
                <w:szCs w:val="20"/>
                <w:color w:val="auto"/>
              </w:rPr>
            </w:pPr>
            <w:r>
              <w:rPr>
                <w:rFonts w:ascii="Arial" w:cs="Arial" w:eastAsia="Arial" w:hAnsi="Arial"/>
                <w:sz w:val="14"/>
                <w:szCs w:val="14"/>
                <w:color w:val="auto"/>
              </w:rPr>
              <w:t>2023-2025 PA</w:t>
            </w:r>
          </w:p>
        </w:tc>
        <w:tc>
          <w:tcPr>
            <w:tcW w:w="240" w:type="dxa"/>
            <w:vAlign w:val="bottom"/>
            <w:shd w:val="clear" w:color="auto" w:fill="F2F2F2"/>
          </w:tcPr>
          <w:p>
            <w:pPr>
              <w:spacing w:after="0"/>
              <w:rPr>
                <w:sz w:val="21"/>
                <w:szCs w:val="21"/>
                <w:color w:val="auto"/>
              </w:rPr>
            </w:pPr>
          </w:p>
        </w:tc>
        <w:tc>
          <w:tcPr>
            <w:tcW w:w="920" w:type="dxa"/>
            <w:vAlign w:val="bottom"/>
            <w:shd w:val="clear" w:color="auto" w:fill="F2F2F2"/>
          </w:tcPr>
          <w:p>
            <w:pPr>
              <w:jc w:val="right"/>
              <w:spacing w:after="0"/>
              <w:rPr>
                <w:sz w:val="20"/>
                <w:szCs w:val="20"/>
                <w:color w:val="auto"/>
              </w:rPr>
            </w:pPr>
            <w:r>
              <w:rPr>
                <w:rFonts w:ascii="Arial" w:cs="Arial" w:eastAsia="Arial" w:hAnsi="Arial"/>
                <w:sz w:val="14"/>
                <w:szCs w:val="14"/>
                <w:color w:val="auto"/>
              </w:rPr>
              <w:t>4,108</w:t>
            </w:r>
          </w:p>
        </w:tc>
        <w:tc>
          <w:tcPr>
            <w:tcW w:w="340" w:type="dxa"/>
            <w:vAlign w:val="bottom"/>
            <w:vMerge w:val="continue"/>
            <w:shd w:val="clear" w:color="auto" w:fill="F2F2F2"/>
          </w:tcPr>
          <w:p>
            <w:pPr>
              <w:spacing w:after="0"/>
              <w:rPr>
                <w:sz w:val="21"/>
                <w:szCs w:val="21"/>
                <w:color w:val="auto"/>
              </w:rPr>
            </w:pPr>
          </w:p>
        </w:tc>
        <w:tc>
          <w:tcPr>
            <w:tcW w:w="1160" w:type="dxa"/>
            <w:vAlign w:val="bottom"/>
            <w:shd w:val="clear" w:color="auto" w:fill="F2F2F2"/>
          </w:tcPr>
          <w:p>
            <w:pPr>
              <w:jc w:val="right"/>
              <w:spacing w:after="0"/>
              <w:rPr>
                <w:sz w:val="20"/>
                <w:szCs w:val="20"/>
                <w:color w:val="auto"/>
              </w:rPr>
            </w:pPr>
            <w:r>
              <w:rPr>
                <w:rFonts w:ascii="Arial" w:cs="Arial" w:eastAsia="Arial" w:hAnsi="Arial"/>
                <w:sz w:val="14"/>
                <w:szCs w:val="14"/>
                <w:color w:val="auto"/>
              </w:rPr>
              <w:t>$3,171,376</w:t>
            </w:r>
          </w:p>
        </w:tc>
        <w:tc>
          <w:tcPr>
            <w:tcW w:w="1400" w:type="dxa"/>
            <w:vAlign w:val="bottom"/>
            <w:shd w:val="clear" w:color="auto" w:fill="F2F2F2"/>
          </w:tcPr>
          <w:p>
            <w:pPr>
              <w:spacing w:after="0"/>
              <w:rPr>
                <w:sz w:val="21"/>
                <w:szCs w:val="21"/>
                <w:color w:val="auto"/>
              </w:rPr>
            </w:pPr>
          </w:p>
        </w:tc>
        <w:tc>
          <w:tcPr>
            <w:tcW w:w="300" w:type="dxa"/>
            <w:vAlign w:val="bottom"/>
            <w:shd w:val="clear" w:color="auto" w:fill="F2F2F2"/>
          </w:tcPr>
          <w:p>
            <w:pPr>
              <w:spacing w:after="0"/>
              <w:rPr>
                <w:sz w:val="21"/>
                <w:szCs w:val="21"/>
                <w:color w:val="auto"/>
              </w:rPr>
            </w:pPr>
          </w:p>
        </w:tc>
        <w:tc>
          <w:tcPr>
            <w:tcW w:w="1680" w:type="dxa"/>
            <w:vAlign w:val="bottom"/>
            <w:shd w:val="clear" w:color="auto" w:fill="F2F2F2"/>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1680" w:type="dxa"/>
            <w:vAlign w:val="bottom"/>
            <w:tcBorders>
              <w:bottom w:val="single" w:sz="8" w:color="F2F2F2"/>
            </w:tcBorders>
            <w:shd w:val="clear" w:color="auto" w:fill="F2F2F2"/>
          </w:tcPr>
          <w:p>
            <w:pPr>
              <w:spacing w:after="0"/>
              <w:rPr>
                <w:sz w:val="22"/>
                <w:szCs w:val="22"/>
                <w:color w:val="auto"/>
              </w:rPr>
            </w:pPr>
          </w:p>
        </w:tc>
        <w:tc>
          <w:tcPr>
            <w:tcW w:w="1360" w:type="dxa"/>
            <w:vAlign w:val="bottom"/>
            <w:tcBorders>
              <w:bottom w:val="single" w:sz="8" w:color="F2F2F2"/>
            </w:tcBorders>
            <w:shd w:val="clear" w:color="auto" w:fill="F2F2F2"/>
          </w:tcPr>
          <w:p>
            <w:pPr>
              <w:ind w:left="100"/>
              <w:spacing w:after="0"/>
              <w:rPr>
                <w:sz w:val="20"/>
                <w:szCs w:val="20"/>
                <w:color w:val="auto"/>
              </w:rPr>
            </w:pPr>
            <w:r>
              <w:rPr>
                <w:rFonts w:ascii="Arial" w:cs="Arial" w:eastAsia="Arial" w:hAnsi="Arial"/>
                <w:sz w:val="14"/>
                <w:szCs w:val="14"/>
                <w:color w:val="auto"/>
              </w:rPr>
              <w:t>2022-2024 PA</w:t>
            </w:r>
          </w:p>
        </w:tc>
        <w:tc>
          <w:tcPr>
            <w:tcW w:w="240" w:type="dxa"/>
            <w:vAlign w:val="bottom"/>
            <w:tcBorders>
              <w:bottom w:val="single" w:sz="8" w:color="F2F2F2"/>
            </w:tcBorders>
            <w:shd w:val="clear" w:color="auto" w:fill="F2F2F2"/>
          </w:tcPr>
          <w:p>
            <w:pPr>
              <w:spacing w:after="0"/>
              <w:rPr>
                <w:sz w:val="22"/>
                <w:szCs w:val="22"/>
                <w:color w:val="auto"/>
              </w:rPr>
            </w:pPr>
          </w:p>
        </w:tc>
        <w:tc>
          <w:tcPr>
            <w:tcW w:w="92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3,023</w:t>
            </w:r>
          </w:p>
        </w:tc>
        <w:tc>
          <w:tcPr>
            <w:tcW w:w="340" w:type="dxa"/>
            <w:vAlign w:val="bottom"/>
            <w:tcBorders>
              <w:bottom w:val="single" w:sz="8" w:color="F2F2F2"/>
            </w:tcBorders>
            <w:shd w:val="clear" w:color="auto" w:fill="F2F2F2"/>
          </w:tcPr>
          <w:p>
            <w:pPr>
              <w:jc w:val="right"/>
              <w:ind w:right="233"/>
              <w:spacing w:after="0"/>
              <w:rPr>
                <w:sz w:val="20"/>
                <w:szCs w:val="20"/>
                <w:color w:val="auto"/>
              </w:rPr>
            </w:pPr>
            <w:r>
              <w:rPr>
                <w:rFonts w:ascii="Arial" w:cs="Arial" w:eastAsia="Arial" w:hAnsi="Arial"/>
                <w:sz w:val="9"/>
                <w:szCs w:val="9"/>
                <w:color w:val="auto"/>
                <w:w w:val="78"/>
              </w:rPr>
              <w:t>6</w:t>
            </w:r>
          </w:p>
        </w:tc>
        <w:tc>
          <w:tcPr>
            <w:tcW w:w="116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$2,333,756</w:t>
            </w:r>
          </w:p>
        </w:tc>
        <w:tc>
          <w:tcPr>
            <w:tcW w:w="1400" w:type="dxa"/>
            <w:vAlign w:val="bottom"/>
            <w:tcBorders>
              <w:bottom w:val="single" w:sz="8" w:color="F2F2F2"/>
            </w:tcBorders>
            <w:shd w:val="clear" w:color="auto" w:fill="F2F2F2"/>
          </w:tcPr>
          <w:p>
            <w:pPr>
              <w:spacing w:after="0"/>
              <w:rPr>
                <w:sz w:val="22"/>
                <w:szCs w:val="22"/>
                <w:color w:val="auto"/>
              </w:rPr>
            </w:pPr>
          </w:p>
        </w:tc>
        <w:tc>
          <w:tcPr>
            <w:tcW w:w="300" w:type="dxa"/>
            <w:vAlign w:val="bottom"/>
            <w:tcBorders>
              <w:bottom w:val="single" w:sz="8" w:color="F2F2F2"/>
            </w:tcBorders>
            <w:shd w:val="clear" w:color="auto" w:fill="F2F2F2"/>
          </w:tcPr>
          <w:p>
            <w:pPr>
              <w:spacing w:after="0"/>
              <w:rPr>
                <w:sz w:val="22"/>
                <w:szCs w:val="22"/>
                <w:color w:val="auto"/>
              </w:rPr>
            </w:pPr>
          </w:p>
        </w:tc>
        <w:tc>
          <w:tcPr>
            <w:tcW w:w="1680" w:type="dxa"/>
            <w:vAlign w:val="bottom"/>
            <w:tcBorders>
              <w:bottom w:val="single" w:sz="8" w:color="F2F2F2"/>
            </w:tcBorders>
            <w:shd w:val="clear" w:color="auto" w:fill="F2F2F2"/>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1680" w:type="dxa"/>
            <w:vAlign w:val="bottom"/>
          </w:tcPr>
          <w:p>
            <w:pPr>
              <w:ind w:left="20"/>
              <w:spacing w:after="0"/>
              <w:rPr>
                <w:sz w:val="20"/>
                <w:szCs w:val="20"/>
                <w:color w:val="auto"/>
              </w:rPr>
            </w:pPr>
            <w:r>
              <w:rPr>
                <w:rFonts w:ascii="Arial" w:cs="Arial" w:eastAsia="Arial" w:hAnsi="Arial"/>
                <w:sz w:val="14"/>
                <w:szCs w:val="14"/>
                <w:color w:val="auto"/>
              </w:rPr>
              <w:t>Mr. Brooks</w:t>
            </w:r>
          </w:p>
        </w:tc>
        <w:tc>
          <w:tcPr>
            <w:tcW w:w="1360" w:type="dxa"/>
            <w:vAlign w:val="bottom"/>
          </w:tcPr>
          <w:p>
            <w:pPr>
              <w:ind w:left="100"/>
              <w:spacing w:after="0"/>
              <w:rPr>
                <w:sz w:val="20"/>
                <w:szCs w:val="20"/>
                <w:color w:val="auto"/>
              </w:rPr>
            </w:pPr>
            <w:r>
              <w:rPr>
                <w:rFonts w:ascii="Arial" w:cs="Arial" w:eastAsia="Arial" w:hAnsi="Arial"/>
                <w:sz w:val="14"/>
                <w:szCs w:val="14"/>
                <w:color w:val="auto"/>
              </w:rPr>
              <w:t>2024-2026 SVA</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388</w:t>
            </w:r>
          </w:p>
        </w:tc>
        <w:tc>
          <w:tcPr>
            <w:tcW w:w="300" w:type="dxa"/>
            <w:vAlign w:val="bottom"/>
          </w:tcPr>
          <w:p>
            <w:pPr>
              <w:jc w:val="right"/>
              <w:ind w:right="193"/>
              <w:spacing w:after="0"/>
              <w:rPr>
                <w:sz w:val="20"/>
                <w:szCs w:val="20"/>
                <w:color w:val="auto"/>
              </w:rPr>
            </w:pPr>
            <w:r>
              <w:rPr>
                <w:rFonts w:ascii="Arial" w:cs="Arial" w:eastAsia="Arial" w:hAnsi="Arial"/>
                <w:sz w:val="9"/>
                <w:szCs w:val="9"/>
                <w:color w:val="auto"/>
                <w:w w:val="78"/>
              </w:rPr>
              <w:t>1</w:t>
            </w:r>
          </w:p>
        </w:tc>
        <w:tc>
          <w:tcPr>
            <w:tcW w:w="1680" w:type="dxa"/>
            <w:vAlign w:val="bottom"/>
          </w:tcPr>
          <w:p>
            <w:pPr>
              <w:jc w:val="right"/>
              <w:spacing w:after="0"/>
              <w:rPr>
                <w:sz w:val="20"/>
                <w:szCs w:val="20"/>
                <w:color w:val="auto"/>
              </w:rPr>
            </w:pPr>
            <w:r>
              <w:rPr>
                <w:rFonts w:ascii="Arial" w:cs="Arial" w:eastAsia="Arial" w:hAnsi="Arial"/>
                <w:sz w:val="14"/>
                <w:szCs w:val="14"/>
                <w:color w:val="auto"/>
              </w:rPr>
              <w:t>$299,536</w:t>
            </w:r>
          </w:p>
        </w:tc>
        <w:tc>
          <w:tcPr>
            <w:tcW w:w="0" w:type="dxa"/>
            <w:vAlign w:val="bottom"/>
          </w:tcPr>
          <w:p>
            <w:pPr>
              <w:spacing w:after="0"/>
              <w:rPr>
                <w:sz w:val="1"/>
                <w:szCs w:val="1"/>
                <w:color w:val="auto"/>
              </w:rPr>
            </w:pPr>
          </w:p>
        </w:tc>
      </w:tr>
      <w:tr>
        <w:trPr>
          <w:trHeight w:val="256"/>
        </w:trPr>
        <w:tc>
          <w:tcPr>
            <w:tcW w:w="1680" w:type="dxa"/>
            <w:vAlign w:val="bottom"/>
          </w:tcPr>
          <w:p>
            <w:pPr>
              <w:spacing w:after="0"/>
              <w:rPr>
                <w:sz w:val="22"/>
                <w:szCs w:val="22"/>
                <w:color w:val="auto"/>
              </w:rPr>
            </w:pPr>
          </w:p>
        </w:tc>
        <w:tc>
          <w:tcPr>
            <w:tcW w:w="1360" w:type="dxa"/>
            <w:vAlign w:val="bottom"/>
          </w:tcPr>
          <w:p>
            <w:pPr>
              <w:ind w:left="100"/>
              <w:spacing w:after="0"/>
              <w:rPr>
                <w:sz w:val="20"/>
                <w:szCs w:val="20"/>
                <w:color w:val="auto"/>
              </w:rPr>
            </w:pPr>
            <w:r>
              <w:rPr>
                <w:rFonts w:ascii="Arial" w:cs="Arial" w:eastAsia="Arial" w:hAnsi="Arial"/>
                <w:sz w:val="14"/>
                <w:szCs w:val="14"/>
                <w:color w:val="auto"/>
              </w:rPr>
              <w:t>2023-2025 SVA</w:t>
            </w: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838</w:t>
            </w:r>
          </w:p>
        </w:tc>
        <w:tc>
          <w:tcPr>
            <w:tcW w:w="300" w:type="dxa"/>
            <w:vAlign w:val="bottom"/>
          </w:tcPr>
          <w:p>
            <w:pPr>
              <w:jc w:val="right"/>
              <w:ind w:right="193"/>
              <w:spacing w:after="0"/>
              <w:rPr>
                <w:sz w:val="20"/>
                <w:szCs w:val="20"/>
                <w:color w:val="auto"/>
              </w:rPr>
            </w:pPr>
            <w:r>
              <w:rPr>
                <w:rFonts w:ascii="Arial" w:cs="Arial" w:eastAsia="Arial" w:hAnsi="Arial"/>
                <w:sz w:val="9"/>
                <w:szCs w:val="9"/>
                <w:color w:val="auto"/>
                <w:w w:val="78"/>
              </w:rPr>
              <w:t>2</w:t>
            </w:r>
          </w:p>
        </w:tc>
        <w:tc>
          <w:tcPr>
            <w:tcW w:w="1680" w:type="dxa"/>
            <w:vAlign w:val="bottom"/>
          </w:tcPr>
          <w:p>
            <w:pPr>
              <w:jc w:val="right"/>
              <w:spacing w:after="0"/>
              <w:rPr>
                <w:sz w:val="20"/>
                <w:szCs w:val="20"/>
                <w:color w:val="auto"/>
              </w:rPr>
            </w:pPr>
            <w:r>
              <w:rPr>
                <w:rFonts w:ascii="Arial" w:cs="Arial" w:eastAsia="Arial" w:hAnsi="Arial"/>
                <w:sz w:val="14"/>
                <w:szCs w:val="14"/>
                <w:color w:val="auto"/>
              </w:rPr>
              <w:t>$646,936</w:t>
            </w:r>
          </w:p>
        </w:tc>
        <w:tc>
          <w:tcPr>
            <w:tcW w:w="0" w:type="dxa"/>
            <w:vAlign w:val="bottom"/>
          </w:tcPr>
          <w:p>
            <w:pPr>
              <w:spacing w:after="0"/>
              <w:rPr>
                <w:sz w:val="1"/>
                <w:szCs w:val="1"/>
                <w:color w:val="auto"/>
              </w:rPr>
            </w:pPr>
          </w:p>
        </w:tc>
      </w:tr>
      <w:tr>
        <w:trPr>
          <w:trHeight w:val="257"/>
        </w:trPr>
        <w:tc>
          <w:tcPr>
            <w:tcW w:w="1680" w:type="dxa"/>
            <w:vAlign w:val="bottom"/>
          </w:tcPr>
          <w:p>
            <w:pPr>
              <w:spacing w:after="0"/>
              <w:rPr>
                <w:sz w:val="22"/>
                <w:szCs w:val="22"/>
                <w:color w:val="auto"/>
              </w:rPr>
            </w:pPr>
          </w:p>
        </w:tc>
        <w:tc>
          <w:tcPr>
            <w:tcW w:w="1360" w:type="dxa"/>
            <w:vAlign w:val="bottom"/>
          </w:tcPr>
          <w:p>
            <w:pPr>
              <w:ind w:left="100"/>
              <w:spacing w:after="0"/>
              <w:rPr>
                <w:sz w:val="20"/>
                <w:szCs w:val="20"/>
                <w:color w:val="auto"/>
              </w:rPr>
            </w:pPr>
            <w:r>
              <w:rPr>
                <w:rFonts w:ascii="Arial" w:cs="Arial" w:eastAsia="Arial" w:hAnsi="Arial"/>
                <w:sz w:val="14"/>
                <w:szCs w:val="14"/>
                <w:color w:val="auto"/>
              </w:rPr>
              <w:t>2024-2026 RVA</w:t>
            </w: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362</w:t>
            </w:r>
          </w:p>
        </w:tc>
        <w:tc>
          <w:tcPr>
            <w:tcW w:w="300" w:type="dxa"/>
            <w:vAlign w:val="bottom"/>
          </w:tcPr>
          <w:p>
            <w:pPr>
              <w:jc w:val="right"/>
              <w:ind w:right="193"/>
              <w:spacing w:after="0"/>
              <w:rPr>
                <w:sz w:val="20"/>
                <w:szCs w:val="20"/>
                <w:color w:val="auto"/>
              </w:rPr>
            </w:pPr>
            <w:r>
              <w:rPr>
                <w:rFonts w:ascii="Arial" w:cs="Arial" w:eastAsia="Arial" w:hAnsi="Arial"/>
                <w:sz w:val="9"/>
                <w:szCs w:val="9"/>
                <w:color w:val="auto"/>
                <w:w w:val="78"/>
              </w:rPr>
              <w:t>3</w:t>
            </w:r>
          </w:p>
        </w:tc>
        <w:tc>
          <w:tcPr>
            <w:tcW w:w="1680" w:type="dxa"/>
            <w:vAlign w:val="bottom"/>
          </w:tcPr>
          <w:p>
            <w:pPr>
              <w:jc w:val="right"/>
              <w:spacing w:after="0"/>
              <w:rPr>
                <w:sz w:val="20"/>
                <w:szCs w:val="20"/>
                <w:color w:val="auto"/>
              </w:rPr>
            </w:pPr>
            <w:r>
              <w:rPr>
                <w:rFonts w:ascii="Arial" w:cs="Arial" w:eastAsia="Arial" w:hAnsi="Arial"/>
                <w:sz w:val="14"/>
                <w:szCs w:val="14"/>
                <w:color w:val="auto"/>
              </w:rPr>
              <w:t>$279,464</w:t>
            </w:r>
          </w:p>
        </w:tc>
        <w:tc>
          <w:tcPr>
            <w:tcW w:w="0" w:type="dxa"/>
            <w:vAlign w:val="bottom"/>
          </w:tcPr>
          <w:p>
            <w:pPr>
              <w:spacing w:after="0"/>
              <w:rPr>
                <w:sz w:val="1"/>
                <w:szCs w:val="1"/>
                <w:color w:val="auto"/>
              </w:rPr>
            </w:pPr>
          </w:p>
        </w:tc>
      </w:tr>
      <w:tr>
        <w:trPr>
          <w:trHeight w:val="260"/>
        </w:trPr>
        <w:tc>
          <w:tcPr>
            <w:tcW w:w="1680" w:type="dxa"/>
            <w:vAlign w:val="bottom"/>
          </w:tcPr>
          <w:p>
            <w:pPr>
              <w:spacing w:after="0"/>
              <w:rPr>
                <w:sz w:val="22"/>
                <w:szCs w:val="22"/>
                <w:color w:val="auto"/>
              </w:rPr>
            </w:pPr>
          </w:p>
        </w:tc>
        <w:tc>
          <w:tcPr>
            <w:tcW w:w="1360" w:type="dxa"/>
            <w:vAlign w:val="bottom"/>
          </w:tcPr>
          <w:p>
            <w:pPr>
              <w:ind w:left="100"/>
              <w:spacing w:after="0"/>
              <w:rPr>
                <w:sz w:val="20"/>
                <w:szCs w:val="20"/>
                <w:color w:val="auto"/>
              </w:rPr>
            </w:pPr>
            <w:r>
              <w:rPr>
                <w:rFonts w:ascii="Arial" w:cs="Arial" w:eastAsia="Arial" w:hAnsi="Arial"/>
                <w:sz w:val="14"/>
                <w:szCs w:val="14"/>
                <w:color w:val="auto"/>
              </w:rPr>
              <w:t>2023-2025 RVA</w:t>
            </w: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754</w:t>
            </w:r>
          </w:p>
        </w:tc>
        <w:tc>
          <w:tcPr>
            <w:tcW w:w="300" w:type="dxa"/>
            <w:vAlign w:val="bottom"/>
          </w:tcPr>
          <w:p>
            <w:pPr>
              <w:jc w:val="right"/>
              <w:ind w:right="193"/>
              <w:spacing w:after="0"/>
              <w:rPr>
                <w:sz w:val="20"/>
                <w:szCs w:val="20"/>
                <w:color w:val="auto"/>
              </w:rPr>
            </w:pPr>
            <w:r>
              <w:rPr>
                <w:rFonts w:ascii="Arial" w:cs="Arial" w:eastAsia="Arial" w:hAnsi="Arial"/>
                <w:sz w:val="9"/>
                <w:szCs w:val="9"/>
                <w:color w:val="auto"/>
                <w:w w:val="78"/>
              </w:rPr>
              <w:t>4</w:t>
            </w:r>
          </w:p>
        </w:tc>
        <w:tc>
          <w:tcPr>
            <w:tcW w:w="1680" w:type="dxa"/>
            <w:vAlign w:val="bottom"/>
          </w:tcPr>
          <w:p>
            <w:pPr>
              <w:jc w:val="right"/>
              <w:spacing w:after="0"/>
              <w:rPr>
                <w:sz w:val="20"/>
                <w:szCs w:val="20"/>
                <w:color w:val="auto"/>
              </w:rPr>
            </w:pPr>
            <w:r>
              <w:rPr>
                <w:rFonts w:ascii="Arial" w:cs="Arial" w:eastAsia="Arial" w:hAnsi="Arial"/>
                <w:sz w:val="14"/>
                <w:szCs w:val="14"/>
                <w:color w:val="auto"/>
              </w:rPr>
              <w:t>$582,088</w:t>
            </w:r>
          </w:p>
        </w:tc>
        <w:tc>
          <w:tcPr>
            <w:tcW w:w="0" w:type="dxa"/>
            <w:vAlign w:val="bottom"/>
          </w:tcPr>
          <w:p>
            <w:pPr>
              <w:spacing w:after="0"/>
              <w:rPr>
                <w:sz w:val="1"/>
                <w:szCs w:val="1"/>
                <w:color w:val="auto"/>
              </w:rPr>
            </w:pPr>
          </w:p>
        </w:tc>
      </w:tr>
      <w:tr>
        <w:trPr>
          <w:trHeight w:val="257"/>
        </w:trPr>
        <w:tc>
          <w:tcPr>
            <w:tcW w:w="1680" w:type="dxa"/>
            <w:vAlign w:val="bottom"/>
          </w:tcPr>
          <w:p>
            <w:pPr>
              <w:spacing w:after="0"/>
              <w:rPr>
                <w:sz w:val="22"/>
                <w:szCs w:val="22"/>
                <w:color w:val="auto"/>
              </w:rPr>
            </w:pPr>
          </w:p>
        </w:tc>
        <w:tc>
          <w:tcPr>
            <w:tcW w:w="1360" w:type="dxa"/>
            <w:vAlign w:val="bottom"/>
          </w:tcPr>
          <w:p>
            <w:pPr>
              <w:ind w:left="100"/>
              <w:spacing w:after="0"/>
              <w:rPr>
                <w:sz w:val="20"/>
                <w:szCs w:val="20"/>
                <w:color w:val="auto"/>
              </w:rPr>
            </w:pPr>
            <w:r>
              <w:rPr>
                <w:rFonts w:ascii="Arial" w:cs="Arial" w:eastAsia="Arial" w:hAnsi="Arial"/>
                <w:sz w:val="14"/>
                <w:szCs w:val="14"/>
                <w:color w:val="auto"/>
              </w:rPr>
              <w:t>RSU</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5,719</w:t>
            </w:r>
          </w:p>
        </w:tc>
        <w:tc>
          <w:tcPr>
            <w:tcW w:w="340" w:type="dxa"/>
            <w:vAlign w:val="bottom"/>
          </w:tcPr>
          <w:p>
            <w:pPr>
              <w:jc w:val="right"/>
              <w:ind w:right="233"/>
              <w:spacing w:after="0"/>
              <w:rPr>
                <w:sz w:val="20"/>
                <w:szCs w:val="20"/>
                <w:color w:val="auto"/>
              </w:rPr>
            </w:pPr>
            <w:r>
              <w:rPr>
                <w:rFonts w:ascii="Arial" w:cs="Arial" w:eastAsia="Arial" w:hAnsi="Arial"/>
                <w:sz w:val="9"/>
                <w:szCs w:val="9"/>
                <w:color w:val="auto"/>
                <w:w w:val="78"/>
              </w:rPr>
              <w:t>8</w:t>
            </w:r>
          </w:p>
        </w:tc>
        <w:tc>
          <w:tcPr>
            <w:tcW w:w="1160" w:type="dxa"/>
            <w:vAlign w:val="bottom"/>
          </w:tcPr>
          <w:p>
            <w:pPr>
              <w:jc w:val="right"/>
              <w:spacing w:after="0"/>
              <w:rPr>
                <w:sz w:val="20"/>
                <w:szCs w:val="20"/>
                <w:color w:val="auto"/>
              </w:rPr>
            </w:pPr>
            <w:r>
              <w:rPr>
                <w:rFonts w:ascii="Arial" w:cs="Arial" w:eastAsia="Arial" w:hAnsi="Arial"/>
                <w:sz w:val="14"/>
                <w:szCs w:val="14"/>
                <w:color w:val="auto"/>
              </w:rPr>
              <w:t>$4,415,068</w:t>
            </w:r>
          </w:p>
        </w:tc>
        <w:tc>
          <w:tcPr>
            <w:tcW w:w="14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
        </w:trPr>
        <w:tc>
          <w:tcPr>
            <w:tcW w:w="16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1680" w:type="dxa"/>
            <w:vAlign w:val="bottom"/>
            <w:vMerge w:val="restart"/>
            <w:shd w:val="clear" w:color="auto" w:fill="F2F2F2"/>
          </w:tcPr>
          <w:p>
            <w:pPr>
              <w:ind w:left="20"/>
              <w:spacing w:after="0"/>
              <w:rPr>
                <w:sz w:val="20"/>
                <w:szCs w:val="20"/>
                <w:color w:val="auto"/>
              </w:rPr>
            </w:pPr>
            <w:r>
              <w:rPr>
                <w:rFonts w:ascii="Arial" w:cs="Arial" w:eastAsia="Arial" w:hAnsi="Arial"/>
                <w:sz w:val="14"/>
                <w:szCs w:val="14"/>
                <w:color w:val="auto"/>
              </w:rPr>
              <w:t>Ms. Ashkenazi</w:t>
            </w:r>
          </w:p>
        </w:tc>
        <w:tc>
          <w:tcPr>
            <w:tcW w:w="1360" w:type="dxa"/>
            <w:vAlign w:val="bottom"/>
            <w:vMerge w:val="restart"/>
            <w:shd w:val="clear" w:color="auto" w:fill="F2F2F2"/>
          </w:tcPr>
          <w:p>
            <w:pPr>
              <w:ind w:left="100"/>
              <w:spacing w:after="0"/>
              <w:rPr>
                <w:sz w:val="20"/>
                <w:szCs w:val="20"/>
                <w:color w:val="auto"/>
              </w:rPr>
            </w:pPr>
            <w:r>
              <w:rPr>
                <w:rFonts w:ascii="Arial" w:cs="Arial" w:eastAsia="Arial" w:hAnsi="Arial"/>
                <w:sz w:val="14"/>
                <w:szCs w:val="14"/>
                <w:color w:val="auto"/>
              </w:rPr>
              <w:t>None</w:t>
            </w:r>
          </w:p>
        </w:tc>
        <w:tc>
          <w:tcPr>
            <w:tcW w:w="240" w:type="dxa"/>
            <w:vAlign w:val="bottom"/>
            <w:shd w:val="clear" w:color="auto" w:fill="F2F2F2"/>
          </w:tcPr>
          <w:p>
            <w:pPr>
              <w:jc w:val="right"/>
              <w:ind w:right="33"/>
              <w:spacing w:after="0"/>
              <w:rPr>
                <w:sz w:val="20"/>
                <w:szCs w:val="20"/>
                <w:color w:val="auto"/>
              </w:rPr>
            </w:pPr>
            <w:r>
              <w:rPr>
                <w:rFonts w:ascii="Arial" w:cs="Arial" w:eastAsia="Arial" w:hAnsi="Arial"/>
                <w:sz w:val="9"/>
                <w:szCs w:val="9"/>
                <w:color w:val="auto"/>
              </w:rPr>
              <w:t>9</w:t>
            </w:r>
          </w:p>
        </w:tc>
        <w:tc>
          <w:tcPr>
            <w:tcW w:w="920" w:type="dxa"/>
            <w:vAlign w:val="bottom"/>
            <w:shd w:val="clear" w:color="auto" w:fill="F2F2F2"/>
          </w:tcPr>
          <w:p>
            <w:pPr>
              <w:spacing w:after="0"/>
              <w:rPr>
                <w:sz w:val="10"/>
                <w:szCs w:val="10"/>
                <w:color w:val="auto"/>
              </w:rPr>
            </w:pPr>
          </w:p>
        </w:tc>
        <w:tc>
          <w:tcPr>
            <w:tcW w:w="340" w:type="dxa"/>
            <w:vAlign w:val="bottom"/>
            <w:shd w:val="clear" w:color="auto" w:fill="F2F2F2"/>
          </w:tcPr>
          <w:p>
            <w:pPr>
              <w:spacing w:after="0"/>
              <w:rPr>
                <w:sz w:val="10"/>
                <w:szCs w:val="10"/>
                <w:color w:val="auto"/>
              </w:rPr>
            </w:pPr>
          </w:p>
        </w:tc>
        <w:tc>
          <w:tcPr>
            <w:tcW w:w="1160" w:type="dxa"/>
            <w:vAlign w:val="bottom"/>
            <w:shd w:val="clear" w:color="auto" w:fill="F2F2F2"/>
          </w:tcPr>
          <w:p>
            <w:pPr>
              <w:spacing w:after="0"/>
              <w:rPr>
                <w:sz w:val="10"/>
                <w:szCs w:val="10"/>
                <w:color w:val="auto"/>
              </w:rPr>
            </w:pPr>
          </w:p>
        </w:tc>
        <w:tc>
          <w:tcPr>
            <w:tcW w:w="1400" w:type="dxa"/>
            <w:vAlign w:val="bottom"/>
            <w:shd w:val="clear" w:color="auto" w:fill="F2F2F2"/>
          </w:tcPr>
          <w:p>
            <w:pPr>
              <w:spacing w:after="0"/>
              <w:rPr>
                <w:sz w:val="10"/>
                <w:szCs w:val="10"/>
                <w:color w:val="auto"/>
              </w:rPr>
            </w:pPr>
          </w:p>
        </w:tc>
        <w:tc>
          <w:tcPr>
            <w:tcW w:w="300" w:type="dxa"/>
            <w:vAlign w:val="bottom"/>
            <w:shd w:val="clear" w:color="auto" w:fill="F2F2F2"/>
          </w:tcPr>
          <w:p>
            <w:pPr>
              <w:spacing w:after="0"/>
              <w:rPr>
                <w:sz w:val="10"/>
                <w:szCs w:val="10"/>
                <w:color w:val="auto"/>
              </w:rPr>
            </w:pPr>
          </w:p>
        </w:tc>
        <w:tc>
          <w:tcPr>
            <w:tcW w:w="1680" w:type="dxa"/>
            <w:vAlign w:val="bottom"/>
            <w:shd w:val="clear" w:color="auto" w:fill="F2F2F2"/>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1680" w:type="dxa"/>
            <w:vAlign w:val="bottom"/>
            <w:tcBorders>
              <w:bottom w:val="single" w:sz="8" w:color="F2F2F2"/>
            </w:tcBorders>
            <w:vMerge w:val="continue"/>
            <w:shd w:val="clear" w:color="auto" w:fill="F2F2F2"/>
          </w:tcPr>
          <w:p>
            <w:pPr>
              <w:spacing w:after="0"/>
              <w:rPr>
                <w:sz w:val="9"/>
                <w:szCs w:val="9"/>
                <w:color w:val="auto"/>
              </w:rPr>
            </w:pPr>
          </w:p>
        </w:tc>
        <w:tc>
          <w:tcPr>
            <w:tcW w:w="1360" w:type="dxa"/>
            <w:vAlign w:val="bottom"/>
            <w:tcBorders>
              <w:bottom w:val="single" w:sz="8" w:color="F2F2F2"/>
            </w:tcBorders>
            <w:vMerge w:val="continue"/>
            <w:shd w:val="clear" w:color="auto" w:fill="F2F2F2"/>
          </w:tcPr>
          <w:p>
            <w:pPr>
              <w:spacing w:after="0"/>
              <w:rPr>
                <w:sz w:val="9"/>
                <w:szCs w:val="9"/>
                <w:color w:val="auto"/>
              </w:rPr>
            </w:pPr>
          </w:p>
        </w:tc>
        <w:tc>
          <w:tcPr>
            <w:tcW w:w="240" w:type="dxa"/>
            <w:vAlign w:val="bottom"/>
            <w:tcBorders>
              <w:bottom w:val="single" w:sz="8" w:color="F2F2F2"/>
            </w:tcBorders>
            <w:shd w:val="clear" w:color="auto" w:fill="F2F2F2"/>
          </w:tcPr>
          <w:p>
            <w:pPr>
              <w:spacing w:after="0"/>
              <w:rPr>
                <w:sz w:val="9"/>
                <w:szCs w:val="9"/>
                <w:color w:val="auto"/>
              </w:rPr>
            </w:pPr>
          </w:p>
        </w:tc>
        <w:tc>
          <w:tcPr>
            <w:tcW w:w="920" w:type="dxa"/>
            <w:vAlign w:val="bottom"/>
            <w:tcBorders>
              <w:bottom w:val="single" w:sz="8" w:color="F2F2F2"/>
            </w:tcBorders>
            <w:shd w:val="clear" w:color="auto" w:fill="F2F2F2"/>
          </w:tcPr>
          <w:p>
            <w:pPr>
              <w:spacing w:after="0"/>
              <w:rPr>
                <w:sz w:val="9"/>
                <w:szCs w:val="9"/>
                <w:color w:val="auto"/>
              </w:rPr>
            </w:pPr>
          </w:p>
        </w:tc>
        <w:tc>
          <w:tcPr>
            <w:tcW w:w="340" w:type="dxa"/>
            <w:vAlign w:val="bottom"/>
            <w:tcBorders>
              <w:bottom w:val="single" w:sz="8" w:color="F2F2F2"/>
            </w:tcBorders>
            <w:shd w:val="clear" w:color="auto" w:fill="F2F2F2"/>
          </w:tcPr>
          <w:p>
            <w:pPr>
              <w:spacing w:after="0"/>
              <w:rPr>
                <w:sz w:val="9"/>
                <w:szCs w:val="9"/>
                <w:color w:val="auto"/>
              </w:rPr>
            </w:pPr>
          </w:p>
        </w:tc>
        <w:tc>
          <w:tcPr>
            <w:tcW w:w="1160" w:type="dxa"/>
            <w:vAlign w:val="bottom"/>
            <w:tcBorders>
              <w:bottom w:val="single" w:sz="8" w:color="F2F2F2"/>
            </w:tcBorders>
            <w:shd w:val="clear" w:color="auto" w:fill="F2F2F2"/>
          </w:tcPr>
          <w:p>
            <w:pPr>
              <w:spacing w:after="0"/>
              <w:rPr>
                <w:sz w:val="9"/>
                <w:szCs w:val="9"/>
                <w:color w:val="auto"/>
              </w:rPr>
            </w:pPr>
          </w:p>
        </w:tc>
        <w:tc>
          <w:tcPr>
            <w:tcW w:w="1400" w:type="dxa"/>
            <w:vAlign w:val="bottom"/>
            <w:tcBorders>
              <w:bottom w:val="single" w:sz="8" w:color="F2F2F2"/>
            </w:tcBorders>
            <w:shd w:val="clear" w:color="auto" w:fill="F2F2F2"/>
          </w:tcPr>
          <w:p>
            <w:pPr>
              <w:spacing w:after="0"/>
              <w:rPr>
                <w:sz w:val="9"/>
                <w:szCs w:val="9"/>
                <w:color w:val="auto"/>
              </w:rPr>
            </w:pPr>
          </w:p>
        </w:tc>
        <w:tc>
          <w:tcPr>
            <w:tcW w:w="300" w:type="dxa"/>
            <w:vAlign w:val="bottom"/>
            <w:tcBorders>
              <w:bottom w:val="single" w:sz="8" w:color="F2F2F2"/>
            </w:tcBorders>
            <w:shd w:val="clear" w:color="auto" w:fill="F2F2F2"/>
          </w:tcPr>
          <w:p>
            <w:pPr>
              <w:spacing w:after="0"/>
              <w:rPr>
                <w:sz w:val="9"/>
                <w:szCs w:val="9"/>
                <w:color w:val="auto"/>
              </w:rPr>
            </w:pPr>
          </w:p>
        </w:tc>
        <w:tc>
          <w:tcPr>
            <w:tcW w:w="1680" w:type="dxa"/>
            <w:vAlign w:val="bottom"/>
            <w:tcBorders>
              <w:bottom w:val="single" w:sz="8" w:color="F2F2F2"/>
            </w:tcBorders>
            <w:shd w:val="clear" w:color="auto" w:fill="F2F2F2"/>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6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ind w:left="180" w:hanging="172"/>
        <w:spacing w:after="0"/>
        <w:tabs>
          <w:tab w:leader="none" w:pos="174" w:val="left"/>
        </w:tabs>
        <w:numPr>
          <w:ilvl w:val="0"/>
          <w:numId w:val="153"/>
        </w:numPr>
        <w:rPr>
          <w:rFonts w:ascii="Arial" w:cs="Arial" w:eastAsia="Arial" w:hAnsi="Arial"/>
          <w:sz w:val="19"/>
          <w:szCs w:val="19"/>
          <w:color w:val="auto"/>
          <w:vertAlign w:val="superscript"/>
        </w:rPr>
      </w:pPr>
      <w:r>
        <w:rPr>
          <w:rFonts w:ascii="Arial" w:cs="Arial" w:eastAsia="Arial" w:hAnsi="Arial"/>
          <w:sz w:val="14"/>
          <w:szCs w:val="14"/>
          <w:color w:val="auto"/>
        </w:rPr>
        <w:t>Shareholder value awards granted for the 2024-2026 performance period will vest on December 31, 2026. The number of shares reported reflects the maximum payout, which will be made if the average closing stock price in November and December 2026 exceeds $945.39. Actual payouts may vary from 0 to 200 percent of target. Net shares from any payout must be held by executive officers for a minimum of one year. Had the performance period ended December 31, 2024, the payout would have been at 129 percent of target.</w:t>
      </w:r>
    </w:p>
    <w:p>
      <w:pPr>
        <w:spacing w:after="0" w:line="41" w:lineRule="exact"/>
        <w:rPr>
          <w:sz w:val="20"/>
          <w:szCs w:val="20"/>
          <w:color w:val="auto"/>
        </w:rPr>
      </w:pPr>
    </w:p>
    <w:p>
      <w:pPr>
        <w:ind w:left="180" w:hanging="172"/>
        <w:spacing w:after="0" w:line="268" w:lineRule="auto"/>
        <w:tabs>
          <w:tab w:leader="none" w:pos="174" w:val="left"/>
        </w:tabs>
        <w:numPr>
          <w:ilvl w:val="0"/>
          <w:numId w:val="154"/>
        </w:numPr>
        <w:rPr>
          <w:rFonts w:ascii="Arial" w:cs="Arial" w:eastAsia="Arial" w:hAnsi="Arial"/>
          <w:sz w:val="9"/>
          <w:szCs w:val="9"/>
          <w:color w:val="auto"/>
        </w:rPr>
      </w:pPr>
      <w:r>
        <w:rPr>
          <w:rFonts w:ascii="Arial" w:cs="Arial" w:eastAsia="Arial" w:hAnsi="Arial"/>
          <w:sz w:val="14"/>
          <w:szCs w:val="14"/>
          <w:color w:val="auto"/>
        </w:rPr>
        <w:t>Shareholder value awards granted for the 2023-2025 performance period will vest on December 31, 2025. The number of shares reported reflects the maximum payout, which will be made if the average closing stock price in November and December 2025 exceeds $584.73. Actual payouts may vary from 0 to 200 percent of target. Net shares from any payout must be held by executive officers for a minimum of one year. Had the performance period ended December 31, 2024, the payout would have been</w:t>
      </w:r>
    </w:p>
    <w:p>
      <w:pPr>
        <w:spacing w:after="0" w:line="1" w:lineRule="exact"/>
        <w:rPr>
          <w:rFonts w:ascii="Arial" w:cs="Arial" w:eastAsia="Arial" w:hAnsi="Arial"/>
          <w:sz w:val="9"/>
          <w:szCs w:val="9"/>
          <w:color w:val="auto"/>
        </w:rPr>
      </w:pPr>
    </w:p>
    <w:p>
      <w:pPr>
        <w:ind w:left="180"/>
        <w:spacing w:after="0"/>
        <w:rPr>
          <w:rFonts w:ascii="Arial" w:cs="Arial" w:eastAsia="Arial" w:hAnsi="Arial"/>
          <w:sz w:val="9"/>
          <w:szCs w:val="9"/>
          <w:color w:val="auto"/>
        </w:rPr>
      </w:pPr>
      <w:r>
        <w:rPr>
          <w:rFonts w:ascii="Arial" w:cs="Arial" w:eastAsia="Arial" w:hAnsi="Arial"/>
          <w:sz w:val="14"/>
          <w:szCs w:val="14"/>
          <w:color w:val="auto"/>
        </w:rPr>
        <w:t>175 percent of target.</w:t>
      </w:r>
    </w:p>
    <w:p>
      <w:pPr>
        <w:spacing w:after="0" w:line="41" w:lineRule="exact"/>
        <w:rPr>
          <w:sz w:val="20"/>
          <w:szCs w:val="20"/>
          <w:color w:val="auto"/>
        </w:rPr>
      </w:pPr>
    </w:p>
    <w:p>
      <w:pPr>
        <w:ind w:left="180" w:hanging="172"/>
        <w:spacing w:after="0" w:line="305" w:lineRule="auto"/>
        <w:tabs>
          <w:tab w:leader="none" w:pos="174" w:val="left"/>
        </w:tabs>
        <w:numPr>
          <w:ilvl w:val="0"/>
          <w:numId w:val="155"/>
        </w:numPr>
        <w:rPr>
          <w:rFonts w:ascii="Arial" w:cs="Arial" w:eastAsia="Arial" w:hAnsi="Arial"/>
          <w:sz w:val="9"/>
          <w:szCs w:val="9"/>
          <w:color w:val="auto"/>
        </w:rPr>
      </w:pPr>
      <w:r>
        <w:rPr>
          <w:rFonts w:ascii="Arial" w:cs="Arial" w:eastAsia="Arial" w:hAnsi="Arial"/>
          <w:sz w:val="14"/>
          <w:szCs w:val="14"/>
          <w:color w:val="auto"/>
        </w:rPr>
        <w:t>Relative value awards granted for the 2024-2026 performance period will vest on December 31, 2026. The number of shares reported reflects the maximum payout, which will be paid if Lilly’s absolute TSR exceeds the median peer absolute TSR by 30 percentage points or</w:t>
      </w:r>
    </w:p>
    <w:p>
      <w:pPr>
        <w:sectPr>
          <w:pgSz w:w="11900" w:h="16838" w:orient="portrait"/>
          <w:cols w:equalWidth="0" w:num="1">
            <w:col w:w="11240"/>
          </w:cols>
          <w:pgMar w:left="320" w:top="925" w:right="339" w:bottom="1440" w:gutter="0" w:footer="0" w:header="0"/>
        </w:sect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94615</wp:posOffset>
            </wp:positionV>
            <wp:extent cx="7157720" cy="42545"/>
            <wp:wrapNone/>
            <wp:docPr id="2306" name="Picture 2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6"/>
                    <pic:cNvPicPr>
                      <a:picLocks noChangeAspect="1" noChangeArrowheads="1"/>
                    </pic:cNvPicPr>
                  </pic:nvPicPr>
                  <pic:blipFill>
                    <a:blip r:embed="rId2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5" w:right="339" w:bottom="1440" w:gutter="0" w:footer="0" w:header="0"/>
          <w:type w:val="continuous"/>
        </w:sectPr>
      </w:pPr>
    </w:p>
    <w:bookmarkStart w:id="70" w:name="page71"/>
    <w:bookmarkEnd w:id="70"/>
    <w:p>
      <w:pPr>
        <w:ind w:left="180" w:right="300"/>
        <w:spacing w:after="0" w:line="300" w:lineRule="auto"/>
        <w:rPr>
          <w:sz w:val="20"/>
          <w:szCs w:val="20"/>
          <w:color w:val="auto"/>
        </w:rPr>
      </w:pPr>
      <w:r>
        <w:rPr>
          <w:rFonts w:ascii="Arial" w:cs="Arial" w:eastAsia="Arial" w:hAnsi="Arial"/>
          <w:sz w:val="14"/>
          <w:szCs w:val="14"/>
          <w:color w:val="auto"/>
        </w:rPr>
        <w:t>more at the end of the performance period. Net shares from any payout must be held by executive officers for a minimum of one year. Had the performance period ended December 31, 2024, the payout would have been 200 percent of target.</w:t>
      </w:r>
    </w:p>
    <w:p>
      <w:pPr>
        <w:spacing w:after="0" w:line="3" w:lineRule="exact"/>
        <w:rPr>
          <w:sz w:val="20"/>
          <w:szCs w:val="20"/>
          <w:color w:val="auto"/>
        </w:rPr>
      </w:pPr>
    </w:p>
    <w:p>
      <w:pPr>
        <w:ind w:left="180" w:hanging="172"/>
        <w:spacing w:after="0" w:line="234" w:lineRule="auto"/>
        <w:tabs>
          <w:tab w:leader="none" w:pos="174" w:val="left"/>
        </w:tabs>
        <w:numPr>
          <w:ilvl w:val="0"/>
          <w:numId w:val="156"/>
        </w:numPr>
        <w:rPr>
          <w:rFonts w:ascii="Arial" w:cs="Arial" w:eastAsia="Arial" w:hAnsi="Arial"/>
          <w:sz w:val="19"/>
          <w:szCs w:val="19"/>
          <w:color w:val="auto"/>
          <w:vertAlign w:val="superscript"/>
        </w:rPr>
      </w:pPr>
      <w:r>
        <w:rPr>
          <w:rFonts w:ascii="Arial" w:cs="Arial" w:eastAsia="Arial" w:hAnsi="Arial"/>
          <w:sz w:val="14"/>
          <w:szCs w:val="14"/>
          <w:color w:val="auto"/>
        </w:rPr>
        <w:t>Relative value awards granted for the 2023-2025 performance period will vest on December 31, 2025. The number of shares reported reflects the maximum payout, which will be paid if Lilly’s absolute TSR exceeds the median peer absolute TSR by 30 percentage points or more at the end of the performance period. Net shares from any payout must be held by executive officers for a minimum of one year. Had the performance period ended December 31, 2024, the payout would have been 175 percent of target.</w:t>
      </w:r>
    </w:p>
    <w:p>
      <w:pPr>
        <w:spacing w:after="0" w:line="40" w:lineRule="exact"/>
        <w:rPr>
          <w:sz w:val="20"/>
          <w:szCs w:val="20"/>
          <w:color w:val="auto"/>
        </w:rPr>
      </w:pPr>
    </w:p>
    <w:p>
      <w:pPr>
        <w:ind w:left="180" w:right="360" w:hanging="172"/>
        <w:spacing w:after="0" w:line="231" w:lineRule="auto"/>
        <w:tabs>
          <w:tab w:leader="none" w:pos="174" w:val="left"/>
        </w:tabs>
        <w:numPr>
          <w:ilvl w:val="0"/>
          <w:numId w:val="157"/>
        </w:numPr>
        <w:rPr>
          <w:rFonts w:ascii="Arial" w:cs="Arial" w:eastAsia="Arial" w:hAnsi="Arial"/>
          <w:sz w:val="19"/>
          <w:szCs w:val="19"/>
          <w:color w:val="auto"/>
          <w:vertAlign w:val="superscript"/>
        </w:rPr>
      </w:pPr>
      <w:r>
        <w:rPr>
          <w:rFonts w:ascii="Arial" w:cs="Arial" w:eastAsia="Arial" w:hAnsi="Arial"/>
          <w:sz w:val="14"/>
          <w:szCs w:val="14"/>
          <w:color w:val="auto"/>
        </w:rPr>
        <w:t>The performance period ended December 31, 2024, for the 2023-2025 performance award, resulting in the issuance of restricted stock units that will vest on February 1, 2026.</w:t>
      </w:r>
    </w:p>
    <w:p>
      <w:pPr>
        <w:spacing w:after="0" w:line="12" w:lineRule="exact"/>
        <w:rPr>
          <w:sz w:val="20"/>
          <w:szCs w:val="20"/>
          <w:color w:val="auto"/>
        </w:rPr>
      </w:pPr>
    </w:p>
    <w:p>
      <w:pPr>
        <w:ind w:left="160" w:hanging="152"/>
        <w:spacing w:after="0"/>
        <w:tabs>
          <w:tab w:leader="none" w:pos="160" w:val="left"/>
        </w:tabs>
        <w:numPr>
          <w:ilvl w:val="0"/>
          <w:numId w:val="158"/>
        </w:numPr>
        <w:rPr>
          <w:rFonts w:ascii="Arial" w:cs="Arial" w:eastAsia="Arial" w:hAnsi="Arial"/>
          <w:sz w:val="19"/>
          <w:szCs w:val="19"/>
          <w:color w:val="auto"/>
          <w:vertAlign w:val="superscript"/>
        </w:rPr>
      </w:pPr>
      <w:r>
        <w:rPr>
          <w:rFonts w:ascii="Arial" w:cs="Arial" w:eastAsia="Arial" w:hAnsi="Arial"/>
          <w:sz w:val="14"/>
          <w:szCs w:val="14"/>
          <w:color w:val="auto"/>
        </w:rPr>
        <w:t>The performance period ended December 31, 2023 for the 2022-2024 performance award, resulting in the issuance of restricted stock units that vested on February 1, 2025.</w:t>
      </w:r>
    </w:p>
    <w:p>
      <w:pPr>
        <w:spacing w:after="0" w:line="40" w:lineRule="exact"/>
        <w:rPr>
          <w:sz w:val="20"/>
          <w:szCs w:val="20"/>
          <w:color w:val="auto"/>
        </w:rPr>
      </w:pPr>
    </w:p>
    <w:p>
      <w:pPr>
        <w:ind w:left="180" w:right="40" w:hanging="172"/>
        <w:spacing w:after="0" w:line="284" w:lineRule="auto"/>
        <w:tabs>
          <w:tab w:leader="none" w:pos="174" w:val="left"/>
        </w:tabs>
        <w:numPr>
          <w:ilvl w:val="0"/>
          <w:numId w:val="159"/>
        </w:numPr>
        <w:rPr>
          <w:rFonts w:ascii="Arial" w:cs="Arial" w:eastAsia="Arial" w:hAnsi="Arial"/>
          <w:sz w:val="9"/>
          <w:szCs w:val="9"/>
          <w:color w:val="auto"/>
        </w:rPr>
      </w:pPr>
      <w:r>
        <w:rPr>
          <w:rFonts w:ascii="Arial" w:cs="Arial" w:eastAsia="Arial" w:hAnsi="Arial"/>
          <w:sz w:val="14"/>
          <w:szCs w:val="14"/>
          <w:color w:val="auto"/>
        </w:rPr>
        <w:t>These grants were made outside of the normal annual cycle. 1,610 units were granted in November 2020 and will vest in November 2026; 368 units were granted in February 2024 and will vest in February 2026; and 371 units were granted in February 2024 and will vest in February 2027.</w:t>
      </w:r>
    </w:p>
    <w:p>
      <w:pPr>
        <w:spacing w:after="0" w:line="10" w:lineRule="exact"/>
        <w:rPr>
          <w:sz w:val="20"/>
          <w:szCs w:val="20"/>
          <w:color w:val="auto"/>
        </w:rPr>
      </w:pPr>
    </w:p>
    <w:p>
      <w:pPr>
        <w:ind w:left="180" w:right="40" w:hanging="172"/>
        <w:spacing w:after="0"/>
        <w:tabs>
          <w:tab w:leader="none" w:pos="174" w:val="left"/>
        </w:tabs>
        <w:numPr>
          <w:ilvl w:val="0"/>
          <w:numId w:val="160"/>
        </w:numPr>
        <w:rPr>
          <w:rFonts w:ascii="Arial" w:cs="Arial" w:eastAsia="Arial" w:hAnsi="Arial"/>
          <w:sz w:val="19"/>
          <w:szCs w:val="19"/>
          <w:color w:val="auto"/>
          <w:vertAlign w:val="superscript"/>
        </w:rPr>
      </w:pPr>
      <w:r>
        <w:rPr>
          <w:rFonts w:ascii="Arial" w:cs="Arial" w:eastAsia="Arial" w:hAnsi="Arial"/>
          <w:sz w:val="14"/>
          <w:szCs w:val="14"/>
          <w:color w:val="auto"/>
        </w:rPr>
        <w:t>These grants were made outside of the normal annual cycle. 4,600 units were granted in November 2020 and will vest in November 2026; 276 units were granted in February 2024 and will vest in February 2026; 278 units were granted in February 2024 and will vest in February 2027; 565.304 units were granted in October 2024 and will vest in November 2027.</w:t>
      </w:r>
    </w:p>
    <w:p>
      <w:pPr>
        <w:spacing w:after="0" w:line="27" w:lineRule="exact"/>
        <w:rPr>
          <w:sz w:val="20"/>
          <w:szCs w:val="20"/>
          <w:color w:val="auto"/>
        </w:rPr>
      </w:pPr>
    </w:p>
    <w:p>
      <w:pPr>
        <w:ind w:left="160" w:hanging="152"/>
        <w:spacing w:after="0"/>
        <w:tabs>
          <w:tab w:leader="none" w:pos="160" w:val="left"/>
        </w:tabs>
        <w:numPr>
          <w:ilvl w:val="0"/>
          <w:numId w:val="161"/>
        </w:numPr>
        <w:rPr>
          <w:rFonts w:ascii="Arial" w:cs="Arial" w:eastAsia="Arial" w:hAnsi="Arial"/>
          <w:sz w:val="9"/>
          <w:szCs w:val="9"/>
          <w:color w:val="auto"/>
        </w:rPr>
      </w:pPr>
      <w:r>
        <w:rPr>
          <w:rFonts w:ascii="Arial" w:cs="Arial" w:eastAsia="Arial" w:hAnsi="Arial"/>
          <w:sz w:val="14"/>
          <w:szCs w:val="14"/>
          <w:color w:val="auto"/>
        </w:rPr>
        <w:t>Ms. Ashkenazi forfeited all equity awards following her exit from the company on July 30, 2024.</w:t>
      </w:r>
    </w:p>
    <w:p>
      <w:pPr>
        <w:spacing w:after="0" w:line="161" w:lineRule="exact"/>
        <w:rPr>
          <w:sz w:val="20"/>
          <w:szCs w:val="20"/>
          <w:color w:val="auto"/>
        </w:rPr>
      </w:pPr>
    </w:p>
    <w:p>
      <w:pPr>
        <w:spacing w:after="0"/>
        <w:rPr>
          <w:sz w:val="20"/>
          <w:szCs w:val="20"/>
          <w:color w:val="auto"/>
        </w:rPr>
      </w:pPr>
      <w:r>
        <w:rPr>
          <w:rFonts w:ascii="Arial" w:cs="Arial" w:eastAsia="Arial" w:hAnsi="Arial"/>
          <w:sz w:val="25"/>
          <w:szCs w:val="25"/>
          <w:b w:val="1"/>
          <w:bCs w:val="1"/>
          <w:color w:val="00A1DE"/>
        </w:rPr>
        <w:t>Option Exercises and Stock Vested in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4208780" cy="8255"/>
            <wp:wrapNone/>
            <wp:docPr id="2307" name="Picture 2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7"/>
                    <pic:cNvPicPr>
                      <a:picLocks noChangeAspect="1" noChangeArrowheads="1"/>
                    </pic:cNvPicPr>
                  </pic:nvPicPr>
                  <pic:blipFill>
                    <a:blip r:embed="rId2314">
                      <a:extLst>
                        <a:ext uri="{28A0092B-C50C-407E-A947-70E740481C1C}"/>
                      </a:extLst>
                    </a:blip>
                    <a:srcRect/>
                    <a:stretch>
                      <a:fillRect/>
                    </a:stretch>
                  </pic:blipFill>
                  <pic:spPr bwMode="auto">
                    <a:xfrm>
                      <a:off x="0" y="0"/>
                      <a:ext cx="4208780" cy="8255"/>
                    </a:xfrm>
                    <a:prstGeom prst="rect">
                      <a:avLst/>
                    </a:prstGeom>
                    <a:noFill/>
                  </pic:spPr>
                </pic:pic>
              </a:graphicData>
            </a:graphic>
          </wp:anchor>
        </w:drawing>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040" w:type="dxa"/>
            <w:vAlign w:val="bottom"/>
          </w:tcPr>
          <w:p>
            <w:pPr>
              <w:spacing w:after="0"/>
              <w:rPr>
                <w:sz w:val="17"/>
                <w:szCs w:val="17"/>
                <w:color w:val="auto"/>
              </w:rPr>
            </w:pPr>
          </w:p>
        </w:tc>
        <w:tc>
          <w:tcPr>
            <w:tcW w:w="2340" w:type="dxa"/>
            <w:vAlign w:val="bottom"/>
            <w:tcBorders>
              <w:bottom w:val="single" w:sz="8" w:color="auto"/>
            </w:tcBorders>
            <w:gridSpan w:val="3"/>
          </w:tcPr>
          <w:p>
            <w:pPr>
              <w:ind w:left="1320"/>
              <w:spacing w:after="0"/>
              <w:rPr>
                <w:sz w:val="20"/>
                <w:szCs w:val="20"/>
                <w:color w:val="auto"/>
              </w:rPr>
            </w:pPr>
            <w:r>
              <w:rPr>
                <w:rFonts w:ascii="Arial" w:cs="Arial" w:eastAsia="Arial" w:hAnsi="Arial"/>
                <w:sz w:val="14"/>
                <w:szCs w:val="14"/>
                <w:b w:val="1"/>
                <w:bCs w:val="1"/>
                <w:color w:val="auto"/>
              </w:rPr>
              <w:t>Stock Awards</w:t>
            </w:r>
          </w:p>
        </w:tc>
        <w:tc>
          <w:tcPr>
            <w:tcW w:w="12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99"/>
        </w:trPr>
        <w:tc>
          <w:tcPr>
            <w:tcW w:w="3040" w:type="dxa"/>
            <w:vAlign w:val="bottom"/>
          </w:tcPr>
          <w:p>
            <w:pPr>
              <w:spacing w:after="0"/>
              <w:rPr>
                <w:sz w:val="24"/>
                <w:szCs w:val="24"/>
                <w:color w:val="auto"/>
              </w:rPr>
            </w:pPr>
          </w:p>
        </w:tc>
        <w:tc>
          <w:tcPr>
            <w:tcW w:w="1860" w:type="dxa"/>
            <w:vAlign w:val="bottom"/>
          </w:tcPr>
          <w:p>
            <w:pPr>
              <w:jc w:val="center"/>
              <w:ind w:left="309"/>
              <w:spacing w:after="0"/>
              <w:rPr>
                <w:sz w:val="20"/>
                <w:szCs w:val="20"/>
                <w:color w:val="auto"/>
              </w:rPr>
            </w:pPr>
            <w:r>
              <w:rPr>
                <w:rFonts w:ascii="Arial" w:cs="Arial" w:eastAsia="Arial" w:hAnsi="Arial"/>
                <w:sz w:val="14"/>
                <w:szCs w:val="14"/>
                <w:b w:val="1"/>
                <w:bCs w:val="1"/>
                <w:color w:val="auto"/>
              </w:rPr>
              <w:t>Number of Shares</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jc w:val="right"/>
              <w:ind w:right="128"/>
              <w:spacing w:after="0"/>
              <w:rPr>
                <w:sz w:val="20"/>
                <w:szCs w:val="20"/>
                <w:color w:val="auto"/>
              </w:rPr>
            </w:pPr>
            <w:r>
              <w:rPr>
                <w:rFonts w:ascii="Arial" w:cs="Arial" w:eastAsia="Arial" w:hAnsi="Arial"/>
                <w:sz w:val="14"/>
                <w:szCs w:val="14"/>
                <w:b w:val="1"/>
                <w:bCs w:val="1"/>
                <w:color w:val="auto"/>
              </w:rPr>
              <w:t>Value Realized</w:t>
            </w:r>
          </w:p>
        </w:tc>
        <w:tc>
          <w:tcPr>
            <w:tcW w:w="0" w:type="dxa"/>
            <w:vAlign w:val="bottom"/>
          </w:tcPr>
          <w:p>
            <w:pPr>
              <w:spacing w:after="0"/>
              <w:rPr>
                <w:sz w:val="1"/>
                <w:szCs w:val="1"/>
                <w:color w:val="auto"/>
              </w:rPr>
            </w:pPr>
          </w:p>
        </w:tc>
      </w:tr>
      <w:tr>
        <w:trPr>
          <w:trHeight w:val="176"/>
        </w:trPr>
        <w:tc>
          <w:tcPr>
            <w:tcW w:w="3040" w:type="dxa"/>
            <w:vAlign w:val="bottom"/>
          </w:tcPr>
          <w:p>
            <w:pPr>
              <w:ind w:left="1340"/>
              <w:spacing w:after="0"/>
              <w:rPr>
                <w:sz w:val="20"/>
                <w:szCs w:val="20"/>
                <w:color w:val="auto"/>
              </w:rPr>
            </w:pPr>
            <w:r>
              <w:rPr>
                <w:rFonts w:ascii="Arial" w:cs="Arial" w:eastAsia="Arial" w:hAnsi="Arial"/>
                <w:sz w:val="14"/>
                <w:szCs w:val="14"/>
                <w:b w:val="1"/>
                <w:bCs w:val="1"/>
                <w:color w:val="auto"/>
              </w:rPr>
              <w:t>Name</w:t>
            </w:r>
          </w:p>
        </w:tc>
        <w:tc>
          <w:tcPr>
            <w:tcW w:w="23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Acquired on Vesting (#)</w:t>
            </w:r>
          </w:p>
        </w:tc>
        <w:tc>
          <w:tcPr>
            <w:tcW w:w="1260" w:type="dxa"/>
            <w:vAlign w:val="bottom"/>
          </w:tcPr>
          <w:p>
            <w:pPr>
              <w:jc w:val="right"/>
              <w:ind w:right="128"/>
              <w:spacing w:after="0" w:line="176" w:lineRule="exact"/>
              <w:rPr>
                <w:sz w:val="20"/>
                <w:szCs w:val="20"/>
                <w:color w:val="auto"/>
              </w:rPr>
            </w:pPr>
            <w:r>
              <w:rPr>
                <w:rFonts w:ascii="Arial" w:cs="Arial" w:eastAsia="Arial" w:hAnsi="Arial"/>
                <w:sz w:val="14"/>
                <w:szCs w:val="14"/>
                <w:b w:val="1"/>
                <w:bCs w:val="1"/>
                <w:color w:val="auto"/>
              </w:rPr>
              <w:t>on Vesting ($)</w:t>
            </w:r>
            <w:r>
              <w:rPr>
                <w:rFonts w:ascii="Arial" w:cs="Arial" w:eastAsia="Arial" w:hAnsi="Arial"/>
                <w:sz w:val="18"/>
                <w:szCs w:val="18"/>
                <w:b w:val="1"/>
                <w:bCs w:val="1"/>
                <w:color w:val="auto"/>
                <w:vertAlign w:val="superscript"/>
              </w:rPr>
              <w:t>1</w:t>
            </w:r>
          </w:p>
        </w:tc>
        <w:tc>
          <w:tcPr>
            <w:tcW w:w="0" w:type="dxa"/>
            <w:vAlign w:val="bottom"/>
          </w:tcPr>
          <w:p>
            <w:pPr>
              <w:spacing w:after="0"/>
              <w:rPr>
                <w:sz w:val="1"/>
                <w:szCs w:val="1"/>
                <w:color w:val="auto"/>
              </w:rPr>
            </w:pPr>
          </w:p>
        </w:tc>
      </w:tr>
      <w:tr>
        <w:trPr>
          <w:trHeight w:val="39"/>
        </w:trPr>
        <w:tc>
          <w:tcPr>
            <w:tcW w:w="3040" w:type="dxa"/>
            <w:vAlign w:val="bottom"/>
          </w:tcPr>
          <w:p>
            <w:pPr>
              <w:spacing w:after="0"/>
              <w:rPr>
                <w:sz w:val="3"/>
                <w:szCs w:val="3"/>
                <w:color w:val="auto"/>
              </w:rPr>
            </w:pPr>
          </w:p>
        </w:tc>
        <w:tc>
          <w:tcPr>
            <w:tcW w:w="1860" w:type="dxa"/>
            <w:vAlign w:val="bottom"/>
          </w:tcPr>
          <w:p>
            <w:pPr>
              <w:spacing w:after="0"/>
              <w:rPr>
                <w:sz w:val="3"/>
                <w:szCs w:val="3"/>
                <w:color w:val="auto"/>
              </w:rPr>
            </w:pPr>
          </w:p>
        </w:tc>
        <w:tc>
          <w:tcPr>
            <w:tcW w:w="360" w:type="dxa"/>
            <w:vAlign w:val="bottom"/>
            <w:vMerge w:val="restart"/>
          </w:tcPr>
          <w:p>
            <w:pPr>
              <w:jc w:val="right"/>
              <w:ind w:right="233"/>
              <w:spacing w:after="0"/>
              <w:rPr>
                <w:sz w:val="20"/>
                <w:szCs w:val="20"/>
                <w:color w:val="auto"/>
              </w:rPr>
            </w:pPr>
            <w:r>
              <w:rPr>
                <w:rFonts w:ascii="Arial" w:cs="Arial" w:eastAsia="Arial" w:hAnsi="Arial"/>
                <w:sz w:val="9"/>
                <w:szCs w:val="9"/>
                <w:color w:val="auto"/>
              </w:rPr>
              <w:t>2</w:t>
            </w:r>
          </w:p>
        </w:tc>
        <w:tc>
          <w:tcPr>
            <w:tcW w:w="1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4"/>
        </w:trPr>
        <w:tc>
          <w:tcPr>
            <w:tcW w:w="3040" w:type="dxa"/>
            <w:vAlign w:val="bottom"/>
            <w:vMerge w:val="restart"/>
            <w:shd w:val="clear" w:color="auto" w:fill="F2F2F2"/>
          </w:tcPr>
          <w:p>
            <w:pPr>
              <w:ind w:left="20"/>
              <w:spacing w:after="0"/>
              <w:rPr>
                <w:sz w:val="20"/>
                <w:szCs w:val="20"/>
                <w:color w:val="auto"/>
              </w:rPr>
            </w:pPr>
            <w:r>
              <w:rPr>
                <w:rFonts w:ascii="Arial" w:cs="Arial" w:eastAsia="Arial" w:hAnsi="Arial"/>
                <w:sz w:val="14"/>
                <w:szCs w:val="14"/>
                <w:color w:val="auto"/>
              </w:rPr>
              <w:t>Mr. Ricks</w:t>
            </w:r>
          </w:p>
        </w:tc>
        <w:tc>
          <w:tcPr>
            <w:tcW w:w="1860" w:type="dxa"/>
            <w:vAlign w:val="bottom"/>
            <w:vMerge w:val="restart"/>
            <w:shd w:val="clear" w:color="auto" w:fill="F2F2F2"/>
          </w:tcPr>
          <w:p>
            <w:pPr>
              <w:jc w:val="right"/>
              <w:spacing w:after="0"/>
              <w:rPr>
                <w:sz w:val="20"/>
                <w:szCs w:val="20"/>
                <w:color w:val="auto"/>
              </w:rPr>
            </w:pPr>
            <w:r>
              <w:rPr>
                <w:rFonts w:ascii="Arial" w:cs="Arial" w:eastAsia="Arial" w:hAnsi="Arial"/>
                <w:sz w:val="14"/>
                <w:szCs w:val="14"/>
                <w:color w:val="auto"/>
              </w:rPr>
              <w:t>29,611</w:t>
            </w:r>
          </w:p>
        </w:tc>
        <w:tc>
          <w:tcPr>
            <w:tcW w:w="3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60" w:type="dxa"/>
            <w:vAlign w:val="bottom"/>
            <w:vMerge w:val="restart"/>
          </w:tcPr>
          <w:p>
            <w:pPr>
              <w:jc w:val="right"/>
              <w:ind w:right="8"/>
              <w:spacing w:after="0"/>
              <w:rPr>
                <w:sz w:val="20"/>
                <w:szCs w:val="20"/>
                <w:color w:val="auto"/>
              </w:rPr>
            </w:pPr>
            <w:r>
              <w:rPr>
                <w:rFonts w:ascii="Arial" w:cs="Arial" w:eastAsia="Arial" w:hAnsi="Arial"/>
                <w:sz w:val="14"/>
                <w:szCs w:val="14"/>
                <w:color w:val="auto"/>
              </w:rPr>
              <w:t>$19,117,158</w:t>
            </w:r>
          </w:p>
        </w:tc>
        <w:tc>
          <w:tcPr>
            <w:tcW w:w="0" w:type="dxa"/>
            <w:vAlign w:val="bottom"/>
          </w:tcPr>
          <w:p>
            <w:pPr>
              <w:spacing w:after="0"/>
              <w:rPr>
                <w:sz w:val="1"/>
                <w:szCs w:val="1"/>
                <w:color w:val="auto"/>
              </w:rPr>
            </w:pPr>
          </w:p>
        </w:tc>
      </w:tr>
      <w:tr>
        <w:trPr>
          <w:trHeight w:val="151"/>
        </w:trPr>
        <w:tc>
          <w:tcPr>
            <w:tcW w:w="3040" w:type="dxa"/>
            <w:vAlign w:val="bottom"/>
            <w:vMerge w:val="continue"/>
            <w:shd w:val="clear" w:color="auto" w:fill="F2F2F2"/>
          </w:tcPr>
          <w:p>
            <w:pPr>
              <w:spacing w:after="0"/>
              <w:rPr>
                <w:sz w:val="13"/>
                <w:szCs w:val="13"/>
                <w:color w:val="auto"/>
              </w:rPr>
            </w:pPr>
          </w:p>
        </w:tc>
        <w:tc>
          <w:tcPr>
            <w:tcW w:w="1860" w:type="dxa"/>
            <w:vAlign w:val="bottom"/>
            <w:vMerge w:val="continue"/>
            <w:shd w:val="clear" w:color="auto" w:fill="F2F2F2"/>
          </w:tcPr>
          <w:p>
            <w:pPr>
              <w:spacing w:after="0"/>
              <w:rPr>
                <w:sz w:val="13"/>
                <w:szCs w:val="13"/>
                <w:color w:val="auto"/>
              </w:rPr>
            </w:pPr>
          </w:p>
        </w:tc>
        <w:tc>
          <w:tcPr>
            <w:tcW w:w="360" w:type="dxa"/>
            <w:vAlign w:val="bottom"/>
            <w:vMerge w:val="restart"/>
          </w:tcPr>
          <w:p>
            <w:pPr>
              <w:jc w:val="right"/>
              <w:ind w:right="233"/>
              <w:spacing w:after="0"/>
              <w:rPr>
                <w:sz w:val="20"/>
                <w:szCs w:val="20"/>
                <w:color w:val="auto"/>
              </w:rPr>
            </w:pPr>
            <w:r>
              <w:rPr>
                <w:rFonts w:ascii="Arial" w:cs="Arial" w:eastAsia="Arial" w:hAnsi="Arial"/>
                <w:sz w:val="9"/>
                <w:szCs w:val="9"/>
                <w:color w:val="auto"/>
              </w:rPr>
              <w:t>3</w:t>
            </w:r>
          </w:p>
        </w:tc>
        <w:tc>
          <w:tcPr>
            <w:tcW w:w="120" w:type="dxa"/>
            <w:vAlign w:val="bottom"/>
          </w:tcPr>
          <w:p>
            <w:pPr>
              <w:spacing w:after="0"/>
              <w:rPr>
                <w:sz w:val="13"/>
                <w:szCs w:val="13"/>
                <w:color w:val="auto"/>
              </w:rPr>
            </w:pPr>
          </w:p>
        </w:tc>
        <w:tc>
          <w:tcPr>
            <w:tcW w:w="1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040" w:type="dxa"/>
            <w:vAlign w:val="bottom"/>
            <w:shd w:val="clear" w:color="auto" w:fill="F2F2F2"/>
          </w:tcPr>
          <w:p>
            <w:pPr>
              <w:spacing w:after="0"/>
              <w:rPr>
                <w:sz w:val="9"/>
                <w:szCs w:val="9"/>
                <w:color w:val="auto"/>
              </w:rPr>
            </w:pPr>
          </w:p>
        </w:tc>
        <w:tc>
          <w:tcPr>
            <w:tcW w:w="1860" w:type="dxa"/>
            <w:vAlign w:val="bottom"/>
            <w:vMerge w:val="restart"/>
            <w:shd w:val="clear" w:color="auto" w:fill="F2F2F2"/>
          </w:tcPr>
          <w:p>
            <w:pPr>
              <w:jc w:val="right"/>
              <w:spacing w:after="0"/>
              <w:rPr>
                <w:sz w:val="20"/>
                <w:szCs w:val="20"/>
                <w:color w:val="auto"/>
              </w:rPr>
            </w:pPr>
            <w:r>
              <w:rPr>
                <w:rFonts w:ascii="Arial" w:cs="Arial" w:eastAsia="Arial" w:hAnsi="Arial"/>
                <w:sz w:val="14"/>
                <w:szCs w:val="14"/>
                <w:color w:val="auto"/>
              </w:rPr>
              <w:t>56,651</w:t>
            </w:r>
          </w:p>
        </w:tc>
        <w:tc>
          <w:tcPr>
            <w:tcW w:w="3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vMerge w:val="restart"/>
          </w:tcPr>
          <w:p>
            <w:pPr>
              <w:jc w:val="right"/>
              <w:ind w:right="8"/>
              <w:spacing w:after="0"/>
              <w:rPr>
                <w:sz w:val="20"/>
                <w:szCs w:val="20"/>
                <w:color w:val="auto"/>
              </w:rPr>
            </w:pPr>
            <w:r>
              <w:rPr>
                <w:rFonts w:ascii="Arial" w:cs="Arial" w:eastAsia="Arial" w:hAnsi="Arial"/>
                <w:sz w:val="14"/>
                <w:szCs w:val="14"/>
                <w:color w:val="auto"/>
              </w:rPr>
              <w:t>$49,222,921</w:t>
            </w:r>
          </w:p>
        </w:tc>
        <w:tc>
          <w:tcPr>
            <w:tcW w:w="0" w:type="dxa"/>
            <w:vAlign w:val="bottom"/>
          </w:tcPr>
          <w:p>
            <w:pPr>
              <w:spacing w:after="0"/>
              <w:rPr>
                <w:sz w:val="1"/>
                <w:szCs w:val="1"/>
                <w:color w:val="auto"/>
              </w:rPr>
            </w:pPr>
          </w:p>
        </w:tc>
      </w:tr>
      <w:tr>
        <w:trPr>
          <w:trHeight w:val="151"/>
        </w:trPr>
        <w:tc>
          <w:tcPr>
            <w:tcW w:w="3040" w:type="dxa"/>
            <w:vAlign w:val="bottom"/>
            <w:shd w:val="clear" w:color="auto" w:fill="F2F2F2"/>
          </w:tcPr>
          <w:p>
            <w:pPr>
              <w:spacing w:after="0"/>
              <w:rPr>
                <w:sz w:val="13"/>
                <w:szCs w:val="13"/>
                <w:color w:val="auto"/>
              </w:rPr>
            </w:pPr>
          </w:p>
        </w:tc>
        <w:tc>
          <w:tcPr>
            <w:tcW w:w="1860" w:type="dxa"/>
            <w:vAlign w:val="bottom"/>
            <w:vMerge w:val="continue"/>
            <w:shd w:val="clear" w:color="auto" w:fill="F2F2F2"/>
          </w:tcPr>
          <w:p>
            <w:pPr>
              <w:spacing w:after="0"/>
              <w:rPr>
                <w:sz w:val="13"/>
                <w:szCs w:val="13"/>
                <w:color w:val="auto"/>
              </w:rPr>
            </w:pPr>
          </w:p>
        </w:tc>
        <w:tc>
          <w:tcPr>
            <w:tcW w:w="360" w:type="dxa"/>
            <w:vAlign w:val="bottom"/>
            <w:vMerge w:val="restart"/>
          </w:tcPr>
          <w:p>
            <w:pPr>
              <w:jc w:val="right"/>
              <w:ind w:right="233"/>
              <w:spacing w:after="0"/>
              <w:rPr>
                <w:sz w:val="20"/>
                <w:szCs w:val="20"/>
                <w:color w:val="auto"/>
              </w:rPr>
            </w:pPr>
            <w:r>
              <w:rPr>
                <w:rFonts w:ascii="Arial" w:cs="Arial" w:eastAsia="Arial" w:hAnsi="Arial"/>
                <w:sz w:val="9"/>
                <w:szCs w:val="9"/>
                <w:color w:val="auto"/>
              </w:rPr>
              <w:t>4</w:t>
            </w:r>
          </w:p>
        </w:tc>
        <w:tc>
          <w:tcPr>
            <w:tcW w:w="120" w:type="dxa"/>
            <w:vAlign w:val="bottom"/>
          </w:tcPr>
          <w:p>
            <w:pPr>
              <w:spacing w:after="0"/>
              <w:rPr>
                <w:sz w:val="13"/>
                <w:szCs w:val="13"/>
                <w:color w:val="auto"/>
              </w:rPr>
            </w:pPr>
          </w:p>
        </w:tc>
        <w:tc>
          <w:tcPr>
            <w:tcW w:w="1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
        </w:trPr>
        <w:tc>
          <w:tcPr>
            <w:tcW w:w="3040" w:type="dxa"/>
            <w:vAlign w:val="bottom"/>
            <w:shd w:val="clear" w:color="auto" w:fill="F2F2F2"/>
          </w:tcPr>
          <w:p>
            <w:pPr>
              <w:spacing w:after="0" w:line="20" w:lineRule="exact"/>
              <w:rPr>
                <w:sz w:val="1"/>
                <w:szCs w:val="1"/>
                <w:color w:val="auto"/>
              </w:rPr>
            </w:pPr>
          </w:p>
        </w:tc>
        <w:tc>
          <w:tcPr>
            <w:tcW w:w="1860" w:type="dxa"/>
            <w:vAlign w:val="bottom"/>
            <w:shd w:val="clear" w:color="auto" w:fill="F2F2F2"/>
          </w:tcPr>
          <w:p>
            <w:pPr>
              <w:spacing w:after="0" w:line="20" w:lineRule="exact"/>
              <w:rPr>
                <w:sz w:val="1"/>
                <w:szCs w:val="1"/>
                <w:color w:val="auto"/>
              </w:rPr>
            </w:pPr>
          </w:p>
        </w:tc>
        <w:tc>
          <w:tcPr>
            <w:tcW w:w="36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
        </w:trPr>
        <w:tc>
          <w:tcPr>
            <w:tcW w:w="3040" w:type="dxa"/>
            <w:vAlign w:val="bottom"/>
            <w:shd w:val="clear" w:color="auto" w:fill="F2F2F2"/>
          </w:tcPr>
          <w:p>
            <w:pPr>
              <w:spacing w:after="0"/>
              <w:rPr>
                <w:sz w:val="7"/>
                <w:szCs w:val="7"/>
                <w:color w:val="auto"/>
              </w:rPr>
            </w:pPr>
          </w:p>
        </w:tc>
        <w:tc>
          <w:tcPr>
            <w:tcW w:w="1860" w:type="dxa"/>
            <w:vAlign w:val="bottom"/>
            <w:vMerge w:val="restart"/>
            <w:shd w:val="clear" w:color="auto" w:fill="F2F2F2"/>
          </w:tcPr>
          <w:p>
            <w:pPr>
              <w:jc w:val="right"/>
              <w:spacing w:after="0"/>
              <w:rPr>
                <w:sz w:val="20"/>
                <w:szCs w:val="20"/>
                <w:color w:val="auto"/>
              </w:rPr>
            </w:pPr>
            <w:r>
              <w:rPr>
                <w:rFonts w:ascii="Arial" w:cs="Arial" w:eastAsia="Arial" w:hAnsi="Arial"/>
                <w:sz w:val="14"/>
                <w:szCs w:val="14"/>
                <w:color w:val="auto"/>
              </w:rPr>
              <w:t>43,274</w:t>
            </w:r>
          </w:p>
        </w:tc>
        <w:tc>
          <w:tcPr>
            <w:tcW w:w="360" w:type="dxa"/>
            <w:vAlign w:val="bottom"/>
            <w:vMerge w:val="continue"/>
          </w:tcPr>
          <w:p>
            <w:pPr>
              <w:spacing w:after="0"/>
              <w:rPr>
                <w:sz w:val="7"/>
                <w:szCs w:val="7"/>
                <w:color w:val="auto"/>
              </w:rPr>
            </w:pPr>
          </w:p>
        </w:tc>
        <w:tc>
          <w:tcPr>
            <w:tcW w:w="120" w:type="dxa"/>
            <w:vAlign w:val="bottom"/>
            <w:shd w:val="clear" w:color="auto" w:fill="F2F2F2"/>
          </w:tcPr>
          <w:p>
            <w:pPr>
              <w:spacing w:after="0"/>
              <w:rPr>
                <w:sz w:val="7"/>
                <w:szCs w:val="7"/>
                <w:color w:val="auto"/>
              </w:rPr>
            </w:pPr>
          </w:p>
        </w:tc>
        <w:tc>
          <w:tcPr>
            <w:tcW w:w="1260" w:type="dxa"/>
            <w:vAlign w:val="bottom"/>
            <w:vMerge w:val="restart"/>
            <w:shd w:val="clear" w:color="auto" w:fill="F2F2F2"/>
          </w:tcPr>
          <w:p>
            <w:pPr>
              <w:jc w:val="right"/>
              <w:ind w:right="8"/>
              <w:spacing w:after="0"/>
              <w:rPr>
                <w:sz w:val="20"/>
                <w:szCs w:val="20"/>
                <w:color w:val="auto"/>
              </w:rPr>
            </w:pPr>
            <w:r>
              <w:rPr>
                <w:rFonts w:ascii="Arial" w:cs="Arial" w:eastAsia="Arial" w:hAnsi="Arial"/>
                <w:sz w:val="14"/>
                <w:szCs w:val="14"/>
                <w:color w:val="auto"/>
              </w:rPr>
              <w:t>$37,599,913</w:t>
            </w:r>
          </w:p>
        </w:tc>
        <w:tc>
          <w:tcPr>
            <w:tcW w:w="0" w:type="dxa"/>
            <w:vAlign w:val="bottom"/>
          </w:tcPr>
          <w:p>
            <w:pPr>
              <w:spacing w:after="0"/>
              <w:rPr>
                <w:sz w:val="1"/>
                <w:szCs w:val="1"/>
                <w:color w:val="auto"/>
              </w:rPr>
            </w:pPr>
          </w:p>
        </w:tc>
      </w:tr>
      <w:tr>
        <w:trPr>
          <w:trHeight w:val="152"/>
        </w:trPr>
        <w:tc>
          <w:tcPr>
            <w:tcW w:w="3040" w:type="dxa"/>
            <w:vAlign w:val="bottom"/>
            <w:tcBorders>
              <w:bottom w:val="single" w:sz="8" w:color="F2F2F2"/>
            </w:tcBorders>
            <w:shd w:val="clear" w:color="auto" w:fill="F2F2F2"/>
          </w:tcPr>
          <w:p>
            <w:pPr>
              <w:spacing w:after="0"/>
              <w:rPr>
                <w:sz w:val="13"/>
                <w:szCs w:val="13"/>
                <w:color w:val="auto"/>
              </w:rPr>
            </w:pPr>
          </w:p>
        </w:tc>
        <w:tc>
          <w:tcPr>
            <w:tcW w:w="1860" w:type="dxa"/>
            <w:vAlign w:val="bottom"/>
            <w:tcBorders>
              <w:bottom w:val="single" w:sz="8" w:color="F2F2F2"/>
            </w:tcBorders>
            <w:vMerge w:val="continue"/>
            <w:shd w:val="clear" w:color="auto" w:fill="F2F2F2"/>
          </w:tcPr>
          <w:p>
            <w:pPr>
              <w:spacing w:after="0"/>
              <w:rPr>
                <w:sz w:val="13"/>
                <w:szCs w:val="13"/>
                <w:color w:val="auto"/>
              </w:rPr>
            </w:pPr>
          </w:p>
        </w:tc>
        <w:tc>
          <w:tcPr>
            <w:tcW w:w="360" w:type="dxa"/>
            <w:vAlign w:val="bottom"/>
            <w:vMerge w:val="restart"/>
          </w:tcPr>
          <w:p>
            <w:pPr>
              <w:jc w:val="right"/>
              <w:ind w:right="233"/>
              <w:spacing w:after="0"/>
              <w:rPr>
                <w:sz w:val="20"/>
                <w:szCs w:val="20"/>
                <w:color w:val="auto"/>
              </w:rPr>
            </w:pPr>
            <w:r>
              <w:rPr>
                <w:rFonts w:ascii="Arial" w:cs="Arial" w:eastAsia="Arial" w:hAnsi="Arial"/>
                <w:sz w:val="9"/>
                <w:szCs w:val="9"/>
                <w:color w:val="auto"/>
              </w:rPr>
              <w:t>3</w:t>
            </w:r>
          </w:p>
        </w:tc>
        <w:tc>
          <w:tcPr>
            <w:tcW w:w="120" w:type="dxa"/>
            <w:vAlign w:val="bottom"/>
            <w:tcBorders>
              <w:bottom w:val="single" w:sz="8" w:color="F2F2F2"/>
            </w:tcBorders>
            <w:shd w:val="clear" w:color="auto" w:fill="F2F2F2"/>
          </w:tcPr>
          <w:p>
            <w:pPr>
              <w:spacing w:after="0"/>
              <w:rPr>
                <w:sz w:val="13"/>
                <w:szCs w:val="13"/>
                <w:color w:val="auto"/>
              </w:rPr>
            </w:pPr>
          </w:p>
        </w:tc>
        <w:tc>
          <w:tcPr>
            <w:tcW w:w="1260" w:type="dxa"/>
            <w:vAlign w:val="bottom"/>
            <w:tcBorders>
              <w:bottom w:val="single" w:sz="8" w:color="F2F2F2"/>
            </w:tcBorders>
            <w:vMerge w:val="continue"/>
            <w:shd w:val="clear" w:color="auto" w:fill="F2F2F2"/>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3040" w:type="dxa"/>
            <w:vAlign w:val="bottom"/>
            <w:vMerge w:val="restart"/>
          </w:tcPr>
          <w:p>
            <w:pPr>
              <w:ind w:left="20"/>
              <w:spacing w:after="0"/>
              <w:rPr>
                <w:sz w:val="20"/>
                <w:szCs w:val="20"/>
                <w:color w:val="auto"/>
              </w:rPr>
            </w:pPr>
            <w:r>
              <w:rPr>
                <w:rFonts w:ascii="Arial" w:cs="Arial" w:eastAsia="Arial" w:hAnsi="Arial"/>
                <w:sz w:val="14"/>
                <w:szCs w:val="14"/>
                <w:color w:val="auto"/>
              </w:rPr>
              <w:t>Mr. Montarce</w:t>
            </w:r>
          </w:p>
        </w:tc>
        <w:tc>
          <w:tcPr>
            <w:tcW w:w="1860" w:type="dxa"/>
            <w:vAlign w:val="bottom"/>
            <w:vMerge w:val="restart"/>
          </w:tcPr>
          <w:p>
            <w:pPr>
              <w:jc w:val="right"/>
              <w:spacing w:after="0"/>
              <w:rPr>
                <w:sz w:val="20"/>
                <w:szCs w:val="20"/>
                <w:color w:val="auto"/>
              </w:rPr>
            </w:pPr>
            <w:r>
              <w:rPr>
                <w:rFonts w:ascii="Arial" w:cs="Arial" w:eastAsia="Arial" w:hAnsi="Arial"/>
                <w:sz w:val="14"/>
                <w:szCs w:val="14"/>
                <w:color w:val="auto"/>
              </w:rPr>
              <w:t>1,141</w:t>
            </w:r>
          </w:p>
        </w:tc>
        <w:tc>
          <w:tcPr>
            <w:tcW w:w="3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60" w:type="dxa"/>
            <w:vAlign w:val="bottom"/>
            <w:vMerge w:val="restart"/>
          </w:tcPr>
          <w:p>
            <w:pPr>
              <w:jc w:val="right"/>
              <w:ind w:right="8"/>
              <w:spacing w:after="0"/>
              <w:rPr>
                <w:sz w:val="20"/>
                <w:szCs w:val="20"/>
                <w:color w:val="auto"/>
              </w:rPr>
            </w:pPr>
            <w:r>
              <w:rPr>
                <w:rFonts w:ascii="Arial" w:cs="Arial" w:eastAsia="Arial" w:hAnsi="Arial"/>
                <w:sz w:val="14"/>
                <w:szCs w:val="14"/>
                <w:color w:val="auto"/>
              </w:rPr>
              <w:t>$1,071,981</w:t>
            </w:r>
          </w:p>
        </w:tc>
        <w:tc>
          <w:tcPr>
            <w:tcW w:w="0" w:type="dxa"/>
            <w:vAlign w:val="bottom"/>
          </w:tcPr>
          <w:p>
            <w:pPr>
              <w:spacing w:after="0"/>
              <w:rPr>
                <w:sz w:val="1"/>
                <w:szCs w:val="1"/>
                <w:color w:val="auto"/>
              </w:rPr>
            </w:pPr>
          </w:p>
        </w:tc>
      </w:tr>
      <w:tr>
        <w:trPr>
          <w:trHeight w:val="151"/>
        </w:trPr>
        <w:tc>
          <w:tcPr>
            <w:tcW w:w="3040" w:type="dxa"/>
            <w:vAlign w:val="bottom"/>
            <w:vMerge w:val="continue"/>
          </w:tcPr>
          <w:p>
            <w:pPr>
              <w:spacing w:after="0"/>
              <w:rPr>
                <w:sz w:val="13"/>
                <w:szCs w:val="13"/>
                <w:color w:val="auto"/>
              </w:rPr>
            </w:pPr>
          </w:p>
        </w:tc>
        <w:tc>
          <w:tcPr>
            <w:tcW w:w="186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304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4"/>
                <w:szCs w:val="14"/>
                <w:color w:val="auto"/>
              </w:rPr>
              <w:t>1,234</w:t>
            </w:r>
          </w:p>
        </w:tc>
        <w:tc>
          <w:tcPr>
            <w:tcW w:w="360" w:type="dxa"/>
            <w:vAlign w:val="bottom"/>
          </w:tcPr>
          <w:p>
            <w:pPr>
              <w:jc w:val="right"/>
              <w:ind w:right="233"/>
              <w:spacing w:after="0"/>
              <w:rPr>
                <w:sz w:val="20"/>
                <w:szCs w:val="20"/>
                <w:color w:val="auto"/>
              </w:rPr>
            </w:pPr>
            <w:r>
              <w:rPr>
                <w:rFonts w:ascii="Arial" w:cs="Arial" w:eastAsia="Arial" w:hAnsi="Arial"/>
                <w:sz w:val="9"/>
                <w:szCs w:val="9"/>
                <w:color w:val="auto"/>
              </w:rPr>
              <w:t>4</w:t>
            </w:r>
          </w:p>
        </w:tc>
        <w:tc>
          <w:tcPr>
            <w:tcW w:w="120" w:type="dxa"/>
            <w:vAlign w:val="bottom"/>
          </w:tcPr>
          <w:p>
            <w:pPr>
              <w:spacing w:after="0"/>
              <w:rPr>
                <w:sz w:val="20"/>
                <w:szCs w:val="20"/>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$991,392</w:t>
            </w:r>
          </w:p>
        </w:tc>
        <w:tc>
          <w:tcPr>
            <w:tcW w:w="0" w:type="dxa"/>
            <w:vAlign w:val="bottom"/>
          </w:tcPr>
          <w:p>
            <w:pPr>
              <w:spacing w:after="0"/>
              <w:rPr>
                <w:sz w:val="1"/>
                <w:szCs w:val="1"/>
                <w:color w:val="auto"/>
              </w:rPr>
            </w:pPr>
          </w:p>
        </w:tc>
      </w:tr>
      <w:tr>
        <w:trPr>
          <w:trHeight w:val="123"/>
        </w:trPr>
        <w:tc>
          <w:tcPr>
            <w:tcW w:w="3040" w:type="dxa"/>
            <w:vAlign w:val="bottom"/>
          </w:tcPr>
          <w:p>
            <w:pPr>
              <w:spacing w:after="0"/>
              <w:rPr>
                <w:sz w:val="10"/>
                <w:szCs w:val="10"/>
                <w:color w:val="auto"/>
              </w:rPr>
            </w:pPr>
          </w:p>
        </w:tc>
        <w:tc>
          <w:tcPr>
            <w:tcW w:w="1860" w:type="dxa"/>
            <w:vAlign w:val="bottom"/>
            <w:vMerge w:val="restart"/>
          </w:tcPr>
          <w:p>
            <w:pPr>
              <w:jc w:val="right"/>
              <w:spacing w:after="0"/>
              <w:rPr>
                <w:sz w:val="20"/>
                <w:szCs w:val="20"/>
                <w:color w:val="auto"/>
              </w:rPr>
            </w:pPr>
            <w:r>
              <w:rPr>
                <w:rFonts w:ascii="Arial" w:cs="Arial" w:eastAsia="Arial" w:hAnsi="Arial"/>
                <w:sz w:val="14"/>
                <w:szCs w:val="14"/>
                <w:color w:val="auto"/>
              </w:rPr>
              <w:t>2,382</w:t>
            </w:r>
          </w:p>
        </w:tc>
        <w:tc>
          <w:tcPr>
            <w:tcW w:w="360" w:type="dxa"/>
            <w:vAlign w:val="bottom"/>
          </w:tcPr>
          <w:p>
            <w:pPr>
              <w:jc w:val="right"/>
              <w:ind w:right="233"/>
              <w:spacing w:after="0"/>
              <w:rPr>
                <w:sz w:val="20"/>
                <w:szCs w:val="20"/>
                <w:color w:val="auto"/>
              </w:rPr>
            </w:pPr>
            <w:r>
              <w:rPr>
                <w:rFonts w:ascii="Arial" w:cs="Arial" w:eastAsia="Arial" w:hAnsi="Arial"/>
                <w:sz w:val="9"/>
                <w:szCs w:val="9"/>
                <w:color w:val="auto"/>
              </w:rPr>
              <w:t>5</w:t>
            </w:r>
          </w:p>
        </w:tc>
        <w:tc>
          <w:tcPr>
            <w:tcW w:w="120" w:type="dxa"/>
            <w:vAlign w:val="bottom"/>
          </w:tcPr>
          <w:p>
            <w:pPr>
              <w:spacing w:after="0"/>
              <w:rPr>
                <w:sz w:val="10"/>
                <w:szCs w:val="10"/>
                <w:color w:val="auto"/>
              </w:rPr>
            </w:pPr>
          </w:p>
        </w:tc>
        <w:tc>
          <w:tcPr>
            <w:tcW w:w="1260" w:type="dxa"/>
            <w:vAlign w:val="bottom"/>
            <w:vMerge w:val="restart"/>
          </w:tcPr>
          <w:p>
            <w:pPr>
              <w:jc w:val="right"/>
              <w:ind w:right="8"/>
              <w:spacing w:after="0"/>
              <w:rPr>
                <w:sz w:val="20"/>
                <w:szCs w:val="20"/>
                <w:color w:val="auto"/>
              </w:rPr>
            </w:pPr>
            <w:r>
              <w:rPr>
                <w:rFonts w:ascii="Arial" w:cs="Arial" w:eastAsia="Arial" w:hAnsi="Arial"/>
                <w:sz w:val="14"/>
                <w:szCs w:val="14"/>
                <w:color w:val="auto"/>
              </w:rPr>
              <w:t>$2,069,672</w:t>
            </w:r>
          </w:p>
        </w:tc>
        <w:tc>
          <w:tcPr>
            <w:tcW w:w="0" w:type="dxa"/>
            <w:vAlign w:val="bottom"/>
          </w:tcPr>
          <w:p>
            <w:pPr>
              <w:spacing w:after="0"/>
              <w:rPr>
                <w:sz w:val="1"/>
                <w:szCs w:val="1"/>
                <w:color w:val="auto"/>
              </w:rPr>
            </w:pPr>
          </w:p>
        </w:tc>
      </w:tr>
      <w:tr>
        <w:trPr>
          <w:trHeight w:val="151"/>
        </w:trPr>
        <w:tc>
          <w:tcPr>
            <w:tcW w:w="3040" w:type="dxa"/>
            <w:vAlign w:val="bottom"/>
          </w:tcPr>
          <w:p>
            <w:pPr>
              <w:spacing w:after="0"/>
              <w:rPr>
                <w:sz w:val="13"/>
                <w:szCs w:val="13"/>
                <w:color w:val="auto"/>
              </w:rPr>
            </w:pPr>
          </w:p>
        </w:tc>
        <w:tc>
          <w:tcPr>
            <w:tcW w:w="1860" w:type="dxa"/>
            <w:vAlign w:val="bottom"/>
            <w:vMerge w:val="continue"/>
          </w:tcPr>
          <w:p>
            <w:pPr>
              <w:spacing w:after="0"/>
              <w:rPr>
                <w:sz w:val="13"/>
                <w:szCs w:val="13"/>
                <w:color w:val="auto"/>
              </w:rPr>
            </w:pPr>
          </w:p>
        </w:tc>
        <w:tc>
          <w:tcPr>
            <w:tcW w:w="360" w:type="dxa"/>
            <w:vAlign w:val="bottom"/>
            <w:vMerge w:val="restart"/>
          </w:tcPr>
          <w:p>
            <w:pPr>
              <w:jc w:val="right"/>
              <w:ind w:right="233"/>
              <w:spacing w:after="0"/>
              <w:rPr>
                <w:sz w:val="20"/>
                <w:szCs w:val="20"/>
                <w:color w:val="auto"/>
              </w:rPr>
            </w:pPr>
            <w:r>
              <w:rPr>
                <w:rFonts w:ascii="Arial" w:cs="Arial" w:eastAsia="Arial" w:hAnsi="Arial"/>
                <w:sz w:val="9"/>
                <w:szCs w:val="9"/>
                <w:color w:val="auto"/>
              </w:rPr>
              <w:t>6</w:t>
            </w:r>
          </w:p>
        </w:tc>
        <w:tc>
          <w:tcPr>
            <w:tcW w:w="120" w:type="dxa"/>
            <w:vAlign w:val="bottom"/>
          </w:tcPr>
          <w:p>
            <w:pPr>
              <w:spacing w:after="0"/>
              <w:rPr>
                <w:sz w:val="13"/>
                <w:szCs w:val="13"/>
                <w:color w:val="auto"/>
              </w:rPr>
            </w:pPr>
          </w:p>
        </w:tc>
        <w:tc>
          <w:tcPr>
            <w:tcW w:w="1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040" w:type="dxa"/>
            <w:vAlign w:val="bottom"/>
          </w:tcPr>
          <w:p>
            <w:pPr>
              <w:spacing w:after="0"/>
              <w:rPr>
                <w:sz w:val="9"/>
                <w:szCs w:val="9"/>
                <w:color w:val="auto"/>
              </w:rPr>
            </w:pPr>
          </w:p>
        </w:tc>
        <w:tc>
          <w:tcPr>
            <w:tcW w:w="1860" w:type="dxa"/>
            <w:vAlign w:val="bottom"/>
            <w:vMerge w:val="restart"/>
          </w:tcPr>
          <w:p>
            <w:pPr>
              <w:jc w:val="right"/>
              <w:spacing w:after="0"/>
              <w:rPr>
                <w:sz w:val="20"/>
                <w:szCs w:val="20"/>
                <w:color w:val="auto"/>
              </w:rPr>
            </w:pPr>
            <w:r>
              <w:rPr>
                <w:rFonts w:ascii="Arial" w:cs="Arial" w:eastAsia="Arial" w:hAnsi="Arial"/>
                <w:sz w:val="14"/>
                <w:szCs w:val="14"/>
                <w:color w:val="auto"/>
              </w:rPr>
              <w:t>1,074</w:t>
            </w:r>
          </w:p>
        </w:tc>
        <w:tc>
          <w:tcPr>
            <w:tcW w:w="3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vMerge w:val="restart"/>
          </w:tcPr>
          <w:p>
            <w:pPr>
              <w:jc w:val="right"/>
              <w:ind w:right="8"/>
              <w:spacing w:after="0"/>
              <w:rPr>
                <w:sz w:val="20"/>
                <w:szCs w:val="20"/>
                <w:color w:val="auto"/>
              </w:rPr>
            </w:pPr>
            <w:r>
              <w:rPr>
                <w:rFonts w:ascii="Arial" w:cs="Arial" w:eastAsia="Arial" w:hAnsi="Arial"/>
                <w:sz w:val="14"/>
                <w:szCs w:val="14"/>
                <w:color w:val="auto"/>
              </w:rPr>
              <w:t>$879,531</w:t>
            </w:r>
          </w:p>
        </w:tc>
        <w:tc>
          <w:tcPr>
            <w:tcW w:w="0" w:type="dxa"/>
            <w:vAlign w:val="bottom"/>
          </w:tcPr>
          <w:p>
            <w:pPr>
              <w:spacing w:after="0"/>
              <w:rPr>
                <w:sz w:val="1"/>
                <w:szCs w:val="1"/>
                <w:color w:val="auto"/>
              </w:rPr>
            </w:pPr>
          </w:p>
        </w:tc>
      </w:tr>
      <w:tr>
        <w:trPr>
          <w:trHeight w:val="151"/>
        </w:trPr>
        <w:tc>
          <w:tcPr>
            <w:tcW w:w="3040" w:type="dxa"/>
            <w:vAlign w:val="bottom"/>
          </w:tcPr>
          <w:p>
            <w:pPr>
              <w:spacing w:after="0"/>
              <w:rPr>
                <w:sz w:val="13"/>
                <w:szCs w:val="13"/>
                <w:color w:val="auto"/>
              </w:rPr>
            </w:pPr>
          </w:p>
        </w:tc>
        <w:tc>
          <w:tcPr>
            <w:tcW w:w="1860" w:type="dxa"/>
            <w:vAlign w:val="bottom"/>
            <w:vMerge w:val="continue"/>
          </w:tcPr>
          <w:p>
            <w:pPr>
              <w:spacing w:after="0"/>
              <w:rPr>
                <w:sz w:val="13"/>
                <w:szCs w:val="13"/>
                <w:color w:val="auto"/>
              </w:rPr>
            </w:pPr>
          </w:p>
        </w:tc>
        <w:tc>
          <w:tcPr>
            <w:tcW w:w="360" w:type="dxa"/>
            <w:vAlign w:val="bottom"/>
            <w:vMerge w:val="restart"/>
          </w:tcPr>
          <w:p>
            <w:pPr>
              <w:jc w:val="right"/>
              <w:ind w:right="233"/>
              <w:spacing w:after="0"/>
              <w:rPr>
                <w:sz w:val="20"/>
                <w:szCs w:val="20"/>
                <w:color w:val="auto"/>
              </w:rPr>
            </w:pPr>
            <w:r>
              <w:rPr>
                <w:rFonts w:ascii="Arial" w:cs="Arial" w:eastAsia="Arial" w:hAnsi="Arial"/>
                <w:sz w:val="9"/>
                <w:szCs w:val="9"/>
                <w:color w:val="auto"/>
              </w:rPr>
              <w:t>2</w:t>
            </w:r>
          </w:p>
        </w:tc>
        <w:tc>
          <w:tcPr>
            <w:tcW w:w="120" w:type="dxa"/>
            <w:vAlign w:val="bottom"/>
          </w:tcPr>
          <w:p>
            <w:pPr>
              <w:spacing w:after="0"/>
              <w:rPr>
                <w:sz w:val="13"/>
                <w:szCs w:val="13"/>
                <w:color w:val="auto"/>
              </w:rPr>
            </w:pPr>
          </w:p>
        </w:tc>
        <w:tc>
          <w:tcPr>
            <w:tcW w:w="1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
        </w:trPr>
        <w:tc>
          <w:tcPr>
            <w:tcW w:w="30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6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
        </w:trPr>
        <w:tc>
          <w:tcPr>
            <w:tcW w:w="3040" w:type="dxa"/>
            <w:vAlign w:val="bottom"/>
            <w:vMerge w:val="restart"/>
            <w:shd w:val="clear" w:color="auto" w:fill="F2F2F2"/>
          </w:tcPr>
          <w:p>
            <w:pPr>
              <w:ind w:left="20"/>
              <w:spacing w:after="0"/>
              <w:rPr>
                <w:sz w:val="20"/>
                <w:szCs w:val="20"/>
                <w:color w:val="auto"/>
              </w:rPr>
            </w:pPr>
            <w:r>
              <w:rPr>
                <w:rFonts w:ascii="Arial" w:cs="Arial" w:eastAsia="Arial" w:hAnsi="Arial"/>
                <w:sz w:val="14"/>
                <w:szCs w:val="14"/>
                <w:color w:val="auto"/>
              </w:rPr>
              <w:t>Dr. Skovronsky</w:t>
            </w:r>
          </w:p>
        </w:tc>
        <w:tc>
          <w:tcPr>
            <w:tcW w:w="1860" w:type="dxa"/>
            <w:vAlign w:val="bottom"/>
            <w:vMerge w:val="restart"/>
            <w:shd w:val="clear" w:color="auto" w:fill="F2F2F2"/>
          </w:tcPr>
          <w:p>
            <w:pPr>
              <w:jc w:val="right"/>
              <w:spacing w:after="0"/>
              <w:rPr>
                <w:sz w:val="20"/>
                <w:szCs w:val="20"/>
                <w:color w:val="auto"/>
              </w:rPr>
            </w:pPr>
            <w:r>
              <w:rPr>
                <w:rFonts w:ascii="Arial" w:cs="Arial" w:eastAsia="Arial" w:hAnsi="Arial"/>
                <w:sz w:val="14"/>
                <w:szCs w:val="14"/>
                <w:color w:val="auto"/>
              </w:rPr>
              <w:t>9,941</w:t>
            </w:r>
          </w:p>
        </w:tc>
        <w:tc>
          <w:tcPr>
            <w:tcW w:w="3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60" w:type="dxa"/>
            <w:vAlign w:val="bottom"/>
            <w:vMerge w:val="restart"/>
          </w:tcPr>
          <w:p>
            <w:pPr>
              <w:jc w:val="right"/>
              <w:ind w:right="8"/>
              <w:spacing w:after="0"/>
              <w:rPr>
                <w:sz w:val="20"/>
                <w:szCs w:val="20"/>
                <w:color w:val="auto"/>
              </w:rPr>
            </w:pPr>
            <w:r>
              <w:rPr>
                <w:rFonts w:ascii="Arial" w:cs="Arial" w:eastAsia="Arial" w:hAnsi="Arial"/>
                <w:sz w:val="14"/>
                <w:szCs w:val="14"/>
                <w:color w:val="auto"/>
              </w:rPr>
              <w:t>$6,418,009</w:t>
            </w:r>
          </w:p>
        </w:tc>
        <w:tc>
          <w:tcPr>
            <w:tcW w:w="0" w:type="dxa"/>
            <w:vAlign w:val="bottom"/>
          </w:tcPr>
          <w:p>
            <w:pPr>
              <w:spacing w:after="0"/>
              <w:rPr>
                <w:sz w:val="1"/>
                <w:szCs w:val="1"/>
                <w:color w:val="auto"/>
              </w:rPr>
            </w:pPr>
          </w:p>
        </w:tc>
      </w:tr>
      <w:tr>
        <w:trPr>
          <w:trHeight w:val="151"/>
        </w:trPr>
        <w:tc>
          <w:tcPr>
            <w:tcW w:w="3040" w:type="dxa"/>
            <w:vAlign w:val="bottom"/>
            <w:vMerge w:val="continue"/>
            <w:shd w:val="clear" w:color="auto" w:fill="F2F2F2"/>
          </w:tcPr>
          <w:p>
            <w:pPr>
              <w:spacing w:after="0"/>
              <w:rPr>
                <w:sz w:val="13"/>
                <w:szCs w:val="13"/>
                <w:color w:val="auto"/>
              </w:rPr>
            </w:pPr>
          </w:p>
        </w:tc>
        <w:tc>
          <w:tcPr>
            <w:tcW w:w="1860" w:type="dxa"/>
            <w:vAlign w:val="bottom"/>
            <w:vMerge w:val="continue"/>
            <w:shd w:val="clear" w:color="auto" w:fill="F2F2F2"/>
          </w:tcPr>
          <w:p>
            <w:pPr>
              <w:spacing w:after="0"/>
              <w:rPr>
                <w:sz w:val="13"/>
                <w:szCs w:val="13"/>
                <w:color w:val="auto"/>
              </w:rPr>
            </w:pPr>
          </w:p>
        </w:tc>
        <w:tc>
          <w:tcPr>
            <w:tcW w:w="360" w:type="dxa"/>
            <w:vAlign w:val="bottom"/>
            <w:vMerge w:val="restart"/>
          </w:tcPr>
          <w:p>
            <w:pPr>
              <w:jc w:val="right"/>
              <w:ind w:right="233"/>
              <w:spacing w:after="0"/>
              <w:rPr>
                <w:sz w:val="20"/>
                <w:szCs w:val="20"/>
                <w:color w:val="auto"/>
              </w:rPr>
            </w:pPr>
            <w:r>
              <w:rPr>
                <w:rFonts w:ascii="Arial" w:cs="Arial" w:eastAsia="Arial" w:hAnsi="Arial"/>
                <w:sz w:val="9"/>
                <w:szCs w:val="9"/>
                <w:color w:val="auto"/>
              </w:rPr>
              <w:t>3</w:t>
            </w:r>
          </w:p>
        </w:tc>
        <w:tc>
          <w:tcPr>
            <w:tcW w:w="120" w:type="dxa"/>
            <w:vAlign w:val="bottom"/>
          </w:tcPr>
          <w:p>
            <w:pPr>
              <w:spacing w:after="0"/>
              <w:rPr>
                <w:sz w:val="13"/>
                <w:szCs w:val="13"/>
                <w:color w:val="auto"/>
              </w:rPr>
            </w:pPr>
          </w:p>
        </w:tc>
        <w:tc>
          <w:tcPr>
            <w:tcW w:w="1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3040" w:type="dxa"/>
            <w:vAlign w:val="bottom"/>
            <w:shd w:val="clear" w:color="auto" w:fill="F2F2F2"/>
          </w:tcPr>
          <w:p>
            <w:pPr>
              <w:spacing w:after="0"/>
              <w:rPr>
                <w:sz w:val="9"/>
                <w:szCs w:val="9"/>
                <w:color w:val="auto"/>
              </w:rPr>
            </w:pPr>
          </w:p>
        </w:tc>
        <w:tc>
          <w:tcPr>
            <w:tcW w:w="1860" w:type="dxa"/>
            <w:vAlign w:val="bottom"/>
            <w:vMerge w:val="restart"/>
            <w:shd w:val="clear" w:color="auto" w:fill="F2F2F2"/>
          </w:tcPr>
          <w:p>
            <w:pPr>
              <w:jc w:val="right"/>
              <w:spacing w:after="0"/>
              <w:rPr>
                <w:sz w:val="20"/>
                <w:szCs w:val="20"/>
                <w:color w:val="auto"/>
              </w:rPr>
            </w:pPr>
            <w:r>
              <w:rPr>
                <w:rFonts w:ascii="Arial" w:cs="Arial" w:eastAsia="Arial" w:hAnsi="Arial"/>
                <w:sz w:val="14"/>
                <w:szCs w:val="14"/>
                <w:color w:val="auto"/>
              </w:rPr>
              <w:t>19,175</w:t>
            </w:r>
          </w:p>
        </w:tc>
        <w:tc>
          <w:tcPr>
            <w:tcW w:w="3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vMerge w:val="restart"/>
          </w:tcPr>
          <w:p>
            <w:pPr>
              <w:jc w:val="right"/>
              <w:ind w:right="8"/>
              <w:spacing w:after="0"/>
              <w:rPr>
                <w:sz w:val="20"/>
                <w:szCs w:val="20"/>
                <w:color w:val="auto"/>
              </w:rPr>
            </w:pPr>
            <w:r>
              <w:rPr>
                <w:rFonts w:ascii="Arial" w:cs="Arial" w:eastAsia="Arial" w:hAnsi="Arial"/>
                <w:sz w:val="14"/>
                <w:szCs w:val="14"/>
                <w:color w:val="auto"/>
              </w:rPr>
              <w:t>$16,660,557</w:t>
            </w:r>
          </w:p>
        </w:tc>
        <w:tc>
          <w:tcPr>
            <w:tcW w:w="0" w:type="dxa"/>
            <w:vAlign w:val="bottom"/>
          </w:tcPr>
          <w:p>
            <w:pPr>
              <w:spacing w:after="0"/>
              <w:rPr>
                <w:sz w:val="1"/>
                <w:szCs w:val="1"/>
                <w:color w:val="auto"/>
              </w:rPr>
            </w:pPr>
          </w:p>
        </w:tc>
      </w:tr>
      <w:tr>
        <w:trPr>
          <w:trHeight w:val="151"/>
        </w:trPr>
        <w:tc>
          <w:tcPr>
            <w:tcW w:w="3040" w:type="dxa"/>
            <w:vAlign w:val="bottom"/>
            <w:shd w:val="clear" w:color="auto" w:fill="F2F2F2"/>
          </w:tcPr>
          <w:p>
            <w:pPr>
              <w:spacing w:after="0"/>
              <w:rPr>
                <w:sz w:val="13"/>
                <w:szCs w:val="13"/>
                <w:color w:val="auto"/>
              </w:rPr>
            </w:pPr>
          </w:p>
        </w:tc>
        <w:tc>
          <w:tcPr>
            <w:tcW w:w="1860" w:type="dxa"/>
            <w:vAlign w:val="bottom"/>
            <w:vMerge w:val="continue"/>
            <w:shd w:val="clear" w:color="auto" w:fill="F2F2F2"/>
          </w:tcPr>
          <w:p>
            <w:pPr>
              <w:spacing w:after="0"/>
              <w:rPr>
                <w:sz w:val="13"/>
                <w:szCs w:val="13"/>
                <w:color w:val="auto"/>
              </w:rPr>
            </w:pPr>
          </w:p>
        </w:tc>
        <w:tc>
          <w:tcPr>
            <w:tcW w:w="360" w:type="dxa"/>
            <w:vAlign w:val="bottom"/>
            <w:vMerge w:val="restart"/>
          </w:tcPr>
          <w:p>
            <w:pPr>
              <w:jc w:val="right"/>
              <w:ind w:right="233"/>
              <w:spacing w:after="0"/>
              <w:rPr>
                <w:sz w:val="20"/>
                <w:szCs w:val="20"/>
                <w:color w:val="auto"/>
              </w:rPr>
            </w:pPr>
            <w:r>
              <w:rPr>
                <w:rFonts w:ascii="Arial" w:cs="Arial" w:eastAsia="Arial" w:hAnsi="Arial"/>
                <w:sz w:val="9"/>
                <w:szCs w:val="9"/>
                <w:color w:val="auto"/>
              </w:rPr>
              <w:t>4</w:t>
            </w:r>
          </w:p>
        </w:tc>
        <w:tc>
          <w:tcPr>
            <w:tcW w:w="120" w:type="dxa"/>
            <w:vAlign w:val="bottom"/>
          </w:tcPr>
          <w:p>
            <w:pPr>
              <w:spacing w:after="0"/>
              <w:rPr>
                <w:sz w:val="13"/>
                <w:szCs w:val="13"/>
                <w:color w:val="auto"/>
              </w:rPr>
            </w:pPr>
          </w:p>
        </w:tc>
        <w:tc>
          <w:tcPr>
            <w:tcW w:w="1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
        </w:trPr>
        <w:tc>
          <w:tcPr>
            <w:tcW w:w="3040" w:type="dxa"/>
            <w:vAlign w:val="bottom"/>
            <w:shd w:val="clear" w:color="auto" w:fill="F2F2F2"/>
          </w:tcPr>
          <w:p>
            <w:pPr>
              <w:spacing w:after="0" w:line="20" w:lineRule="exact"/>
              <w:rPr>
                <w:sz w:val="1"/>
                <w:szCs w:val="1"/>
                <w:color w:val="auto"/>
              </w:rPr>
            </w:pPr>
          </w:p>
        </w:tc>
        <w:tc>
          <w:tcPr>
            <w:tcW w:w="1860" w:type="dxa"/>
            <w:vAlign w:val="bottom"/>
            <w:shd w:val="clear" w:color="auto" w:fill="F2F2F2"/>
          </w:tcPr>
          <w:p>
            <w:pPr>
              <w:spacing w:after="0" w:line="20" w:lineRule="exact"/>
              <w:rPr>
                <w:sz w:val="1"/>
                <w:szCs w:val="1"/>
                <w:color w:val="auto"/>
              </w:rPr>
            </w:pPr>
          </w:p>
        </w:tc>
        <w:tc>
          <w:tcPr>
            <w:tcW w:w="36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
        </w:trPr>
        <w:tc>
          <w:tcPr>
            <w:tcW w:w="3040" w:type="dxa"/>
            <w:vAlign w:val="bottom"/>
            <w:shd w:val="clear" w:color="auto" w:fill="F2F2F2"/>
          </w:tcPr>
          <w:p>
            <w:pPr>
              <w:spacing w:after="0"/>
              <w:rPr>
                <w:sz w:val="7"/>
                <w:szCs w:val="7"/>
                <w:color w:val="auto"/>
              </w:rPr>
            </w:pPr>
          </w:p>
        </w:tc>
        <w:tc>
          <w:tcPr>
            <w:tcW w:w="1860" w:type="dxa"/>
            <w:vAlign w:val="bottom"/>
            <w:vMerge w:val="restart"/>
            <w:shd w:val="clear" w:color="auto" w:fill="F2F2F2"/>
          </w:tcPr>
          <w:p>
            <w:pPr>
              <w:jc w:val="right"/>
              <w:spacing w:after="0"/>
              <w:rPr>
                <w:sz w:val="20"/>
                <w:szCs w:val="20"/>
                <w:color w:val="auto"/>
              </w:rPr>
            </w:pPr>
            <w:r>
              <w:rPr>
                <w:rFonts w:ascii="Arial" w:cs="Arial" w:eastAsia="Arial" w:hAnsi="Arial"/>
                <w:sz w:val="14"/>
                <w:szCs w:val="14"/>
                <w:color w:val="auto"/>
              </w:rPr>
              <w:t>14,648</w:t>
            </w:r>
          </w:p>
        </w:tc>
        <w:tc>
          <w:tcPr>
            <w:tcW w:w="360" w:type="dxa"/>
            <w:vAlign w:val="bottom"/>
            <w:vMerge w:val="continue"/>
          </w:tcPr>
          <w:p>
            <w:pPr>
              <w:spacing w:after="0"/>
              <w:rPr>
                <w:sz w:val="7"/>
                <w:szCs w:val="7"/>
                <w:color w:val="auto"/>
              </w:rPr>
            </w:pPr>
          </w:p>
        </w:tc>
        <w:tc>
          <w:tcPr>
            <w:tcW w:w="120" w:type="dxa"/>
            <w:vAlign w:val="bottom"/>
            <w:shd w:val="clear" w:color="auto" w:fill="F2F2F2"/>
          </w:tcPr>
          <w:p>
            <w:pPr>
              <w:spacing w:after="0"/>
              <w:rPr>
                <w:sz w:val="7"/>
                <w:szCs w:val="7"/>
                <w:color w:val="auto"/>
              </w:rPr>
            </w:pPr>
          </w:p>
        </w:tc>
        <w:tc>
          <w:tcPr>
            <w:tcW w:w="1260" w:type="dxa"/>
            <w:vAlign w:val="bottom"/>
            <w:vMerge w:val="restart"/>
            <w:shd w:val="clear" w:color="auto" w:fill="F2F2F2"/>
          </w:tcPr>
          <w:p>
            <w:pPr>
              <w:jc w:val="right"/>
              <w:ind w:right="8"/>
              <w:spacing w:after="0"/>
              <w:rPr>
                <w:sz w:val="20"/>
                <w:szCs w:val="20"/>
                <w:color w:val="auto"/>
              </w:rPr>
            </w:pPr>
            <w:r>
              <w:rPr>
                <w:rFonts w:ascii="Arial" w:cs="Arial" w:eastAsia="Arial" w:hAnsi="Arial"/>
                <w:sz w:val="14"/>
                <w:szCs w:val="14"/>
                <w:color w:val="auto"/>
              </w:rPr>
              <w:t>$12,726,920</w:t>
            </w:r>
          </w:p>
        </w:tc>
        <w:tc>
          <w:tcPr>
            <w:tcW w:w="0" w:type="dxa"/>
            <w:vAlign w:val="bottom"/>
          </w:tcPr>
          <w:p>
            <w:pPr>
              <w:spacing w:after="0"/>
              <w:rPr>
                <w:sz w:val="1"/>
                <w:szCs w:val="1"/>
                <w:color w:val="auto"/>
              </w:rPr>
            </w:pPr>
          </w:p>
        </w:tc>
      </w:tr>
      <w:tr>
        <w:trPr>
          <w:trHeight w:val="153"/>
        </w:trPr>
        <w:tc>
          <w:tcPr>
            <w:tcW w:w="3040" w:type="dxa"/>
            <w:vAlign w:val="bottom"/>
            <w:tcBorders>
              <w:bottom w:val="single" w:sz="8" w:color="F2F2F2"/>
            </w:tcBorders>
            <w:shd w:val="clear" w:color="auto" w:fill="F2F2F2"/>
          </w:tcPr>
          <w:p>
            <w:pPr>
              <w:spacing w:after="0"/>
              <w:rPr>
                <w:sz w:val="13"/>
                <w:szCs w:val="13"/>
                <w:color w:val="auto"/>
              </w:rPr>
            </w:pPr>
          </w:p>
        </w:tc>
        <w:tc>
          <w:tcPr>
            <w:tcW w:w="1860" w:type="dxa"/>
            <w:vAlign w:val="bottom"/>
            <w:tcBorders>
              <w:bottom w:val="single" w:sz="8" w:color="F2F2F2"/>
            </w:tcBorders>
            <w:vMerge w:val="continue"/>
            <w:shd w:val="clear" w:color="auto" w:fill="F2F2F2"/>
          </w:tcPr>
          <w:p>
            <w:pPr>
              <w:spacing w:after="0"/>
              <w:rPr>
                <w:sz w:val="13"/>
                <w:szCs w:val="13"/>
                <w:color w:val="auto"/>
              </w:rPr>
            </w:pPr>
          </w:p>
        </w:tc>
        <w:tc>
          <w:tcPr>
            <w:tcW w:w="360" w:type="dxa"/>
            <w:vAlign w:val="bottom"/>
            <w:vMerge w:val="restart"/>
          </w:tcPr>
          <w:p>
            <w:pPr>
              <w:jc w:val="right"/>
              <w:ind w:right="233"/>
              <w:spacing w:after="0"/>
              <w:rPr>
                <w:sz w:val="20"/>
                <w:szCs w:val="20"/>
                <w:color w:val="auto"/>
              </w:rPr>
            </w:pPr>
            <w:r>
              <w:rPr>
                <w:rFonts w:ascii="Arial" w:cs="Arial" w:eastAsia="Arial" w:hAnsi="Arial"/>
                <w:sz w:val="9"/>
                <w:szCs w:val="9"/>
                <w:color w:val="auto"/>
              </w:rPr>
              <w:t>2</w:t>
            </w:r>
          </w:p>
        </w:tc>
        <w:tc>
          <w:tcPr>
            <w:tcW w:w="120" w:type="dxa"/>
            <w:vAlign w:val="bottom"/>
            <w:tcBorders>
              <w:bottom w:val="single" w:sz="8" w:color="F2F2F2"/>
            </w:tcBorders>
            <w:shd w:val="clear" w:color="auto" w:fill="F2F2F2"/>
          </w:tcPr>
          <w:p>
            <w:pPr>
              <w:spacing w:after="0"/>
              <w:rPr>
                <w:sz w:val="13"/>
                <w:szCs w:val="13"/>
                <w:color w:val="auto"/>
              </w:rPr>
            </w:pPr>
          </w:p>
        </w:tc>
        <w:tc>
          <w:tcPr>
            <w:tcW w:w="1260" w:type="dxa"/>
            <w:vAlign w:val="bottom"/>
            <w:tcBorders>
              <w:bottom w:val="single" w:sz="8" w:color="F2F2F2"/>
            </w:tcBorders>
            <w:vMerge w:val="continue"/>
            <w:shd w:val="clear" w:color="auto" w:fill="F2F2F2"/>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3040" w:type="dxa"/>
            <w:vAlign w:val="bottom"/>
            <w:vMerge w:val="restart"/>
          </w:tcPr>
          <w:p>
            <w:pPr>
              <w:ind w:left="20"/>
              <w:spacing w:after="0"/>
              <w:rPr>
                <w:sz w:val="20"/>
                <w:szCs w:val="20"/>
                <w:color w:val="auto"/>
              </w:rPr>
            </w:pPr>
            <w:r>
              <w:rPr>
                <w:rFonts w:ascii="Arial" w:cs="Arial" w:eastAsia="Arial" w:hAnsi="Arial"/>
                <w:sz w:val="14"/>
                <w:szCs w:val="14"/>
                <w:color w:val="auto"/>
              </w:rPr>
              <w:t>Ms. Hakim</w:t>
            </w:r>
          </w:p>
        </w:tc>
        <w:tc>
          <w:tcPr>
            <w:tcW w:w="1860" w:type="dxa"/>
            <w:vAlign w:val="bottom"/>
            <w:vMerge w:val="restart"/>
          </w:tcPr>
          <w:p>
            <w:pPr>
              <w:jc w:val="right"/>
              <w:spacing w:after="0"/>
              <w:rPr>
                <w:sz w:val="20"/>
                <w:szCs w:val="20"/>
                <w:color w:val="auto"/>
              </w:rPr>
            </w:pPr>
            <w:r>
              <w:rPr>
                <w:rFonts w:ascii="Arial" w:cs="Arial" w:eastAsia="Arial" w:hAnsi="Arial"/>
                <w:sz w:val="14"/>
                <w:szCs w:val="14"/>
                <w:color w:val="auto"/>
              </w:rPr>
              <w:t>4,442</w:t>
            </w:r>
          </w:p>
        </w:tc>
        <w:tc>
          <w:tcPr>
            <w:tcW w:w="3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60" w:type="dxa"/>
            <w:vAlign w:val="bottom"/>
            <w:vMerge w:val="restart"/>
          </w:tcPr>
          <w:p>
            <w:pPr>
              <w:jc w:val="right"/>
              <w:ind w:right="8"/>
              <w:spacing w:after="0"/>
              <w:rPr>
                <w:sz w:val="20"/>
                <w:szCs w:val="20"/>
                <w:color w:val="auto"/>
              </w:rPr>
            </w:pPr>
            <w:r>
              <w:rPr>
                <w:rFonts w:ascii="Arial" w:cs="Arial" w:eastAsia="Arial" w:hAnsi="Arial"/>
                <w:sz w:val="14"/>
                <w:szCs w:val="14"/>
                <w:color w:val="auto"/>
              </w:rPr>
              <w:t>$3,859,565</w:t>
            </w:r>
          </w:p>
        </w:tc>
        <w:tc>
          <w:tcPr>
            <w:tcW w:w="0" w:type="dxa"/>
            <w:vAlign w:val="bottom"/>
          </w:tcPr>
          <w:p>
            <w:pPr>
              <w:spacing w:after="0"/>
              <w:rPr>
                <w:sz w:val="1"/>
                <w:szCs w:val="1"/>
                <w:color w:val="auto"/>
              </w:rPr>
            </w:pPr>
          </w:p>
        </w:tc>
      </w:tr>
      <w:tr>
        <w:trPr>
          <w:trHeight w:val="151"/>
        </w:trPr>
        <w:tc>
          <w:tcPr>
            <w:tcW w:w="3040" w:type="dxa"/>
            <w:vAlign w:val="bottom"/>
            <w:vMerge w:val="continue"/>
          </w:tcPr>
          <w:p>
            <w:pPr>
              <w:spacing w:after="0"/>
              <w:rPr>
                <w:sz w:val="13"/>
                <w:szCs w:val="13"/>
                <w:color w:val="auto"/>
              </w:rPr>
            </w:pPr>
          </w:p>
        </w:tc>
        <w:tc>
          <w:tcPr>
            <w:tcW w:w="1860" w:type="dxa"/>
            <w:vAlign w:val="bottom"/>
            <w:vMerge w:val="continue"/>
          </w:tcPr>
          <w:p>
            <w:pPr>
              <w:spacing w:after="0"/>
              <w:rPr>
                <w:sz w:val="13"/>
                <w:szCs w:val="13"/>
                <w:color w:val="auto"/>
              </w:rPr>
            </w:pPr>
          </w:p>
        </w:tc>
        <w:tc>
          <w:tcPr>
            <w:tcW w:w="360" w:type="dxa"/>
            <w:vAlign w:val="bottom"/>
            <w:vMerge w:val="restart"/>
          </w:tcPr>
          <w:p>
            <w:pPr>
              <w:jc w:val="right"/>
              <w:ind w:right="233"/>
              <w:spacing w:after="0"/>
              <w:rPr>
                <w:sz w:val="20"/>
                <w:szCs w:val="20"/>
                <w:color w:val="auto"/>
              </w:rPr>
            </w:pPr>
            <w:r>
              <w:rPr>
                <w:rFonts w:ascii="Arial" w:cs="Arial" w:eastAsia="Arial" w:hAnsi="Arial"/>
                <w:sz w:val="9"/>
                <w:szCs w:val="9"/>
                <w:color w:val="auto"/>
              </w:rPr>
              <w:t>3</w:t>
            </w:r>
          </w:p>
        </w:tc>
        <w:tc>
          <w:tcPr>
            <w:tcW w:w="120" w:type="dxa"/>
            <w:vAlign w:val="bottom"/>
          </w:tcPr>
          <w:p>
            <w:pPr>
              <w:spacing w:after="0"/>
              <w:rPr>
                <w:sz w:val="13"/>
                <w:szCs w:val="13"/>
                <w:color w:val="auto"/>
              </w:rPr>
            </w:pPr>
          </w:p>
        </w:tc>
        <w:tc>
          <w:tcPr>
            <w:tcW w:w="1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040" w:type="dxa"/>
            <w:vAlign w:val="bottom"/>
          </w:tcPr>
          <w:p>
            <w:pPr>
              <w:spacing w:after="0"/>
              <w:rPr>
                <w:sz w:val="9"/>
                <w:szCs w:val="9"/>
                <w:color w:val="auto"/>
              </w:rPr>
            </w:pPr>
          </w:p>
        </w:tc>
        <w:tc>
          <w:tcPr>
            <w:tcW w:w="1860" w:type="dxa"/>
            <w:vAlign w:val="bottom"/>
            <w:vMerge w:val="restart"/>
          </w:tcPr>
          <w:p>
            <w:pPr>
              <w:jc w:val="right"/>
              <w:spacing w:after="0"/>
              <w:rPr>
                <w:sz w:val="20"/>
                <w:szCs w:val="20"/>
                <w:color w:val="auto"/>
              </w:rPr>
            </w:pPr>
            <w:r>
              <w:rPr>
                <w:rFonts w:ascii="Arial" w:cs="Arial" w:eastAsia="Arial" w:hAnsi="Arial"/>
                <w:sz w:val="14"/>
                <w:szCs w:val="14"/>
                <w:color w:val="auto"/>
              </w:rPr>
              <w:t>10,458</w:t>
            </w:r>
          </w:p>
        </w:tc>
        <w:tc>
          <w:tcPr>
            <w:tcW w:w="3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vMerge w:val="restart"/>
          </w:tcPr>
          <w:p>
            <w:pPr>
              <w:jc w:val="right"/>
              <w:ind w:right="8"/>
              <w:spacing w:after="0"/>
              <w:rPr>
                <w:sz w:val="20"/>
                <w:szCs w:val="20"/>
                <w:color w:val="auto"/>
              </w:rPr>
            </w:pPr>
            <w:r>
              <w:rPr>
                <w:rFonts w:ascii="Arial" w:cs="Arial" w:eastAsia="Arial" w:hAnsi="Arial"/>
                <w:sz w:val="14"/>
                <w:szCs w:val="14"/>
                <w:color w:val="auto"/>
              </w:rPr>
              <w:t>$9,086,747</w:t>
            </w:r>
          </w:p>
        </w:tc>
        <w:tc>
          <w:tcPr>
            <w:tcW w:w="0" w:type="dxa"/>
            <w:vAlign w:val="bottom"/>
          </w:tcPr>
          <w:p>
            <w:pPr>
              <w:spacing w:after="0"/>
              <w:rPr>
                <w:sz w:val="1"/>
                <w:szCs w:val="1"/>
                <w:color w:val="auto"/>
              </w:rPr>
            </w:pPr>
          </w:p>
        </w:tc>
      </w:tr>
      <w:tr>
        <w:trPr>
          <w:trHeight w:val="151"/>
        </w:trPr>
        <w:tc>
          <w:tcPr>
            <w:tcW w:w="3040" w:type="dxa"/>
            <w:vAlign w:val="bottom"/>
          </w:tcPr>
          <w:p>
            <w:pPr>
              <w:spacing w:after="0"/>
              <w:rPr>
                <w:sz w:val="13"/>
                <w:szCs w:val="13"/>
                <w:color w:val="auto"/>
              </w:rPr>
            </w:pPr>
          </w:p>
        </w:tc>
        <w:tc>
          <w:tcPr>
            <w:tcW w:w="1860" w:type="dxa"/>
            <w:vAlign w:val="bottom"/>
            <w:vMerge w:val="continue"/>
          </w:tcPr>
          <w:p>
            <w:pPr>
              <w:spacing w:after="0"/>
              <w:rPr>
                <w:sz w:val="13"/>
                <w:szCs w:val="13"/>
                <w:color w:val="auto"/>
              </w:rPr>
            </w:pPr>
          </w:p>
        </w:tc>
        <w:tc>
          <w:tcPr>
            <w:tcW w:w="360" w:type="dxa"/>
            <w:vAlign w:val="bottom"/>
            <w:vMerge w:val="restart"/>
          </w:tcPr>
          <w:p>
            <w:pPr>
              <w:jc w:val="right"/>
              <w:ind w:right="233"/>
              <w:spacing w:after="0"/>
              <w:rPr>
                <w:sz w:val="20"/>
                <w:szCs w:val="20"/>
                <w:color w:val="auto"/>
              </w:rPr>
            </w:pPr>
            <w:r>
              <w:rPr>
                <w:rFonts w:ascii="Arial" w:cs="Arial" w:eastAsia="Arial" w:hAnsi="Arial"/>
                <w:sz w:val="9"/>
                <w:szCs w:val="9"/>
                <w:color w:val="auto"/>
              </w:rPr>
              <w:t>4</w:t>
            </w:r>
          </w:p>
        </w:tc>
        <w:tc>
          <w:tcPr>
            <w:tcW w:w="120" w:type="dxa"/>
            <w:vAlign w:val="bottom"/>
          </w:tcPr>
          <w:p>
            <w:pPr>
              <w:spacing w:after="0"/>
              <w:rPr>
                <w:sz w:val="13"/>
                <w:szCs w:val="13"/>
                <w:color w:val="auto"/>
              </w:rPr>
            </w:pPr>
          </w:p>
        </w:tc>
        <w:tc>
          <w:tcPr>
            <w:tcW w:w="1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040" w:type="dxa"/>
            <w:vAlign w:val="bottom"/>
          </w:tcPr>
          <w:p>
            <w:pPr>
              <w:spacing w:after="0"/>
              <w:rPr>
                <w:sz w:val="9"/>
                <w:szCs w:val="9"/>
                <w:color w:val="auto"/>
              </w:rPr>
            </w:pPr>
          </w:p>
        </w:tc>
        <w:tc>
          <w:tcPr>
            <w:tcW w:w="1860" w:type="dxa"/>
            <w:vAlign w:val="bottom"/>
            <w:vMerge w:val="restart"/>
          </w:tcPr>
          <w:p>
            <w:pPr>
              <w:jc w:val="right"/>
              <w:spacing w:after="0"/>
              <w:rPr>
                <w:sz w:val="20"/>
                <w:szCs w:val="20"/>
                <w:color w:val="auto"/>
              </w:rPr>
            </w:pPr>
            <w:r>
              <w:rPr>
                <w:rFonts w:ascii="Arial" w:cs="Arial" w:eastAsia="Arial" w:hAnsi="Arial"/>
                <w:sz w:val="14"/>
                <w:szCs w:val="14"/>
                <w:color w:val="auto"/>
              </w:rPr>
              <w:t>7,989</w:t>
            </w:r>
          </w:p>
        </w:tc>
        <w:tc>
          <w:tcPr>
            <w:tcW w:w="3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vMerge w:val="restart"/>
          </w:tcPr>
          <w:p>
            <w:pPr>
              <w:jc w:val="right"/>
              <w:ind w:right="8"/>
              <w:spacing w:after="0"/>
              <w:rPr>
                <w:sz w:val="20"/>
                <w:szCs w:val="20"/>
                <w:color w:val="auto"/>
              </w:rPr>
            </w:pPr>
            <w:r>
              <w:rPr>
                <w:rFonts w:ascii="Arial" w:cs="Arial" w:eastAsia="Arial" w:hAnsi="Arial"/>
                <w:sz w:val="14"/>
                <w:szCs w:val="14"/>
                <w:color w:val="auto"/>
              </w:rPr>
              <w:t>$6,941,265</w:t>
            </w:r>
          </w:p>
        </w:tc>
        <w:tc>
          <w:tcPr>
            <w:tcW w:w="0" w:type="dxa"/>
            <w:vAlign w:val="bottom"/>
          </w:tcPr>
          <w:p>
            <w:pPr>
              <w:spacing w:after="0"/>
              <w:rPr>
                <w:sz w:val="1"/>
                <w:szCs w:val="1"/>
                <w:color w:val="auto"/>
              </w:rPr>
            </w:pPr>
          </w:p>
        </w:tc>
      </w:tr>
      <w:tr>
        <w:trPr>
          <w:trHeight w:val="151"/>
        </w:trPr>
        <w:tc>
          <w:tcPr>
            <w:tcW w:w="3040" w:type="dxa"/>
            <w:vAlign w:val="bottom"/>
          </w:tcPr>
          <w:p>
            <w:pPr>
              <w:spacing w:after="0"/>
              <w:rPr>
                <w:sz w:val="13"/>
                <w:szCs w:val="13"/>
                <w:color w:val="auto"/>
              </w:rPr>
            </w:pPr>
          </w:p>
        </w:tc>
        <w:tc>
          <w:tcPr>
            <w:tcW w:w="1860" w:type="dxa"/>
            <w:vAlign w:val="bottom"/>
            <w:vMerge w:val="continue"/>
          </w:tcPr>
          <w:p>
            <w:pPr>
              <w:spacing w:after="0"/>
              <w:rPr>
                <w:sz w:val="13"/>
                <w:szCs w:val="13"/>
                <w:color w:val="auto"/>
              </w:rPr>
            </w:pPr>
          </w:p>
        </w:tc>
        <w:tc>
          <w:tcPr>
            <w:tcW w:w="360" w:type="dxa"/>
            <w:vAlign w:val="bottom"/>
            <w:vMerge w:val="restart"/>
          </w:tcPr>
          <w:p>
            <w:pPr>
              <w:jc w:val="right"/>
              <w:ind w:right="233"/>
              <w:spacing w:after="0"/>
              <w:rPr>
                <w:sz w:val="20"/>
                <w:szCs w:val="20"/>
                <w:color w:val="auto"/>
              </w:rPr>
            </w:pPr>
            <w:r>
              <w:rPr>
                <w:rFonts w:ascii="Arial" w:cs="Arial" w:eastAsia="Arial" w:hAnsi="Arial"/>
                <w:sz w:val="9"/>
                <w:szCs w:val="9"/>
                <w:color w:val="auto"/>
              </w:rPr>
              <w:t>3</w:t>
            </w:r>
          </w:p>
        </w:tc>
        <w:tc>
          <w:tcPr>
            <w:tcW w:w="120" w:type="dxa"/>
            <w:vAlign w:val="bottom"/>
          </w:tcPr>
          <w:p>
            <w:pPr>
              <w:spacing w:after="0"/>
              <w:rPr>
                <w:sz w:val="13"/>
                <w:szCs w:val="13"/>
                <w:color w:val="auto"/>
              </w:rPr>
            </w:pPr>
          </w:p>
        </w:tc>
        <w:tc>
          <w:tcPr>
            <w:tcW w:w="1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30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6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
        </w:trPr>
        <w:tc>
          <w:tcPr>
            <w:tcW w:w="3040" w:type="dxa"/>
            <w:vAlign w:val="bottom"/>
            <w:vMerge w:val="restart"/>
            <w:shd w:val="clear" w:color="auto" w:fill="F2F2F2"/>
          </w:tcPr>
          <w:p>
            <w:pPr>
              <w:ind w:left="20"/>
              <w:spacing w:after="0"/>
              <w:rPr>
                <w:sz w:val="20"/>
                <w:szCs w:val="20"/>
                <w:color w:val="auto"/>
              </w:rPr>
            </w:pPr>
            <w:r>
              <w:rPr>
                <w:rFonts w:ascii="Arial" w:cs="Arial" w:eastAsia="Arial" w:hAnsi="Arial"/>
                <w:sz w:val="14"/>
                <w:szCs w:val="14"/>
                <w:color w:val="auto"/>
              </w:rPr>
              <w:t>Mr. Van Naarden</w:t>
            </w:r>
          </w:p>
        </w:tc>
        <w:tc>
          <w:tcPr>
            <w:tcW w:w="1860" w:type="dxa"/>
            <w:vAlign w:val="bottom"/>
            <w:vMerge w:val="restart"/>
            <w:shd w:val="clear" w:color="auto" w:fill="F2F2F2"/>
          </w:tcPr>
          <w:p>
            <w:pPr>
              <w:jc w:val="right"/>
              <w:spacing w:after="0"/>
              <w:rPr>
                <w:sz w:val="20"/>
                <w:szCs w:val="20"/>
                <w:color w:val="auto"/>
              </w:rPr>
            </w:pPr>
            <w:r>
              <w:rPr>
                <w:rFonts w:ascii="Arial" w:cs="Arial" w:eastAsia="Arial" w:hAnsi="Arial"/>
                <w:sz w:val="14"/>
                <w:szCs w:val="14"/>
                <w:color w:val="auto"/>
              </w:rPr>
              <w:t>4,926</w:t>
            </w:r>
          </w:p>
        </w:tc>
        <w:tc>
          <w:tcPr>
            <w:tcW w:w="3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60" w:type="dxa"/>
            <w:vAlign w:val="bottom"/>
            <w:vMerge w:val="restart"/>
          </w:tcPr>
          <w:p>
            <w:pPr>
              <w:jc w:val="right"/>
              <w:ind w:right="8"/>
              <w:spacing w:after="0"/>
              <w:rPr>
                <w:sz w:val="20"/>
                <w:szCs w:val="20"/>
                <w:color w:val="auto"/>
              </w:rPr>
            </w:pPr>
            <w:r>
              <w:rPr>
                <w:rFonts w:ascii="Arial" w:cs="Arial" w:eastAsia="Arial" w:hAnsi="Arial"/>
                <w:sz w:val="14"/>
                <w:szCs w:val="14"/>
                <w:color w:val="auto"/>
              </w:rPr>
              <w:t>$4,280,320</w:t>
            </w:r>
          </w:p>
        </w:tc>
        <w:tc>
          <w:tcPr>
            <w:tcW w:w="0" w:type="dxa"/>
            <w:vAlign w:val="bottom"/>
          </w:tcPr>
          <w:p>
            <w:pPr>
              <w:spacing w:after="0"/>
              <w:rPr>
                <w:sz w:val="1"/>
                <w:szCs w:val="1"/>
                <w:color w:val="auto"/>
              </w:rPr>
            </w:pPr>
          </w:p>
        </w:tc>
      </w:tr>
      <w:tr>
        <w:trPr>
          <w:trHeight w:val="151"/>
        </w:trPr>
        <w:tc>
          <w:tcPr>
            <w:tcW w:w="3040" w:type="dxa"/>
            <w:vAlign w:val="bottom"/>
            <w:vMerge w:val="continue"/>
            <w:shd w:val="clear" w:color="auto" w:fill="F2F2F2"/>
          </w:tcPr>
          <w:p>
            <w:pPr>
              <w:spacing w:after="0"/>
              <w:rPr>
                <w:sz w:val="13"/>
                <w:szCs w:val="13"/>
                <w:color w:val="auto"/>
              </w:rPr>
            </w:pPr>
          </w:p>
        </w:tc>
        <w:tc>
          <w:tcPr>
            <w:tcW w:w="1860" w:type="dxa"/>
            <w:vAlign w:val="bottom"/>
            <w:vMerge w:val="continue"/>
            <w:shd w:val="clear" w:color="auto" w:fill="F2F2F2"/>
          </w:tcPr>
          <w:p>
            <w:pPr>
              <w:spacing w:after="0"/>
              <w:rPr>
                <w:sz w:val="13"/>
                <w:szCs w:val="13"/>
                <w:color w:val="auto"/>
              </w:rPr>
            </w:pPr>
          </w:p>
        </w:tc>
        <w:tc>
          <w:tcPr>
            <w:tcW w:w="360" w:type="dxa"/>
            <w:vAlign w:val="bottom"/>
            <w:vMerge w:val="restart"/>
          </w:tcPr>
          <w:p>
            <w:pPr>
              <w:jc w:val="right"/>
              <w:ind w:right="233"/>
              <w:spacing w:after="0"/>
              <w:rPr>
                <w:sz w:val="20"/>
                <w:szCs w:val="20"/>
                <w:color w:val="auto"/>
              </w:rPr>
            </w:pPr>
            <w:r>
              <w:rPr>
                <w:rFonts w:ascii="Arial" w:cs="Arial" w:eastAsia="Arial" w:hAnsi="Arial"/>
                <w:sz w:val="9"/>
                <w:szCs w:val="9"/>
                <w:color w:val="auto"/>
              </w:rPr>
              <w:t>4</w:t>
            </w:r>
          </w:p>
        </w:tc>
        <w:tc>
          <w:tcPr>
            <w:tcW w:w="120" w:type="dxa"/>
            <w:vAlign w:val="bottom"/>
          </w:tcPr>
          <w:p>
            <w:pPr>
              <w:spacing w:after="0"/>
              <w:rPr>
                <w:sz w:val="13"/>
                <w:szCs w:val="13"/>
                <w:color w:val="auto"/>
              </w:rPr>
            </w:pPr>
          </w:p>
        </w:tc>
        <w:tc>
          <w:tcPr>
            <w:tcW w:w="1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040" w:type="dxa"/>
            <w:vAlign w:val="bottom"/>
            <w:shd w:val="clear" w:color="auto" w:fill="F2F2F2"/>
          </w:tcPr>
          <w:p>
            <w:pPr>
              <w:spacing w:after="0"/>
              <w:rPr>
                <w:sz w:val="9"/>
                <w:szCs w:val="9"/>
                <w:color w:val="auto"/>
              </w:rPr>
            </w:pPr>
          </w:p>
        </w:tc>
        <w:tc>
          <w:tcPr>
            <w:tcW w:w="1860" w:type="dxa"/>
            <w:vAlign w:val="bottom"/>
            <w:vMerge w:val="restart"/>
            <w:shd w:val="clear" w:color="auto" w:fill="F2F2F2"/>
          </w:tcPr>
          <w:p>
            <w:pPr>
              <w:jc w:val="right"/>
              <w:spacing w:after="0"/>
              <w:rPr>
                <w:sz w:val="20"/>
                <w:szCs w:val="20"/>
                <w:color w:val="auto"/>
              </w:rPr>
            </w:pPr>
            <w:r>
              <w:rPr>
                <w:rFonts w:ascii="Arial" w:cs="Arial" w:eastAsia="Arial" w:hAnsi="Arial"/>
                <w:sz w:val="14"/>
                <w:szCs w:val="14"/>
                <w:color w:val="auto"/>
              </w:rPr>
              <w:t>6,449</w:t>
            </w:r>
          </w:p>
        </w:tc>
        <w:tc>
          <w:tcPr>
            <w:tcW w:w="3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vMerge w:val="restart"/>
          </w:tcPr>
          <w:p>
            <w:pPr>
              <w:jc w:val="right"/>
              <w:ind w:right="8"/>
              <w:spacing w:after="0"/>
              <w:rPr>
                <w:sz w:val="20"/>
                <w:szCs w:val="20"/>
                <w:color w:val="auto"/>
              </w:rPr>
            </w:pPr>
            <w:r>
              <w:rPr>
                <w:rFonts w:ascii="Arial" w:cs="Arial" w:eastAsia="Arial" w:hAnsi="Arial"/>
                <w:sz w:val="14"/>
                <w:szCs w:val="14"/>
                <w:color w:val="auto"/>
              </w:rPr>
              <w:t>$5,603,190</w:t>
            </w:r>
          </w:p>
        </w:tc>
        <w:tc>
          <w:tcPr>
            <w:tcW w:w="0" w:type="dxa"/>
            <w:vAlign w:val="bottom"/>
          </w:tcPr>
          <w:p>
            <w:pPr>
              <w:spacing w:after="0"/>
              <w:rPr>
                <w:sz w:val="1"/>
                <w:szCs w:val="1"/>
                <w:color w:val="auto"/>
              </w:rPr>
            </w:pPr>
          </w:p>
        </w:tc>
      </w:tr>
      <w:tr>
        <w:trPr>
          <w:trHeight w:val="151"/>
        </w:trPr>
        <w:tc>
          <w:tcPr>
            <w:tcW w:w="3040" w:type="dxa"/>
            <w:vAlign w:val="bottom"/>
            <w:shd w:val="clear" w:color="auto" w:fill="F2F2F2"/>
          </w:tcPr>
          <w:p>
            <w:pPr>
              <w:spacing w:after="0"/>
              <w:rPr>
                <w:sz w:val="13"/>
                <w:szCs w:val="13"/>
                <w:color w:val="auto"/>
              </w:rPr>
            </w:pPr>
          </w:p>
        </w:tc>
        <w:tc>
          <w:tcPr>
            <w:tcW w:w="1860" w:type="dxa"/>
            <w:vAlign w:val="bottom"/>
            <w:vMerge w:val="continue"/>
            <w:shd w:val="clear" w:color="auto" w:fill="F2F2F2"/>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
        </w:trPr>
        <w:tc>
          <w:tcPr>
            <w:tcW w:w="3040" w:type="dxa"/>
            <w:vAlign w:val="bottom"/>
            <w:shd w:val="clear" w:color="auto" w:fill="F2F2F2"/>
          </w:tcPr>
          <w:p>
            <w:pPr>
              <w:spacing w:after="0" w:line="20" w:lineRule="exact"/>
              <w:rPr>
                <w:sz w:val="1"/>
                <w:szCs w:val="1"/>
                <w:color w:val="auto"/>
              </w:rPr>
            </w:pPr>
          </w:p>
        </w:tc>
        <w:tc>
          <w:tcPr>
            <w:tcW w:w="1860" w:type="dxa"/>
            <w:vAlign w:val="bottom"/>
            <w:shd w:val="clear" w:color="auto" w:fill="F2F2F2"/>
          </w:tcPr>
          <w:p>
            <w:pPr>
              <w:spacing w:after="0" w:line="20" w:lineRule="exact"/>
              <w:rPr>
                <w:sz w:val="1"/>
                <w:szCs w:val="1"/>
                <w:color w:val="auto"/>
              </w:rPr>
            </w:pPr>
          </w:p>
        </w:tc>
        <w:tc>
          <w:tcPr>
            <w:tcW w:w="360" w:type="dxa"/>
            <w:vAlign w:val="bottom"/>
            <w:vMerge w:val="restart"/>
          </w:tcPr>
          <w:p>
            <w:pPr>
              <w:jc w:val="right"/>
              <w:ind w:right="233"/>
              <w:spacing w:after="0"/>
              <w:rPr>
                <w:sz w:val="20"/>
                <w:szCs w:val="20"/>
                <w:color w:val="auto"/>
              </w:rPr>
            </w:pPr>
            <w:r>
              <w:rPr>
                <w:rFonts w:ascii="Arial" w:cs="Arial" w:eastAsia="Arial" w:hAnsi="Arial"/>
                <w:sz w:val="9"/>
                <w:szCs w:val="9"/>
                <w:color w:val="auto"/>
              </w:rPr>
              <w:t>7</w:t>
            </w: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040" w:type="dxa"/>
            <w:vAlign w:val="bottom"/>
            <w:tcBorders>
              <w:bottom w:val="single" w:sz="8" w:color="F2F2F2"/>
            </w:tcBorders>
            <w:shd w:val="clear" w:color="auto" w:fill="F2F2F2"/>
          </w:tcPr>
          <w:p>
            <w:pPr>
              <w:spacing w:after="0"/>
              <w:rPr>
                <w:sz w:val="20"/>
                <w:szCs w:val="20"/>
                <w:color w:val="auto"/>
              </w:rPr>
            </w:pPr>
          </w:p>
        </w:tc>
        <w:tc>
          <w:tcPr>
            <w:tcW w:w="186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3,618</w:t>
            </w:r>
          </w:p>
        </w:tc>
        <w:tc>
          <w:tcPr>
            <w:tcW w:w="360" w:type="dxa"/>
            <w:vAlign w:val="bottom"/>
            <w:vMerge w:val="continue"/>
          </w:tcPr>
          <w:p>
            <w:pPr>
              <w:spacing w:after="0"/>
              <w:rPr>
                <w:sz w:val="20"/>
                <w:szCs w:val="20"/>
                <w:color w:val="auto"/>
              </w:rPr>
            </w:pPr>
          </w:p>
        </w:tc>
        <w:tc>
          <w:tcPr>
            <w:tcW w:w="120" w:type="dxa"/>
            <w:vAlign w:val="bottom"/>
            <w:tcBorders>
              <w:bottom w:val="single" w:sz="8" w:color="F2F2F2"/>
            </w:tcBorders>
            <w:shd w:val="clear" w:color="auto" w:fill="F2F2F2"/>
          </w:tcPr>
          <w:p>
            <w:pPr>
              <w:spacing w:after="0"/>
              <w:rPr>
                <w:sz w:val="20"/>
                <w:szCs w:val="20"/>
                <w:color w:val="auto"/>
              </w:rPr>
            </w:pPr>
          </w:p>
        </w:tc>
        <w:tc>
          <w:tcPr>
            <w:tcW w:w="1260" w:type="dxa"/>
            <w:vAlign w:val="bottom"/>
            <w:tcBorders>
              <w:bottom w:val="single" w:sz="8" w:color="F2F2F2"/>
            </w:tcBorders>
            <w:shd w:val="clear" w:color="auto" w:fill="F2F2F2"/>
          </w:tcPr>
          <w:p>
            <w:pPr>
              <w:jc w:val="right"/>
              <w:ind w:right="8"/>
              <w:spacing w:after="0"/>
              <w:rPr>
                <w:sz w:val="20"/>
                <w:szCs w:val="20"/>
                <w:color w:val="auto"/>
              </w:rPr>
            </w:pPr>
            <w:r>
              <w:rPr>
                <w:rFonts w:ascii="Arial" w:cs="Arial" w:eastAsia="Arial" w:hAnsi="Arial"/>
                <w:sz w:val="14"/>
                <w:szCs w:val="14"/>
                <w:color w:val="auto"/>
              </w:rPr>
              <w:t>$2,962,889</w:t>
            </w:r>
          </w:p>
        </w:tc>
        <w:tc>
          <w:tcPr>
            <w:tcW w:w="0" w:type="dxa"/>
            <w:vAlign w:val="bottom"/>
          </w:tcPr>
          <w:p>
            <w:pPr>
              <w:spacing w:after="0"/>
              <w:rPr>
                <w:sz w:val="1"/>
                <w:szCs w:val="1"/>
                <w:color w:val="auto"/>
              </w:rPr>
            </w:pPr>
          </w:p>
        </w:tc>
      </w:tr>
      <w:tr>
        <w:trPr>
          <w:trHeight w:val="84"/>
        </w:trPr>
        <w:tc>
          <w:tcPr>
            <w:tcW w:w="3040" w:type="dxa"/>
            <w:vAlign w:val="bottom"/>
            <w:vMerge w:val="restart"/>
          </w:tcPr>
          <w:p>
            <w:pPr>
              <w:ind w:left="20"/>
              <w:spacing w:after="0"/>
              <w:rPr>
                <w:sz w:val="20"/>
                <w:szCs w:val="20"/>
                <w:color w:val="auto"/>
              </w:rPr>
            </w:pPr>
            <w:r>
              <w:rPr>
                <w:rFonts w:ascii="Arial" w:cs="Arial" w:eastAsia="Arial" w:hAnsi="Arial"/>
                <w:sz w:val="14"/>
                <w:szCs w:val="14"/>
                <w:color w:val="auto"/>
              </w:rPr>
              <w:t>Mr. Brooks</w:t>
            </w:r>
          </w:p>
        </w:tc>
        <w:tc>
          <w:tcPr>
            <w:tcW w:w="1860" w:type="dxa"/>
            <w:vAlign w:val="bottom"/>
            <w:vMerge w:val="restart"/>
          </w:tcPr>
          <w:p>
            <w:pPr>
              <w:jc w:val="right"/>
              <w:spacing w:after="0"/>
              <w:rPr>
                <w:sz w:val="20"/>
                <w:szCs w:val="20"/>
                <w:color w:val="auto"/>
              </w:rPr>
            </w:pPr>
            <w:r>
              <w:rPr>
                <w:rFonts w:ascii="Arial" w:cs="Arial" w:eastAsia="Arial" w:hAnsi="Arial"/>
                <w:sz w:val="14"/>
                <w:szCs w:val="14"/>
                <w:color w:val="auto"/>
              </w:rPr>
              <w:t>977</w:t>
            </w:r>
          </w:p>
        </w:tc>
        <w:tc>
          <w:tcPr>
            <w:tcW w:w="360" w:type="dxa"/>
            <w:vAlign w:val="bottom"/>
          </w:tcPr>
          <w:p>
            <w:pPr>
              <w:jc w:val="right"/>
              <w:ind w:right="233"/>
              <w:spacing w:after="0" w:line="84" w:lineRule="exact"/>
              <w:rPr>
                <w:sz w:val="20"/>
                <w:szCs w:val="20"/>
                <w:color w:val="auto"/>
              </w:rPr>
            </w:pPr>
            <w:r>
              <w:rPr>
                <w:rFonts w:ascii="Arial" w:cs="Arial" w:eastAsia="Arial" w:hAnsi="Arial"/>
                <w:sz w:val="9"/>
                <w:szCs w:val="9"/>
                <w:color w:val="auto"/>
              </w:rPr>
              <w:t>3</w:t>
            </w:r>
          </w:p>
        </w:tc>
        <w:tc>
          <w:tcPr>
            <w:tcW w:w="120" w:type="dxa"/>
            <w:vAlign w:val="bottom"/>
          </w:tcPr>
          <w:p>
            <w:pPr>
              <w:spacing w:after="0"/>
              <w:rPr>
                <w:sz w:val="7"/>
                <w:szCs w:val="7"/>
                <w:color w:val="auto"/>
              </w:rPr>
            </w:pPr>
          </w:p>
        </w:tc>
        <w:tc>
          <w:tcPr>
            <w:tcW w:w="1260" w:type="dxa"/>
            <w:vAlign w:val="bottom"/>
            <w:vMerge w:val="restart"/>
          </w:tcPr>
          <w:p>
            <w:pPr>
              <w:jc w:val="right"/>
              <w:ind w:right="8"/>
              <w:spacing w:after="0"/>
              <w:rPr>
                <w:sz w:val="20"/>
                <w:szCs w:val="20"/>
                <w:color w:val="auto"/>
              </w:rPr>
            </w:pPr>
            <w:r>
              <w:rPr>
                <w:rFonts w:ascii="Arial" w:cs="Arial" w:eastAsia="Arial" w:hAnsi="Arial"/>
                <w:sz w:val="14"/>
                <w:szCs w:val="14"/>
                <w:color w:val="auto"/>
              </w:rPr>
              <w:t>$848,461</w:t>
            </w:r>
          </w:p>
        </w:tc>
        <w:tc>
          <w:tcPr>
            <w:tcW w:w="0" w:type="dxa"/>
            <w:vAlign w:val="bottom"/>
          </w:tcPr>
          <w:p>
            <w:pPr>
              <w:spacing w:after="0"/>
              <w:rPr>
                <w:sz w:val="1"/>
                <w:szCs w:val="1"/>
                <w:color w:val="auto"/>
              </w:rPr>
            </w:pPr>
          </w:p>
        </w:tc>
      </w:tr>
      <w:tr>
        <w:trPr>
          <w:trHeight w:val="151"/>
        </w:trPr>
        <w:tc>
          <w:tcPr>
            <w:tcW w:w="3040" w:type="dxa"/>
            <w:vAlign w:val="bottom"/>
            <w:vMerge w:val="continue"/>
          </w:tcPr>
          <w:p>
            <w:pPr>
              <w:spacing w:after="0"/>
              <w:rPr>
                <w:sz w:val="13"/>
                <w:szCs w:val="13"/>
                <w:color w:val="auto"/>
              </w:rPr>
            </w:pPr>
          </w:p>
        </w:tc>
        <w:tc>
          <w:tcPr>
            <w:tcW w:w="1860" w:type="dxa"/>
            <w:vAlign w:val="bottom"/>
            <w:vMerge w:val="continue"/>
          </w:tcPr>
          <w:p>
            <w:pPr>
              <w:spacing w:after="0"/>
              <w:rPr>
                <w:sz w:val="13"/>
                <w:szCs w:val="13"/>
                <w:color w:val="auto"/>
              </w:rPr>
            </w:pPr>
          </w:p>
        </w:tc>
        <w:tc>
          <w:tcPr>
            <w:tcW w:w="360" w:type="dxa"/>
            <w:vAlign w:val="bottom"/>
            <w:vMerge w:val="restart"/>
          </w:tcPr>
          <w:p>
            <w:pPr>
              <w:jc w:val="right"/>
              <w:ind w:right="233"/>
              <w:spacing w:after="0"/>
              <w:rPr>
                <w:sz w:val="20"/>
                <w:szCs w:val="20"/>
                <w:color w:val="auto"/>
              </w:rPr>
            </w:pPr>
            <w:r>
              <w:rPr>
                <w:rFonts w:ascii="Arial" w:cs="Arial" w:eastAsia="Arial" w:hAnsi="Arial"/>
                <w:sz w:val="9"/>
                <w:szCs w:val="9"/>
                <w:color w:val="auto"/>
              </w:rPr>
              <w:t>4</w:t>
            </w:r>
          </w:p>
        </w:tc>
        <w:tc>
          <w:tcPr>
            <w:tcW w:w="120" w:type="dxa"/>
            <w:vAlign w:val="bottom"/>
          </w:tcPr>
          <w:p>
            <w:pPr>
              <w:spacing w:after="0"/>
              <w:rPr>
                <w:sz w:val="13"/>
                <w:szCs w:val="13"/>
                <w:color w:val="auto"/>
              </w:rPr>
            </w:pPr>
          </w:p>
        </w:tc>
        <w:tc>
          <w:tcPr>
            <w:tcW w:w="1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3040" w:type="dxa"/>
            <w:vAlign w:val="bottom"/>
          </w:tcPr>
          <w:p>
            <w:pPr>
              <w:spacing w:after="0"/>
              <w:rPr>
                <w:sz w:val="9"/>
                <w:szCs w:val="9"/>
                <w:color w:val="auto"/>
              </w:rPr>
            </w:pPr>
          </w:p>
        </w:tc>
        <w:tc>
          <w:tcPr>
            <w:tcW w:w="1860" w:type="dxa"/>
            <w:vAlign w:val="bottom"/>
            <w:vMerge w:val="restart"/>
          </w:tcPr>
          <w:p>
            <w:pPr>
              <w:jc w:val="right"/>
              <w:spacing w:after="0"/>
              <w:rPr>
                <w:sz w:val="20"/>
                <w:szCs w:val="20"/>
                <w:color w:val="auto"/>
              </w:rPr>
            </w:pPr>
            <w:r>
              <w:rPr>
                <w:rFonts w:ascii="Arial" w:cs="Arial" w:eastAsia="Arial" w:hAnsi="Arial"/>
                <w:sz w:val="14"/>
                <w:szCs w:val="14"/>
                <w:color w:val="auto"/>
              </w:rPr>
              <w:t>903</w:t>
            </w:r>
          </w:p>
        </w:tc>
        <w:tc>
          <w:tcPr>
            <w:tcW w:w="3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vMerge w:val="restart"/>
          </w:tcPr>
          <w:p>
            <w:pPr>
              <w:jc w:val="right"/>
              <w:ind w:right="8"/>
              <w:spacing w:after="0"/>
              <w:rPr>
                <w:sz w:val="20"/>
                <w:szCs w:val="20"/>
                <w:color w:val="auto"/>
              </w:rPr>
            </w:pPr>
            <w:r>
              <w:rPr>
                <w:rFonts w:ascii="Arial" w:cs="Arial" w:eastAsia="Arial" w:hAnsi="Arial"/>
                <w:sz w:val="14"/>
                <w:szCs w:val="14"/>
                <w:color w:val="auto"/>
              </w:rPr>
              <w:t>$784,599</w:t>
            </w:r>
          </w:p>
        </w:tc>
        <w:tc>
          <w:tcPr>
            <w:tcW w:w="0" w:type="dxa"/>
            <w:vAlign w:val="bottom"/>
          </w:tcPr>
          <w:p>
            <w:pPr>
              <w:spacing w:after="0"/>
              <w:rPr>
                <w:sz w:val="1"/>
                <w:szCs w:val="1"/>
                <w:color w:val="auto"/>
              </w:rPr>
            </w:pPr>
          </w:p>
        </w:tc>
      </w:tr>
      <w:tr>
        <w:trPr>
          <w:trHeight w:val="151"/>
        </w:trPr>
        <w:tc>
          <w:tcPr>
            <w:tcW w:w="3040" w:type="dxa"/>
            <w:vAlign w:val="bottom"/>
          </w:tcPr>
          <w:p>
            <w:pPr>
              <w:spacing w:after="0"/>
              <w:rPr>
                <w:sz w:val="13"/>
                <w:szCs w:val="13"/>
                <w:color w:val="auto"/>
              </w:rPr>
            </w:pPr>
          </w:p>
        </w:tc>
        <w:tc>
          <w:tcPr>
            <w:tcW w:w="1860" w:type="dxa"/>
            <w:vAlign w:val="bottom"/>
            <w:vMerge w:val="continue"/>
          </w:tcPr>
          <w:p>
            <w:pPr>
              <w:spacing w:after="0"/>
              <w:rPr>
                <w:sz w:val="13"/>
                <w:szCs w:val="13"/>
                <w:color w:val="auto"/>
              </w:rPr>
            </w:pPr>
          </w:p>
        </w:tc>
        <w:tc>
          <w:tcPr>
            <w:tcW w:w="360" w:type="dxa"/>
            <w:vAlign w:val="bottom"/>
            <w:vMerge w:val="restart"/>
          </w:tcPr>
          <w:p>
            <w:pPr>
              <w:jc w:val="right"/>
              <w:ind w:right="233"/>
              <w:spacing w:after="0"/>
              <w:rPr>
                <w:sz w:val="20"/>
                <w:szCs w:val="20"/>
                <w:color w:val="auto"/>
              </w:rPr>
            </w:pPr>
            <w:r>
              <w:rPr>
                <w:rFonts w:ascii="Arial" w:cs="Arial" w:eastAsia="Arial" w:hAnsi="Arial"/>
                <w:sz w:val="9"/>
                <w:szCs w:val="9"/>
                <w:color w:val="auto"/>
              </w:rPr>
              <w:t>5</w:t>
            </w:r>
          </w:p>
        </w:tc>
        <w:tc>
          <w:tcPr>
            <w:tcW w:w="120" w:type="dxa"/>
            <w:vAlign w:val="bottom"/>
          </w:tcPr>
          <w:p>
            <w:pPr>
              <w:spacing w:after="0"/>
              <w:rPr>
                <w:sz w:val="13"/>
                <w:szCs w:val="13"/>
                <w:color w:val="auto"/>
              </w:rPr>
            </w:pPr>
          </w:p>
        </w:tc>
        <w:tc>
          <w:tcPr>
            <w:tcW w:w="1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040" w:type="dxa"/>
            <w:vAlign w:val="bottom"/>
          </w:tcPr>
          <w:p>
            <w:pPr>
              <w:spacing w:after="0"/>
              <w:rPr>
                <w:sz w:val="9"/>
                <w:szCs w:val="9"/>
                <w:color w:val="auto"/>
              </w:rPr>
            </w:pPr>
          </w:p>
        </w:tc>
        <w:tc>
          <w:tcPr>
            <w:tcW w:w="1860" w:type="dxa"/>
            <w:vAlign w:val="bottom"/>
            <w:vMerge w:val="restart"/>
          </w:tcPr>
          <w:p>
            <w:pPr>
              <w:jc w:val="right"/>
              <w:spacing w:after="0"/>
              <w:rPr>
                <w:sz w:val="20"/>
                <w:szCs w:val="20"/>
                <w:color w:val="auto"/>
              </w:rPr>
            </w:pPr>
            <w:r>
              <w:rPr>
                <w:rFonts w:ascii="Arial" w:cs="Arial" w:eastAsia="Arial" w:hAnsi="Arial"/>
                <w:sz w:val="14"/>
                <w:szCs w:val="14"/>
                <w:color w:val="auto"/>
              </w:rPr>
              <w:t>1,786</w:t>
            </w:r>
          </w:p>
        </w:tc>
        <w:tc>
          <w:tcPr>
            <w:tcW w:w="3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vMerge w:val="restart"/>
          </w:tcPr>
          <w:p>
            <w:pPr>
              <w:jc w:val="right"/>
              <w:ind w:right="8"/>
              <w:spacing w:after="0"/>
              <w:rPr>
                <w:sz w:val="20"/>
                <w:szCs w:val="20"/>
                <w:color w:val="auto"/>
              </w:rPr>
            </w:pPr>
            <w:r>
              <w:rPr>
                <w:rFonts w:ascii="Arial" w:cs="Arial" w:eastAsia="Arial" w:hAnsi="Arial"/>
                <w:sz w:val="14"/>
                <w:szCs w:val="14"/>
                <w:color w:val="auto"/>
              </w:rPr>
              <w:t>$1,551,820</w:t>
            </w:r>
          </w:p>
        </w:tc>
        <w:tc>
          <w:tcPr>
            <w:tcW w:w="0" w:type="dxa"/>
            <w:vAlign w:val="bottom"/>
          </w:tcPr>
          <w:p>
            <w:pPr>
              <w:spacing w:after="0"/>
              <w:rPr>
                <w:sz w:val="1"/>
                <w:szCs w:val="1"/>
                <w:color w:val="auto"/>
              </w:rPr>
            </w:pPr>
          </w:p>
        </w:tc>
      </w:tr>
      <w:tr>
        <w:trPr>
          <w:trHeight w:val="151"/>
        </w:trPr>
        <w:tc>
          <w:tcPr>
            <w:tcW w:w="3040" w:type="dxa"/>
            <w:vAlign w:val="bottom"/>
          </w:tcPr>
          <w:p>
            <w:pPr>
              <w:spacing w:after="0"/>
              <w:rPr>
                <w:sz w:val="13"/>
                <w:szCs w:val="13"/>
                <w:color w:val="auto"/>
              </w:rPr>
            </w:pPr>
          </w:p>
        </w:tc>
        <w:tc>
          <w:tcPr>
            <w:tcW w:w="1860" w:type="dxa"/>
            <w:vAlign w:val="bottom"/>
            <w:vMerge w:val="continue"/>
          </w:tcPr>
          <w:p>
            <w:pPr>
              <w:spacing w:after="0"/>
              <w:rPr>
                <w:sz w:val="13"/>
                <w:szCs w:val="13"/>
                <w:color w:val="auto"/>
              </w:rPr>
            </w:pPr>
          </w:p>
        </w:tc>
        <w:tc>
          <w:tcPr>
            <w:tcW w:w="360" w:type="dxa"/>
            <w:vAlign w:val="bottom"/>
            <w:vMerge w:val="restart"/>
          </w:tcPr>
          <w:p>
            <w:pPr>
              <w:jc w:val="right"/>
              <w:ind w:right="233"/>
              <w:spacing w:after="0"/>
              <w:rPr>
                <w:sz w:val="20"/>
                <w:szCs w:val="20"/>
                <w:color w:val="auto"/>
              </w:rPr>
            </w:pPr>
            <w:r>
              <w:rPr>
                <w:rFonts w:ascii="Arial" w:cs="Arial" w:eastAsia="Arial" w:hAnsi="Arial"/>
                <w:sz w:val="9"/>
                <w:szCs w:val="9"/>
                <w:color w:val="auto"/>
              </w:rPr>
              <w:t>6</w:t>
            </w:r>
          </w:p>
        </w:tc>
        <w:tc>
          <w:tcPr>
            <w:tcW w:w="120" w:type="dxa"/>
            <w:vAlign w:val="bottom"/>
          </w:tcPr>
          <w:p>
            <w:pPr>
              <w:spacing w:after="0"/>
              <w:rPr>
                <w:sz w:val="13"/>
                <w:szCs w:val="13"/>
                <w:color w:val="auto"/>
              </w:rPr>
            </w:pPr>
          </w:p>
        </w:tc>
        <w:tc>
          <w:tcPr>
            <w:tcW w:w="1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3040" w:type="dxa"/>
            <w:vAlign w:val="bottom"/>
          </w:tcPr>
          <w:p>
            <w:pPr>
              <w:spacing w:after="0"/>
              <w:rPr>
                <w:sz w:val="9"/>
                <w:szCs w:val="9"/>
                <w:color w:val="auto"/>
              </w:rPr>
            </w:pPr>
          </w:p>
        </w:tc>
        <w:tc>
          <w:tcPr>
            <w:tcW w:w="1860" w:type="dxa"/>
            <w:vAlign w:val="bottom"/>
            <w:vMerge w:val="restart"/>
          </w:tcPr>
          <w:p>
            <w:pPr>
              <w:jc w:val="right"/>
              <w:spacing w:after="0"/>
              <w:rPr>
                <w:sz w:val="20"/>
                <w:szCs w:val="20"/>
                <w:color w:val="auto"/>
              </w:rPr>
            </w:pPr>
            <w:r>
              <w:rPr>
                <w:rFonts w:ascii="Arial" w:cs="Arial" w:eastAsia="Arial" w:hAnsi="Arial"/>
                <w:sz w:val="14"/>
                <w:szCs w:val="14"/>
                <w:color w:val="auto"/>
              </w:rPr>
              <w:t>3,067</w:t>
            </w:r>
          </w:p>
        </w:tc>
        <w:tc>
          <w:tcPr>
            <w:tcW w:w="3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vMerge w:val="restart"/>
          </w:tcPr>
          <w:p>
            <w:pPr>
              <w:jc w:val="right"/>
              <w:ind w:right="8"/>
              <w:spacing w:after="0"/>
              <w:rPr>
                <w:sz w:val="20"/>
                <w:szCs w:val="20"/>
                <w:color w:val="auto"/>
              </w:rPr>
            </w:pPr>
            <w:r>
              <w:rPr>
                <w:rFonts w:ascii="Arial" w:cs="Arial" w:eastAsia="Arial" w:hAnsi="Arial"/>
                <w:sz w:val="14"/>
                <w:szCs w:val="14"/>
                <w:color w:val="auto"/>
              </w:rPr>
              <w:t>$2,511,658</w:t>
            </w:r>
          </w:p>
        </w:tc>
        <w:tc>
          <w:tcPr>
            <w:tcW w:w="0" w:type="dxa"/>
            <w:vAlign w:val="bottom"/>
          </w:tcPr>
          <w:p>
            <w:pPr>
              <w:spacing w:after="0"/>
              <w:rPr>
                <w:sz w:val="1"/>
                <w:szCs w:val="1"/>
                <w:color w:val="auto"/>
              </w:rPr>
            </w:pPr>
          </w:p>
        </w:tc>
      </w:tr>
      <w:tr>
        <w:trPr>
          <w:trHeight w:val="151"/>
        </w:trPr>
        <w:tc>
          <w:tcPr>
            <w:tcW w:w="3040" w:type="dxa"/>
            <w:vAlign w:val="bottom"/>
          </w:tcPr>
          <w:p>
            <w:pPr>
              <w:spacing w:after="0"/>
              <w:rPr>
                <w:sz w:val="13"/>
                <w:szCs w:val="13"/>
                <w:color w:val="auto"/>
              </w:rPr>
            </w:pPr>
          </w:p>
        </w:tc>
        <w:tc>
          <w:tcPr>
            <w:tcW w:w="186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
        </w:trPr>
        <w:tc>
          <w:tcPr>
            <w:tcW w:w="3040" w:type="dxa"/>
            <w:vAlign w:val="bottom"/>
          </w:tcPr>
          <w:p>
            <w:pPr>
              <w:spacing w:after="0" w:line="20" w:lineRule="exact"/>
              <w:rPr>
                <w:sz w:val="1"/>
                <w:szCs w:val="1"/>
                <w:color w:val="auto"/>
              </w:rPr>
            </w:pPr>
          </w:p>
        </w:tc>
        <w:tc>
          <w:tcPr>
            <w:tcW w:w="2340" w:type="dxa"/>
            <w:vAlign w:val="bottom"/>
            <w:gridSpan w:val="3"/>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3040" w:type="dxa"/>
            <w:vAlign w:val="bottom"/>
            <w:tcBorders>
              <w:bottom w:val="single" w:sz="8" w:color="auto"/>
            </w:tcBorders>
            <w:shd w:val="clear" w:color="auto" w:fill="F2F2F2"/>
          </w:tcPr>
          <w:p>
            <w:pPr>
              <w:ind w:left="20"/>
              <w:spacing w:after="0"/>
              <w:rPr>
                <w:sz w:val="20"/>
                <w:szCs w:val="20"/>
                <w:color w:val="auto"/>
              </w:rPr>
            </w:pPr>
            <w:r>
              <w:rPr>
                <w:rFonts w:ascii="Arial" w:cs="Arial" w:eastAsia="Arial" w:hAnsi="Arial"/>
                <w:sz w:val="14"/>
                <w:szCs w:val="14"/>
                <w:color w:val="auto"/>
              </w:rPr>
              <w:t>Ms. Ashkenazi</w:t>
            </w:r>
          </w:p>
        </w:tc>
        <w:tc>
          <w:tcPr>
            <w:tcW w:w="2340" w:type="dxa"/>
            <w:vAlign w:val="bottom"/>
            <w:tcBorders>
              <w:bottom w:val="single" w:sz="8" w:color="auto"/>
            </w:tcBorders>
            <w:gridSpan w:val="3"/>
            <w:shd w:val="clear" w:color="auto" w:fill="F2F2F2"/>
          </w:tcPr>
          <w:p>
            <w:pPr>
              <w:jc w:val="right"/>
              <w:ind w:right="400"/>
              <w:spacing w:after="0" w:line="257"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9"/>
                <w:szCs w:val="9"/>
                <w:color w:val="auto"/>
              </w:rPr>
              <w:t xml:space="preserve"> 8</w:t>
            </w:r>
          </w:p>
        </w:tc>
        <w:tc>
          <w:tcPr>
            <w:tcW w:w="1260" w:type="dxa"/>
            <w:vAlign w:val="bottom"/>
            <w:tcBorders>
              <w:bottom w:val="single" w:sz="8" w:color="auto"/>
            </w:tcBorders>
            <w:shd w:val="clear" w:color="auto" w:fill="F2F2F2"/>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-3428365</wp:posOffset>
            </wp:positionV>
            <wp:extent cx="4208780" cy="2606040"/>
            <wp:wrapNone/>
            <wp:docPr id="2308" name="Picture 2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8"/>
                    <pic:cNvPicPr>
                      <a:picLocks noChangeAspect="1" noChangeArrowheads="1"/>
                    </pic:cNvPicPr>
                  </pic:nvPicPr>
                  <pic:blipFill>
                    <a:blip r:embed="rId2315">
                      <a:extLst>
                        <a:ext uri="{28A0092B-C50C-407E-A947-70E740481C1C}"/>
                      </a:extLst>
                    </a:blip>
                    <a:srcRect/>
                    <a:stretch>
                      <a:fillRect/>
                    </a:stretch>
                  </pic:blipFill>
                  <pic:spPr bwMode="auto">
                    <a:xfrm>
                      <a:off x="0" y="0"/>
                      <a:ext cx="4208780" cy="2606040"/>
                    </a:xfrm>
                    <a:prstGeom prst="rect">
                      <a:avLst/>
                    </a:prstGeom>
                    <a:noFill/>
                  </pic:spPr>
                </pic:pic>
              </a:graphicData>
            </a:graphic>
          </wp:anchor>
        </w:drawing>
      </w:r>
    </w:p>
    <w:p>
      <w:pPr>
        <w:spacing w:after="0" w:line="91" w:lineRule="exact"/>
        <w:rPr>
          <w:sz w:val="20"/>
          <w:szCs w:val="20"/>
          <w:color w:val="auto"/>
        </w:rPr>
      </w:pPr>
    </w:p>
    <w:p>
      <w:pPr>
        <w:ind w:left="160" w:hanging="152"/>
        <w:spacing w:after="0"/>
        <w:tabs>
          <w:tab w:leader="none" w:pos="160" w:val="left"/>
        </w:tabs>
        <w:numPr>
          <w:ilvl w:val="0"/>
          <w:numId w:val="162"/>
        </w:numPr>
        <w:rPr>
          <w:rFonts w:ascii="Arial" w:cs="Arial" w:eastAsia="Arial" w:hAnsi="Arial"/>
          <w:sz w:val="19"/>
          <w:szCs w:val="19"/>
          <w:color w:val="auto"/>
          <w:vertAlign w:val="superscript"/>
        </w:rPr>
      </w:pPr>
      <w:r>
        <w:rPr>
          <w:rFonts w:ascii="Arial" w:cs="Arial" w:eastAsia="Arial" w:hAnsi="Arial"/>
          <w:sz w:val="14"/>
          <w:szCs w:val="14"/>
          <w:color w:val="auto"/>
        </w:rPr>
        <w:t>Amounts reflect the market value of Lilly stock on the day value was realized.</w:t>
      </w:r>
    </w:p>
    <w:p>
      <w:pPr>
        <w:spacing w:after="0" w:line="11" w:lineRule="exact"/>
        <w:rPr>
          <w:sz w:val="20"/>
          <w:szCs w:val="20"/>
          <w:color w:val="auto"/>
        </w:rPr>
      </w:pPr>
    </w:p>
    <w:p>
      <w:pPr>
        <w:ind w:left="160" w:hanging="152"/>
        <w:spacing w:after="0"/>
        <w:tabs>
          <w:tab w:leader="none" w:pos="160" w:val="left"/>
        </w:tabs>
        <w:numPr>
          <w:ilvl w:val="0"/>
          <w:numId w:val="163"/>
        </w:numPr>
        <w:rPr>
          <w:rFonts w:ascii="Arial" w:cs="Arial" w:eastAsia="Arial" w:hAnsi="Arial"/>
          <w:sz w:val="19"/>
          <w:szCs w:val="19"/>
          <w:color w:val="auto"/>
          <w:vertAlign w:val="superscript"/>
        </w:rPr>
      </w:pPr>
      <w:r>
        <w:rPr>
          <w:rFonts w:ascii="Arial" w:cs="Arial" w:eastAsia="Arial" w:hAnsi="Arial"/>
          <w:sz w:val="14"/>
          <w:szCs w:val="14"/>
          <w:color w:val="auto"/>
        </w:rPr>
        <w:t>Restricted stock units resulting from the 2021-2023 performance award that vested in February 2024.</w:t>
      </w:r>
    </w:p>
    <w:p>
      <w:pPr>
        <w:spacing w:after="0" w:line="39" w:lineRule="exact"/>
        <w:rPr>
          <w:rFonts w:ascii="Arial" w:cs="Arial" w:eastAsia="Arial" w:hAnsi="Arial"/>
          <w:sz w:val="19"/>
          <w:szCs w:val="19"/>
          <w:color w:val="auto"/>
          <w:vertAlign w:val="superscript"/>
        </w:rPr>
      </w:pPr>
    </w:p>
    <w:p>
      <w:pPr>
        <w:spacing w:after="0"/>
        <w:rPr>
          <w:rFonts w:ascii="Arial" w:cs="Arial" w:eastAsia="Arial" w:hAnsi="Arial"/>
          <w:sz w:val="19"/>
          <w:szCs w:val="19"/>
          <w:color w:val="auto"/>
          <w:vertAlign w:val="superscript"/>
        </w:rPr>
      </w:pPr>
      <w:r>
        <w:rPr>
          <w:rFonts w:ascii="Arial" w:cs="Arial" w:eastAsia="Arial" w:hAnsi="Arial"/>
          <w:sz w:val="9"/>
          <w:szCs w:val="9"/>
          <w:color w:val="auto"/>
        </w:rPr>
        <w:t xml:space="preserve">3  </w:t>
      </w:r>
      <w:r>
        <w:rPr>
          <w:rFonts w:ascii="Arial" w:cs="Arial" w:eastAsia="Arial" w:hAnsi="Arial"/>
          <w:sz w:val="14"/>
          <w:szCs w:val="14"/>
          <w:color w:val="auto"/>
        </w:rPr>
        <w:t>Payout of the 2022-2024 shareholder value award at 175 percent of target.</w:t>
      </w:r>
    </w:p>
    <w:p>
      <w:pPr>
        <w:spacing w:after="0" w:line="54" w:lineRule="exact"/>
        <w:rPr>
          <w:rFonts w:ascii="Arial" w:cs="Arial" w:eastAsia="Arial" w:hAnsi="Arial"/>
          <w:sz w:val="19"/>
          <w:szCs w:val="19"/>
          <w:color w:val="auto"/>
          <w:vertAlign w:val="superscript"/>
        </w:rPr>
      </w:pPr>
    </w:p>
    <w:p>
      <w:pPr>
        <w:spacing w:after="0"/>
        <w:rPr>
          <w:rFonts w:ascii="Arial" w:cs="Arial" w:eastAsia="Arial" w:hAnsi="Arial"/>
          <w:sz w:val="19"/>
          <w:szCs w:val="19"/>
          <w:color w:val="auto"/>
          <w:vertAlign w:val="superscript"/>
        </w:rPr>
      </w:pPr>
      <w:r>
        <w:rPr>
          <w:rFonts w:ascii="Arial" w:cs="Arial" w:eastAsia="Arial" w:hAnsi="Arial"/>
          <w:sz w:val="9"/>
          <w:szCs w:val="9"/>
          <w:color w:val="auto"/>
        </w:rPr>
        <w:t xml:space="preserve">4  </w:t>
      </w:r>
      <w:r>
        <w:rPr>
          <w:rFonts w:ascii="Arial" w:cs="Arial" w:eastAsia="Arial" w:hAnsi="Arial"/>
          <w:sz w:val="14"/>
          <w:szCs w:val="14"/>
          <w:color w:val="auto"/>
        </w:rPr>
        <w:t>Payout of the 2022-2024 relative value award at 175 percent of target.</w:t>
      </w:r>
    </w:p>
    <w:p>
      <w:pPr>
        <w:spacing w:after="0" w:line="66" w:lineRule="exact"/>
        <w:rPr>
          <w:rFonts w:ascii="Arial" w:cs="Arial" w:eastAsia="Arial" w:hAnsi="Arial"/>
          <w:sz w:val="19"/>
          <w:szCs w:val="19"/>
          <w:color w:val="auto"/>
          <w:vertAlign w:val="superscript"/>
        </w:rPr>
      </w:pPr>
    </w:p>
    <w:p>
      <w:pPr>
        <w:spacing w:after="0"/>
        <w:rPr>
          <w:rFonts w:ascii="Arial" w:cs="Arial" w:eastAsia="Arial" w:hAnsi="Arial"/>
          <w:sz w:val="19"/>
          <w:szCs w:val="19"/>
          <w:color w:val="auto"/>
          <w:vertAlign w:val="superscript"/>
        </w:rPr>
      </w:pPr>
      <w:r>
        <w:rPr>
          <w:rFonts w:ascii="Arial" w:cs="Arial" w:eastAsia="Arial" w:hAnsi="Arial"/>
          <w:sz w:val="18"/>
          <w:szCs w:val="18"/>
          <w:color w:val="auto"/>
          <w:vertAlign w:val="superscript"/>
        </w:rPr>
        <w:t>5</w:t>
      </w:r>
      <w:r>
        <w:rPr>
          <w:rFonts w:ascii="Arial" w:cs="Arial" w:eastAsia="Arial" w:hAnsi="Arial"/>
          <w:sz w:val="14"/>
          <w:szCs w:val="14"/>
          <w:color w:val="auto"/>
        </w:rPr>
        <w:t xml:space="preserve">  Payout of the 2023-2024 performance award at 200 percent of target.</w:t>
      </w:r>
    </w:p>
    <w:p>
      <w:pPr>
        <w:spacing w:after="0" w:line="38" w:lineRule="exact"/>
        <w:rPr>
          <w:rFonts w:ascii="Arial" w:cs="Arial" w:eastAsia="Arial" w:hAnsi="Arial"/>
          <w:sz w:val="19"/>
          <w:szCs w:val="19"/>
          <w:color w:val="auto"/>
          <w:vertAlign w:val="superscript"/>
        </w:rPr>
      </w:pPr>
    </w:p>
    <w:p>
      <w:pPr>
        <w:spacing w:after="0"/>
        <w:rPr>
          <w:rFonts w:ascii="Arial" w:cs="Arial" w:eastAsia="Arial" w:hAnsi="Arial"/>
          <w:sz w:val="19"/>
          <w:szCs w:val="19"/>
          <w:color w:val="auto"/>
          <w:vertAlign w:val="superscript"/>
        </w:rPr>
      </w:pPr>
      <w:r>
        <w:rPr>
          <w:rFonts w:ascii="Arial" w:cs="Arial" w:eastAsia="Arial" w:hAnsi="Arial"/>
          <w:sz w:val="18"/>
          <w:szCs w:val="18"/>
          <w:color w:val="auto"/>
          <w:vertAlign w:val="superscript"/>
        </w:rPr>
        <w:t>6</w:t>
      </w:r>
      <w:r>
        <w:rPr>
          <w:rFonts w:ascii="Arial" w:cs="Arial" w:eastAsia="Arial" w:hAnsi="Arial"/>
          <w:sz w:val="14"/>
          <w:szCs w:val="14"/>
          <w:color w:val="auto"/>
        </w:rPr>
        <w:t xml:space="preserve">  Restricted stock units granted off-cycle in November 2020 that vested in November 2024.</w:t>
      </w:r>
    </w:p>
    <w:p>
      <w:pPr>
        <w:spacing w:after="0" w:line="22" w:lineRule="exact"/>
        <w:rPr>
          <w:rFonts w:ascii="Arial" w:cs="Arial" w:eastAsia="Arial" w:hAnsi="Arial"/>
          <w:sz w:val="19"/>
          <w:szCs w:val="19"/>
          <w:color w:val="auto"/>
          <w:vertAlign w:val="superscript"/>
        </w:rPr>
      </w:pPr>
    </w:p>
    <w:p>
      <w:pPr>
        <w:spacing w:after="0"/>
        <w:rPr>
          <w:rFonts w:ascii="Arial" w:cs="Arial" w:eastAsia="Arial" w:hAnsi="Arial"/>
          <w:sz w:val="19"/>
          <w:szCs w:val="19"/>
          <w:color w:val="auto"/>
          <w:vertAlign w:val="superscript"/>
        </w:rPr>
      </w:pPr>
      <w:r>
        <w:rPr>
          <w:rFonts w:ascii="Arial" w:cs="Arial" w:eastAsia="Arial" w:hAnsi="Arial"/>
          <w:sz w:val="18"/>
          <w:szCs w:val="18"/>
          <w:color w:val="auto"/>
          <w:vertAlign w:val="superscript"/>
        </w:rPr>
        <w:t>7</w:t>
      </w:r>
      <w:r>
        <w:rPr>
          <w:rFonts w:ascii="Arial" w:cs="Arial" w:eastAsia="Arial" w:hAnsi="Arial"/>
          <w:sz w:val="14"/>
          <w:szCs w:val="14"/>
          <w:color w:val="auto"/>
        </w:rPr>
        <w:t xml:space="preserve">  Restricted stock units granted off-cycle in December 2021 that vested in February 2024.</w:t>
      </w:r>
    </w:p>
    <w:p>
      <w:pPr>
        <w:spacing w:after="0" w:line="9" w:lineRule="exact"/>
        <w:rPr>
          <w:rFonts w:ascii="Arial" w:cs="Arial" w:eastAsia="Arial" w:hAnsi="Arial"/>
          <w:sz w:val="19"/>
          <w:szCs w:val="19"/>
          <w:color w:val="auto"/>
          <w:vertAlign w:val="superscript"/>
        </w:rPr>
      </w:pPr>
    </w:p>
    <w:p>
      <w:pPr>
        <w:spacing w:after="0"/>
        <w:rPr>
          <w:rFonts w:ascii="Arial" w:cs="Arial" w:eastAsia="Arial" w:hAnsi="Arial"/>
          <w:sz w:val="19"/>
          <w:szCs w:val="19"/>
          <w:color w:val="auto"/>
          <w:vertAlign w:val="superscript"/>
        </w:rPr>
      </w:pPr>
      <w:r>
        <w:rPr>
          <w:rFonts w:ascii="Arial" w:cs="Arial" w:eastAsia="Arial" w:hAnsi="Arial"/>
          <w:sz w:val="9"/>
          <w:szCs w:val="9"/>
          <w:color w:val="auto"/>
        </w:rPr>
        <w:t xml:space="preserve">8  </w:t>
      </w:r>
      <w:r>
        <w:rPr>
          <w:rFonts w:ascii="Arial" w:cs="Arial" w:eastAsia="Arial" w:hAnsi="Arial"/>
          <w:sz w:val="14"/>
          <w:szCs w:val="14"/>
          <w:color w:val="auto"/>
        </w:rPr>
        <w:t>Ms. Ashkenazi forfeited all equity awards following her exit from the company on July 30, 2024.</w:t>
      </w:r>
    </w:p>
    <w:p>
      <w:pPr>
        <w:spacing w:after="0" w:line="147" w:lineRule="exact"/>
        <w:rPr>
          <w:sz w:val="20"/>
          <w:szCs w:val="20"/>
          <w:color w:val="auto"/>
        </w:rPr>
      </w:pPr>
    </w:p>
    <w:p>
      <w:pPr>
        <w:spacing w:after="0"/>
        <w:rPr>
          <w:sz w:val="20"/>
          <w:szCs w:val="20"/>
          <w:color w:val="auto"/>
        </w:rPr>
      </w:pPr>
      <w:r>
        <w:rPr>
          <w:rFonts w:ascii="Arial" w:cs="Arial" w:eastAsia="Arial" w:hAnsi="Arial"/>
          <w:sz w:val="25"/>
          <w:szCs w:val="25"/>
          <w:b w:val="1"/>
          <w:bCs w:val="1"/>
          <w:color w:val="00A1DE"/>
        </w:rPr>
        <w:t>Retirement Benefits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We provide retirement income to eligible U.S. employees, including executive officers, through the following plans:</w:t>
      </w:r>
    </w:p>
    <w:p>
      <w:pPr>
        <w:sectPr>
          <w:pgSz w:w="11900" w:h="16838" w:orient="portrait"/>
          <w:cols w:equalWidth="0" w:num="1">
            <w:col w:w="11240"/>
          </w:cols>
          <w:pgMar w:left="320" w:top="778" w:right="339" w:bottom="1440" w:gutter="0" w:footer="0" w:header="0"/>
        </w:sect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103505</wp:posOffset>
            </wp:positionV>
            <wp:extent cx="7157720" cy="42545"/>
            <wp:wrapNone/>
            <wp:docPr id="2309" name="Picture 2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9"/>
                    <pic:cNvPicPr>
                      <a:picLocks noChangeAspect="1" noChangeArrowheads="1"/>
                    </pic:cNvPicPr>
                  </pic:nvPicPr>
                  <pic:blipFill>
                    <a:blip r:embed="rId2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type w:val="continuous"/>
        </w:sectPr>
      </w:pPr>
    </w:p>
    <w:bookmarkStart w:id="71" w:name="page72"/>
    <w:bookmarkEnd w:id="71"/>
    <w:p>
      <w:pPr>
        <w:ind w:left="500" w:hanging="330"/>
        <w:spacing w:after="0" w:line="257" w:lineRule="auto"/>
        <w:tabs>
          <w:tab w:leader="none" w:pos="489" w:val="left"/>
        </w:tabs>
        <w:numPr>
          <w:ilvl w:val="0"/>
          <w:numId w:val="164"/>
        </w:numPr>
        <w:rPr>
          <w:rFonts w:ascii="Arial" w:cs="Arial" w:eastAsia="Arial" w:hAnsi="Arial"/>
          <w:sz w:val="16"/>
          <w:szCs w:val="16"/>
          <w:color w:val="auto"/>
        </w:rPr>
      </w:pPr>
      <w:r>
        <w:rPr>
          <w:rFonts w:ascii="Arial" w:cs="Arial" w:eastAsia="Arial" w:hAnsi="Arial"/>
          <w:sz w:val="18"/>
          <w:szCs w:val="18"/>
          <w:color w:val="auto"/>
        </w:rPr>
        <w:t>The 401(k) Plan, a defined contribution plan qualified under Sections 401(a) and 401(k) of the Internal Revenue Code. Participants may elect to contribute a portion of their base salary to the plan, and the company provides matching contributions on employees’ contributions up to 6 percent of base salary up to IRS limits. The employee contributions, company contributions, and earnings thereon are paid out in accordance with elections made by the participant and the terms of the plan. See the “</w:t>
      </w:r>
      <w:r>
        <w:rPr>
          <w:rFonts w:ascii="Arial" w:cs="Arial" w:eastAsia="Arial" w:hAnsi="Arial"/>
          <w:sz w:val="18"/>
          <w:szCs w:val="18"/>
          <w:u w:val="single" w:color="auto"/>
          <w:color w:val="0000FF"/>
        </w:rPr>
        <w:t>All Other Compensation</w:t>
      </w:r>
      <w:r>
        <w:rPr>
          <w:rFonts w:ascii="Arial" w:cs="Arial" w:eastAsia="Arial" w:hAnsi="Arial"/>
          <w:sz w:val="18"/>
          <w:szCs w:val="18"/>
          <w:color w:val="auto"/>
        </w:rPr>
        <w:t>” column in the Summary Compensation Table for information about company contributions under the 401(k) Plan for the named executive officers.</w:t>
      </w:r>
    </w:p>
    <w:p>
      <w:pPr>
        <w:spacing w:after="0" w:line="128" w:lineRule="exact"/>
        <w:rPr>
          <w:rFonts w:ascii="Arial" w:cs="Arial" w:eastAsia="Arial" w:hAnsi="Arial"/>
          <w:sz w:val="16"/>
          <w:szCs w:val="16"/>
          <w:color w:val="auto"/>
        </w:rPr>
      </w:pPr>
    </w:p>
    <w:p>
      <w:pPr>
        <w:ind w:left="500" w:right="180" w:hanging="330"/>
        <w:spacing w:after="0" w:line="287" w:lineRule="auto"/>
        <w:tabs>
          <w:tab w:leader="none" w:pos="489" w:val="left"/>
        </w:tabs>
        <w:numPr>
          <w:ilvl w:val="0"/>
          <w:numId w:val="164"/>
        </w:numPr>
        <w:rPr>
          <w:rFonts w:ascii="Arial" w:cs="Arial" w:eastAsia="Arial" w:hAnsi="Arial"/>
          <w:sz w:val="16"/>
          <w:szCs w:val="16"/>
          <w:color w:val="auto"/>
        </w:rPr>
      </w:pPr>
      <w:r>
        <w:rPr>
          <w:rFonts w:ascii="Arial" w:cs="Arial" w:eastAsia="Arial" w:hAnsi="Arial"/>
          <w:sz w:val="18"/>
          <w:szCs w:val="18"/>
          <w:color w:val="auto"/>
        </w:rPr>
        <w:t>The Retirement Plan, a tax-qualified defined benefit plan that provides monthly benefits to retirees. See the Pension Benefits in 2024 table below for additional information about the value of these pension benefits.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Sections 401 and 415 of the Internal Revenue Code generally limit the amount of annual pension that can be paid from a tax-qualified plan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($275,000 in 2024 and $285,000 in 2025), as well as the amount of annual earnings that can be used to calculate a pension benefit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($345,000 in 2024 and $350,000 in 2025). However, since 1975, the company has maintained a Nonqualified Pension Plan that pays eligible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retirees the difference between the amount payable under the Retirement Plan and the amount they would have received without the Internal</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Revenue Code limits. The Nonqualified Pension Plan is unfunded and subject to forfeiture in the event of bankruptcy. Likewise, the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maintains a nonqualified savings plan that allows participants to contribute up to 6 percent of base salary exceeding the IRS limit.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company matches these contributions in the same manner as described in the 401(k) Plan. For more information, see footnote 2 to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0000FF"/>
        </w:rPr>
        <w:t>Nonqualified Deferred Compensation in 2024</w:t>
      </w:r>
      <w:r>
        <w:rPr>
          <w:rFonts w:ascii="Arial" w:cs="Arial" w:eastAsia="Arial" w:hAnsi="Arial"/>
          <w:sz w:val="18"/>
          <w:szCs w:val="18"/>
          <w:color w:val="auto"/>
        </w:rPr>
        <w:t>” table.</w:t>
      </w:r>
    </w:p>
    <w:p>
      <w:pPr>
        <w:spacing w:after="0" w:line="153"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The following table shows benefits that the named executive officers have accrued under the Retirement Plan and the Nonqualified Pension Plan.</w:t>
      </w: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2310" name="Picture 2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0"/>
                    <pic:cNvPicPr>
                      <a:picLocks noChangeAspect="1" noChangeArrowheads="1"/>
                    </pic:cNvPicPr>
                  </pic:nvPicPr>
                  <pic:blipFill>
                    <a:blip r:embed="rId2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72" w:name="page73"/>
    <w:bookmarkEnd w:id="72"/>
    <w:p>
      <w:pPr>
        <w:spacing w:after="0"/>
        <w:rPr>
          <w:sz w:val="20"/>
          <w:szCs w:val="20"/>
          <w:color w:val="auto"/>
        </w:rPr>
      </w:pPr>
      <w:r>
        <w:rPr>
          <w:rFonts w:ascii="Arial" w:cs="Arial" w:eastAsia="Arial" w:hAnsi="Arial"/>
          <w:sz w:val="22"/>
          <w:szCs w:val="22"/>
          <w:b w:val="1"/>
          <w:bCs w:val="1"/>
          <w:color w:val="auto"/>
        </w:rPr>
        <w:t>Pension Benefits in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5528945" cy="8255"/>
            <wp:wrapNone/>
            <wp:docPr id="2311" name="Picture 2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1"/>
                    <pic:cNvPicPr>
                      <a:picLocks noChangeAspect="1" noChangeArrowheads="1"/>
                    </pic:cNvPicPr>
                  </pic:nvPicPr>
                  <pic:blipFill>
                    <a:blip r:embed="rId2318">
                      <a:extLst>
                        <a:ext uri="{28A0092B-C50C-407E-A947-70E740481C1C}"/>
                      </a:extLst>
                    </a:blip>
                    <a:srcRect/>
                    <a:stretch>
                      <a:fillRect/>
                    </a:stretch>
                  </pic:blipFill>
                  <pic:spPr bwMode="auto">
                    <a:xfrm>
                      <a:off x="0" y="0"/>
                      <a:ext cx="5528945" cy="8255"/>
                    </a:xfrm>
                    <a:prstGeom prst="rect">
                      <a:avLst/>
                    </a:prstGeom>
                    <a:noFill/>
                  </pic:spPr>
                </pic:pic>
              </a:graphicData>
            </a:graphic>
          </wp:anchor>
        </w:drawing>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28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8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Number of Years Credited</w:t>
            </w:r>
          </w:p>
        </w:tc>
        <w:tc>
          <w:tcPr>
            <w:tcW w:w="1920" w:type="dxa"/>
            <w:vAlign w:val="bottom"/>
          </w:tcPr>
          <w:p>
            <w:pPr>
              <w:jc w:val="right"/>
              <w:ind w:right="328"/>
              <w:spacing w:after="0"/>
              <w:rPr>
                <w:sz w:val="20"/>
                <w:szCs w:val="20"/>
                <w:color w:val="auto"/>
              </w:rPr>
            </w:pPr>
            <w:r>
              <w:rPr>
                <w:rFonts w:ascii="Arial" w:cs="Arial" w:eastAsia="Arial" w:hAnsi="Arial"/>
                <w:sz w:val="14"/>
                <w:szCs w:val="14"/>
                <w:b w:val="1"/>
                <w:bCs w:val="1"/>
                <w:color w:val="auto"/>
              </w:rPr>
              <w:t>Present Value of</w:t>
            </w:r>
          </w:p>
        </w:tc>
        <w:tc>
          <w:tcPr>
            <w:tcW w:w="148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Payments During</w:t>
            </w:r>
          </w:p>
        </w:tc>
        <w:tc>
          <w:tcPr>
            <w:tcW w:w="0" w:type="dxa"/>
            <w:vAlign w:val="bottom"/>
          </w:tcPr>
          <w:p>
            <w:pPr>
              <w:spacing w:after="0"/>
              <w:rPr>
                <w:sz w:val="1"/>
                <w:szCs w:val="1"/>
                <w:color w:val="auto"/>
              </w:rPr>
            </w:pPr>
          </w:p>
        </w:tc>
      </w:tr>
      <w:tr>
        <w:trPr>
          <w:trHeight w:val="147"/>
        </w:trPr>
        <w:tc>
          <w:tcPr>
            <w:tcW w:w="12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2240" w:type="dxa"/>
            <w:vAlign w:val="bottom"/>
            <w:vMerge w:val="restart"/>
          </w:tcPr>
          <w:p>
            <w:pPr>
              <w:jc w:val="right"/>
              <w:ind w:right="688"/>
              <w:spacing w:after="0"/>
              <w:rPr>
                <w:sz w:val="20"/>
                <w:szCs w:val="20"/>
                <w:color w:val="auto"/>
              </w:rPr>
            </w:pPr>
            <w:r>
              <w:rPr>
                <w:rFonts w:ascii="Arial" w:cs="Arial" w:eastAsia="Arial" w:hAnsi="Arial"/>
                <w:sz w:val="14"/>
                <w:szCs w:val="14"/>
                <w:b w:val="1"/>
                <w:bCs w:val="1"/>
                <w:color w:val="auto"/>
              </w:rPr>
              <w:t>Plan Name</w:t>
            </w:r>
          </w:p>
        </w:tc>
        <w:tc>
          <w:tcPr>
            <w:tcW w:w="1800" w:type="dxa"/>
            <w:vAlign w:val="bottom"/>
            <w:vMerge w:val="continue"/>
          </w:tcPr>
          <w:p>
            <w:pPr>
              <w:spacing w:after="0"/>
              <w:rPr>
                <w:sz w:val="12"/>
                <w:szCs w:val="12"/>
                <w:color w:val="auto"/>
              </w:rPr>
            </w:pPr>
          </w:p>
        </w:tc>
        <w:tc>
          <w:tcPr>
            <w:tcW w:w="1920" w:type="dxa"/>
            <w:vAlign w:val="bottom"/>
          </w:tcPr>
          <w:p>
            <w:pPr>
              <w:jc w:val="right"/>
              <w:ind w:right="8"/>
              <w:spacing w:after="0" w:line="147" w:lineRule="exact"/>
              <w:rPr>
                <w:sz w:val="20"/>
                <w:szCs w:val="20"/>
                <w:color w:val="auto"/>
              </w:rPr>
            </w:pPr>
            <w:r>
              <w:rPr>
                <w:rFonts w:ascii="Arial" w:cs="Arial" w:eastAsia="Arial" w:hAnsi="Arial"/>
                <w:sz w:val="14"/>
                <w:szCs w:val="14"/>
                <w:b w:val="1"/>
                <w:bCs w:val="1"/>
                <w:color w:val="auto"/>
              </w:rPr>
              <w:t xml:space="preserve">Accumulated Benefit ($) </w:t>
            </w:r>
            <w:r>
              <w:rPr>
                <w:rFonts w:ascii="Arial" w:cs="Arial" w:eastAsia="Arial" w:hAnsi="Arial"/>
                <w:sz w:val="17"/>
                <w:szCs w:val="17"/>
                <w:b w:val="1"/>
                <w:bCs w:val="1"/>
                <w:color w:val="auto"/>
                <w:vertAlign w:val="superscript"/>
              </w:rPr>
              <w:t>1</w:t>
            </w:r>
          </w:p>
        </w:tc>
        <w:tc>
          <w:tcPr>
            <w:tcW w:w="1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280" w:type="dxa"/>
            <w:vAlign w:val="bottom"/>
            <w:tcBorders>
              <w:bottom w:val="single" w:sz="8" w:color="auto"/>
            </w:tcBorders>
            <w:vMerge w:val="continue"/>
          </w:tcPr>
          <w:p>
            <w:pPr>
              <w:spacing w:after="0"/>
              <w:rPr>
                <w:sz w:val="10"/>
                <w:szCs w:val="10"/>
                <w:color w:val="auto"/>
              </w:rPr>
            </w:pPr>
          </w:p>
        </w:tc>
        <w:tc>
          <w:tcPr>
            <w:tcW w:w="2240" w:type="dxa"/>
            <w:vAlign w:val="bottom"/>
            <w:tcBorders>
              <w:bottom w:val="single" w:sz="8" w:color="auto"/>
            </w:tcBorders>
            <w:vMerge w:val="continue"/>
          </w:tcPr>
          <w:p>
            <w:pPr>
              <w:spacing w:after="0"/>
              <w:rPr>
                <w:sz w:val="10"/>
                <w:szCs w:val="10"/>
                <w:color w:val="auto"/>
              </w:rPr>
            </w:pPr>
          </w:p>
        </w:tc>
        <w:tc>
          <w:tcPr>
            <w:tcW w:w="1800" w:type="dxa"/>
            <w:vAlign w:val="bottom"/>
            <w:tcBorders>
              <w:bottom w:val="single" w:sz="8" w:color="auto"/>
            </w:tcBorders>
          </w:tcPr>
          <w:p>
            <w:pPr>
              <w:jc w:val="center"/>
              <w:spacing w:after="0" w:line="122" w:lineRule="exact"/>
              <w:rPr>
                <w:sz w:val="20"/>
                <w:szCs w:val="20"/>
                <w:color w:val="auto"/>
              </w:rPr>
            </w:pPr>
            <w:r>
              <w:rPr>
                <w:rFonts w:ascii="Arial" w:cs="Arial" w:eastAsia="Arial" w:hAnsi="Arial"/>
                <w:sz w:val="14"/>
                <w:szCs w:val="14"/>
                <w:b w:val="1"/>
                <w:bCs w:val="1"/>
                <w:color w:val="auto"/>
              </w:rPr>
              <w:t>Service (#)</w:t>
            </w:r>
          </w:p>
        </w:tc>
        <w:tc>
          <w:tcPr>
            <w:tcW w:w="192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jc w:val="right"/>
              <w:ind w:right="8"/>
              <w:spacing w:after="0" w:line="122" w:lineRule="exact"/>
              <w:rPr>
                <w:sz w:val="20"/>
                <w:szCs w:val="20"/>
                <w:color w:val="auto"/>
              </w:rPr>
            </w:pPr>
            <w:r>
              <w:rPr>
                <w:rFonts w:ascii="Arial" w:cs="Arial" w:eastAsia="Arial" w:hAnsi="Arial"/>
                <w:sz w:val="14"/>
                <w:szCs w:val="14"/>
                <w:b w:val="1"/>
                <w:bCs w:val="1"/>
                <w:color w:val="auto"/>
              </w:rPr>
              <w:t>Last Fiscal Year ($)</w:t>
            </w:r>
          </w:p>
        </w:tc>
        <w:tc>
          <w:tcPr>
            <w:tcW w:w="0" w:type="dxa"/>
            <w:vAlign w:val="bottom"/>
          </w:tcPr>
          <w:p>
            <w:pPr>
              <w:spacing w:after="0"/>
              <w:rPr>
                <w:sz w:val="1"/>
                <w:szCs w:val="1"/>
                <w:color w:val="auto"/>
              </w:rPr>
            </w:pPr>
          </w:p>
        </w:tc>
      </w:tr>
      <w:tr>
        <w:trPr>
          <w:trHeight w:val="215"/>
        </w:trPr>
        <w:tc>
          <w:tcPr>
            <w:tcW w:w="1280" w:type="dxa"/>
            <w:vAlign w:val="bottom"/>
            <w:shd w:val="clear" w:color="auto" w:fill="F2F2F2"/>
          </w:tcPr>
          <w:p>
            <w:pPr>
              <w:ind w:left="20"/>
              <w:spacing w:after="0"/>
              <w:rPr>
                <w:sz w:val="20"/>
                <w:szCs w:val="20"/>
                <w:color w:val="auto"/>
              </w:rPr>
            </w:pPr>
            <w:r>
              <w:rPr>
                <w:rFonts w:ascii="Arial" w:cs="Arial" w:eastAsia="Arial" w:hAnsi="Arial"/>
                <w:sz w:val="14"/>
                <w:szCs w:val="14"/>
                <w:color w:val="auto"/>
              </w:rPr>
              <w:t>Mr. Ricks</w:t>
            </w:r>
          </w:p>
        </w:tc>
        <w:tc>
          <w:tcPr>
            <w:tcW w:w="2240" w:type="dxa"/>
            <w:vAlign w:val="bottom"/>
            <w:shd w:val="clear" w:color="auto" w:fill="F2F2F2"/>
          </w:tcPr>
          <w:p>
            <w:pPr>
              <w:jc w:val="right"/>
              <w:spacing w:after="0"/>
              <w:rPr>
                <w:sz w:val="20"/>
                <w:szCs w:val="20"/>
                <w:color w:val="auto"/>
              </w:rPr>
            </w:pPr>
            <w:r>
              <w:rPr>
                <w:rFonts w:ascii="Arial" w:cs="Arial" w:eastAsia="Arial" w:hAnsi="Arial"/>
                <w:sz w:val="14"/>
                <w:szCs w:val="14"/>
                <w:color w:val="auto"/>
              </w:rPr>
              <w:t>Retirement Plan (pre-2010)</w:t>
            </w:r>
          </w:p>
        </w:tc>
        <w:tc>
          <w:tcPr>
            <w:tcW w:w="180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14</w:t>
            </w:r>
          </w:p>
        </w:tc>
        <w:tc>
          <w:tcPr>
            <w:tcW w:w="1920" w:type="dxa"/>
            <w:vAlign w:val="bottom"/>
            <w:shd w:val="clear" w:color="auto" w:fill="F2F2F2"/>
          </w:tcPr>
          <w:p>
            <w:pPr>
              <w:jc w:val="right"/>
              <w:ind w:right="448"/>
              <w:spacing w:after="0"/>
              <w:rPr>
                <w:sz w:val="20"/>
                <w:szCs w:val="20"/>
                <w:color w:val="auto"/>
              </w:rPr>
            </w:pPr>
            <w:r>
              <w:rPr>
                <w:rFonts w:ascii="Arial" w:cs="Arial" w:eastAsia="Arial" w:hAnsi="Arial"/>
                <w:sz w:val="14"/>
                <w:szCs w:val="14"/>
                <w:color w:val="auto"/>
              </w:rPr>
              <w:t>$711,389</w:t>
            </w:r>
          </w:p>
        </w:tc>
        <w:tc>
          <w:tcPr>
            <w:tcW w:w="1480" w:type="dxa"/>
            <w:vAlign w:val="bottom"/>
            <w:shd w:val="clear" w:color="auto" w:fill="F2F2F2"/>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280" w:type="dxa"/>
            <w:vAlign w:val="bottom"/>
            <w:shd w:val="clear" w:color="auto" w:fill="F2F2F2"/>
          </w:tcPr>
          <w:p>
            <w:pPr>
              <w:spacing w:after="0"/>
              <w:rPr>
                <w:sz w:val="22"/>
                <w:szCs w:val="22"/>
                <w:color w:val="auto"/>
              </w:rPr>
            </w:pPr>
          </w:p>
        </w:tc>
        <w:tc>
          <w:tcPr>
            <w:tcW w:w="2240" w:type="dxa"/>
            <w:vAlign w:val="bottom"/>
            <w:shd w:val="clear" w:color="auto" w:fill="F2F2F2"/>
          </w:tcPr>
          <w:p>
            <w:pPr>
              <w:jc w:val="right"/>
              <w:spacing w:after="0"/>
              <w:rPr>
                <w:sz w:val="20"/>
                <w:szCs w:val="20"/>
                <w:color w:val="auto"/>
              </w:rPr>
            </w:pPr>
            <w:r>
              <w:rPr>
                <w:rFonts w:ascii="Arial" w:cs="Arial" w:eastAsia="Arial" w:hAnsi="Arial"/>
                <w:sz w:val="14"/>
                <w:szCs w:val="14"/>
                <w:color w:val="auto"/>
              </w:rPr>
              <w:t>Retirement Plan (post-2009)</w:t>
            </w:r>
          </w:p>
        </w:tc>
        <w:tc>
          <w:tcPr>
            <w:tcW w:w="180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15</w:t>
            </w:r>
          </w:p>
        </w:tc>
        <w:tc>
          <w:tcPr>
            <w:tcW w:w="1920" w:type="dxa"/>
            <w:vAlign w:val="bottom"/>
            <w:shd w:val="clear" w:color="auto" w:fill="F2F2F2"/>
          </w:tcPr>
          <w:p>
            <w:pPr>
              <w:jc w:val="right"/>
              <w:ind w:right="448"/>
              <w:spacing w:after="0"/>
              <w:rPr>
                <w:sz w:val="20"/>
                <w:szCs w:val="20"/>
                <w:color w:val="auto"/>
              </w:rPr>
            </w:pPr>
            <w:r>
              <w:rPr>
                <w:rFonts w:ascii="Arial" w:cs="Arial" w:eastAsia="Arial" w:hAnsi="Arial"/>
                <w:sz w:val="14"/>
                <w:szCs w:val="14"/>
                <w:color w:val="auto"/>
              </w:rPr>
              <w:t>$450,913</w:t>
            </w:r>
          </w:p>
        </w:tc>
        <w:tc>
          <w:tcPr>
            <w:tcW w:w="1480" w:type="dxa"/>
            <w:vAlign w:val="bottom"/>
            <w:shd w:val="clear" w:color="auto" w:fill="F2F2F2"/>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280" w:type="dxa"/>
            <w:vAlign w:val="bottom"/>
            <w:shd w:val="clear" w:color="auto" w:fill="F2F2F2"/>
          </w:tcPr>
          <w:p>
            <w:pPr>
              <w:spacing w:after="0"/>
              <w:rPr>
                <w:sz w:val="22"/>
                <w:szCs w:val="22"/>
                <w:color w:val="auto"/>
              </w:rPr>
            </w:pPr>
          </w:p>
        </w:tc>
        <w:tc>
          <w:tcPr>
            <w:tcW w:w="2240" w:type="dxa"/>
            <w:vAlign w:val="bottom"/>
            <w:shd w:val="clear" w:color="auto" w:fill="F2F2F2"/>
          </w:tcPr>
          <w:p>
            <w:pPr>
              <w:jc w:val="right"/>
              <w:spacing w:after="0"/>
              <w:rPr>
                <w:sz w:val="20"/>
                <w:szCs w:val="20"/>
                <w:color w:val="auto"/>
              </w:rPr>
            </w:pPr>
            <w:r>
              <w:rPr>
                <w:rFonts w:ascii="Arial" w:cs="Arial" w:eastAsia="Arial" w:hAnsi="Arial"/>
                <w:sz w:val="14"/>
                <w:szCs w:val="14"/>
                <w:color w:val="auto"/>
              </w:rPr>
              <w:t>Nonqualified Plan (pre-2010)</w:t>
            </w:r>
          </w:p>
        </w:tc>
        <w:tc>
          <w:tcPr>
            <w:tcW w:w="180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14</w:t>
            </w:r>
          </w:p>
        </w:tc>
        <w:tc>
          <w:tcPr>
            <w:tcW w:w="1920" w:type="dxa"/>
            <w:vAlign w:val="bottom"/>
            <w:shd w:val="clear" w:color="auto" w:fill="F2F2F2"/>
          </w:tcPr>
          <w:p>
            <w:pPr>
              <w:jc w:val="right"/>
              <w:ind w:right="448"/>
              <w:spacing w:after="0"/>
              <w:rPr>
                <w:sz w:val="20"/>
                <w:szCs w:val="20"/>
                <w:color w:val="auto"/>
              </w:rPr>
            </w:pPr>
            <w:r>
              <w:rPr>
                <w:rFonts w:ascii="Arial" w:cs="Arial" w:eastAsia="Arial" w:hAnsi="Arial"/>
                <w:sz w:val="14"/>
                <w:szCs w:val="14"/>
                <w:color w:val="auto"/>
              </w:rPr>
              <w:t>$10,659,435</w:t>
            </w:r>
          </w:p>
        </w:tc>
        <w:tc>
          <w:tcPr>
            <w:tcW w:w="1480" w:type="dxa"/>
            <w:vAlign w:val="bottom"/>
            <w:shd w:val="clear" w:color="auto" w:fill="F2F2F2"/>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280" w:type="dxa"/>
            <w:vAlign w:val="bottom"/>
            <w:shd w:val="clear" w:color="auto" w:fill="F2F2F2"/>
          </w:tcPr>
          <w:p>
            <w:pPr>
              <w:spacing w:after="0"/>
              <w:rPr>
                <w:sz w:val="22"/>
                <w:szCs w:val="22"/>
                <w:color w:val="auto"/>
              </w:rPr>
            </w:pPr>
          </w:p>
        </w:tc>
        <w:tc>
          <w:tcPr>
            <w:tcW w:w="2240" w:type="dxa"/>
            <w:vAlign w:val="bottom"/>
            <w:shd w:val="clear" w:color="auto" w:fill="F2F2F2"/>
          </w:tcPr>
          <w:p>
            <w:pPr>
              <w:jc w:val="right"/>
              <w:spacing w:after="0"/>
              <w:rPr>
                <w:sz w:val="20"/>
                <w:szCs w:val="20"/>
                <w:color w:val="auto"/>
              </w:rPr>
            </w:pPr>
            <w:r>
              <w:rPr>
                <w:rFonts w:ascii="Arial" w:cs="Arial" w:eastAsia="Arial" w:hAnsi="Arial"/>
                <w:sz w:val="14"/>
                <w:szCs w:val="14"/>
                <w:color w:val="auto"/>
              </w:rPr>
              <w:t>Nonqualified Plan (post-2009)</w:t>
            </w:r>
          </w:p>
        </w:tc>
        <w:tc>
          <w:tcPr>
            <w:tcW w:w="180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15</w:t>
            </w:r>
          </w:p>
        </w:tc>
        <w:tc>
          <w:tcPr>
            <w:tcW w:w="1920" w:type="dxa"/>
            <w:vAlign w:val="bottom"/>
            <w:shd w:val="clear" w:color="auto" w:fill="F2F2F2"/>
          </w:tcPr>
          <w:p>
            <w:pPr>
              <w:jc w:val="right"/>
              <w:ind w:right="448"/>
              <w:spacing w:after="0"/>
              <w:rPr>
                <w:sz w:val="20"/>
                <w:szCs w:val="20"/>
                <w:color w:val="auto"/>
              </w:rPr>
            </w:pPr>
            <w:r>
              <w:rPr>
                <w:rFonts w:ascii="Arial" w:cs="Arial" w:eastAsia="Arial" w:hAnsi="Arial"/>
                <w:sz w:val="14"/>
                <w:szCs w:val="14"/>
                <w:color w:val="auto"/>
              </w:rPr>
              <w:t>$6,613,782</w:t>
            </w:r>
          </w:p>
        </w:tc>
        <w:tc>
          <w:tcPr>
            <w:tcW w:w="1480" w:type="dxa"/>
            <w:vAlign w:val="bottom"/>
            <w:shd w:val="clear" w:color="auto" w:fill="F2F2F2"/>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1280" w:type="dxa"/>
            <w:vAlign w:val="bottom"/>
            <w:tcBorders>
              <w:bottom w:val="single" w:sz="8" w:color="F2F2F2"/>
            </w:tcBorders>
            <w:shd w:val="clear" w:color="auto" w:fill="F2F2F2"/>
          </w:tcPr>
          <w:p>
            <w:pPr>
              <w:spacing w:after="0"/>
              <w:rPr>
                <w:sz w:val="22"/>
                <w:szCs w:val="22"/>
                <w:color w:val="auto"/>
              </w:rPr>
            </w:pPr>
          </w:p>
        </w:tc>
        <w:tc>
          <w:tcPr>
            <w:tcW w:w="224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total</w:t>
            </w:r>
          </w:p>
        </w:tc>
        <w:tc>
          <w:tcPr>
            <w:tcW w:w="1800" w:type="dxa"/>
            <w:vAlign w:val="bottom"/>
            <w:tcBorders>
              <w:bottom w:val="single" w:sz="8" w:color="F2F2F2"/>
            </w:tcBorders>
            <w:shd w:val="clear" w:color="auto" w:fill="F2F2F2"/>
          </w:tcPr>
          <w:p>
            <w:pPr>
              <w:spacing w:after="0"/>
              <w:rPr>
                <w:sz w:val="22"/>
                <w:szCs w:val="22"/>
                <w:color w:val="auto"/>
              </w:rPr>
            </w:pPr>
          </w:p>
        </w:tc>
        <w:tc>
          <w:tcPr>
            <w:tcW w:w="1920" w:type="dxa"/>
            <w:vAlign w:val="bottom"/>
            <w:tcBorders>
              <w:bottom w:val="single" w:sz="8" w:color="F2F2F2"/>
            </w:tcBorders>
            <w:shd w:val="clear" w:color="auto" w:fill="F2F2F2"/>
          </w:tcPr>
          <w:p>
            <w:pPr>
              <w:jc w:val="right"/>
              <w:ind w:right="448"/>
              <w:spacing w:after="0"/>
              <w:rPr>
                <w:sz w:val="20"/>
                <w:szCs w:val="20"/>
                <w:color w:val="auto"/>
              </w:rPr>
            </w:pPr>
            <w:r>
              <w:rPr>
                <w:rFonts w:ascii="Arial" w:cs="Arial" w:eastAsia="Arial" w:hAnsi="Arial"/>
                <w:sz w:val="14"/>
                <w:szCs w:val="14"/>
                <w:color w:val="auto"/>
              </w:rPr>
              <w:t>$18,435,519</w:t>
            </w:r>
          </w:p>
        </w:tc>
        <w:tc>
          <w:tcPr>
            <w:tcW w:w="1480" w:type="dxa"/>
            <w:vAlign w:val="bottom"/>
            <w:tcBorders>
              <w:bottom w:val="single" w:sz="8" w:color="F2F2F2"/>
            </w:tcBorders>
            <w:shd w:val="clear" w:color="auto" w:fill="F2F2F2"/>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5"/>
        </w:trPr>
        <w:tc>
          <w:tcPr>
            <w:tcW w:w="1280" w:type="dxa"/>
            <w:vAlign w:val="bottom"/>
          </w:tcPr>
          <w:p>
            <w:pPr>
              <w:ind w:left="20"/>
              <w:spacing w:after="0"/>
              <w:rPr>
                <w:sz w:val="20"/>
                <w:szCs w:val="20"/>
                <w:color w:val="auto"/>
              </w:rPr>
            </w:pPr>
            <w:r>
              <w:rPr>
                <w:rFonts w:ascii="Arial" w:cs="Arial" w:eastAsia="Arial" w:hAnsi="Arial"/>
                <w:sz w:val="14"/>
                <w:szCs w:val="14"/>
                <w:color w:val="auto"/>
              </w:rPr>
              <w:t>Mr. Montarce</w:t>
            </w:r>
          </w:p>
        </w:tc>
        <w:tc>
          <w:tcPr>
            <w:tcW w:w="2240" w:type="dxa"/>
            <w:vAlign w:val="bottom"/>
          </w:tcPr>
          <w:p>
            <w:pPr>
              <w:jc w:val="right"/>
              <w:spacing w:after="0"/>
              <w:rPr>
                <w:sz w:val="20"/>
                <w:szCs w:val="20"/>
                <w:color w:val="auto"/>
              </w:rPr>
            </w:pPr>
            <w:r>
              <w:rPr>
                <w:rFonts w:ascii="Arial" w:cs="Arial" w:eastAsia="Arial" w:hAnsi="Arial"/>
                <w:sz w:val="14"/>
                <w:szCs w:val="14"/>
                <w:color w:val="auto"/>
              </w:rPr>
              <w:t>Retirement Plan (post-2009)</w:t>
            </w:r>
          </w:p>
        </w:tc>
        <w:tc>
          <w:tcPr>
            <w:tcW w:w="1800" w:type="dxa"/>
            <w:vAlign w:val="bottom"/>
          </w:tcPr>
          <w:p>
            <w:pPr>
              <w:jc w:val="center"/>
              <w:spacing w:after="0"/>
              <w:rPr>
                <w:sz w:val="20"/>
                <w:szCs w:val="20"/>
                <w:color w:val="auto"/>
              </w:rPr>
            </w:pPr>
            <w:r>
              <w:rPr>
                <w:rFonts w:ascii="Arial" w:cs="Arial" w:eastAsia="Arial" w:hAnsi="Arial"/>
                <w:sz w:val="14"/>
                <w:szCs w:val="14"/>
                <w:color w:val="auto"/>
              </w:rPr>
              <w:t>8</w:t>
            </w:r>
          </w:p>
        </w:tc>
        <w:tc>
          <w:tcPr>
            <w:tcW w:w="1920" w:type="dxa"/>
            <w:vAlign w:val="bottom"/>
          </w:tcPr>
          <w:p>
            <w:pPr>
              <w:jc w:val="right"/>
              <w:ind w:right="448"/>
              <w:spacing w:after="0"/>
              <w:rPr>
                <w:sz w:val="20"/>
                <w:szCs w:val="20"/>
                <w:color w:val="auto"/>
              </w:rPr>
            </w:pPr>
            <w:r>
              <w:rPr>
                <w:rFonts w:ascii="Arial" w:cs="Arial" w:eastAsia="Arial" w:hAnsi="Arial"/>
                <w:sz w:val="14"/>
                <w:szCs w:val="14"/>
                <w:color w:val="auto"/>
              </w:rPr>
              <w:t>$141,124</w:t>
            </w: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1280" w:type="dxa"/>
            <w:vAlign w:val="bottom"/>
          </w:tcPr>
          <w:p>
            <w:pPr>
              <w:spacing w:after="0"/>
              <w:rPr>
                <w:sz w:val="22"/>
                <w:szCs w:val="22"/>
                <w:color w:val="auto"/>
              </w:rPr>
            </w:pPr>
          </w:p>
        </w:tc>
        <w:tc>
          <w:tcPr>
            <w:tcW w:w="2240" w:type="dxa"/>
            <w:vAlign w:val="bottom"/>
          </w:tcPr>
          <w:p>
            <w:pPr>
              <w:jc w:val="right"/>
              <w:spacing w:after="0"/>
              <w:rPr>
                <w:sz w:val="20"/>
                <w:szCs w:val="20"/>
                <w:color w:val="auto"/>
              </w:rPr>
            </w:pPr>
            <w:r>
              <w:rPr>
                <w:rFonts w:ascii="Arial" w:cs="Arial" w:eastAsia="Arial" w:hAnsi="Arial"/>
                <w:sz w:val="14"/>
                <w:szCs w:val="14"/>
                <w:color w:val="auto"/>
              </w:rPr>
              <w:t>Nonqualified Plan (post-2009)</w:t>
            </w:r>
          </w:p>
        </w:tc>
        <w:tc>
          <w:tcPr>
            <w:tcW w:w="1800" w:type="dxa"/>
            <w:vAlign w:val="bottom"/>
          </w:tcPr>
          <w:p>
            <w:pPr>
              <w:jc w:val="center"/>
              <w:spacing w:after="0"/>
              <w:rPr>
                <w:sz w:val="20"/>
                <w:szCs w:val="20"/>
                <w:color w:val="auto"/>
              </w:rPr>
            </w:pPr>
            <w:r>
              <w:rPr>
                <w:rFonts w:ascii="Arial" w:cs="Arial" w:eastAsia="Arial" w:hAnsi="Arial"/>
                <w:sz w:val="14"/>
                <w:szCs w:val="14"/>
                <w:color w:val="auto"/>
              </w:rPr>
              <w:t>8</w:t>
            </w:r>
          </w:p>
        </w:tc>
        <w:tc>
          <w:tcPr>
            <w:tcW w:w="1920" w:type="dxa"/>
            <w:vAlign w:val="bottom"/>
          </w:tcPr>
          <w:p>
            <w:pPr>
              <w:jc w:val="right"/>
              <w:ind w:right="448"/>
              <w:spacing w:after="0"/>
              <w:rPr>
                <w:sz w:val="20"/>
                <w:szCs w:val="20"/>
                <w:color w:val="auto"/>
              </w:rPr>
            </w:pPr>
            <w:r>
              <w:rPr>
                <w:rFonts w:ascii="Arial" w:cs="Arial" w:eastAsia="Arial" w:hAnsi="Arial"/>
                <w:sz w:val="14"/>
                <w:szCs w:val="14"/>
                <w:color w:val="auto"/>
              </w:rPr>
              <w:t>$219,651</w:t>
            </w: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280" w:type="dxa"/>
            <w:vAlign w:val="bottom"/>
          </w:tcPr>
          <w:p>
            <w:pPr>
              <w:spacing w:after="0"/>
              <w:rPr>
                <w:sz w:val="22"/>
                <w:szCs w:val="22"/>
                <w:color w:val="auto"/>
              </w:rPr>
            </w:pPr>
          </w:p>
        </w:tc>
        <w:tc>
          <w:tcPr>
            <w:tcW w:w="2240" w:type="dxa"/>
            <w:vAlign w:val="bottom"/>
          </w:tcPr>
          <w:p>
            <w:pPr>
              <w:jc w:val="right"/>
              <w:spacing w:after="0"/>
              <w:rPr>
                <w:sz w:val="20"/>
                <w:szCs w:val="20"/>
                <w:color w:val="auto"/>
              </w:rPr>
            </w:pPr>
            <w:r>
              <w:rPr>
                <w:rFonts w:ascii="Arial" w:cs="Arial" w:eastAsia="Arial" w:hAnsi="Arial"/>
                <w:sz w:val="14"/>
                <w:szCs w:val="14"/>
                <w:color w:val="auto"/>
              </w:rPr>
              <w:t>total</w:t>
            </w:r>
          </w:p>
        </w:tc>
        <w:tc>
          <w:tcPr>
            <w:tcW w:w="1800" w:type="dxa"/>
            <w:vAlign w:val="bottom"/>
          </w:tcPr>
          <w:p>
            <w:pPr>
              <w:spacing w:after="0"/>
              <w:rPr>
                <w:sz w:val="22"/>
                <w:szCs w:val="22"/>
                <w:color w:val="auto"/>
              </w:rPr>
            </w:pPr>
          </w:p>
        </w:tc>
        <w:tc>
          <w:tcPr>
            <w:tcW w:w="1920" w:type="dxa"/>
            <w:vAlign w:val="bottom"/>
          </w:tcPr>
          <w:p>
            <w:pPr>
              <w:jc w:val="right"/>
              <w:ind w:right="448"/>
              <w:spacing w:after="0"/>
              <w:rPr>
                <w:sz w:val="20"/>
                <w:szCs w:val="20"/>
                <w:color w:val="auto"/>
              </w:rPr>
            </w:pPr>
            <w:r>
              <w:rPr>
                <w:rFonts w:ascii="Arial" w:cs="Arial" w:eastAsia="Arial" w:hAnsi="Arial"/>
                <w:sz w:val="14"/>
                <w:szCs w:val="14"/>
                <w:color w:val="auto"/>
              </w:rPr>
              <w:t>$360,775</w:t>
            </w: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12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1280" w:type="dxa"/>
            <w:vAlign w:val="bottom"/>
            <w:shd w:val="clear" w:color="auto" w:fill="F2F2F2"/>
          </w:tcPr>
          <w:p>
            <w:pPr>
              <w:ind w:left="20"/>
              <w:spacing w:after="0"/>
              <w:rPr>
                <w:sz w:val="20"/>
                <w:szCs w:val="20"/>
                <w:color w:val="auto"/>
              </w:rPr>
            </w:pPr>
            <w:r>
              <w:rPr>
                <w:rFonts w:ascii="Arial" w:cs="Arial" w:eastAsia="Arial" w:hAnsi="Arial"/>
                <w:sz w:val="14"/>
                <w:szCs w:val="14"/>
                <w:color w:val="auto"/>
              </w:rPr>
              <w:t>Dr. Skovronsky</w:t>
            </w:r>
          </w:p>
        </w:tc>
        <w:tc>
          <w:tcPr>
            <w:tcW w:w="2240" w:type="dxa"/>
            <w:vAlign w:val="bottom"/>
            <w:shd w:val="clear" w:color="auto" w:fill="F2F2F2"/>
          </w:tcPr>
          <w:p>
            <w:pPr>
              <w:jc w:val="right"/>
              <w:spacing w:after="0"/>
              <w:rPr>
                <w:sz w:val="20"/>
                <w:szCs w:val="20"/>
                <w:color w:val="auto"/>
              </w:rPr>
            </w:pPr>
            <w:r>
              <w:rPr>
                <w:rFonts w:ascii="Arial" w:cs="Arial" w:eastAsia="Arial" w:hAnsi="Arial"/>
                <w:sz w:val="14"/>
                <w:szCs w:val="14"/>
                <w:color w:val="auto"/>
              </w:rPr>
              <w:t>Retirement Plan (post-2009)</w:t>
            </w:r>
          </w:p>
        </w:tc>
        <w:tc>
          <w:tcPr>
            <w:tcW w:w="180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12</w:t>
            </w:r>
          </w:p>
        </w:tc>
        <w:tc>
          <w:tcPr>
            <w:tcW w:w="1920" w:type="dxa"/>
            <w:vAlign w:val="bottom"/>
            <w:shd w:val="clear" w:color="auto" w:fill="F2F2F2"/>
          </w:tcPr>
          <w:p>
            <w:pPr>
              <w:jc w:val="right"/>
              <w:ind w:right="448"/>
              <w:spacing w:after="0"/>
              <w:rPr>
                <w:sz w:val="20"/>
                <w:szCs w:val="20"/>
                <w:color w:val="auto"/>
              </w:rPr>
            </w:pPr>
            <w:r>
              <w:rPr>
                <w:rFonts w:ascii="Arial" w:cs="Arial" w:eastAsia="Arial" w:hAnsi="Arial"/>
                <w:sz w:val="14"/>
                <w:szCs w:val="14"/>
                <w:color w:val="auto"/>
              </w:rPr>
              <w:t>$264,343</w:t>
            </w:r>
          </w:p>
        </w:tc>
        <w:tc>
          <w:tcPr>
            <w:tcW w:w="1480" w:type="dxa"/>
            <w:vAlign w:val="bottom"/>
            <w:shd w:val="clear" w:color="auto" w:fill="F2F2F2"/>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280" w:type="dxa"/>
            <w:vAlign w:val="bottom"/>
            <w:shd w:val="clear" w:color="auto" w:fill="F2F2F2"/>
          </w:tcPr>
          <w:p>
            <w:pPr>
              <w:spacing w:after="0"/>
              <w:rPr>
                <w:sz w:val="22"/>
                <w:szCs w:val="22"/>
                <w:color w:val="auto"/>
              </w:rPr>
            </w:pPr>
          </w:p>
        </w:tc>
        <w:tc>
          <w:tcPr>
            <w:tcW w:w="2240" w:type="dxa"/>
            <w:vAlign w:val="bottom"/>
            <w:shd w:val="clear" w:color="auto" w:fill="F2F2F2"/>
          </w:tcPr>
          <w:p>
            <w:pPr>
              <w:jc w:val="right"/>
              <w:spacing w:after="0"/>
              <w:rPr>
                <w:sz w:val="20"/>
                <w:szCs w:val="20"/>
                <w:color w:val="auto"/>
              </w:rPr>
            </w:pPr>
            <w:r>
              <w:rPr>
                <w:rFonts w:ascii="Arial" w:cs="Arial" w:eastAsia="Arial" w:hAnsi="Arial"/>
                <w:sz w:val="14"/>
                <w:szCs w:val="14"/>
                <w:color w:val="auto"/>
              </w:rPr>
              <w:t>Nonqualified Plan (post-2009)</w:t>
            </w:r>
          </w:p>
        </w:tc>
        <w:tc>
          <w:tcPr>
            <w:tcW w:w="180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12</w:t>
            </w:r>
          </w:p>
        </w:tc>
        <w:tc>
          <w:tcPr>
            <w:tcW w:w="1920" w:type="dxa"/>
            <w:vAlign w:val="bottom"/>
            <w:shd w:val="clear" w:color="auto" w:fill="F2F2F2"/>
          </w:tcPr>
          <w:p>
            <w:pPr>
              <w:jc w:val="right"/>
              <w:ind w:right="448"/>
              <w:spacing w:after="0"/>
              <w:rPr>
                <w:sz w:val="20"/>
                <w:szCs w:val="20"/>
                <w:color w:val="auto"/>
              </w:rPr>
            </w:pPr>
            <w:r>
              <w:rPr>
                <w:rFonts w:ascii="Arial" w:cs="Arial" w:eastAsia="Arial" w:hAnsi="Arial"/>
                <w:sz w:val="14"/>
                <w:szCs w:val="14"/>
                <w:color w:val="auto"/>
              </w:rPr>
              <w:t>$2,044,188</w:t>
            </w:r>
          </w:p>
        </w:tc>
        <w:tc>
          <w:tcPr>
            <w:tcW w:w="1480" w:type="dxa"/>
            <w:vAlign w:val="bottom"/>
            <w:shd w:val="clear" w:color="auto" w:fill="F2F2F2"/>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1280" w:type="dxa"/>
            <w:vAlign w:val="bottom"/>
            <w:tcBorders>
              <w:bottom w:val="single" w:sz="8" w:color="F2F2F2"/>
            </w:tcBorders>
            <w:shd w:val="clear" w:color="auto" w:fill="F2F2F2"/>
          </w:tcPr>
          <w:p>
            <w:pPr>
              <w:spacing w:after="0"/>
              <w:rPr>
                <w:sz w:val="22"/>
                <w:szCs w:val="22"/>
                <w:color w:val="auto"/>
              </w:rPr>
            </w:pPr>
          </w:p>
        </w:tc>
        <w:tc>
          <w:tcPr>
            <w:tcW w:w="224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total</w:t>
            </w:r>
          </w:p>
        </w:tc>
        <w:tc>
          <w:tcPr>
            <w:tcW w:w="1800" w:type="dxa"/>
            <w:vAlign w:val="bottom"/>
            <w:tcBorders>
              <w:bottom w:val="single" w:sz="8" w:color="F2F2F2"/>
            </w:tcBorders>
            <w:shd w:val="clear" w:color="auto" w:fill="F2F2F2"/>
          </w:tcPr>
          <w:p>
            <w:pPr>
              <w:spacing w:after="0"/>
              <w:rPr>
                <w:sz w:val="22"/>
                <w:szCs w:val="22"/>
                <w:color w:val="auto"/>
              </w:rPr>
            </w:pPr>
          </w:p>
        </w:tc>
        <w:tc>
          <w:tcPr>
            <w:tcW w:w="1920" w:type="dxa"/>
            <w:vAlign w:val="bottom"/>
            <w:tcBorders>
              <w:bottom w:val="single" w:sz="8" w:color="F2F2F2"/>
            </w:tcBorders>
            <w:shd w:val="clear" w:color="auto" w:fill="F2F2F2"/>
          </w:tcPr>
          <w:p>
            <w:pPr>
              <w:jc w:val="right"/>
              <w:ind w:right="448"/>
              <w:spacing w:after="0"/>
              <w:rPr>
                <w:sz w:val="20"/>
                <w:szCs w:val="20"/>
                <w:color w:val="auto"/>
              </w:rPr>
            </w:pPr>
            <w:r>
              <w:rPr>
                <w:rFonts w:ascii="Arial" w:cs="Arial" w:eastAsia="Arial" w:hAnsi="Arial"/>
                <w:sz w:val="14"/>
                <w:szCs w:val="14"/>
                <w:color w:val="auto"/>
              </w:rPr>
              <w:t>$2,308,531</w:t>
            </w:r>
          </w:p>
        </w:tc>
        <w:tc>
          <w:tcPr>
            <w:tcW w:w="1480" w:type="dxa"/>
            <w:vAlign w:val="bottom"/>
            <w:tcBorders>
              <w:bottom w:val="single" w:sz="8" w:color="F2F2F2"/>
            </w:tcBorders>
            <w:shd w:val="clear" w:color="auto" w:fill="F2F2F2"/>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5"/>
        </w:trPr>
        <w:tc>
          <w:tcPr>
            <w:tcW w:w="1280" w:type="dxa"/>
            <w:vAlign w:val="bottom"/>
          </w:tcPr>
          <w:p>
            <w:pPr>
              <w:ind w:left="20"/>
              <w:spacing w:after="0"/>
              <w:rPr>
                <w:sz w:val="20"/>
                <w:szCs w:val="20"/>
                <w:color w:val="auto"/>
              </w:rPr>
            </w:pPr>
            <w:r>
              <w:rPr>
                <w:rFonts w:ascii="Arial" w:cs="Arial" w:eastAsia="Arial" w:hAnsi="Arial"/>
                <w:sz w:val="14"/>
                <w:szCs w:val="14"/>
                <w:color w:val="auto"/>
              </w:rPr>
              <w:t>Ms. Hakim</w:t>
            </w:r>
          </w:p>
        </w:tc>
        <w:tc>
          <w:tcPr>
            <w:tcW w:w="2240" w:type="dxa"/>
            <w:vAlign w:val="bottom"/>
          </w:tcPr>
          <w:p>
            <w:pPr>
              <w:jc w:val="right"/>
              <w:spacing w:after="0"/>
              <w:rPr>
                <w:sz w:val="20"/>
                <w:szCs w:val="20"/>
                <w:color w:val="auto"/>
              </w:rPr>
            </w:pPr>
            <w:r>
              <w:rPr>
                <w:rFonts w:ascii="Arial" w:cs="Arial" w:eastAsia="Arial" w:hAnsi="Arial"/>
                <w:sz w:val="14"/>
                <w:szCs w:val="14"/>
                <w:color w:val="auto"/>
              </w:rPr>
              <w:t>Retirement Plan (post-2009)</w:t>
            </w:r>
          </w:p>
        </w:tc>
        <w:tc>
          <w:tcPr>
            <w:tcW w:w="1800" w:type="dxa"/>
            <w:vAlign w:val="bottom"/>
          </w:tcPr>
          <w:p>
            <w:pPr>
              <w:jc w:val="center"/>
              <w:spacing w:after="0"/>
              <w:rPr>
                <w:sz w:val="20"/>
                <w:szCs w:val="20"/>
                <w:color w:val="auto"/>
              </w:rPr>
            </w:pPr>
            <w:r>
              <w:rPr>
                <w:rFonts w:ascii="Arial" w:cs="Arial" w:eastAsia="Arial" w:hAnsi="Arial"/>
                <w:sz w:val="14"/>
                <w:szCs w:val="14"/>
                <w:color w:val="auto"/>
              </w:rPr>
              <w:t>5</w:t>
            </w:r>
          </w:p>
        </w:tc>
        <w:tc>
          <w:tcPr>
            <w:tcW w:w="1920" w:type="dxa"/>
            <w:vAlign w:val="bottom"/>
          </w:tcPr>
          <w:p>
            <w:pPr>
              <w:jc w:val="right"/>
              <w:ind w:right="448"/>
              <w:spacing w:after="0"/>
              <w:rPr>
                <w:sz w:val="20"/>
                <w:szCs w:val="20"/>
                <w:color w:val="auto"/>
              </w:rPr>
            </w:pPr>
            <w:r>
              <w:rPr>
                <w:rFonts w:ascii="Arial" w:cs="Arial" w:eastAsia="Arial" w:hAnsi="Arial"/>
                <w:sz w:val="14"/>
                <w:szCs w:val="14"/>
                <w:color w:val="auto"/>
              </w:rPr>
              <w:t>$138,638</w:t>
            </w: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1280" w:type="dxa"/>
            <w:vAlign w:val="bottom"/>
          </w:tcPr>
          <w:p>
            <w:pPr>
              <w:spacing w:after="0"/>
              <w:rPr>
                <w:sz w:val="22"/>
                <w:szCs w:val="22"/>
                <w:color w:val="auto"/>
              </w:rPr>
            </w:pPr>
          </w:p>
        </w:tc>
        <w:tc>
          <w:tcPr>
            <w:tcW w:w="2240" w:type="dxa"/>
            <w:vAlign w:val="bottom"/>
          </w:tcPr>
          <w:p>
            <w:pPr>
              <w:jc w:val="right"/>
              <w:spacing w:after="0"/>
              <w:rPr>
                <w:sz w:val="20"/>
                <w:szCs w:val="20"/>
                <w:color w:val="auto"/>
              </w:rPr>
            </w:pPr>
            <w:r>
              <w:rPr>
                <w:rFonts w:ascii="Arial" w:cs="Arial" w:eastAsia="Arial" w:hAnsi="Arial"/>
                <w:sz w:val="14"/>
                <w:szCs w:val="14"/>
                <w:color w:val="auto"/>
              </w:rPr>
              <w:t>Nonqualified Plan (post-2009)</w:t>
            </w:r>
          </w:p>
        </w:tc>
        <w:tc>
          <w:tcPr>
            <w:tcW w:w="1800" w:type="dxa"/>
            <w:vAlign w:val="bottom"/>
          </w:tcPr>
          <w:p>
            <w:pPr>
              <w:jc w:val="center"/>
              <w:spacing w:after="0"/>
              <w:rPr>
                <w:sz w:val="20"/>
                <w:szCs w:val="20"/>
                <w:color w:val="auto"/>
              </w:rPr>
            </w:pPr>
            <w:r>
              <w:rPr>
                <w:rFonts w:ascii="Arial" w:cs="Arial" w:eastAsia="Arial" w:hAnsi="Arial"/>
                <w:sz w:val="14"/>
                <w:szCs w:val="14"/>
                <w:color w:val="auto"/>
              </w:rPr>
              <w:t>5</w:t>
            </w:r>
          </w:p>
        </w:tc>
        <w:tc>
          <w:tcPr>
            <w:tcW w:w="1920" w:type="dxa"/>
            <w:vAlign w:val="bottom"/>
          </w:tcPr>
          <w:p>
            <w:pPr>
              <w:jc w:val="right"/>
              <w:ind w:right="448"/>
              <w:spacing w:after="0"/>
              <w:rPr>
                <w:sz w:val="20"/>
                <w:szCs w:val="20"/>
                <w:color w:val="auto"/>
              </w:rPr>
            </w:pPr>
            <w:r>
              <w:rPr>
                <w:rFonts w:ascii="Arial" w:cs="Arial" w:eastAsia="Arial" w:hAnsi="Arial"/>
                <w:sz w:val="14"/>
                <w:szCs w:val="14"/>
                <w:color w:val="auto"/>
              </w:rPr>
              <w:t>$645,906</w:t>
            </w: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280" w:type="dxa"/>
            <w:vAlign w:val="bottom"/>
          </w:tcPr>
          <w:p>
            <w:pPr>
              <w:spacing w:after="0"/>
              <w:rPr>
                <w:sz w:val="22"/>
                <w:szCs w:val="22"/>
                <w:color w:val="auto"/>
              </w:rPr>
            </w:pPr>
          </w:p>
        </w:tc>
        <w:tc>
          <w:tcPr>
            <w:tcW w:w="2240" w:type="dxa"/>
            <w:vAlign w:val="bottom"/>
          </w:tcPr>
          <w:p>
            <w:pPr>
              <w:jc w:val="right"/>
              <w:spacing w:after="0"/>
              <w:rPr>
                <w:sz w:val="20"/>
                <w:szCs w:val="20"/>
                <w:color w:val="auto"/>
              </w:rPr>
            </w:pPr>
            <w:r>
              <w:rPr>
                <w:rFonts w:ascii="Arial" w:cs="Arial" w:eastAsia="Arial" w:hAnsi="Arial"/>
                <w:sz w:val="14"/>
                <w:szCs w:val="14"/>
                <w:color w:val="auto"/>
              </w:rPr>
              <w:t>total</w:t>
            </w:r>
          </w:p>
        </w:tc>
        <w:tc>
          <w:tcPr>
            <w:tcW w:w="1800" w:type="dxa"/>
            <w:vAlign w:val="bottom"/>
          </w:tcPr>
          <w:p>
            <w:pPr>
              <w:spacing w:after="0"/>
              <w:rPr>
                <w:sz w:val="22"/>
                <w:szCs w:val="22"/>
                <w:color w:val="auto"/>
              </w:rPr>
            </w:pPr>
          </w:p>
        </w:tc>
        <w:tc>
          <w:tcPr>
            <w:tcW w:w="1920" w:type="dxa"/>
            <w:vAlign w:val="bottom"/>
          </w:tcPr>
          <w:p>
            <w:pPr>
              <w:jc w:val="right"/>
              <w:ind w:right="448"/>
              <w:spacing w:after="0"/>
              <w:rPr>
                <w:sz w:val="20"/>
                <w:szCs w:val="20"/>
                <w:color w:val="auto"/>
              </w:rPr>
            </w:pPr>
            <w:r>
              <w:rPr>
                <w:rFonts w:ascii="Arial" w:cs="Arial" w:eastAsia="Arial" w:hAnsi="Arial"/>
                <w:sz w:val="14"/>
                <w:szCs w:val="14"/>
                <w:color w:val="auto"/>
              </w:rPr>
              <w:t>$784,544</w:t>
            </w: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12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1280" w:type="dxa"/>
            <w:vAlign w:val="bottom"/>
            <w:shd w:val="clear" w:color="auto" w:fill="F2F2F2"/>
          </w:tcPr>
          <w:p>
            <w:pPr>
              <w:ind w:left="20"/>
              <w:spacing w:after="0"/>
              <w:rPr>
                <w:sz w:val="20"/>
                <w:szCs w:val="20"/>
                <w:color w:val="auto"/>
              </w:rPr>
            </w:pPr>
            <w:r>
              <w:rPr>
                <w:rFonts w:ascii="Arial" w:cs="Arial" w:eastAsia="Arial" w:hAnsi="Arial"/>
                <w:sz w:val="14"/>
                <w:szCs w:val="14"/>
                <w:color w:val="auto"/>
              </w:rPr>
              <w:t>Mr. Van Naarden</w:t>
            </w:r>
          </w:p>
        </w:tc>
        <w:tc>
          <w:tcPr>
            <w:tcW w:w="2240" w:type="dxa"/>
            <w:vAlign w:val="bottom"/>
            <w:shd w:val="clear" w:color="auto" w:fill="F2F2F2"/>
          </w:tcPr>
          <w:p>
            <w:pPr>
              <w:jc w:val="right"/>
              <w:spacing w:after="0"/>
              <w:rPr>
                <w:sz w:val="20"/>
                <w:szCs w:val="20"/>
                <w:color w:val="auto"/>
              </w:rPr>
            </w:pPr>
            <w:r>
              <w:rPr>
                <w:rFonts w:ascii="Arial" w:cs="Arial" w:eastAsia="Arial" w:hAnsi="Arial"/>
                <w:sz w:val="14"/>
                <w:szCs w:val="14"/>
                <w:color w:val="auto"/>
              </w:rPr>
              <w:t>Retirement Plan (post-2009)</w:t>
            </w:r>
          </w:p>
        </w:tc>
        <w:tc>
          <w:tcPr>
            <w:tcW w:w="180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3</w:t>
            </w:r>
          </w:p>
        </w:tc>
        <w:tc>
          <w:tcPr>
            <w:tcW w:w="1920" w:type="dxa"/>
            <w:vAlign w:val="bottom"/>
            <w:shd w:val="clear" w:color="auto" w:fill="F2F2F2"/>
          </w:tcPr>
          <w:p>
            <w:pPr>
              <w:jc w:val="right"/>
              <w:ind w:right="448"/>
              <w:spacing w:after="0"/>
              <w:rPr>
                <w:sz w:val="20"/>
                <w:szCs w:val="20"/>
                <w:color w:val="auto"/>
              </w:rPr>
            </w:pPr>
            <w:r>
              <w:rPr>
                <w:rFonts w:ascii="Arial" w:cs="Arial" w:eastAsia="Arial" w:hAnsi="Arial"/>
                <w:sz w:val="14"/>
                <w:szCs w:val="14"/>
                <w:color w:val="auto"/>
              </w:rPr>
              <w:t>$37,721</w:t>
            </w:r>
          </w:p>
        </w:tc>
        <w:tc>
          <w:tcPr>
            <w:tcW w:w="1480" w:type="dxa"/>
            <w:vAlign w:val="bottom"/>
            <w:shd w:val="clear" w:color="auto" w:fill="F2F2F2"/>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1280" w:type="dxa"/>
            <w:vAlign w:val="bottom"/>
            <w:shd w:val="clear" w:color="auto" w:fill="F2F2F2"/>
          </w:tcPr>
          <w:p>
            <w:pPr>
              <w:spacing w:after="0"/>
              <w:rPr>
                <w:sz w:val="22"/>
                <w:szCs w:val="22"/>
                <w:color w:val="auto"/>
              </w:rPr>
            </w:pPr>
          </w:p>
        </w:tc>
        <w:tc>
          <w:tcPr>
            <w:tcW w:w="2240" w:type="dxa"/>
            <w:vAlign w:val="bottom"/>
            <w:shd w:val="clear" w:color="auto" w:fill="F2F2F2"/>
          </w:tcPr>
          <w:p>
            <w:pPr>
              <w:jc w:val="right"/>
              <w:spacing w:after="0"/>
              <w:rPr>
                <w:sz w:val="20"/>
                <w:szCs w:val="20"/>
                <w:color w:val="auto"/>
              </w:rPr>
            </w:pPr>
            <w:r>
              <w:rPr>
                <w:rFonts w:ascii="Arial" w:cs="Arial" w:eastAsia="Arial" w:hAnsi="Arial"/>
                <w:sz w:val="14"/>
                <w:szCs w:val="14"/>
                <w:color w:val="auto"/>
              </w:rPr>
              <w:t>Nonqualified Plan (post-2009)</w:t>
            </w:r>
          </w:p>
        </w:tc>
        <w:tc>
          <w:tcPr>
            <w:tcW w:w="180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3</w:t>
            </w:r>
          </w:p>
        </w:tc>
        <w:tc>
          <w:tcPr>
            <w:tcW w:w="1920" w:type="dxa"/>
            <w:vAlign w:val="bottom"/>
            <w:shd w:val="clear" w:color="auto" w:fill="F2F2F2"/>
          </w:tcPr>
          <w:p>
            <w:pPr>
              <w:jc w:val="right"/>
              <w:ind w:right="448"/>
              <w:spacing w:after="0"/>
              <w:rPr>
                <w:sz w:val="20"/>
                <w:szCs w:val="20"/>
                <w:color w:val="auto"/>
              </w:rPr>
            </w:pPr>
            <w:r>
              <w:rPr>
                <w:rFonts w:ascii="Arial" w:cs="Arial" w:eastAsia="Arial" w:hAnsi="Arial"/>
                <w:sz w:val="14"/>
                <w:szCs w:val="14"/>
                <w:color w:val="auto"/>
              </w:rPr>
              <w:t>$150,266</w:t>
            </w:r>
          </w:p>
        </w:tc>
        <w:tc>
          <w:tcPr>
            <w:tcW w:w="1480" w:type="dxa"/>
            <w:vAlign w:val="bottom"/>
            <w:shd w:val="clear" w:color="auto" w:fill="F2F2F2"/>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1280" w:type="dxa"/>
            <w:vAlign w:val="bottom"/>
            <w:tcBorders>
              <w:bottom w:val="single" w:sz="8" w:color="F2F2F2"/>
            </w:tcBorders>
            <w:shd w:val="clear" w:color="auto" w:fill="F2F2F2"/>
          </w:tcPr>
          <w:p>
            <w:pPr>
              <w:spacing w:after="0"/>
              <w:rPr>
                <w:sz w:val="22"/>
                <w:szCs w:val="22"/>
                <w:color w:val="auto"/>
              </w:rPr>
            </w:pPr>
          </w:p>
        </w:tc>
        <w:tc>
          <w:tcPr>
            <w:tcW w:w="224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total</w:t>
            </w:r>
          </w:p>
        </w:tc>
        <w:tc>
          <w:tcPr>
            <w:tcW w:w="1800" w:type="dxa"/>
            <w:vAlign w:val="bottom"/>
            <w:tcBorders>
              <w:bottom w:val="single" w:sz="8" w:color="F2F2F2"/>
            </w:tcBorders>
            <w:shd w:val="clear" w:color="auto" w:fill="F2F2F2"/>
          </w:tcPr>
          <w:p>
            <w:pPr>
              <w:spacing w:after="0"/>
              <w:rPr>
                <w:sz w:val="22"/>
                <w:szCs w:val="22"/>
                <w:color w:val="auto"/>
              </w:rPr>
            </w:pPr>
          </w:p>
        </w:tc>
        <w:tc>
          <w:tcPr>
            <w:tcW w:w="1920" w:type="dxa"/>
            <w:vAlign w:val="bottom"/>
            <w:tcBorders>
              <w:bottom w:val="single" w:sz="8" w:color="F2F2F2"/>
            </w:tcBorders>
            <w:shd w:val="clear" w:color="auto" w:fill="F2F2F2"/>
          </w:tcPr>
          <w:p>
            <w:pPr>
              <w:jc w:val="right"/>
              <w:ind w:right="448"/>
              <w:spacing w:after="0"/>
              <w:rPr>
                <w:sz w:val="20"/>
                <w:szCs w:val="20"/>
                <w:color w:val="auto"/>
              </w:rPr>
            </w:pPr>
            <w:r>
              <w:rPr>
                <w:rFonts w:ascii="Arial" w:cs="Arial" w:eastAsia="Arial" w:hAnsi="Arial"/>
                <w:sz w:val="14"/>
                <w:szCs w:val="14"/>
                <w:color w:val="auto"/>
              </w:rPr>
              <w:t>$187,987</w:t>
            </w:r>
          </w:p>
        </w:tc>
        <w:tc>
          <w:tcPr>
            <w:tcW w:w="1480" w:type="dxa"/>
            <w:vAlign w:val="bottom"/>
            <w:tcBorders>
              <w:bottom w:val="single" w:sz="8" w:color="F2F2F2"/>
            </w:tcBorders>
            <w:shd w:val="clear" w:color="auto" w:fill="F2F2F2"/>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5"/>
        </w:trPr>
        <w:tc>
          <w:tcPr>
            <w:tcW w:w="1280" w:type="dxa"/>
            <w:vAlign w:val="bottom"/>
          </w:tcPr>
          <w:p>
            <w:pPr>
              <w:ind w:left="20"/>
              <w:spacing w:after="0"/>
              <w:rPr>
                <w:sz w:val="20"/>
                <w:szCs w:val="20"/>
                <w:color w:val="auto"/>
              </w:rPr>
            </w:pPr>
            <w:r>
              <w:rPr>
                <w:rFonts w:ascii="Arial" w:cs="Arial" w:eastAsia="Arial" w:hAnsi="Arial"/>
                <w:sz w:val="14"/>
                <w:szCs w:val="14"/>
                <w:color w:val="auto"/>
              </w:rPr>
              <w:t>Mr. Brooks</w:t>
            </w:r>
          </w:p>
        </w:tc>
        <w:tc>
          <w:tcPr>
            <w:tcW w:w="2240" w:type="dxa"/>
            <w:vAlign w:val="bottom"/>
          </w:tcPr>
          <w:p>
            <w:pPr>
              <w:jc w:val="right"/>
              <w:spacing w:after="0"/>
              <w:rPr>
                <w:sz w:val="20"/>
                <w:szCs w:val="20"/>
                <w:color w:val="auto"/>
              </w:rPr>
            </w:pPr>
            <w:r>
              <w:rPr>
                <w:rFonts w:ascii="Arial" w:cs="Arial" w:eastAsia="Arial" w:hAnsi="Arial"/>
                <w:sz w:val="14"/>
                <w:szCs w:val="14"/>
                <w:color w:val="auto"/>
              </w:rPr>
              <w:t>Retirement Plan (pre-2010)</w:t>
            </w:r>
          </w:p>
        </w:tc>
        <w:tc>
          <w:tcPr>
            <w:tcW w:w="1800" w:type="dxa"/>
            <w:vAlign w:val="bottom"/>
          </w:tcPr>
          <w:p>
            <w:pPr>
              <w:jc w:val="center"/>
              <w:spacing w:after="0"/>
              <w:rPr>
                <w:sz w:val="20"/>
                <w:szCs w:val="20"/>
                <w:color w:val="auto"/>
              </w:rPr>
            </w:pPr>
            <w:r>
              <w:rPr>
                <w:rFonts w:ascii="Arial" w:cs="Arial" w:eastAsia="Arial" w:hAnsi="Arial"/>
                <w:sz w:val="14"/>
                <w:szCs w:val="14"/>
                <w:color w:val="auto"/>
              </w:rPr>
              <w:t>14</w:t>
            </w:r>
          </w:p>
        </w:tc>
        <w:tc>
          <w:tcPr>
            <w:tcW w:w="1920" w:type="dxa"/>
            <w:vAlign w:val="bottom"/>
          </w:tcPr>
          <w:p>
            <w:pPr>
              <w:jc w:val="right"/>
              <w:ind w:right="448"/>
              <w:spacing w:after="0"/>
              <w:rPr>
                <w:sz w:val="20"/>
                <w:szCs w:val="20"/>
                <w:color w:val="auto"/>
              </w:rPr>
            </w:pPr>
            <w:r>
              <w:rPr>
                <w:rFonts w:ascii="Arial" w:cs="Arial" w:eastAsia="Arial" w:hAnsi="Arial"/>
                <w:sz w:val="14"/>
                <w:szCs w:val="14"/>
                <w:color w:val="auto"/>
              </w:rPr>
              <w:t>$781,249</w:t>
            </w: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280" w:type="dxa"/>
            <w:vAlign w:val="bottom"/>
          </w:tcPr>
          <w:p>
            <w:pPr>
              <w:spacing w:after="0"/>
              <w:rPr>
                <w:sz w:val="22"/>
                <w:szCs w:val="22"/>
                <w:color w:val="auto"/>
              </w:rPr>
            </w:pPr>
          </w:p>
        </w:tc>
        <w:tc>
          <w:tcPr>
            <w:tcW w:w="2240" w:type="dxa"/>
            <w:vAlign w:val="bottom"/>
          </w:tcPr>
          <w:p>
            <w:pPr>
              <w:jc w:val="right"/>
              <w:spacing w:after="0"/>
              <w:rPr>
                <w:sz w:val="20"/>
                <w:szCs w:val="20"/>
                <w:color w:val="auto"/>
              </w:rPr>
            </w:pPr>
            <w:r>
              <w:rPr>
                <w:rFonts w:ascii="Arial" w:cs="Arial" w:eastAsia="Arial" w:hAnsi="Arial"/>
                <w:sz w:val="14"/>
                <w:szCs w:val="14"/>
                <w:color w:val="auto"/>
              </w:rPr>
              <w:t>Retirement Plan (post-2009)</w:t>
            </w:r>
          </w:p>
        </w:tc>
        <w:tc>
          <w:tcPr>
            <w:tcW w:w="1800" w:type="dxa"/>
            <w:vAlign w:val="bottom"/>
          </w:tcPr>
          <w:p>
            <w:pPr>
              <w:jc w:val="center"/>
              <w:spacing w:after="0"/>
              <w:rPr>
                <w:sz w:val="20"/>
                <w:szCs w:val="20"/>
                <w:color w:val="auto"/>
              </w:rPr>
            </w:pPr>
            <w:r>
              <w:rPr>
                <w:rFonts w:ascii="Arial" w:cs="Arial" w:eastAsia="Arial" w:hAnsi="Arial"/>
                <w:sz w:val="14"/>
                <w:szCs w:val="14"/>
                <w:color w:val="auto"/>
              </w:rPr>
              <w:t>15</w:t>
            </w:r>
          </w:p>
        </w:tc>
        <w:tc>
          <w:tcPr>
            <w:tcW w:w="1920" w:type="dxa"/>
            <w:vAlign w:val="bottom"/>
          </w:tcPr>
          <w:p>
            <w:pPr>
              <w:jc w:val="right"/>
              <w:ind w:right="448"/>
              <w:spacing w:after="0"/>
              <w:rPr>
                <w:sz w:val="20"/>
                <w:szCs w:val="20"/>
                <w:color w:val="auto"/>
              </w:rPr>
            </w:pPr>
            <w:r>
              <w:rPr>
                <w:rFonts w:ascii="Arial" w:cs="Arial" w:eastAsia="Arial" w:hAnsi="Arial"/>
                <w:sz w:val="14"/>
                <w:szCs w:val="14"/>
                <w:color w:val="auto"/>
              </w:rPr>
              <w:t>$402,826</w:t>
            </w: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280" w:type="dxa"/>
            <w:vAlign w:val="bottom"/>
          </w:tcPr>
          <w:p>
            <w:pPr>
              <w:spacing w:after="0"/>
              <w:rPr>
                <w:sz w:val="22"/>
                <w:szCs w:val="22"/>
                <w:color w:val="auto"/>
              </w:rPr>
            </w:pPr>
          </w:p>
        </w:tc>
        <w:tc>
          <w:tcPr>
            <w:tcW w:w="2240" w:type="dxa"/>
            <w:vAlign w:val="bottom"/>
          </w:tcPr>
          <w:p>
            <w:pPr>
              <w:jc w:val="right"/>
              <w:spacing w:after="0"/>
              <w:rPr>
                <w:sz w:val="20"/>
                <w:szCs w:val="20"/>
                <w:color w:val="auto"/>
              </w:rPr>
            </w:pPr>
            <w:r>
              <w:rPr>
                <w:rFonts w:ascii="Arial" w:cs="Arial" w:eastAsia="Arial" w:hAnsi="Arial"/>
                <w:sz w:val="14"/>
                <w:szCs w:val="14"/>
                <w:color w:val="auto"/>
              </w:rPr>
              <w:t>Nonqualified Plan (pre-2010)</w:t>
            </w:r>
          </w:p>
        </w:tc>
        <w:tc>
          <w:tcPr>
            <w:tcW w:w="1800" w:type="dxa"/>
            <w:vAlign w:val="bottom"/>
          </w:tcPr>
          <w:p>
            <w:pPr>
              <w:jc w:val="center"/>
              <w:spacing w:after="0"/>
              <w:rPr>
                <w:sz w:val="20"/>
                <w:szCs w:val="20"/>
                <w:color w:val="auto"/>
              </w:rPr>
            </w:pPr>
            <w:r>
              <w:rPr>
                <w:rFonts w:ascii="Arial" w:cs="Arial" w:eastAsia="Arial" w:hAnsi="Arial"/>
                <w:sz w:val="14"/>
                <w:szCs w:val="14"/>
                <w:color w:val="auto"/>
              </w:rPr>
              <w:t>14</w:t>
            </w:r>
          </w:p>
        </w:tc>
        <w:tc>
          <w:tcPr>
            <w:tcW w:w="1920" w:type="dxa"/>
            <w:vAlign w:val="bottom"/>
          </w:tcPr>
          <w:p>
            <w:pPr>
              <w:jc w:val="right"/>
              <w:ind w:right="448"/>
              <w:spacing w:after="0"/>
              <w:rPr>
                <w:sz w:val="20"/>
                <w:szCs w:val="20"/>
                <w:color w:val="auto"/>
              </w:rPr>
            </w:pPr>
            <w:r>
              <w:rPr>
                <w:rFonts w:ascii="Arial" w:cs="Arial" w:eastAsia="Arial" w:hAnsi="Arial"/>
                <w:sz w:val="14"/>
                <w:szCs w:val="14"/>
                <w:color w:val="auto"/>
              </w:rPr>
              <w:t>$1,346,064</w:t>
            </w: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280" w:type="dxa"/>
            <w:vAlign w:val="bottom"/>
          </w:tcPr>
          <w:p>
            <w:pPr>
              <w:spacing w:after="0"/>
              <w:rPr>
                <w:sz w:val="22"/>
                <w:szCs w:val="22"/>
                <w:color w:val="auto"/>
              </w:rPr>
            </w:pPr>
          </w:p>
        </w:tc>
        <w:tc>
          <w:tcPr>
            <w:tcW w:w="2240" w:type="dxa"/>
            <w:vAlign w:val="bottom"/>
          </w:tcPr>
          <w:p>
            <w:pPr>
              <w:jc w:val="right"/>
              <w:spacing w:after="0"/>
              <w:rPr>
                <w:sz w:val="20"/>
                <w:szCs w:val="20"/>
                <w:color w:val="auto"/>
              </w:rPr>
            </w:pPr>
            <w:r>
              <w:rPr>
                <w:rFonts w:ascii="Arial" w:cs="Arial" w:eastAsia="Arial" w:hAnsi="Arial"/>
                <w:sz w:val="14"/>
                <w:szCs w:val="14"/>
                <w:color w:val="auto"/>
              </w:rPr>
              <w:t>Nonqualified Plan (post-2009)</w:t>
            </w:r>
          </w:p>
        </w:tc>
        <w:tc>
          <w:tcPr>
            <w:tcW w:w="1800" w:type="dxa"/>
            <w:vAlign w:val="bottom"/>
          </w:tcPr>
          <w:p>
            <w:pPr>
              <w:jc w:val="center"/>
              <w:spacing w:after="0"/>
              <w:rPr>
                <w:sz w:val="20"/>
                <w:szCs w:val="20"/>
                <w:color w:val="auto"/>
              </w:rPr>
            </w:pPr>
            <w:r>
              <w:rPr>
                <w:rFonts w:ascii="Arial" w:cs="Arial" w:eastAsia="Arial" w:hAnsi="Arial"/>
                <w:sz w:val="14"/>
                <w:szCs w:val="14"/>
                <w:color w:val="auto"/>
              </w:rPr>
              <w:t>15</w:t>
            </w:r>
          </w:p>
        </w:tc>
        <w:tc>
          <w:tcPr>
            <w:tcW w:w="1920" w:type="dxa"/>
            <w:vAlign w:val="bottom"/>
          </w:tcPr>
          <w:p>
            <w:pPr>
              <w:jc w:val="right"/>
              <w:ind w:right="448"/>
              <w:spacing w:after="0"/>
              <w:rPr>
                <w:sz w:val="20"/>
                <w:szCs w:val="20"/>
                <w:color w:val="auto"/>
              </w:rPr>
            </w:pPr>
            <w:r>
              <w:rPr>
                <w:rFonts w:ascii="Arial" w:cs="Arial" w:eastAsia="Arial" w:hAnsi="Arial"/>
                <w:sz w:val="14"/>
                <w:szCs w:val="14"/>
                <w:color w:val="auto"/>
              </w:rPr>
              <w:t>$675,754</w:t>
            </w: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280" w:type="dxa"/>
            <w:vAlign w:val="bottom"/>
          </w:tcPr>
          <w:p>
            <w:pPr>
              <w:spacing w:after="0"/>
              <w:rPr>
                <w:sz w:val="22"/>
                <w:szCs w:val="22"/>
                <w:color w:val="auto"/>
              </w:rPr>
            </w:pPr>
          </w:p>
        </w:tc>
        <w:tc>
          <w:tcPr>
            <w:tcW w:w="2240" w:type="dxa"/>
            <w:vAlign w:val="bottom"/>
          </w:tcPr>
          <w:p>
            <w:pPr>
              <w:jc w:val="right"/>
              <w:spacing w:after="0"/>
              <w:rPr>
                <w:sz w:val="20"/>
                <w:szCs w:val="20"/>
                <w:color w:val="auto"/>
              </w:rPr>
            </w:pPr>
            <w:r>
              <w:rPr>
                <w:rFonts w:ascii="Arial" w:cs="Arial" w:eastAsia="Arial" w:hAnsi="Arial"/>
                <w:sz w:val="14"/>
                <w:szCs w:val="14"/>
                <w:color w:val="auto"/>
              </w:rPr>
              <w:t>total</w:t>
            </w:r>
          </w:p>
        </w:tc>
        <w:tc>
          <w:tcPr>
            <w:tcW w:w="1800" w:type="dxa"/>
            <w:vAlign w:val="bottom"/>
          </w:tcPr>
          <w:p>
            <w:pPr>
              <w:spacing w:after="0"/>
              <w:rPr>
                <w:sz w:val="22"/>
                <w:szCs w:val="22"/>
                <w:color w:val="auto"/>
              </w:rPr>
            </w:pPr>
          </w:p>
        </w:tc>
        <w:tc>
          <w:tcPr>
            <w:tcW w:w="1920" w:type="dxa"/>
            <w:vAlign w:val="bottom"/>
          </w:tcPr>
          <w:p>
            <w:pPr>
              <w:jc w:val="right"/>
              <w:ind w:right="448"/>
              <w:spacing w:after="0"/>
              <w:rPr>
                <w:sz w:val="20"/>
                <w:szCs w:val="20"/>
                <w:color w:val="auto"/>
              </w:rPr>
            </w:pPr>
            <w:r>
              <w:rPr>
                <w:rFonts w:ascii="Arial" w:cs="Arial" w:eastAsia="Arial" w:hAnsi="Arial"/>
                <w:sz w:val="14"/>
                <w:szCs w:val="14"/>
                <w:color w:val="auto"/>
              </w:rPr>
              <w:t>$3,205,893</w:t>
            </w: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12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1280" w:type="dxa"/>
            <w:vAlign w:val="bottom"/>
            <w:shd w:val="clear" w:color="auto" w:fill="F2F2F2"/>
          </w:tcPr>
          <w:p>
            <w:pPr>
              <w:ind w:left="20"/>
              <w:spacing w:after="0"/>
              <w:rPr>
                <w:sz w:val="20"/>
                <w:szCs w:val="20"/>
                <w:color w:val="auto"/>
              </w:rPr>
            </w:pPr>
            <w:r>
              <w:rPr>
                <w:rFonts w:ascii="Arial" w:cs="Arial" w:eastAsia="Arial" w:hAnsi="Arial"/>
                <w:sz w:val="14"/>
                <w:szCs w:val="14"/>
                <w:color w:val="auto"/>
              </w:rPr>
              <w:t>Ms. Ashkenazi</w:t>
            </w:r>
          </w:p>
        </w:tc>
        <w:tc>
          <w:tcPr>
            <w:tcW w:w="2240" w:type="dxa"/>
            <w:vAlign w:val="bottom"/>
            <w:shd w:val="clear" w:color="auto" w:fill="F2F2F2"/>
          </w:tcPr>
          <w:p>
            <w:pPr>
              <w:jc w:val="right"/>
              <w:spacing w:after="0"/>
              <w:rPr>
                <w:sz w:val="20"/>
                <w:szCs w:val="20"/>
                <w:color w:val="auto"/>
              </w:rPr>
            </w:pPr>
            <w:r>
              <w:rPr>
                <w:rFonts w:ascii="Arial" w:cs="Arial" w:eastAsia="Arial" w:hAnsi="Arial"/>
                <w:sz w:val="14"/>
                <w:szCs w:val="14"/>
                <w:color w:val="auto"/>
              </w:rPr>
              <w:t>Retirement Plan (pre-2010)</w:t>
            </w:r>
          </w:p>
        </w:tc>
        <w:tc>
          <w:tcPr>
            <w:tcW w:w="180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9</w:t>
            </w:r>
          </w:p>
        </w:tc>
        <w:tc>
          <w:tcPr>
            <w:tcW w:w="1920" w:type="dxa"/>
            <w:vAlign w:val="bottom"/>
            <w:shd w:val="clear" w:color="auto" w:fill="F2F2F2"/>
          </w:tcPr>
          <w:p>
            <w:pPr>
              <w:jc w:val="right"/>
              <w:ind w:right="448"/>
              <w:spacing w:after="0"/>
              <w:rPr>
                <w:sz w:val="20"/>
                <w:szCs w:val="20"/>
                <w:color w:val="auto"/>
              </w:rPr>
            </w:pPr>
            <w:r>
              <w:rPr>
                <w:rFonts w:ascii="Arial" w:cs="Arial" w:eastAsia="Arial" w:hAnsi="Arial"/>
                <w:sz w:val="14"/>
                <w:szCs w:val="14"/>
                <w:color w:val="auto"/>
              </w:rPr>
              <w:t>$352,876</w:t>
            </w:r>
          </w:p>
        </w:tc>
        <w:tc>
          <w:tcPr>
            <w:tcW w:w="1480" w:type="dxa"/>
            <w:vAlign w:val="bottom"/>
            <w:shd w:val="clear" w:color="auto" w:fill="F2F2F2"/>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1280" w:type="dxa"/>
            <w:vAlign w:val="bottom"/>
            <w:shd w:val="clear" w:color="auto" w:fill="F2F2F2"/>
          </w:tcPr>
          <w:p>
            <w:pPr>
              <w:spacing w:after="0"/>
              <w:rPr>
                <w:sz w:val="22"/>
                <w:szCs w:val="22"/>
                <w:color w:val="auto"/>
              </w:rPr>
            </w:pPr>
          </w:p>
        </w:tc>
        <w:tc>
          <w:tcPr>
            <w:tcW w:w="2240" w:type="dxa"/>
            <w:vAlign w:val="bottom"/>
            <w:shd w:val="clear" w:color="auto" w:fill="F2F2F2"/>
          </w:tcPr>
          <w:p>
            <w:pPr>
              <w:jc w:val="right"/>
              <w:spacing w:after="0"/>
              <w:rPr>
                <w:sz w:val="20"/>
                <w:szCs w:val="20"/>
                <w:color w:val="auto"/>
              </w:rPr>
            </w:pPr>
            <w:r>
              <w:rPr>
                <w:rFonts w:ascii="Arial" w:cs="Arial" w:eastAsia="Arial" w:hAnsi="Arial"/>
                <w:sz w:val="14"/>
                <w:szCs w:val="14"/>
                <w:color w:val="auto"/>
              </w:rPr>
              <w:t>Retirement Plan (post-2009)</w:t>
            </w:r>
          </w:p>
        </w:tc>
        <w:tc>
          <w:tcPr>
            <w:tcW w:w="180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15</w:t>
            </w:r>
          </w:p>
        </w:tc>
        <w:tc>
          <w:tcPr>
            <w:tcW w:w="1920" w:type="dxa"/>
            <w:vAlign w:val="bottom"/>
            <w:shd w:val="clear" w:color="auto" w:fill="F2F2F2"/>
          </w:tcPr>
          <w:p>
            <w:pPr>
              <w:jc w:val="right"/>
              <w:ind w:right="448"/>
              <w:spacing w:after="0"/>
              <w:rPr>
                <w:sz w:val="20"/>
                <w:szCs w:val="20"/>
                <w:color w:val="auto"/>
              </w:rPr>
            </w:pPr>
            <w:r>
              <w:rPr>
                <w:rFonts w:ascii="Arial" w:cs="Arial" w:eastAsia="Arial" w:hAnsi="Arial"/>
                <w:sz w:val="14"/>
                <w:szCs w:val="14"/>
                <w:color w:val="auto"/>
              </w:rPr>
              <w:t>$322,718</w:t>
            </w:r>
          </w:p>
        </w:tc>
        <w:tc>
          <w:tcPr>
            <w:tcW w:w="1480" w:type="dxa"/>
            <w:vAlign w:val="bottom"/>
            <w:shd w:val="clear" w:color="auto" w:fill="F2F2F2"/>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280" w:type="dxa"/>
            <w:vAlign w:val="bottom"/>
            <w:shd w:val="clear" w:color="auto" w:fill="F2F2F2"/>
          </w:tcPr>
          <w:p>
            <w:pPr>
              <w:spacing w:after="0"/>
              <w:rPr>
                <w:sz w:val="22"/>
                <w:szCs w:val="22"/>
                <w:color w:val="auto"/>
              </w:rPr>
            </w:pPr>
          </w:p>
        </w:tc>
        <w:tc>
          <w:tcPr>
            <w:tcW w:w="2240" w:type="dxa"/>
            <w:vAlign w:val="bottom"/>
            <w:shd w:val="clear" w:color="auto" w:fill="F2F2F2"/>
          </w:tcPr>
          <w:p>
            <w:pPr>
              <w:jc w:val="right"/>
              <w:spacing w:after="0"/>
              <w:rPr>
                <w:sz w:val="20"/>
                <w:szCs w:val="20"/>
                <w:color w:val="auto"/>
              </w:rPr>
            </w:pPr>
            <w:r>
              <w:rPr>
                <w:rFonts w:ascii="Arial" w:cs="Arial" w:eastAsia="Arial" w:hAnsi="Arial"/>
                <w:sz w:val="14"/>
                <w:szCs w:val="14"/>
                <w:color w:val="auto"/>
              </w:rPr>
              <w:t>Nonqualified Plan (pre-2010)</w:t>
            </w:r>
          </w:p>
        </w:tc>
        <w:tc>
          <w:tcPr>
            <w:tcW w:w="180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9</w:t>
            </w:r>
          </w:p>
        </w:tc>
        <w:tc>
          <w:tcPr>
            <w:tcW w:w="1920" w:type="dxa"/>
            <w:vAlign w:val="bottom"/>
            <w:shd w:val="clear" w:color="auto" w:fill="F2F2F2"/>
          </w:tcPr>
          <w:p>
            <w:pPr>
              <w:jc w:val="right"/>
              <w:ind w:right="448"/>
              <w:spacing w:after="0"/>
              <w:rPr>
                <w:sz w:val="20"/>
                <w:szCs w:val="20"/>
                <w:color w:val="auto"/>
              </w:rPr>
            </w:pPr>
            <w:r>
              <w:rPr>
                <w:rFonts w:ascii="Arial" w:cs="Arial" w:eastAsia="Arial" w:hAnsi="Arial"/>
                <w:sz w:val="14"/>
                <w:szCs w:val="14"/>
                <w:color w:val="auto"/>
              </w:rPr>
              <w:t>$1,614,975</w:t>
            </w:r>
          </w:p>
        </w:tc>
        <w:tc>
          <w:tcPr>
            <w:tcW w:w="1480" w:type="dxa"/>
            <w:vAlign w:val="bottom"/>
            <w:shd w:val="clear" w:color="auto" w:fill="F2F2F2"/>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280" w:type="dxa"/>
            <w:vAlign w:val="bottom"/>
            <w:shd w:val="clear" w:color="auto" w:fill="F2F2F2"/>
          </w:tcPr>
          <w:p>
            <w:pPr>
              <w:spacing w:after="0"/>
              <w:rPr>
                <w:sz w:val="23"/>
                <w:szCs w:val="23"/>
                <w:color w:val="auto"/>
              </w:rPr>
            </w:pPr>
          </w:p>
        </w:tc>
        <w:tc>
          <w:tcPr>
            <w:tcW w:w="2240" w:type="dxa"/>
            <w:vAlign w:val="bottom"/>
            <w:shd w:val="clear" w:color="auto" w:fill="F2F2F2"/>
          </w:tcPr>
          <w:p>
            <w:pPr>
              <w:jc w:val="right"/>
              <w:spacing w:after="0"/>
              <w:rPr>
                <w:sz w:val="20"/>
                <w:szCs w:val="20"/>
                <w:color w:val="auto"/>
              </w:rPr>
            </w:pPr>
            <w:r>
              <w:rPr>
                <w:rFonts w:ascii="Arial" w:cs="Arial" w:eastAsia="Arial" w:hAnsi="Arial"/>
                <w:sz w:val="14"/>
                <w:szCs w:val="14"/>
                <w:color w:val="auto"/>
              </w:rPr>
              <w:t>Nonqualified Plan (post-2009)</w:t>
            </w:r>
          </w:p>
        </w:tc>
        <w:tc>
          <w:tcPr>
            <w:tcW w:w="180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15</w:t>
            </w:r>
          </w:p>
        </w:tc>
        <w:tc>
          <w:tcPr>
            <w:tcW w:w="1920" w:type="dxa"/>
            <w:vAlign w:val="bottom"/>
            <w:shd w:val="clear" w:color="auto" w:fill="F2F2F2"/>
          </w:tcPr>
          <w:p>
            <w:pPr>
              <w:jc w:val="right"/>
              <w:ind w:right="448"/>
              <w:spacing w:after="0"/>
              <w:rPr>
                <w:sz w:val="20"/>
                <w:szCs w:val="20"/>
                <w:color w:val="auto"/>
              </w:rPr>
            </w:pPr>
            <w:r>
              <w:rPr>
                <w:rFonts w:ascii="Arial" w:cs="Arial" w:eastAsia="Arial" w:hAnsi="Arial"/>
                <w:sz w:val="14"/>
                <w:szCs w:val="14"/>
                <w:color w:val="auto"/>
              </w:rPr>
              <w:t>$1,482,518</w:t>
            </w:r>
          </w:p>
        </w:tc>
        <w:tc>
          <w:tcPr>
            <w:tcW w:w="1480" w:type="dxa"/>
            <w:vAlign w:val="bottom"/>
            <w:shd w:val="clear" w:color="auto" w:fill="F2F2F2"/>
          </w:tcPr>
          <w:p>
            <w:pPr>
              <w:spacing w:after="0"/>
              <w:rPr>
                <w:sz w:val="23"/>
                <w:szCs w:val="23"/>
                <w:color w:val="auto"/>
              </w:rPr>
            </w:pPr>
          </w:p>
        </w:tc>
        <w:tc>
          <w:tcPr>
            <w:tcW w:w="0" w:type="dxa"/>
            <w:vAlign w:val="bottom"/>
          </w:tcPr>
          <w:p>
            <w:pPr>
              <w:spacing w:after="0"/>
              <w:rPr>
                <w:sz w:val="1"/>
                <w:szCs w:val="1"/>
                <w:color w:val="auto"/>
              </w:rPr>
            </w:pPr>
          </w:p>
        </w:tc>
      </w:tr>
      <w:tr>
        <w:trPr>
          <w:trHeight w:val="272"/>
        </w:trPr>
        <w:tc>
          <w:tcPr>
            <w:tcW w:w="1280" w:type="dxa"/>
            <w:vAlign w:val="bottom"/>
            <w:tcBorders>
              <w:bottom w:val="single" w:sz="8" w:color="F2F2F2"/>
            </w:tcBorders>
            <w:shd w:val="clear" w:color="auto" w:fill="F2F2F2"/>
          </w:tcPr>
          <w:p>
            <w:pPr>
              <w:spacing w:after="0"/>
              <w:rPr>
                <w:sz w:val="23"/>
                <w:szCs w:val="23"/>
                <w:color w:val="auto"/>
              </w:rPr>
            </w:pPr>
          </w:p>
        </w:tc>
        <w:tc>
          <w:tcPr>
            <w:tcW w:w="224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total</w:t>
            </w:r>
          </w:p>
        </w:tc>
        <w:tc>
          <w:tcPr>
            <w:tcW w:w="1800" w:type="dxa"/>
            <w:vAlign w:val="bottom"/>
            <w:tcBorders>
              <w:bottom w:val="single" w:sz="8" w:color="F2F2F2"/>
            </w:tcBorders>
            <w:shd w:val="clear" w:color="auto" w:fill="F2F2F2"/>
          </w:tcPr>
          <w:p>
            <w:pPr>
              <w:spacing w:after="0"/>
              <w:rPr>
                <w:sz w:val="23"/>
                <w:szCs w:val="23"/>
                <w:color w:val="auto"/>
              </w:rPr>
            </w:pPr>
          </w:p>
        </w:tc>
        <w:tc>
          <w:tcPr>
            <w:tcW w:w="1920" w:type="dxa"/>
            <w:vAlign w:val="bottom"/>
            <w:tcBorders>
              <w:bottom w:val="single" w:sz="8" w:color="F2F2F2"/>
            </w:tcBorders>
            <w:shd w:val="clear" w:color="auto" w:fill="F2F2F2"/>
          </w:tcPr>
          <w:p>
            <w:pPr>
              <w:jc w:val="right"/>
              <w:ind w:right="448"/>
              <w:spacing w:after="0"/>
              <w:rPr>
                <w:sz w:val="20"/>
                <w:szCs w:val="20"/>
                <w:color w:val="auto"/>
              </w:rPr>
            </w:pPr>
            <w:r>
              <w:rPr>
                <w:rFonts w:ascii="Arial" w:cs="Arial" w:eastAsia="Arial" w:hAnsi="Arial"/>
                <w:sz w:val="14"/>
                <w:szCs w:val="14"/>
                <w:color w:val="auto"/>
              </w:rPr>
              <w:t>$3,773,087</w:t>
            </w:r>
          </w:p>
        </w:tc>
        <w:tc>
          <w:tcPr>
            <w:tcW w:w="1480" w:type="dxa"/>
            <w:vAlign w:val="bottom"/>
            <w:tcBorders>
              <w:bottom w:val="single" w:sz="8" w:color="F2F2F2"/>
            </w:tcBorders>
            <w:shd w:val="clear" w:color="auto" w:fill="F2F2F2"/>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1280" w:type="dxa"/>
            <w:vAlign w:val="bottom"/>
            <w:shd w:val="clear" w:color="auto" w:fill="000000"/>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1" w:lineRule="exact"/>
        <w:rPr>
          <w:sz w:val="20"/>
          <w:szCs w:val="20"/>
          <w:color w:val="auto"/>
        </w:rPr>
      </w:pPr>
    </w:p>
    <w:p>
      <w:pPr>
        <w:ind w:left="220" w:hanging="212"/>
        <w:spacing w:after="0"/>
        <w:tabs>
          <w:tab w:leader="none" w:pos="220" w:val="left"/>
        </w:tabs>
        <w:numPr>
          <w:ilvl w:val="0"/>
          <w:numId w:val="165"/>
        </w:numPr>
        <w:rPr>
          <w:rFonts w:ascii="Arial" w:cs="Arial" w:eastAsia="Arial" w:hAnsi="Arial"/>
          <w:sz w:val="19"/>
          <w:szCs w:val="19"/>
          <w:color w:val="auto"/>
          <w:vertAlign w:val="superscript"/>
        </w:rPr>
      </w:pPr>
      <w:r>
        <w:rPr>
          <w:rFonts w:ascii="Arial" w:cs="Arial" w:eastAsia="Arial" w:hAnsi="Arial"/>
          <w:sz w:val="14"/>
          <w:szCs w:val="14"/>
          <w:color w:val="auto"/>
        </w:rPr>
        <w:t>The following standard actuarial assumptions were used to calculate the present value of each individual’s accumulated pension benefit:</w:t>
      </w:r>
    </w:p>
    <w:p>
      <w:pPr>
        <w:sectPr>
          <w:pgSz w:w="11900" w:h="16838" w:orient="portrait"/>
          <w:cols w:equalWidth="0" w:num="1">
            <w:col w:w="11200"/>
          </w:cols>
          <w:pgMar w:left="320" w:top="989" w:right="379" w:bottom="1440" w:gutter="0" w:footer="0" w:header="0"/>
        </w:sectPr>
      </w:pPr>
    </w:p>
    <w:p>
      <w:pPr>
        <w:spacing w:after="0" w:line="93" w:lineRule="exact"/>
        <w:rPr>
          <w:sz w:val="20"/>
          <w:szCs w:val="20"/>
          <w:color w:val="auto"/>
        </w:rPr>
      </w:pPr>
    </w:p>
    <w:p>
      <w:pPr>
        <w:ind w:left="600"/>
        <w:spacing w:after="0"/>
        <w:rPr>
          <w:sz w:val="20"/>
          <w:szCs w:val="20"/>
          <w:color w:val="auto"/>
        </w:rPr>
      </w:pPr>
      <w:r>
        <w:rPr>
          <w:rFonts w:ascii="Arial" w:cs="Arial" w:eastAsia="Arial" w:hAnsi="Arial"/>
          <w:sz w:val="14"/>
          <w:szCs w:val="14"/>
          <w:b w:val="1"/>
          <w:bCs w:val="1"/>
          <w:color w:val="00A1DE"/>
        </w:rPr>
        <w:t>Discount rate:</w:t>
      </w:r>
    </w:p>
    <w:p>
      <w:pPr>
        <w:spacing w:after="0" w:line="96" w:lineRule="exact"/>
        <w:rPr>
          <w:sz w:val="20"/>
          <w:szCs w:val="20"/>
          <w:color w:val="auto"/>
        </w:rPr>
      </w:pPr>
    </w:p>
    <w:p>
      <w:pPr>
        <w:ind w:left="600"/>
        <w:spacing w:after="0"/>
        <w:rPr>
          <w:sz w:val="20"/>
          <w:szCs w:val="20"/>
          <w:color w:val="auto"/>
        </w:rPr>
      </w:pPr>
      <w:r>
        <w:rPr>
          <w:rFonts w:ascii="Arial" w:cs="Arial" w:eastAsia="Arial" w:hAnsi="Arial"/>
          <w:sz w:val="14"/>
          <w:szCs w:val="14"/>
          <w:b w:val="1"/>
          <w:bCs w:val="1"/>
          <w:color w:val="00A1DE"/>
        </w:rPr>
        <w:t>Mortality (post-retirement decrement only):</w:t>
      </w:r>
    </w:p>
    <w:p>
      <w:pPr>
        <w:spacing w:after="0" w:line="258" w:lineRule="exact"/>
        <w:rPr>
          <w:sz w:val="20"/>
          <w:szCs w:val="20"/>
          <w:color w:val="auto"/>
        </w:rPr>
      </w:pPr>
    </w:p>
    <w:p>
      <w:pPr>
        <w:ind w:left="600"/>
        <w:spacing w:after="0"/>
        <w:rPr>
          <w:sz w:val="20"/>
          <w:szCs w:val="20"/>
          <w:color w:val="auto"/>
        </w:rPr>
      </w:pPr>
      <w:r>
        <w:rPr>
          <w:rFonts w:ascii="Arial" w:cs="Arial" w:eastAsia="Arial" w:hAnsi="Arial"/>
          <w:sz w:val="14"/>
          <w:szCs w:val="14"/>
          <w:b w:val="1"/>
          <w:bCs w:val="1"/>
          <w:color w:val="00A1DE"/>
        </w:rPr>
        <w:t>Pre-2010 joint and survivor benefit (% of pension):</w:t>
      </w:r>
    </w:p>
    <w:p>
      <w:pPr>
        <w:spacing w:after="0" w:line="123" w:lineRule="exact"/>
        <w:rPr>
          <w:sz w:val="20"/>
          <w:szCs w:val="20"/>
          <w:color w:val="auto"/>
        </w:rPr>
      </w:pPr>
    </w:p>
    <w:p>
      <w:pPr>
        <w:ind w:left="600"/>
        <w:spacing w:after="0"/>
        <w:rPr>
          <w:sz w:val="20"/>
          <w:szCs w:val="20"/>
          <w:color w:val="auto"/>
        </w:rPr>
      </w:pPr>
      <w:r>
        <w:rPr>
          <w:rFonts w:ascii="Arial" w:cs="Arial" w:eastAsia="Arial" w:hAnsi="Arial"/>
          <w:sz w:val="14"/>
          <w:szCs w:val="14"/>
          <w:b w:val="1"/>
          <w:bCs w:val="1"/>
          <w:color w:val="00A1DE"/>
        </w:rPr>
        <w:t>Post-2009 benefit payment form:</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color w:val="auto"/>
        </w:rPr>
        <w:t>5.80 percent for the qualified plan and 5.71 percent for nonqualified plan</w:t>
      </w:r>
    </w:p>
    <w:p>
      <w:pPr>
        <w:spacing w:after="0" w:line="82" w:lineRule="exact"/>
        <w:rPr>
          <w:sz w:val="20"/>
          <w:szCs w:val="20"/>
          <w:color w:val="auto"/>
        </w:rPr>
      </w:pPr>
    </w:p>
    <w:p>
      <w:pPr>
        <w:ind w:right="2180"/>
        <w:spacing w:after="0" w:line="285" w:lineRule="auto"/>
        <w:rPr>
          <w:sz w:val="20"/>
          <w:szCs w:val="20"/>
          <w:color w:val="auto"/>
        </w:rPr>
      </w:pPr>
      <w:r>
        <w:rPr>
          <w:rFonts w:ascii="Arial" w:cs="Arial" w:eastAsia="Arial" w:hAnsi="Arial"/>
          <w:sz w:val="14"/>
          <w:szCs w:val="14"/>
          <w:color w:val="auto"/>
        </w:rPr>
        <w:t>Private 2012 white collar table with generational projection using Scale MP-2021</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50 percent until age 62; 25 percent thereafter</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color w:val="auto"/>
        </w:rPr>
        <w:t>Life annuity</w:t>
      </w:r>
    </w:p>
    <w:p>
      <w:pPr>
        <w:spacing w:after="0" w:line="167" w:lineRule="exact"/>
        <w:rPr>
          <w:sz w:val="20"/>
          <w:szCs w:val="20"/>
          <w:color w:val="auto"/>
        </w:rPr>
      </w:pPr>
    </w:p>
    <w:p>
      <w:pPr>
        <w:sectPr>
          <w:pgSz w:w="11900" w:h="16838" w:orient="portrait"/>
          <w:cols w:equalWidth="0" w:num="2">
            <w:col w:w="4040" w:space="180"/>
            <w:col w:w="6980"/>
          </w:cols>
          <w:pgMar w:left="320" w:top="989" w:right="379" w:bottom="1440" w:gutter="0" w:footer="0" w:header="0"/>
          <w:type w:val="continuous"/>
        </w:sectPr>
      </w:pPr>
    </w:p>
    <w:p>
      <w:pPr>
        <w:spacing w:after="0" w:line="262" w:lineRule="auto"/>
        <w:rPr>
          <w:sz w:val="20"/>
          <w:szCs w:val="20"/>
          <w:color w:val="auto"/>
        </w:rPr>
      </w:pPr>
      <w:r>
        <w:rPr>
          <w:rFonts w:ascii="Arial" w:cs="Arial" w:eastAsia="Arial" w:hAnsi="Arial"/>
          <w:sz w:val="18"/>
          <w:szCs w:val="18"/>
          <w:color w:val="auto"/>
        </w:rPr>
        <w:t>The Retirement Plan benefits shown in the table are net present values. The benefits are not payable as a lump sum; they are generally paid as a monthly annuity for the life of the retiree and, if elected, any qualifying survivor. The annual benefit under the Retirement Plan is calculated using years of service and the average of the annual earnings (salary plus bonus) for the highest five out of the last 10 calendar years of service (final average earnings).</w:t>
      </w:r>
    </w:p>
    <w:p>
      <w:pPr>
        <w:spacing w:after="0" w:line="198" w:lineRule="exact"/>
        <w:rPr>
          <w:sz w:val="20"/>
          <w:szCs w:val="20"/>
          <w:color w:val="auto"/>
        </w:rPr>
      </w:pPr>
    </w:p>
    <w:p>
      <w:pPr>
        <w:ind w:right="100"/>
        <w:spacing w:after="0" w:line="271" w:lineRule="auto"/>
        <w:rPr>
          <w:sz w:val="20"/>
          <w:szCs w:val="20"/>
          <w:color w:val="auto"/>
        </w:rPr>
      </w:pPr>
      <w:r>
        <w:rPr>
          <w:rFonts w:ascii="Arial" w:cs="Arial" w:eastAsia="Arial" w:hAnsi="Arial"/>
          <w:sz w:val="20"/>
          <w:szCs w:val="20"/>
          <w:b w:val="1"/>
          <w:bCs w:val="1"/>
          <w:color w:val="D52B1E"/>
        </w:rPr>
        <w:t xml:space="preserve">Post-2009 Plan Information: </w:t>
      </w:r>
      <w:r>
        <w:rPr>
          <w:rFonts w:ascii="Arial" w:cs="Arial" w:eastAsia="Arial" w:hAnsi="Arial"/>
          <w:sz w:val="17"/>
          <w:szCs w:val="17"/>
          <w:color w:val="000000"/>
        </w:rPr>
        <w:t>Following amendment of our Retirement Plan formulas, employees first hired on or after February 1, 2008</w:t>
      </w:r>
      <w:r>
        <w:rPr>
          <w:rFonts w:ascii="Arial" w:cs="Arial" w:eastAsia="Arial" w:hAnsi="Arial"/>
          <w:sz w:val="20"/>
          <w:szCs w:val="20"/>
          <w:b w:val="1"/>
          <w:bCs w:val="1"/>
          <w:color w:val="D52B1E"/>
        </w:rPr>
        <w:t xml:space="preserve"> </w:t>
      </w:r>
      <w:r>
        <w:rPr>
          <w:rFonts w:ascii="Arial" w:cs="Arial" w:eastAsia="Arial" w:hAnsi="Arial"/>
          <w:sz w:val="17"/>
          <w:szCs w:val="17"/>
          <w:color w:val="000000"/>
        </w:rPr>
        <w:t>have accrued retirement benefits only under the new plan formula. Employees hired before that date have accrued benefits under both the old and new plan formulas. All eligible employees, including those hired on or after February 1, 2008, can currently retire at age 65 with at least five years of service and receive an unreduced benefit. The annual benefit under the new plan formula is equal to 1.2 percent of final average earnings multiplied by years of service. Early retirement benefits under this plan formula are reduced 6 percent for each year under age 65. Transition benefits were afforded to employees with 50 points (age plus service) or more as of December 31, 2009. These benefits were intended to ease the transition to the new retirement formula for those employees who were closer to retirement or had been with the company longer at the time the plan was changed. For the transition group, early retirement benefits are reduced 3 percent for each year</w:t>
      </w:r>
    </w:p>
    <w:p>
      <w:pPr>
        <w:sectPr>
          <w:pgSz w:w="11900" w:h="16838" w:orient="portrait"/>
          <w:cols w:equalWidth="0" w:num="1">
            <w:col w:w="11200"/>
          </w:cols>
          <w:pgMar w:left="320" w:top="989" w:right="379" w:bottom="1440" w:gutter="0" w:footer="0" w:header="0"/>
          <w:type w:val="continuous"/>
        </w:sect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103505</wp:posOffset>
            </wp:positionV>
            <wp:extent cx="7157720" cy="42545"/>
            <wp:wrapNone/>
            <wp:docPr id="2312" name="Picture 2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2"/>
                    <pic:cNvPicPr>
                      <a:picLocks noChangeAspect="1" noChangeArrowheads="1"/>
                    </pic:cNvPicPr>
                  </pic:nvPicPr>
                  <pic:blipFill>
                    <a:blip r:embed="rId2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9" w:right="379" w:bottom="1440" w:gutter="0" w:footer="0" w:header="0"/>
          <w:type w:val="continuous"/>
        </w:sectPr>
      </w:pPr>
    </w:p>
    <w:bookmarkStart w:id="73" w:name="page74"/>
    <w:bookmarkEnd w:id="73"/>
    <w:p>
      <w:pPr>
        <w:spacing w:after="0"/>
        <w:rPr>
          <w:sz w:val="20"/>
          <w:szCs w:val="20"/>
          <w:color w:val="auto"/>
        </w:rPr>
      </w:pPr>
      <w:r>
        <w:rPr>
          <w:rFonts w:ascii="Arial" w:cs="Arial" w:eastAsia="Arial" w:hAnsi="Arial"/>
          <w:sz w:val="18"/>
          <w:szCs w:val="18"/>
          <w:color w:val="auto"/>
        </w:rPr>
        <w:t>from age 65 to age 60 and 6 percent for each year under age 60. Mr. Ricks, Ms. Ashkenazi, and Mr. Brooks are in this transition group.</w:t>
      </w:r>
    </w:p>
    <w:p>
      <w:pPr>
        <w:spacing w:after="0" w:line="274" w:lineRule="exact"/>
        <w:rPr>
          <w:sz w:val="20"/>
          <w:szCs w:val="20"/>
          <w:color w:val="auto"/>
        </w:rPr>
      </w:pPr>
    </w:p>
    <w:p>
      <w:pPr>
        <w:spacing w:after="0" w:line="264" w:lineRule="auto"/>
        <w:rPr>
          <w:sz w:val="20"/>
          <w:szCs w:val="20"/>
          <w:color w:val="auto"/>
        </w:rPr>
      </w:pPr>
      <w:r>
        <w:rPr>
          <w:rFonts w:ascii="Arial" w:cs="Arial" w:eastAsia="Arial" w:hAnsi="Arial"/>
          <w:sz w:val="20"/>
          <w:szCs w:val="20"/>
          <w:b w:val="1"/>
          <w:bCs w:val="1"/>
          <w:color w:val="D52B1E"/>
        </w:rPr>
        <w:t xml:space="preserve">Pre-2010 Plan Information: </w:t>
      </w:r>
      <w:r>
        <w:rPr>
          <w:rFonts w:ascii="Arial" w:cs="Arial" w:eastAsia="Arial" w:hAnsi="Arial"/>
          <w:sz w:val="17"/>
          <w:szCs w:val="17"/>
          <w:color w:val="000000"/>
        </w:rPr>
        <w:t>Employees hired prior to February 1, 2008 accrued benefits under both plan formulas. For these employees,</w:t>
      </w:r>
      <w:r>
        <w:rPr>
          <w:rFonts w:ascii="Arial" w:cs="Arial" w:eastAsia="Arial" w:hAnsi="Arial"/>
          <w:sz w:val="20"/>
          <w:szCs w:val="20"/>
          <w:b w:val="1"/>
          <w:bCs w:val="1"/>
          <w:color w:val="D52B1E"/>
        </w:rPr>
        <w:t xml:space="preserve"> </w:t>
      </w:r>
      <w:r>
        <w:rPr>
          <w:rFonts w:ascii="Arial" w:cs="Arial" w:eastAsia="Arial" w:hAnsi="Arial"/>
          <w:sz w:val="17"/>
          <w:szCs w:val="17"/>
          <w:color w:val="000000"/>
        </w:rPr>
        <w:t>benefits that accrued before January 1, 2010 were calculated under the old plan formula. The amount of the benefit is calculated using actual years of service through December 31, 2009, while total years of service are used to determine eligibility and early retirement reductions. The benefit amount is increased (but not decreased) proportionately based on final average earnings at termination compared to final average earnings on December 31, 2009. Full retirement benefits are earned by employees with 90 or more points (the sum of his or her age plus years of service). Employees electing early retirement receive reduced benefits as described below:</w:t>
      </w:r>
    </w:p>
    <w:p>
      <w:pPr>
        <w:spacing w:after="0" w:line="124" w:lineRule="exact"/>
        <w:rPr>
          <w:sz w:val="20"/>
          <w:szCs w:val="20"/>
          <w:color w:val="auto"/>
        </w:rPr>
      </w:pPr>
    </w:p>
    <w:p>
      <w:pPr>
        <w:ind w:left="500" w:right="220" w:hanging="330"/>
        <w:spacing w:after="0" w:line="287" w:lineRule="auto"/>
        <w:tabs>
          <w:tab w:leader="none" w:pos="489" w:val="left"/>
        </w:tabs>
        <w:numPr>
          <w:ilvl w:val="0"/>
          <w:numId w:val="166"/>
        </w:numPr>
        <w:rPr>
          <w:rFonts w:ascii="Arial" w:cs="Arial" w:eastAsia="Arial" w:hAnsi="Arial"/>
          <w:sz w:val="16"/>
          <w:szCs w:val="16"/>
          <w:color w:val="auto"/>
        </w:rPr>
      </w:pPr>
      <w:r>
        <w:rPr>
          <w:rFonts w:ascii="Arial" w:cs="Arial" w:eastAsia="Arial" w:hAnsi="Arial"/>
          <w:sz w:val="18"/>
          <w:szCs w:val="18"/>
          <w:color w:val="auto"/>
        </w:rPr>
        <w:t>The benefit for employees with between 80 and 90 points is reduced by 3 percent for each year before the earlier of 90 points or age 62.</w:t>
      </w:r>
    </w:p>
    <w:p>
      <w:pPr>
        <w:spacing w:after="0" w:line="98" w:lineRule="exact"/>
        <w:rPr>
          <w:rFonts w:ascii="Arial" w:cs="Arial" w:eastAsia="Arial" w:hAnsi="Arial"/>
          <w:sz w:val="16"/>
          <w:szCs w:val="16"/>
          <w:color w:val="auto"/>
        </w:rPr>
      </w:pPr>
    </w:p>
    <w:p>
      <w:pPr>
        <w:ind w:left="500" w:right="240" w:hanging="330"/>
        <w:spacing w:after="0" w:line="287" w:lineRule="auto"/>
        <w:tabs>
          <w:tab w:leader="none" w:pos="489" w:val="left"/>
        </w:tabs>
        <w:numPr>
          <w:ilvl w:val="0"/>
          <w:numId w:val="166"/>
        </w:numPr>
        <w:rPr>
          <w:rFonts w:ascii="Arial" w:cs="Arial" w:eastAsia="Arial" w:hAnsi="Arial"/>
          <w:sz w:val="16"/>
          <w:szCs w:val="16"/>
          <w:color w:val="auto"/>
        </w:rPr>
      </w:pPr>
      <w:r>
        <w:rPr>
          <w:rFonts w:ascii="Arial" w:cs="Arial" w:eastAsia="Arial" w:hAnsi="Arial"/>
          <w:sz w:val="18"/>
          <w:szCs w:val="18"/>
          <w:color w:val="auto"/>
        </w:rPr>
        <w:t>The benefit for employees who have fewer than 80 points, but who reached age 55 and have at least 10 years of service, is reduced as described above and is further reduced by 6 percent for each year before the earlier of 80 points or age 65.</w:t>
      </w:r>
    </w:p>
    <w:p>
      <w:pPr>
        <w:spacing w:after="0" w:line="93" w:lineRule="exact"/>
        <w:rPr>
          <w:sz w:val="20"/>
          <w:szCs w:val="20"/>
          <w:color w:val="auto"/>
        </w:rPr>
      </w:pPr>
    </w:p>
    <w:p>
      <w:pPr>
        <w:spacing w:after="0"/>
        <w:rPr>
          <w:sz w:val="20"/>
          <w:szCs w:val="20"/>
          <w:color w:val="auto"/>
        </w:rPr>
      </w:pPr>
      <w:r>
        <w:rPr>
          <w:rFonts w:ascii="Arial" w:cs="Arial" w:eastAsia="Arial" w:hAnsi="Arial"/>
          <w:sz w:val="25"/>
          <w:szCs w:val="25"/>
          <w:b w:val="1"/>
          <w:bCs w:val="1"/>
          <w:color w:val="00A1DE"/>
        </w:rPr>
        <w:t>Nonqualified Deferred Compensation in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5726430" cy="8255"/>
            <wp:wrapNone/>
            <wp:docPr id="2313" name="Picture 2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3"/>
                    <pic:cNvPicPr>
                      <a:picLocks noChangeAspect="1" noChangeArrowheads="1"/>
                    </pic:cNvPicPr>
                  </pic:nvPicPr>
                  <pic:blipFill>
                    <a:blip r:embed="rId2320">
                      <a:extLst>
                        <a:ext uri="{28A0092B-C50C-407E-A947-70E740481C1C}"/>
                      </a:extLst>
                    </a:blip>
                    <a:srcRect/>
                    <a:stretch>
                      <a:fillRect/>
                    </a:stretch>
                  </pic:blipFill>
                  <pic:spPr bwMode="auto">
                    <a:xfrm>
                      <a:off x="0" y="0"/>
                      <a:ext cx="5726430" cy="8255"/>
                    </a:xfrm>
                    <a:prstGeom prst="rect">
                      <a:avLst/>
                    </a:prstGeom>
                    <a:noFill/>
                  </pic:spPr>
                </pic:pic>
              </a:graphicData>
            </a:graphic>
          </wp:anchor>
        </w:drawing>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Executive</w:t>
            </w:r>
          </w:p>
        </w:tc>
        <w:tc>
          <w:tcPr>
            <w:tcW w:w="12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Registrant</w:t>
            </w:r>
          </w:p>
        </w:tc>
        <w:tc>
          <w:tcPr>
            <w:tcW w:w="126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rPr>
              <w:t>Aggregate</w:t>
            </w:r>
          </w:p>
        </w:tc>
        <w:tc>
          <w:tcPr>
            <w:tcW w:w="1260" w:type="dxa"/>
            <w:vAlign w:val="bottom"/>
            <w:vMerge w:val="restart"/>
          </w:tcPr>
          <w:p>
            <w:pPr>
              <w:jc w:val="center"/>
              <w:ind w:right="8"/>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22"/>
        </w:trPr>
        <w:tc>
          <w:tcPr>
            <w:tcW w:w="104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Aggregate</w:t>
            </w:r>
          </w:p>
        </w:tc>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Withdrawals/</w:t>
            </w:r>
          </w:p>
        </w:tc>
        <w:tc>
          <w:tcPr>
            <w:tcW w:w="1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04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Contributions in</w:t>
            </w:r>
          </w:p>
        </w:tc>
        <w:tc>
          <w:tcPr>
            <w:tcW w:w="12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Contributions in</w:t>
            </w:r>
          </w:p>
        </w:tc>
        <w:tc>
          <w:tcPr>
            <w:tcW w:w="1260" w:type="dxa"/>
            <w:vAlign w:val="bottom"/>
            <w:vMerge w:val="continue"/>
          </w:tcPr>
          <w:p>
            <w:pPr>
              <w:spacing w:after="0"/>
              <w:rPr>
                <w:sz w:val="4"/>
                <w:szCs w:val="4"/>
                <w:color w:val="auto"/>
              </w:rPr>
            </w:pPr>
          </w:p>
        </w:tc>
        <w:tc>
          <w:tcPr>
            <w:tcW w:w="1220" w:type="dxa"/>
            <w:vAlign w:val="bottom"/>
            <w:vMerge w:val="continue"/>
          </w:tcPr>
          <w:p>
            <w:pPr>
              <w:spacing w:after="0"/>
              <w:rPr>
                <w:sz w:val="4"/>
                <w:szCs w:val="4"/>
                <w:color w:val="auto"/>
              </w:rPr>
            </w:pPr>
          </w:p>
        </w:tc>
        <w:tc>
          <w:tcPr>
            <w:tcW w:w="1260" w:type="dxa"/>
            <w:vAlign w:val="bottom"/>
            <w:vMerge w:val="restart"/>
          </w:tcPr>
          <w:p>
            <w:pPr>
              <w:jc w:val="center"/>
              <w:ind w:right="8"/>
              <w:spacing w:after="0"/>
              <w:rPr>
                <w:sz w:val="20"/>
                <w:szCs w:val="20"/>
                <w:color w:val="auto"/>
              </w:rPr>
            </w:pPr>
            <w:r>
              <w:rPr>
                <w:rFonts w:ascii="Arial" w:cs="Arial" w:eastAsia="Arial" w:hAnsi="Arial"/>
                <w:sz w:val="14"/>
                <w:szCs w:val="14"/>
                <w:b w:val="1"/>
                <w:bCs w:val="1"/>
                <w:color w:val="auto"/>
              </w:rPr>
              <w:t>Balance at Last</w:t>
            </w:r>
          </w:p>
        </w:tc>
        <w:tc>
          <w:tcPr>
            <w:tcW w:w="0" w:type="dxa"/>
            <w:vAlign w:val="bottom"/>
          </w:tcPr>
          <w:p>
            <w:pPr>
              <w:spacing w:after="0"/>
              <w:rPr>
                <w:sz w:val="1"/>
                <w:szCs w:val="1"/>
                <w:color w:val="auto"/>
              </w:rPr>
            </w:pPr>
          </w:p>
        </w:tc>
      </w:tr>
      <w:tr>
        <w:trPr>
          <w:trHeight w:val="144"/>
        </w:trPr>
        <w:tc>
          <w:tcPr>
            <w:tcW w:w="10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1280" w:type="dxa"/>
            <w:vAlign w:val="bottom"/>
            <w:vMerge w:val="continue"/>
          </w:tcPr>
          <w:p>
            <w:pPr>
              <w:spacing w:after="0"/>
              <w:rPr>
                <w:sz w:val="12"/>
                <w:szCs w:val="12"/>
                <w:color w:val="auto"/>
              </w:rPr>
            </w:pPr>
          </w:p>
        </w:tc>
        <w:tc>
          <w:tcPr>
            <w:tcW w:w="12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Earnings in</w:t>
            </w:r>
          </w:p>
        </w:tc>
        <w:tc>
          <w:tcPr>
            <w:tcW w:w="12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Distributions in</w:t>
            </w: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0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Last Fiscal Year</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rPr>
              <w:t>Last Fiscal Year</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Last Fiscal Year</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rPr>
              <w:t>Last Fiscal Year</w:t>
            </w:r>
          </w:p>
        </w:tc>
        <w:tc>
          <w:tcPr>
            <w:tcW w:w="1260" w:type="dxa"/>
            <w:vAlign w:val="bottom"/>
          </w:tcPr>
          <w:p>
            <w:pPr>
              <w:jc w:val="center"/>
              <w:ind w:right="8"/>
              <w:spacing w:after="0"/>
              <w:rPr>
                <w:sz w:val="20"/>
                <w:szCs w:val="20"/>
                <w:color w:val="auto"/>
              </w:rPr>
            </w:pPr>
            <w:r>
              <w:rPr>
                <w:rFonts w:ascii="Arial" w:cs="Arial" w:eastAsia="Arial" w:hAnsi="Arial"/>
                <w:sz w:val="14"/>
                <w:szCs w:val="14"/>
                <w:b w:val="1"/>
                <w:bCs w:val="1"/>
                <w:color w:val="auto"/>
              </w:rPr>
              <w:t>Fiscal Year End</w:t>
            </w:r>
          </w:p>
        </w:tc>
        <w:tc>
          <w:tcPr>
            <w:tcW w:w="0" w:type="dxa"/>
            <w:vAlign w:val="bottom"/>
          </w:tcPr>
          <w:p>
            <w:pPr>
              <w:spacing w:after="0"/>
              <w:rPr>
                <w:sz w:val="1"/>
                <w:szCs w:val="1"/>
                <w:color w:val="auto"/>
              </w:rPr>
            </w:pPr>
          </w:p>
        </w:tc>
      </w:tr>
      <w:tr>
        <w:trPr>
          <w:trHeight w:val="229"/>
        </w:trPr>
        <w:tc>
          <w:tcPr>
            <w:tcW w:w="10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1700" w:type="dxa"/>
            <w:vAlign w:val="bottom"/>
            <w:tcBorders>
              <w:bottom w:val="single" w:sz="8" w:color="auto"/>
            </w:tcBorders>
          </w:tcPr>
          <w:p>
            <w:pPr>
              <w:ind w:left="700"/>
              <w:spacing w:after="0"/>
              <w:rPr>
                <w:sz w:val="20"/>
                <w:szCs w:val="20"/>
                <w:color w:val="auto"/>
              </w:rPr>
            </w:pPr>
            <w:r>
              <w:rPr>
                <w:rFonts w:ascii="Arial" w:cs="Arial" w:eastAsia="Arial" w:hAnsi="Arial"/>
                <w:sz w:val="14"/>
                <w:szCs w:val="14"/>
                <w:b w:val="1"/>
                <w:bCs w:val="1"/>
                <w:color w:val="auto"/>
              </w:rPr>
              <w:t>Plan</w:t>
            </w:r>
          </w:p>
        </w:tc>
        <w:tc>
          <w:tcPr>
            <w:tcW w:w="126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8"/>
                <w:szCs w:val="18"/>
                <w:b w:val="1"/>
                <w:bCs w:val="1"/>
                <w:color w:val="auto"/>
                <w:vertAlign w:val="superscript"/>
              </w:rPr>
              <w:t>1</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w:t>
            </w:r>
            <w:r>
              <w:rPr>
                <w:rFonts w:ascii="Arial" w:cs="Arial" w:eastAsia="Arial" w:hAnsi="Arial"/>
                <w:sz w:val="18"/>
                <w:szCs w:val="18"/>
                <w:b w:val="1"/>
                <w:bCs w:val="1"/>
                <w:color w:val="auto"/>
                <w:w w:val="92"/>
                <w:vertAlign w:val="superscript"/>
              </w:rPr>
              <w:t>2</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w:t>
            </w:r>
            <w:r>
              <w:rPr>
                <w:rFonts w:ascii="Arial" w:cs="Arial" w:eastAsia="Arial" w:hAnsi="Arial"/>
                <w:sz w:val="18"/>
                <w:szCs w:val="18"/>
                <w:b w:val="1"/>
                <w:bCs w:val="1"/>
                <w:color w:val="auto"/>
                <w:w w:val="92"/>
                <w:vertAlign w:val="superscript"/>
              </w:rPr>
              <w:t>3</w:t>
            </w:r>
          </w:p>
        </w:tc>
        <w:tc>
          <w:tcPr>
            <w:tcW w:w="0" w:type="dxa"/>
            <w:vAlign w:val="bottom"/>
          </w:tcPr>
          <w:p>
            <w:pPr>
              <w:spacing w:after="0"/>
              <w:rPr>
                <w:sz w:val="1"/>
                <w:szCs w:val="1"/>
                <w:color w:val="auto"/>
              </w:rPr>
            </w:pPr>
          </w:p>
        </w:tc>
      </w:tr>
      <w:tr>
        <w:trPr>
          <w:trHeight w:val="187"/>
        </w:trPr>
        <w:tc>
          <w:tcPr>
            <w:tcW w:w="1040" w:type="dxa"/>
            <w:vAlign w:val="bottom"/>
            <w:shd w:val="clear" w:color="auto" w:fill="F2F2F2"/>
          </w:tcPr>
          <w:p>
            <w:pPr>
              <w:ind w:left="20"/>
              <w:spacing w:after="0"/>
              <w:rPr>
                <w:sz w:val="20"/>
                <w:szCs w:val="20"/>
                <w:color w:val="auto"/>
              </w:rPr>
            </w:pPr>
            <w:r>
              <w:rPr>
                <w:rFonts w:ascii="Arial" w:cs="Arial" w:eastAsia="Arial" w:hAnsi="Arial"/>
                <w:sz w:val="14"/>
                <w:szCs w:val="14"/>
                <w:color w:val="auto"/>
              </w:rPr>
              <w:t>Mr. Ricks</w:t>
            </w:r>
          </w:p>
        </w:tc>
        <w:tc>
          <w:tcPr>
            <w:tcW w:w="1700" w:type="dxa"/>
            <w:vAlign w:val="bottom"/>
            <w:shd w:val="clear" w:color="auto" w:fill="F2F2F2"/>
          </w:tcPr>
          <w:p>
            <w:pPr>
              <w:ind w:left="20"/>
              <w:spacing w:after="0"/>
              <w:rPr>
                <w:sz w:val="20"/>
                <w:szCs w:val="20"/>
                <w:color w:val="auto"/>
              </w:rPr>
            </w:pPr>
            <w:r>
              <w:rPr>
                <w:rFonts w:ascii="Arial" w:cs="Arial" w:eastAsia="Arial" w:hAnsi="Arial"/>
                <w:sz w:val="14"/>
                <w:szCs w:val="14"/>
                <w:color w:val="auto"/>
              </w:rPr>
              <w:t>Nonqualified Savings</w:t>
            </w:r>
          </w:p>
        </w:tc>
        <w:tc>
          <w:tcPr>
            <w:tcW w:w="1260" w:type="dxa"/>
            <w:vAlign w:val="bottom"/>
            <w:shd w:val="clear" w:color="auto" w:fill="F2F2F2"/>
          </w:tcPr>
          <w:p>
            <w:pPr>
              <w:jc w:val="right"/>
              <w:ind w:right="188"/>
              <w:spacing w:after="0"/>
              <w:rPr>
                <w:sz w:val="20"/>
                <w:szCs w:val="20"/>
                <w:color w:val="auto"/>
              </w:rPr>
            </w:pPr>
            <w:r>
              <w:rPr>
                <w:rFonts w:ascii="Arial" w:cs="Arial" w:eastAsia="Arial" w:hAnsi="Arial"/>
                <w:sz w:val="14"/>
                <w:szCs w:val="14"/>
                <w:color w:val="auto"/>
              </w:rPr>
              <w:t>$80,723</w:t>
            </w:r>
          </w:p>
        </w:tc>
        <w:tc>
          <w:tcPr>
            <w:tcW w:w="1280" w:type="dxa"/>
            <w:vAlign w:val="bottom"/>
            <w:shd w:val="clear" w:color="auto" w:fill="F2F2F2"/>
          </w:tcPr>
          <w:p>
            <w:pPr>
              <w:jc w:val="right"/>
              <w:ind w:right="8"/>
              <w:spacing w:after="0"/>
              <w:rPr>
                <w:sz w:val="20"/>
                <w:szCs w:val="20"/>
                <w:color w:val="auto"/>
              </w:rPr>
            </w:pPr>
            <w:r>
              <w:rPr>
                <w:rFonts w:ascii="Arial" w:cs="Arial" w:eastAsia="Arial" w:hAnsi="Arial"/>
                <w:sz w:val="14"/>
                <w:szCs w:val="14"/>
                <w:color w:val="auto"/>
              </w:rPr>
              <w:t>$80,723</w:t>
            </w:r>
          </w:p>
        </w:tc>
        <w:tc>
          <w:tcPr>
            <w:tcW w:w="1260" w:type="dxa"/>
            <w:vAlign w:val="bottom"/>
            <w:shd w:val="clear" w:color="auto" w:fill="F2F2F2"/>
          </w:tcPr>
          <w:p>
            <w:pPr>
              <w:jc w:val="right"/>
              <w:ind w:right="248"/>
              <w:spacing w:after="0"/>
              <w:rPr>
                <w:sz w:val="20"/>
                <w:szCs w:val="20"/>
                <w:color w:val="auto"/>
              </w:rPr>
            </w:pPr>
            <w:r>
              <w:rPr>
                <w:rFonts w:ascii="Arial" w:cs="Arial" w:eastAsia="Arial" w:hAnsi="Arial"/>
                <w:sz w:val="14"/>
                <w:szCs w:val="14"/>
                <w:color w:val="auto"/>
              </w:rPr>
              <w:t>$2,134,217</w:t>
            </w:r>
          </w:p>
        </w:tc>
        <w:tc>
          <w:tcPr>
            <w:tcW w:w="1220" w:type="dxa"/>
            <w:vAlign w:val="bottom"/>
            <w:shd w:val="clear" w:color="auto" w:fill="F2F2F2"/>
          </w:tcPr>
          <w:p>
            <w:pPr>
              <w:ind w:left="960"/>
              <w:spacing w:after="0"/>
              <w:rPr>
                <w:sz w:val="20"/>
                <w:szCs w:val="20"/>
                <w:color w:val="auto"/>
              </w:rPr>
            </w:pPr>
            <w:r>
              <w:rPr>
                <w:rFonts w:ascii="Arial" w:cs="Arial" w:eastAsia="Arial" w:hAnsi="Arial"/>
                <w:sz w:val="14"/>
                <w:szCs w:val="14"/>
                <w:color w:val="auto"/>
              </w:rPr>
              <w:t>—</w:t>
            </w:r>
          </w:p>
        </w:tc>
        <w:tc>
          <w:tcPr>
            <w:tcW w:w="1260" w:type="dxa"/>
            <w:vAlign w:val="bottom"/>
            <w:shd w:val="clear" w:color="auto" w:fill="F2F2F2"/>
          </w:tcPr>
          <w:p>
            <w:pPr>
              <w:jc w:val="right"/>
              <w:ind w:right="268"/>
              <w:spacing w:after="0"/>
              <w:rPr>
                <w:sz w:val="20"/>
                <w:szCs w:val="20"/>
                <w:color w:val="auto"/>
              </w:rPr>
            </w:pPr>
            <w:r>
              <w:rPr>
                <w:rFonts w:ascii="Arial" w:cs="Arial" w:eastAsia="Arial" w:hAnsi="Arial"/>
                <w:sz w:val="14"/>
                <w:szCs w:val="14"/>
                <w:color w:val="auto"/>
              </w:rPr>
              <w:t>$8,912,806</w:t>
            </w:r>
          </w:p>
        </w:tc>
        <w:tc>
          <w:tcPr>
            <w:tcW w:w="0" w:type="dxa"/>
            <w:vAlign w:val="bottom"/>
          </w:tcPr>
          <w:p>
            <w:pPr>
              <w:spacing w:after="0"/>
              <w:rPr>
                <w:sz w:val="1"/>
                <w:szCs w:val="1"/>
                <w:color w:val="auto"/>
              </w:rPr>
            </w:pPr>
          </w:p>
        </w:tc>
      </w:tr>
      <w:tr>
        <w:trPr>
          <w:trHeight w:val="190"/>
        </w:trPr>
        <w:tc>
          <w:tcPr>
            <w:tcW w:w="1040" w:type="dxa"/>
            <w:vAlign w:val="bottom"/>
            <w:shd w:val="clear" w:color="auto" w:fill="F2F2F2"/>
          </w:tcPr>
          <w:p>
            <w:pPr>
              <w:spacing w:after="0"/>
              <w:rPr>
                <w:sz w:val="16"/>
                <w:szCs w:val="16"/>
                <w:color w:val="auto"/>
              </w:rPr>
            </w:pPr>
          </w:p>
        </w:tc>
        <w:tc>
          <w:tcPr>
            <w:tcW w:w="1700" w:type="dxa"/>
            <w:vAlign w:val="bottom"/>
            <w:shd w:val="clear" w:color="auto" w:fill="F2F2F2"/>
          </w:tcPr>
          <w:p>
            <w:pPr>
              <w:ind w:left="20"/>
              <w:spacing w:after="0"/>
              <w:rPr>
                <w:sz w:val="20"/>
                <w:szCs w:val="20"/>
                <w:color w:val="auto"/>
              </w:rPr>
            </w:pPr>
            <w:r>
              <w:rPr>
                <w:rFonts w:ascii="Arial" w:cs="Arial" w:eastAsia="Arial" w:hAnsi="Arial"/>
                <w:sz w:val="14"/>
                <w:szCs w:val="14"/>
                <w:color w:val="auto"/>
              </w:rPr>
              <w:t>Plan</w:t>
            </w:r>
          </w:p>
        </w:tc>
        <w:tc>
          <w:tcPr>
            <w:tcW w:w="1260" w:type="dxa"/>
            <w:vAlign w:val="bottom"/>
            <w:shd w:val="clear" w:color="auto" w:fill="F2F2F2"/>
          </w:tcPr>
          <w:p>
            <w:pPr>
              <w:spacing w:after="0"/>
              <w:rPr>
                <w:sz w:val="16"/>
                <w:szCs w:val="16"/>
                <w:color w:val="auto"/>
              </w:rPr>
            </w:pPr>
          </w:p>
        </w:tc>
        <w:tc>
          <w:tcPr>
            <w:tcW w:w="1280" w:type="dxa"/>
            <w:vAlign w:val="bottom"/>
            <w:shd w:val="clear" w:color="auto" w:fill="F2F2F2"/>
          </w:tcPr>
          <w:p>
            <w:pPr>
              <w:spacing w:after="0"/>
              <w:rPr>
                <w:sz w:val="16"/>
                <w:szCs w:val="16"/>
                <w:color w:val="auto"/>
              </w:rPr>
            </w:pPr>
          </w:p>
        </w:tc>
        <w:tc>
          <w:tcPr>
            <w:tcW w:w="1260" w:type="dxa"/>
            <w:vAlign w:val="bottom"/>
            <w:shd w:val="clear" w:color="auto" w:fill="F2F2F2"/>
          </w:tcPr>
          <w:p>
            <w:pPr>
              <w:spacing w:after="0"/>
              <w:rPr>
                <w:sz w:val="16"/>
                <w:szCs w:val="16"/>
                <w:color w:val="auto"/>
              </w:rPr>
            </w:pPr>
          </w:p>
        </w:tc>
        <w:tc>
          <w:tcPr>
            <w:tcW w:w="1220" w:type="dxa"/>
            <w:vAlign w:val="bottom"/>
            <w:shd w:val="clear" w:color="auto" w:fill="F2F2F2"/>
          </w:tcPr>
          <w:p>
            <w:pPr>
              <w:spacing w:after="0"/>
              <w:rPr>
                <w:sz w:val="16"/>
                <w:szCs w:val="16"/>
                <w:color w:val="auto"/>
              </w:rPr>
            </w:pPr>
          </w:p>
        </w:tc>
        <w:tc>
          <w:tcPr>
            <w:tcW w:w="1260" w:type="dxa"/>
            <w:vAlign w:val="bottom"/>
            <w:shd w:val="clear" w:color="auto" w:fill="F2F2F2"/>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040" w:type="dxa"/>
            <w:vAlign w:val="bottom"/>
            <w:shd w:val="clear" w:color="auto" w:fill="F2F2F2"/>
          </w:tcPr>
          <w:p>
            <w:pPr>
              <w:spacing w:after="0"/>
              <w:rPr>
                <w:sz w:val="18"/>
                <w:szCs w:val="18"/>
                <w:color w:val="auto"/>
              </w:rPr>
            </w:pPr>
          </w:p>
        </w:tc>
        <w:tc>
          <w:tcPr>
            <w:tcW w:w="1700" w:type="dxa"/>
            <w:vAlign w:val="bottom"/>
            <w:shd w:val="clear" w:color="auto" w:fill="F2F2F2"/>
          </w:tcPr>
          <w:p>
            <w:pPr>
              <w:ind w:left="20"/>
              <w:spacing w:after="0"/>
              <w:rPr>
                <w:sz w:val="20"/>
                <w:szCs w:val="20"/>
                <w:color w:val="auto"/>
              </w:rPr>
            </w:pPr>
            <w:r>
              <w:rPr>
                <w:rFonts w:ascii="Arial" w:cs="Arial" w:eastAsia="Arial" w:hAnsi="Arial"/>
                <w:sz w:val="14"/>
                <w:szCs w:val="14"/>
                <w:color w:val="auto"/>
              </w:rPr>
              <w:t>Deferred Compensation</w:t>
            </w:r>
          </w:p>
        </w:tc>
        <w:tc>
          <w:tcPr>
            <w:tcW w:w="1260" w:type="dxa"/>
            <w:vAlign w:val="bottom"/>
            <w:shd w:val="clear" w:color="auto" w:fill="F2F2F2"/>
          </w:tcPr>
          <w:p>
            <w:pPr>
              <w:jc w:val="right"/>
              <w:ind w:right="188"/>
              <w:spacing w:after="0"/>
              <w:rPr>
                <w:sz w:val="20"/>
                <w:szCs w:val="20"/>
                <w:color w:val="auto"/>
              </w:rPr>
            </w:pPr>
            <w:r>
              <w:rPr>
                <w:rFonts w:ascii="Arial" w:cs="Arial" w:eastAsia="Arial" w:hAnsi="Arial"/>
                <w:sz w:val="14"/>
                <w:szCs w:val="14"/>
                <w:color w:val="auto"/>
              </w:rPr>
              <w:t>—</w:t>
            </w:r>
          </w:p>
        </w:tc>
        <w:tc>
          <w:tcPr>
            <w:tcW w:w="1280" w:type="dxa"/>
            <w:vAlign w:val="bottom"/>
            <w:shd w:val="clear" w:color="auto" w:fill="F2F2F2"/>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shd w:val="clear" w:color="auto" w:fill="F2F2F2"/>
          </w:tcPr>
          <w:p>
            <w:pPr>
              <w:jc w:val="right"/>
              <w:ind w:right="248"/>
              <w:spacing w:after="0"/>
              <w:rPr>
                <w:sz w:val="20"/>
                <w:szCs w:val="20"/>
                <w:color w:val="auto"/>
              </w:rPr>
            </w:pPr>
            <w:r>
              <w:rPr>
                <w:rFonts w:ascii="Arial" w:cs="Arial" w:eastAsia="Arial" w:hAnsi="Arial"/>
                <w:sz w:val="14"/>
                <w:szCs w:val="14"/>
                <w:color w:val="auto"/>
              </w:rPr>
              <w:t>—</w:t>
            </w:r>
          </w:p>
        </w:tc>
        <w:tc>
          <w:tcPr>
            <w:tcW w:w="1220" w:type="dxa"/>
            <w:vAlign w:val="bottom"/>
            <w:shd w:val="clear" w:color="auto" w:fill="F2F2F2"/>
          </w:tcPr>
          <w:p>
            <w:pPr>
              <w:ind w:left="960"/>
              <w:spacing w:after="0"/>
              <w:rPr>
                <w:sz w:val="20"/>
                <w:szCs w:val="20"/>
                <w:color w:val="auto"/>
              </w:rPr>
            </w:pPr>
            <w:r>
              <w:rPr>
                <w:rFonts w:ascii="Arial" w:cs="Arial" w:eastAsia="Arial" w:hAnsi="Arial"/>
                <w:sz w:val="14"/>
                <w:szCs w:val="14"/>
                <w:color w:val="auto"/>
              </w:rPr>
              <w:t>—</w:t>
            </w:r>
          </w:p>
        </w:tc>
        <w:tc>
          <w:tcPr>
            <w:tcW w:w="1260" w:type="dxa"/>
            <w:vAlign w:val="bottom"/>
            <w:shd w:val="clear" w:color="auto" w:fill="F2F2F2"/>
          </w:tcPr>
          <w:p>
            <w:pPr>
              <w:jc w:val="right"/>
              <w:ind w:right="2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1040" w:type="dxa"/>
            <w:vAlign w:val="bottom"/>
            <w:shd w:val="clear" w:color="auto" w:fill="F2F2F2"/>
          </w:tcPr>
          <w:p>
            <w:pPr>
              <w:spacing w:after="0"/>
              <w:rPr>
                <w:sz w:val="16"/>
                <w:szCs w:val="16"/>
                <w:color w:val="auto"/>
              </w:rPr>
            </w:pPr>
          </w:p>
        </w:tc>
        <w:tc>
          <w:tcPr>
            <w:tcW w:w="1700" w:type="dxa"/>
            <w:vAlign w:val="bottom"/>
            <w:shd w:val="clear" w:color="auto" w:fill="F2F2F2"/>
          </w:tcPr>
          <w:p>
            <w:pPr>
              <w:ind w:left="20"/>
              <w:spacing w:after="0"/>
              <w:rPr>
                <w:sz w:val="20"/>
                <w:szCs w:val="20"/>
                <w:color w:val="auto"/>
              </w:rPr>
            </w:pPr>
            <w:r>
              <w:rPr>
                <w:rFonts w:ascii="Arial" w:cs="Arial" w:eastAsia="Arial" w:hAnsi="Arial"/>
                <w:sz w:val="14"/>
                <w:szCs w:val="14"/>
                <w:color w:val="auto"/>
              </w:rPr>
              <w:t>Plan</w:t>
            </w:r>
          </w:p>
        </w:tc>
        <w:tc>
          <w:tcPr>
            <w:tcW w:w="1260" w:type="dxa"/>
            <w:vAlign w:val="bottom"/>
            <w:shd w:val="clear" w:color="auto" w:fill="F2F2F2"/>
          </w:tcPr>
          <w:p>
            <w:pPr>
              <w:spacing w:after="0"/>
              <w:rPr>
                <w:sz w:val="16"/>
                <w:szCs w:val="16"/>
                <w:color w:val="auto"/>
              </w:rPr>
            </w:pPr>
          </w:p>
        </w:tc>
        <w:tc>
          <w:tcPr>
            <w:tcW w:w="1280" w:type="dxa"/>
            <w:vAlign w:val="bottom"/>
            <w:shd w:val="clear" w:color="auto" w:fill="F2F2F2"/>
          </w:tcPr>
          <w:p>
            <w:pPr>
              <w:spacing w:after="0"/>
              <w:rPr>
                <w:sz w:val="16"/>
                <w:szCs w:val="16"/>
                <w:color w:val="auto"/>
              </w:rPr>
            </w:pPr>
          </w:p>
        </w:tc>
        <w:tc>
          <w:tcPr>
            <w:tcW w:w="1260" w:type="dxa"/>
            <w:vAlign w:val="bottom"/>
            <w:shd w:val="clear" w:color="auto" w:fill="F2F2F2"/>
          </w:tcPr>
          <w:p>
            <w:pPr>
              <w:spacing w:after="0"/>
              <w:rPr>
                <w:sz w:val="16"/>
                <w:szCs w:val="16"/>
                <w:color w:val="auto"/>
              </w:rPr>
            </w:pPr>
          </w:p>
        </w:tc>
        <w:tc>
          <w:tcPr>
            <w:tcW w:w="1220" w:type="dxa"/>
            <w:vAlign w:val="bottom"/>
            <w:shd w:val="clear" w:color="auto" w:fill="F2F2F2"/>
          </w:tcPr>
          <w:p>
            <w:pPr>
              <w:spacing w:after="0"/>
              <w:rPr>
                <w:sz w:val="16"/>
                <w:szCs w:val="16"/>
                <w:color w:val="auto"/>
              </w:rPr>
            </w:pPr>
          </w:p>
        </w:tc>
        <w:tc>
          <w:tcPr>
            <w:tcW w:w="1260" w:type="dxa"/>
            <w:vAlign w:val="bottom"/>
            <w:shd w:val="clear" w:color="auto" w:fill="F2F2F2"/>
          </w:tcPr>
          <w:p>
            <w:pPr>
              <w:spacing w:after="0"/>
              <w:rPr>
                <w:sz w:val="16"/>
                <w:szCs w:val="16"/>
                <w:color w:val="auto"/>
              </w:rPr>
            </w:pPr>
          </w:p>
        </w:tc>
        <w:tc>
          <w:tcPr>
            <w:tcW w:w="0" w:type="dxa"/>
            <w:vAlign w:val="bottom"/>
          </w:tcPr>
          <w:p>
            <w:pPr>
              <w:spacing w:after="0"/>
              <w:rPr>
                <w:sz w:val="1"/>
                <w:szCs w:val="1"/>
                <w:color w:val="auto"/>
              </w:rPr>
            </w:pPr>
          </w:p>
        </w:tc>
      </w:tr>
      <w:tr>
        <w:trPr>
          <w:trHeight w:val="258"/>
        </w:trPr>
        <w:tc>
          <w:tcPr>
            <w:tcW w:w="1040" w:type="dxa"/>
            <w:vAlign w:val="bottom"/>
            <w:tcBorders>
              <w:bottom w:val="single" w:sz="8" w:color="F2F2F2"/>
            </w:tcBorders>
            <w:shd w:val="clear" w:color="auto" w:fill="F2F2F2"/>
          </w:tcPr>
          <w:p>
            <w:pPr>
              <w:spacing w:after="0"/>
              <w:rPr>
                <w:sz w:val="22"/>
                <w:szCs w:val="22"/>
                <w:color w:val="auto"/>
              </w:rPr>
            </w:pPr>
          </w:p>
        </w:tc>
        <w:tc>
          <w:tcPr>
            <w:tcW w:w="1700" w:type="dxa"/>
            <w:vAlign w:val="bottom"/>
            <w:tcBorders>
              <w:bottom w:val="single" w:sz="8" w:color="F2F2F2"/>
            </w:tcBorders>
            <w:shd w:val="clear" w:color="auto" w:fill="F2F2F2"/>
          </w:tcPr>
          <w:p>
            <w:pPr>
              <w:ind w:left="1420"/>
              <w:spacing w:after="0"/>
              <w:rPr>
                <w:sz w:val="20"/>
                <w:szCs w:val="20"/>
                <w:color w:val="auto"/>
              </w:rPr>
            </w:pPr>
            <w:r>
              <w:rPr>
                <w:rFonts w:ascii="Arial" w:cs="Arial" w:eastAsia="Arial" w:hAnsi="Arial"/>
                <w:sz w:val="14"/>
                <w:szCs w:val="14"/>
                <w:color w:val="auto"/>
                <w:w w:val="98"/>
              </w:rPr>
              <w:t>total</w:t>
            </w:r>
          </w:p>
        </w:tc>
        <w:tc>
          <w:tcPr>
            <w:tcW w:w="1260" w:type="dxa"/>
            <w:vAlign w:val="bottom"/>
            <w:tcBorders>
              <w:bottom w:val="single" w:sz="8" w:color="F2F2F2"/>
            </w:tcBorders>
            <w:shd w:val="clear" w:color="auto" w:fill="F2F2F2"/>
          </w:tcPr>
          <w:p>
            <w:pPr>
              <w:jc w:val="right"/>
              <w:ind w:right="188"/>
              <w:spacing w:after="0"/>
              <w:rPr>
                <w:sz w:val="20"/>
                <w:szCs w:val="20"/>
                <w:color w:val="auto"/>
              </w:rPr>
            </w:pPr>
            <w:r>
              <w:rPr>
                <w:rFonts w:ascii="Arial" w:cs="Arial" w:eastAsia="Arial" w:hAnsi="Arial"/>
                <w:sz w:val="14"/>
                <w:szCs w:val="14"/>
                <w:color w:val="auto"/>
              </w:rPr>
              <w:t>$80,723</w:t>
            </w:r>
          </w:p>
        </w:tc>
        <w:tc>
          <w:tcPr>
            <w:tcW w:w="1280" w:type="dxa"/>
            <w:vAlign w:val="bottom"/>
            <w:tcBorders>
              <w:bottom w:val="single" w:sz="8" w:color="F2F2F2"/>
            </w:tcBorders>
            <w:shd w:val="clear" w:color="auto" w:fill="F2F2F2"/>
          </w:tcPr>
          <w:p>
            <w:pPr>
              <w:jc w:val="right"/>
              <w:ind w:right="8"/>
              <w:spacing w:after="0"/>
              <w:rPr>
                <w:sz w:val="20"/>
                <w:szCs w:val="20"/>
                <w:color w:val="auto"/>
              </w:rPr>
            </w:pPr>
            <w:r>
              <w:rPr>
                <w:rFonts w:ascii="Arial" w:cs="Arial" w:eastAsia="Arial" w:hAnsi="Arial"/>
                <w:sz w:val="14"/>
                <w:szCs w:val="14"/>
                <w:color w:val="auto"/>
              </w:rPr>
              <w:t>$80,723</w:t>
            </w:r>
          </w:p>
        </w:tc>
        <w:tc>
          <w:tcPr>
            <w:tcW w:w="1260" w:type="dxa"/>
            <w:vAlign w:val="bottom"/>
            <w:tcBorders>
              <w:bottom w:val="single" w:sz="8" w:color="F2F2F2"/>
            </w:tcBorders>
            <w:shd w:val="clear" w:color="auto" w:fill="F2F2F2"/>
          </w:tcPr>
          <w:p>
            <w:pPr>
              <w:jc w:val="right"/>
              <w:ind w:right="248"/>
              <w:spacing w:after="0"/>
              <w:rPr>
                <w:sz w:val="20"/>
                <w:szCs w:val="20"/>
                <w:color w:val="auto"/>
              </w:rPr>
            </w:pPr>
            <w:r>
              <w:rPr>
                <w:rFonts w:ascii="Arial" w:cs="Arial" w:eastAsia="Arial" w:hAnsi="Arial"/>
                <w:sz w:val="14"/>
                <w:szCs w:val="14"/>
                <w:color w:val="auto"/>
              </w:rPr>
              <w:t>$2,134,217</w:t>
            </w:r>
          </w:p>
        </w:tc>
        <w:tc>
          <w:tcPr>
            <w:tcW w:w="1220" w:type="dxa"/>
            <w:vAlign w:val="bottom"/>
            <w:tcBorders>
              <w:bottom w:val="single" w:sz="8" w:color="F2F2F2"/>
            </w:tcBorders>
            <w:shd w:val="clear" w:color="auto" w:fill="F2F2F2"/>
          </w:tcPr>
          <w:p>
            <w:pPr>
              <w:ind w:left="960"/>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F2F2F2"/>
            </w:tcBorders>
            <w:shd w:val="clear" w:color="auto" w:fill="F2F2F2"/>
          </w:tcPr>
          <w:p>
            <w:pPr>
              <w:jc w:val="right"/>
              <w:ind w:right="268"/>
              <w:spacing w:after="0"/>
              <w:rPr>
                <w:sz w:val="20"/>
                <w:szCs w:val="20"/>
                <w:color w:val="auto"/>
              </w:rPr>
            </w:pPr>
            <w:r>
              <w:rPr>
                <w:rFonts w:ascii="Arial" w:cs="Arial" w:eastAsia="Arial" w:hAnsi="Arial"/>
                <w:sz w:val="14"/>
                <w:szCs w:val="14"/>
                <w:color w:val="auto"/>
              </w:rPr>
              <w:t>$8,912,806</w:t>
            </w:r>
          </w:p>
        </w:tc>
        <w:tc>
          <w:tcPr>
            <w:tcW w:w="0" w:type="dxa"/>
            <w:vAlign w:val="bottom"/>
          </w:tcPr>
          <w:p>
            <w:pPr>
              <w:spacing w:after="0"/>
              <w:rPr>
                <w:sz w:val="1"/>
                <w:szCs w:val="1"/>
                <w:color w:val="auto"/>
              </w:rPr>
            </w:pPr>
          </w:p>
        </w:tc>
      </w:tr>
      <w:tr>
        <w:trPr>
          <w:trHeight w:val="193"/>
        </w:trPr>
        <w:tc>
          <w:tcPr>
            <w:tcW w:w="1040" w:type="dxa"/>
            <w:vAlign w:val="bottom"/>
          </w:tcPr>
          <w:p>
            <w:pPr>
              <w:ind w:left="20"/>
              <w:spacing w:after="0"/>
              <w:rPr>
                <w:sz w:val="20"/>
                <w:szCs w:val="20"/>
                <w:color w:val="auto"/>
              </w:rPr>
            </w:pPr>
            <w:r>
              <w:rPr>
                <w:rFonts w:ascii="Arial" w:cs="Arial" w:eastAsia="Arial" w:hAnsi="Arial"/>
                <w:sz w:val="14"/>
                <w:szCs w:val="14"/>
                <w:color w:val="auto"/>
              </w:rPr>
              <w:t>Mr. Montarce</w:t>
            </w:r>
          </w:p>
        </w:tc>
        <w:tc>
          <w:tcPr>
            <w:tcW w:w="1700" w:type="dxa"/>
            <w:vAlign w:val="bottom"/>
          </w:tcPr>
          <w:p>
            <w:pPr>
              <w:ind w:left="20"/>
              <w:spacing w:after="0"/>
              <w:rPr>
                <w:sz w:val="20"/>
                <w:szCs w:val="20"/>
                <w:color w:val="auto"/>
              </w:rPr>
            </w:pPr>
            <w:r>
              <w:rPr>
                <w:rFonts w:ascii="Arial" w:cs="Arial" w:eastAsia="Arial" w:hAnsi="Arial"/>
                <w:sz w:val="14"/>
                <w:szCs w:val="14"/>
                <w:color w:val="auto"/>
              </w:rPr>
              <w:t>Nonqualified Savings</w:t>
            </w:r>
          </w:p>
        </w:tc>
        <w:tc>
          <w:tcPr>
            <w:tcW w:w="1260" w:type="dxa"/>
            <w:vAlign w:val="bottom"/>
          </w:tcPr>
          <w:p>
            <w:pPr>
              <w:jc w:val="right"/>
              <w:ind w:right="188"/>
              <w:spacing w:after="0"/>
              <w:rPr>
                <w:sz w:val="20"/>
                <w:szCs w:val="20"/>
                <w:color w:val="auto"/>
              </w:rPr>
            </w:pPr>
            <w:r>
              <w:rPr>
                <w:rFonts w:ascii="Arial" w:cs="Arial" w:eastAsia="Arial" w:hAnsi="Arial"/>
                <w:sz w:val="14"/>
                <w:szCs w:val="14"/>
                <w:color w:val="auto"/>
              </w:rPr>
              <w:t>$19,178</w:t>
            </w: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$19,178</w:t>
            </w:r>
          </w:p>
        </w:tc>
        <w:tc>
          <w:tcPr>
            <w:tcW w:w="1260" w:type="dxa"/>
            <w:vAlign w:val="bottom"/>
          </w:tcPr>
          <w:p>
            <w:pPr>
              <w:jc w:val="right"/>
              <w:ind w:right="248"/>
              <w:spacing w:after="0"/>
              <w:rPr>
                <w:sz w:val="20"/>
                <w:szCs w:val="20"/>
                <w:color w:val="auto"/>
              </w:rPr>
            </w:pPr>
            <w:r>
              <w:rPr>
                <w:rFonts w:ascii="Arial" w:cs="Arial" w:eastAsia="Arial" w:hAnsi="Arial"/>
                <w:sz w:val="14"/>
                <w:szCs w:val="14"/>
                <w:color w:val="auto"/>
              </w:rPr>
              <w:t>$6,851</w:t>
            </w:r>
          </w:p>
        </w:tc>
        <w:tc>
          <w:tcPr>
            <w:tcW w:w="1220" w:type="dxa"/>
            <w:vAlign w:val="bottom"/>
          </w:tcPr>
          <w:p>
            <w:pPr>
              <w:ind w:left="960"/>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268"/>
              <w:spacing w:after="0"/>
              <w:rPr>
                <w:sz w:val="20"/>
                <w:szCs w:val="20"/>
                <w:color w:val="auto"/>
              </w:rPr>
            </w:pPr>
            <w:r>
              <w:rPr>
                <w:rFonts w:ascii="Arial" w:cs="Arial" w:eastAsia="Arial" w:hAnsi="Arial"/>
                <w:sz w:val="14"/>
                <w:szCs w:val="14"/>
                <w:color w:val="auto"/>
              </w:rPr>
              <w:t>$137,100</w:t>
            </w:r>
          </w:p>
        </w:tc>
        <w:tc>
          <w:tcPr>
            <w:tcW w:w="0" w:type="dxa"/>
            <w:vAlign w:val="bottom"/>
          </w:tcPr>
          <w:p>
            <w:pPr>
              <w:spacing w:after="0"/>
              <w:rPr>
                <w:sz w:val="1"/>
                <w:szCs w:val="1"/>
                <w:color w:val="auto"/>
              </w:rPr>
            </w:pPr>
          </w:p>
        </w:tc>
      </w:tr>
      <w:tr>
        <w:trPr>
          <w:trHeight w:val="190"/>
        </w:trPr>
        <w:tc>
          <w:tcPr>
            <w:tcW w:w="1040" w:type="dxa"/>
            <w:vAlign w:val="bottom"/>
          </w:tcPr>
          <w:p>
            <w:pPr>
              <w:spacing w:after="0"/>
              <w:rPr>
                <w:sz w:val="16"/>
                <w:szCs w:val="16"/>
                <w:color w:val="auto"/>
              </w:rPr>
            </w:pPr>
          </w:p>
        </w:tc>
        <w:tc>
          <w:tcPr>
            <w:tcW w:w="1700" w:type="dxa"/>
            <w:vAlign w:val="bottom"/>
          </w:tcPr>
          <w:p>
            <w:pPr>
              <w:ind w:left="20"/>
              <w:spacing w:after="0"/>
              <w:rPr>
                <w:sz w:val="20"/>
                <w:szCs w:val="20"/>
                <w:color w:val="auto"/>
              </w:rPr>
            </w:pPr>
            <w:r>
              <w:rPr>
                <w:rFonts w:ascii="Arial" w:cs="Arial" w:eastAsia="Arial" w:hAnsi="Arial"/>
                <w:sz w:val="14"/>
                <w:szCs w:val="14"/>
                <w:color w:val="auto"/>
              </w:rPr>
              <w:t>Plan</w:t>
            </w:r>
          </w:p>
        </w:tc>
        <w:tc>
          <w:tcPr>
            <w:tcW w:w="1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040" w:type="dxa"/>
            <w:vAlign w:val="bottom"/>
          </w:tcPr>
          <w:p>
            <w:pPr>
              <w:spacing w:after="0"/>
              <w:rPr>
                <w:sz w:val="18"/>
                <w:szCs w:val="18"/>
                <w:color w:val="auto"/>
              </w:rPr>
            </w:pPr>
          </w:p>
        </w:tc>
        <w:tc>
          <w:tcPr>
            <w:tcW w:w="1700" w:type="dxa"/>
            <w:vAlign w:val="bottom"/>
          </w:tcPr>
          <w:p>
            <w:pPr>
              <w:ind w:left="20"/>
              <w:spacing w:after="0"/>
              <w:rPr>
                <w:sz w:val="20"/>
                <w:szCs w:val="20"/>
                <w:color w:val="auto"/>
              </w:rPr>
            </w:pPr>
            <w:r>
              <w:rPr>
                <w:rFonts w:ascii="Arial" w:cs="Arial" w:eastAsia="Arial" w:hAnsi="Arial"/>
                <w:sz w:val="14"/>
                <w:szCs w:val="14"/>
                <w:color w:val="auto"/>
              </w:rPr>
              <w:t>Deferred Compensation</w:t>
            </w:r>
          </w:p>
        </w:tc>
        <w:tc>
          <w:tcPr>
            <w:tcW w:w="12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220" w:type="dxa"/>
            <w:vAlign w:val="bottom"/>
          </w:tcPr>
          <w:p>
            <w:pPr>
              <w:ind w:left="960"/>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1040" w:type="dxa"/>
            <w:vAlign w:val="bottom"/>
          </w:tcPr>
          <w:p>
            <w:pPr>
              <w:spacing w:after="0"/>
              <w:rPr>
                <w:sz w:val="16"/>
                <w:szCs w:val="16"/>
                <w:color w:val="auto"/>
              </w:rPr>
            </w:pPr>
          </w:p>
        </w:tc>
        <w:tc>
          <w:tcPr>
            <w:tcW w:w="1700" w:type="dxa"/>
            <w:vAlign w:val="bottom"/>
          </w:tcPr>
          <w:p>
            <w:pPr>
              <w:ind w:left="20"/>
              <w:spacing w:after="0"/>
              <w:rPr>
                <w:sz w:val="20"/>
                <w:szCs w:val="20"/>
                <w:color w:val="auto"/>
              </w:rPr>
            </w:pPr>
            <w:r>
              <w:rPr>
                <w:rFonts w:ascii="Arial" w:cs="Arial" w:eastAsia="Arial" w:hAnsi="Arial"/>
                <w:sz w:val="14"/>
                <w:szCs w:val="14"/>
                <w:color w:val="auto"/>
              </w:rPr>
              <w:t>Plan</w:t>
            </w:r>
          </w:p>
        </w:tc>
        <w:tc>
          <w:tcPr>
            <w:tcW w:w="1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1040" w:type="dxa"/>
            <w:vAlign w:val="bottom"/>
          </w:tcPr>
          <w:p>
            <w:pPr>
              <w:spacing w:after="0"/>
              <w:rPr>
                <w:sz w:val="22"/>
                <w:szCs w:val="22"/>
                <w:color w:val="auto"/>
              </w:rPr>
            </w:pPr>
          </w:p>
        </w:tc>
        <w:tc>
          <w:tcPr>
            <w:tcW w:w="1700" w:type="dxa"/>
            <w:vAlign w:val="bottom"/>
          </w:tcPr>
          <w:p>
            <w:pPr>
              <w:ind w:left="1420"/>
              <w:spacing w:after="0"/>
              <w:rPr>
                <w:sz w:val="20"/>
                <w:szCs w:val="20"/>
                <w:color w:val="auto"/>
              </w:rPr>
            </w:pPr>
            <w:r>
              <w:rPr>
                <w:rFonts w:ascii="Arial" w:cs="Arial" w:eastAsia="Arial" w:hAnsi="Arial"/>
                <w:sz w:val="14"/>
                <w:szCs w:val="14"/>
                <w:color w:val="auto"/>
                <w:w w:val="98"/>
              </w:rPr>
              <w:t>total</w:t>
            </w:r>
          </w:p>
        </w:tc>
        <w:tc>
          <w:tcPr>
            <w:tcW w:w="1260" w:type="dxa"/>
            <w:vAlign w:val="bottom"/>
          </w:tcPr>
          <w:p>
            <w:pPr>
              <w:jc w:val="right"/>
              <w:ind w:right="188"/>
              <w:spacing w:after="0"/>
              <w:rPr>
                <w:sz w:val="20"/>
                <w:szCs w:val="20"/>
                <w:color w:val="auto"/>
              </w:rPr>
            </w:pPr>
            <w:r>
              <w:rPr>
                <w:rFonts w:ascii="Arial" w:cs="Arial" w:eastAsia="Arial" w:hAnsi="Arial"/>
                <w:sz w:val="14"/>
                <w:szCs w:val="14"/>
                <w:color w:val="auto"/>
              </w:rPr>
              <w:t>$19,178</w:t>
            </w: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$19,178</w:t>
            </w:r>
          </w:p>
        </w:tc>
        <w:tc>
          <w:tcPr>
            <w:tcW w:w="1260" w:type="dxa"/>
            <w:vAlign w:val="bottom"/>
          </w:tcPr>
          <w:p>
            <w:pPr>
              <w:jc w:val="right"/>
              <w:ind w:right="248"/>
              <w:spacing w:after="0"/>
              <w:rPr>
                <w:sz w:val="20"/>
                <w:szCs w:val="20"/>
                <w:color w:val="auto"/>
              </w:rPr>
            </w:pPr>
            <w:r>
              <w:rPr>
                <w:rFonts w:ascii="Arial" w:cs="Arial" w:eastAsia="Arial" w:hAnsi="Arial"/>
                <w:sz w:val="14"/>
                <w:szCs w:val="14"/>
                <w:color w:val="auto"/>
              </w:rPr>
              <w:t>$6,851</w:t>
            </w:r>
          </w:p>
        </w:tc>
        <w:tc>
          <w:tcPr>
            <w:tcW w:w="1220" w:type="dxa"/>
            <w:vAlign w:val="bottom"/>
          </w:tcPr>
          <w:p>
            <w:pPr>
              <w:ind w:left="960"/>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268"/>
              <w:spacing w:after="0"/>
              <w:rPr>
                <w:sz w:val="20"/>
                <w:szCs w:val="20"/>
                <w:color w:val="auto"/>
              </w:rPr>
            </w:pPr>
            <w:r>
              <w:rPr>
                <w:rFonts w:ascii="Arial" w:cs="Arial" w:eastAsia="Arial" w:hAnsi="Arial"/>
                <w:sz w:val="14"/>
                <w:szCs w:val="14"/>
                <w:color w:val="auto"/>
              </w:rPr>
              <w:t>$137,100</w:t>
            </w:r>
          </w:p>
        </w:tc>
        <w:tc>
          <w:tcPr>
            <w:tcW w:w="0" w:type="dxa"/>
            <w:vAlign w:val="bottom"/>
          </w:tcPr>
          <w:p>
            <w:pPr>
              <w:spacing w:after="0"/>
              <w:rPr>
                <w:sz w:val="1"/>
                <w:szCs w:val="1"/>
                <w:color w:val="auto"/>
              </w:rPr>
            </w:pPr>
          </w:p>
        </w:tc>
      </w:tr>
      <w:tr>
        <w:trPr>
          <w:trHeight w:val="22"/>
        </w:trPr>
        <w:tc>
          <w:tcPr>
            <w:tcW w:w="274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040" w:type="dxa"/>
            <w:vAlign w:val="bottom"/>
            <w:shd w:val="clear" w:color="auto" w:fill="F2F2F2"/>
          </w:tcPr>
          <w:p>
            <w:pPr>
              <w:ind w:left="20"/>
              <w:spacing w:after="0"/>
              <w:rPr>
                <w:sz w:val="20"/>
                <w:szCs w:val="20"/>
                <w:color w:val="auto"/>
              </w:rPr>
            </w:pPr>
            <w:r>
              <w:rPr>
                <w:rFonts w:ascii="Arial" w:cs="Arial" w:eastAsia="Arial" w:hAnsi="Arial"/>
                <w:sz w:val="14"/>
                <w:szCs w:val="14"/>
                <w:color w:val="auto"/>
              </w:rPr>
              <w:t>Dr. Skovronsky</w:t>
            </w:r>
          </w:p>
        </w:tc>
        <w:tc>
          <w:tcPr>
            <w:tcW w:w="1700" w:type="dxa"/>
            <w:vAlign w:val="bottom"/>
            <w:shd w:val="clear" w:color="auto" w:fill="F2F2F2"/>
          </w:tcPr>
          <w:p>
            <w:pPr>
              <w:ind w:left="20"/>
              <w:spacing w:after="0"/>
              <w:rPr>
                <w:sz w:val="20"/>
                <w:szCs w:val="20"/>
                <w:color w:val="auto"/>
              </w:rPr>
            </w:pPr>
            <w:r>
              <w:rPr>
                <w:rFonts w:ascii="Arial" w:cs="Arial" w:eastAsia="Arial" w:hAnsi="Arial"/>
                <w:sz w:val="14"/>
                <w:szCs w:val="14"/>
                <w:color w:val="auto"/>
              </w:rPr>
              <w:t>Nonqualified Savings</w:t>
            </w:r>
          </w:p>
        </w:tc>
        <w:tc>
          <w:tcPr>
            <w:tcW w:w="1260" w:type="dxa"/>
            <w:vAlign w:val="bottom"/>
            <w:shd w:val="clear" w:color="auto" w:fill="F2F2F2"/>
          </w:tcPr>
          <w:p>
            <w:pPr>
              <w:jc w:val="right"/>
              <w:ind w:right="188"/>
              <w:spacing w:after="0"/>
              <w:rPr>
                <w:sz w:val="20"/>
                <w:szCs w:val="20"/>
                <w:color w:val="auto"/>
              </w:rPr>
            </w:pPr>
            <w:r>
              <w:rPr>
                <w:rFonts w:ascii="Arial" w:cs="Arial" w:eastAsia="Arial" w:hAnsi="Arial"/>
                <w:sz w:val="14"/>
                <w:szCs w:val="14"/>
                <w:color w:val="auto"/>
              </w:rPr>
              <w:t>$65,146</w:t>
            </w:r>
          </w:p>
        </w:tc>
        <w:tc>
          <w:tcPr>
            <w:tcW w:w="1280" w:type="dxa"/>
            <w:vAlign w:val="bottom"/>
            <w:shd w:val="clear" w:color="auto" w:fill="F2F2F2"/>
          </w:tcPr>
          <w:p>
            <w:pPr>
              <w:jc w:val="right"/>
              <w:ind w:right="8"/>
              <w:spacing w:after="0"/>
              <w:rPr>
                <w:sz w:val="20"/>
                <w:szCs w:val="20"/>
                <w:color w:val="auto"/>
              </w:rPr>
            </w:pPr>
            <w:r>
              <w:rPr>
                <w:rFonts w:ascii="Arial" w:cs="Arial" w:eastAsia="Arial" w:hAnsi="Arial"/>
                <w:sz w:val="14"/>
                <w:szCs w:val="14"/>
                <w:color w:val="auto"/>
              </w:rPr>
              <w:t>$65,146</w:t>
            </w:r>
          </w:p>
        </w:tc>
        <w:tc>
          <w:tcPr>
            <w:tcW w:w="1260" w:type="dxa"/>
            <w:vAlign w:val="bottom"/>
            <w:shd w:val="clear" w:color="auto" w:fill="F2F2F2"/>
          </w:tcPr>
          <w:p>
            <w:pPr>
              <w:jc w:val="right"/>
              <w:ind w:right="248"/>
              <w:spacing w:after="0"/>
              <w:rPr>
                <w:sz w:val="20"/>
                <w:szCs w:val="20"/>
                <w:color w:val="auto"/>
              </w:rPr>
            </w:pPr>
            <w:r>
              <w:rPr>
                <w:rFonts w:ascii="Arial" w:cs="Arial" w:eastAsia="Arial" w:hAnsi="Arial"/>
                <w:sz w:val="14"/>
                <w:szCs w:val="14"/>
                <w:color w:val="auto"/>
              </w:rPr>
              <w:t>$293,780</w:t>
            </w:r>
          </w:p>
        </w:tc>
        <w:tc>
          <w:tcPr>
            <w:tcW w:w="1220" w:type="dxa"/>
            <w:vAlign w:val="bottom"/>
            <w:shd w:val="clear" w:color="auto" w:fill="F2F2F2"/>
          </w:tcPr>
          <w:p>
            <w:pPr>
              <w:ind w:left="960"/>
              <w:spacing w:after="0"/>
              <w:rPr>
                <w:sz w:val="20"/>
                <w:szCs w:val="20"/>
                <w:color w:val="auto"/>
              </w:rPr>
            </w:pPr>
            <w:r>
              <w:rPr>
                <w:rFonts w:ascii="Arial" w:cs="Arial" w:eastAsia="Arial" w:hAnsi="Arial"/>
                <w:sz w:val="14"/>
                <w:szCs w:val="14"/>
                <w:color w:val="auto"/>
              </w:rPr>
              <w:t>—</w:t>
            </w:r>
          </w:p>
        </w:tc>
        <w:tc>
          <w:tcPr>
            <w:tcW w:w="1260" w:type="dxa"/>
            <w:vAlign w:val="bottom"/>
            <w:shd w:val="clear" w:color="auto" w:fill="F2F2F2"/>
          </w:tcPr>
          <w:p>
            <w:pPr>
              <w:jc w:val="right"/>
              <w:ind w:right="268"/>
              <w:spacing w:after="0"/>
              <w:rPr>
                <w:sz w:val="20"/>
                <w:szCs w:val="20"/>
                <w:color w:val="auto"/>
              </w:rPr>
            </w:pPr>
            <w:r>
              <w:rPr>
                <w:rFonts w:ascii="Arial" w:cs="Arial" w:eastAsia="Arial" w:hAnsi="Arial"/>
                <w:sz w:val="14"/>
                <w:szCs w:val="14"/>
                <w:color w:val="auto"/>
              </w:rPr>
              <w:t>$1,625,773</w:t>
            </w:r>
          </w:p>
        </w:tc>
        <w:tc>
          <w:tcPr>
            <w:tcW w:w="0" w:type="dxa"/>
            <w:vAlign w:val="bottom"/>
          </w:tcPr>
          <w:p>
            <w:pPr>
              <w:spacing w:after="0"/>
              <w:rPr>
                <w:sz w:val="1"/>
                <w:szCs w:val="1"/>
                <w:color w:val="auto"/>
              </w:rPr>
            </w:pPr>
          </w:p>
        </w:tc>
      </w:tr>
      <w:tr>
        <w:trPr>
          <w:trHeight w:val="190"/>
        </w:trPr>
        <w:tc>
          <w:tcPr>
            <w:tcW w:w="1040" w:type="dxa"/>
            <w:vAlign w:val="bottom"/>
            <w:shd w:val="clear" w:color="auto" w:fill="F2F2F2"/>
          </w:tcPr>
          <w:p>
            <w:pPr>
              <w:spacing w:after="0"/>
              <w:rPr>
                <w:sz w:val="16"/>
                <w:szCs w:val="16"/>
                <w:color w:val="auto"/>
              </w:rPr>
            </w:pPr>
          </w:p>
        </w:tc>
        <w:tc>
          <w:tcPr>
            <w:tcW w:w="1700" w:type="dxa"/>
            <w:vAlign w:val="bottom"/>
            <w:shd w:val="clear" w:color="auto" w:fill="F2F2F2"/>
          </w:tcPr>
          <w:p>
            <w:pPr>
              <w:ind w:left="20"/>
              <w:spacing w:after="0"/>
              <w:rPr>
                <w:sz w:val="20"/>
                <w:szCs w:val="20"/>
                <w:color w:val="auto"/>
              </w:rPr>
            </w:pPr>
            <w:r>
              <w:rPr>
                <w:rFonts w:ascii="Arial" w:cs="Arial" w:eastAsia="Arial" w:hAnsi="Arial"/>
                <w:sz w:val="14"/>
                <w:szCs w:val="14"/>
                <w:color w:val="auto"/>
              </w:rPr>
              <w:t>Plan</w:t>
            </w:r>
          </w:p>
        </w:tc>
        <w:tc>
          <w:tcPr>
            <w:tcW w:w="1260" w:type="dxa"/>
            <w:vAlign w:val="bottom"/>
            <w:shd w:val="clear" w:color="auto" w:fill="F2F2F2"/>
          </w:tcPr>
          <w:p>
            <w:pPr>
              <w:spacing w:after="0"/>
              <w:rPr>
                <w:sz w:val="16"/>
                <w:szCs w:val="16"/>
                <w:color w:val="auto"/>
              </w:rPr>
            </w:pPr>
          </w:p>
        </w:tc>
        <w:tc>
          <w:tcPr>
            <w:tcW w:w="1280" w:type="dxa"/>
            <w:vAlign w:val="bottom"/>
            <w:shd w:val="clear" w:color="auto" w:fill="F2F2F2"/>
          </w:tcPr>
          <w:p>
            <w:pPr>
              <w:spacing w:after="0"/>
              <w:rPr>
                <w:sz w:val="16"/>
                <w:szCs w:val="16"/>
                <w:color w:val="auto"/>
              </w:rPr>
            </w:pPr>
          </w:p>
        </w:tc>
        <w:tc>
          <w:tcPr>
            <w:tcW w:w="1260" w:type="dxa"/>
            <w:vAlign w:val="bottom"/>
            <w:shd w:val="clear" w:color="auto" w:fill="F2F2F2"/>
          </w:tcPr>
          <w:p>
            <w:pPr>
              <w:spacing w:after="0"/>
              <w:rPr>
                <w:sz w:val="16"/>
                <w:szCs w:val="16"/>
                <w:color w:val="auto"/>
              </w:rPr>
            </w:pPr>
          </w:p>
        </w:tc>
        <w:tc>
          <w:tcPr>
            <w:tcW w:w="1220" w:type="dxa"/>
            <w:vAlign w:val="bottom"/>
            <w:shd w:val="clear" w:color="auto" w:fill="F2F2F2"/>
          </w:tcPr>
          <w:p>
            <w:pPr>
              <w:spacing w:after="0"/>
              <w:rPr>
                <w:sz w:val="16"/>
                <w:szCs w:val="16"/>
                <w:color w:val="auto"/>
              </w:rPr>
            </w:pPr>
          </w:p>
        </w:tc>
        <w:tc>
          <w:tcPr>
            <w:tcW w:w="1260" w:type="dxa"/>
            <w:vAlign w:val="bottom"/>
            <w:shd w:val="clear" w:color="auto" w:fill="F2F2F2"/>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040" w:type="dxa"/>
            <w:vAlign w:val="bottom"/>
            <w:shd w:val="clear" w:color="auto" w:fill="F2F2F2"/>
          </w:tcPr>
          <w:p>
            <w:pPr>
              <w:spacing w:after="0"/>
              <w:rPr>
                <w:sz w:val="19"/>
                <w:szCs w:val="19"/>
                <w:color w:val="auto"/>
              </w:rPr>
            </w:pPr>
          </w:p>
        </w:tc>
        <w:tc>
          <w:tcPr>
            <w:tcW w:w="1700" w:type="dxa"/>
            <w:vAlign w:val="bottom"/>
            <w:shd w:val="clear" w:color="auto" w:fill="F2F2F2"/>
          </w:tcPr>
          <w:p>
            <w:pPr>
              <w:ind w:left="20"/>
              <w:spacing w:after="0"/>
              <w:rPr>
                <w:sz w:val="20"/>
                <w:szCs w:val="20"/>
                <w:color w:val="auto"/>
              </w:rPr>
            </w:pPr>
            <w:r>
              <w:rPr>
                <w:rFonts w:ascii="Arial" w:cs="Arial" w:eastAsia="Arial" w:hAnsi="Arial"/>
                <w:sz w:val="14"/>
                <w:szCs w:val="14"/>
                <w:color w:val="auto"/>
              </w:rPr>
              <w:t>Deferred Compensation</w:t>
            </w:r>
          </w:p>
        </w:tc>
        <w:tc>
          <w:tcPr>
            <w:tcW w:w="1260" w:type="dxa"/>
            <w:vAlign w:val="bottom"/>
            <w:shd w:val="clear" w:color="auto" w:fill="F2F2F2"/>
          </w:tcPr>
          <w:p>
            <w:pPr>
              <w:jc w:val="right"/>
              <w:ind w:right="188"/>
              <w:spacing w:after="0"/>
              <w:rPr>
                <w:sz w:val="20"/>
                <w:szCs w:val="20"/>
                <w:color w:val="auto"/>
              </w:rPr>
            </w:pPr>
            <w:r>
              <w:rPr>
                <w:rFonts w:ascii="Arial" w:cs="Arial" w:eastAsia="Arial" w:hAnsi="Arial"/>
                <w:sz w:val="14"/>
                <w:szCs w:val="14"/>
                <w:color w:val="auto"/>
              </w:rPr>
              <w:t>—</w:t>
            </w:r>
          </w:p>
        </w:tc>
        <w:tc>
          <w:tcPr>
            <w:tcW w:w="1280" w:type="dxa"/>
            <w:vAlign w:val="bottom"/>
            <w:shd w:val="clear" w:color="auto" w:fill="F2F2F2"/>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shd w:val="clear" w:color="auto" w:fill="F2F2F2"/>
          </w:tcPr>
          <w:p>
            <w:pPr>
              <w:jc w:val="right"/>
              <w:ind w:right="248"/>
              <w:spacing w:after="0"/>
              <w:rPr>
                <w:sz w:val="20"/>
                <w:szCs w:val="20"/>
                <w:color w:val="auto"/>
              </w:rPr>
            </w:pPr>
            <w:r>
              <w:rPr>
                <w:rFonts w:ascii="Arial" w:cs="Arial" w:eastAsia="Arial" w:hAnsi="Arial"/>
                <w:sz w:val="14"/>
                <w:szCs w:val="14"/>
                <w:color w:val="auto"/>
              </w:rPr>
              <w:t>—</w:t>
            </w:r>
          </w:p>
        </w:tc>
        <w:tc>
          <w:tcPr>
            <w:tcW w:w="1220" w:type="dxa"/>
            <w:vAlign w:val="bottom"/>
            <w:shd w:val="clear" w:color="auto" w:fill="F2F2F2"/>
          </w:tcPr>
          <w:p>
            <w:pPr>
              <w:ind w:left="960"/>
              <w:spacing w:after="0"/>
              <w:rPr>
                <w:sz w:val="20"/>
                <w:szCs w:val="20"/>
                <w:color w:val="auto"/>
              </w:rPr>
            </w:pPr>
            <w:r>
              <w:rPr>
                <w:rFonts w:ascii="Arial" w:cs="Arial" w:eastAsia="Arial" w:hAnsi="Arial"/>
                <w:sz w:val="14"/>
                <w:szCs w:val="14"/>
                <w:color w:val="auto"/>
              </w:rPr>
              <w:t>—</w:t>
            </w:r>
          </w:p>
        </w:tc>
        <w:tc>
          <w:tcPr>
            <w:tcW w:w="1260" w:type="dxa"/>
            <w:vAlign w:val="bottom"/>
            <w:shd w:val="clear" w:color="auto" w:fill="F2F2F2"/>
          </w:tcPr>
          <w:p>
            <w:pPr>
              <w:jc w:val="right"/>
              <w:ind w:right="2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1040" w:type="dxa"/>
            <w:vAlign w:val="bottom"/>
            <w:shd w:val="clear" w:color="auto" w:fill="F2F2F2"/>
          </w:tcPr>
          <w:p>
            <w:pPr>
              <w:spacing w:after="0"/>
              <w:rPr>
                <w:sz w:val="16"/>
                <w:szCs w:val="16"/>
                <w:color w:val="auto"/>
              </w:rPr>
            </w:pPr>
          </w:p>
        </w:tc>
        <w:tc>
          <w:tcPr>
            <w:tcW w:w="1700" w:type="dxa"/>
            <w:vAlign w:val="bottom"/>
            <w:shd w:val="clear" w:color="auto" w:fill="F2F2F2"/>
          </w:tcPr>
          <w:p>
            <w:pPr>
              <w:ind w:left="20"/>
              <w:spacing w:after="0"/>
              <w:rPr>
                <w:sz w:val="20"/>
                <w:szCs w:val="20"/>
                <w:color w:val="auto"/>
              </w:rPr>
            </w:pPr>
            <w:r>
              <w:rPr>
                <w:rFonts w:ascii="Arial" w:cs="Arial" w:eastAsia="Arial" w:hAnsi="Arial"/>
                <w:sz w:val="14"/>
                <w:szCs w:val="14"/>
                <w:color w:val="auto"/>
              </w:rPr>
              <w:t>Plan</w:t>
            </w:r>
          </w:p>
        </w:tc>
        <w:tc>
          <w:tcPr>
            <w:tcW w:w="1260" w:type="dxa"/>
            <w:vAlign w:val="bottom"/>
            <w:shd w:val="clear" w:color="auto" w:fill="F2F2F2"/>
          </w:tcPr>
          <w:p>
            <w:pPr>
              <w:spacing w:after="0"/>
              <w:rPr>
                <w:sz w:val="16"/>
                <w:szCs w:val="16"/>
                <w:color w:val="auto"/>
              </w:rPr>
            </w:pPr>
          </w:p>
        </w:tc>
        <w:tc>
          <w:tcPr>
            <w:tcW w:w="1280" w:type="dxa"/>
            <w:vAlign w:val="bottom"/>
            <w:shd w:val="clear" w:color="auto" w:fill="F2F2F2"/>
          </w:tcPr>
          <w:p>
            <w:pPr>
              <w:spacing w:after="0"/>
              <w:rPr>
                <w:sz w:val="16"/>
                <w:szCs w:val="16"/>
                <w:color w:val="auto"/>
              </w:rPr>
            </w:pPr>
          </w:p>
        </w:tc>
        <w:tc>
          <w:tcPr>
            <w:tcW w:w="1260" w:type="dxa"/>
            <w:vAlign w:val="bottom"/>
            <w:shd w:val="clear" w:color="auto" w:fill="F2F2F2"/>
          </w:tcPr>
          <w:p>
            <w:pPr>
              <w:spacing w:after="0"/>
              <w:rPr>
                <w:sz w:val="16"/>
                <w:szCs w:val="16"/>
                <w:color w:val="auto"/>
              </w:rPr>
            </w:pPr>
          </w:p>
        </w:tc>
        <w:tc>
          <w:tcPr>
            <w:tcW w:w="1220" w:type="dxa"/>
            <w:vAlign w:val="bottom"/>
            <w:shd w:val="clear" w:color="auto" w:fill="F2F2F2"/>
          </w:tcPr>
          <w:p>
            <w:pPr>
              <w:spacing w:after="0"/>
              <w:rPr>
                <w:sz w:val="16"/>
                <w:szCs w:val="16"/>
                <w:color w:val="auto"/>
              </w:rPr>
            </w:pPr>
          </w:p>
        </w:tc>
        <w:tc>
          <w:tcPr>
            <w:tcW w:w="1260" w:type="dxa"/>
            <w:vAlign w:val="bottom"/>
            <w:shd w:val="clear" w:color="auto" w:fill="F2F2F2"/>
          </w:tcPr>
          <w:p>
            <w:pPr>
              <w:spacing w:after="0"/>
              <w:rPr>
                <w:sz w:val="16"/>
                <w:szCs w:val="16"/>
                <w:color w:val="auto"/>
              </w:rPr>
            </w:pPr>
          </w:p>
        </w:tc>
        <w:tc>
          <w:tcPr>
            <w:tcW w:w="0" w:type="dxa"/>
            <w:vAlign w:val="bottom"/>
          </w:tcPr>
          <w:p>
            <w:pPr>
              <w:spacing w:after="0"/>
              <w:rPr>
                <w:sz w:val="1"/>
                <w:szCs w:val="1"/>
                <w:color w:val="auto"/>
              </w:rPr>
            </w:pPr>
          </w:p>
        </w:tc>
      </w:tr>
      <w:tr>
        <w:trPr>
          <w:trHeight w:val="258"/>
        </w:trPr>
        <w:tc>
          <w:tcPr>
            <w:tcW w:w="1040" w:type="dxa"/>
            <w:vAlign w:val="bottom"/>
            <w:tcBorders>
              <w:bottom w:val="single" w:sz="8" w:color="F2F2F2"/>
            </w:tcBorders>
            <w:shd w:val="clear" w:color="auto" w:fill="F2F2F2"/>
          </w:tcPr>
          <w:p>
            <w:pPr>
              <w:spacing w:after="0"/>
              <w:rPr>
                <w:sz w:val="22"/>
                <w:szCs w:val="22"/>
                <w:color w:val="auto"/>
              </w:rPr>
            </w:pPr>
          </w:p>
        </w:tc>
        <w:tc>
          <w:tcPr>
            <w:tcW w:w="1700" w:type="dxa"/>
            <w:vAlign w:val="bottom"/>
            <w:tcBorders>
              <w:bottom w:val="single" w:sz="8" w:color="F2F2F2"/>
            </w:tcBorders>
            <w:shd w:val="clear" w:color="auto" w:fill="F2F2F2"/>
          </w:tcPr>
          <w:p>
            <w:pPr>
              <w:ind w:left="1420"/>
              <w:spacing w:after="0"/>
              <w:rPr>
                <w:sz w:val="20"/>
                <w:szCs w:val="20"/>
                <w:color w:val="auto"/>
              </w:rPr>
            </w:pPr>
            <w:r>
              <w:rPr>
                <w:rFonts w:ascii="Arial" w:cs="Arial" w:eastAsia="Arial" w:hAnsi="Arial"/>
                <w:sz w:val="14"/>
                <w:szCs w:val="14"/>
                <w:color w:val="auto"/>
                <w:w w:val="98"/>
              </w:rPr>
              <w:t>total</w:t>
            </w:r>
          </w:p>
        </w:tc>
        <w:tc>
          <w:tcPr>
            <w:tcW w:w="1260" w:type="dxa"/>
            <w:vAlign w:val="bottom"/>
            <w:tcBorders>
              <w:bottom w:val="single" w:sz="8" w:color="F2F2F2"/>
            </w:tcBorders>
            <w:shd w:val="clear" w:color="auto" w:fill="F2F2F2"/>
          </w:tcPr>
          <w:p>
            <w:pPr>
              <w:jc w:val="right"/>
              <w:ind w:right="188"/>
              <w:spacing w:after="0"/>
              <w:rPr>
                <w:sz w:val="20"/>
                <w:szCs w:val="20"/>
                <w:color w:val="auto"/>
              </w:rPr>
            </w:pPr>
            <w:r>
              <w:rPr>
                <w:rFonts w:ascii="Arial" w:cs="Arial" w:eastAsia="Arial" w:hAnsi="Arial"/>
                <w:sz w:val="14"/>
                <w:szCs w:val="14"/>
                <w:color w:val="auto"/>
              </w:rPr>
              <w:t>$65,146</w:t>
            </w:r>
          </w:p>
        </w:tc>
        <w:tc>
          <w:tcPr>
            <w:tcW w:w="1280" w:type="dxa"/>
            <w:vAlign w:val="bottom"/>
            <w:tcBorders>
              <w:bottom w:val="single" w:sz="8" w:color="F2F2F2"/>
            </w:tcBorders>
            <w:shd w:val="clear" w:color="auto" w:fill="F2F2F2"/>
          </w:tcPr>
          <w:p>
            <w:pPr>
              <w:jc w:val="right"/>
              <w:ind w:right="8"/>
              <w:spacing w:after="0"/>
              <w:rPr>
                <w:sz w:val="20"/>
                <w:szCs w:val="20"/>
                <w:color w:val="auto"/>
              </w:rPr>
            </w:pPr>
            <w:r>
              <w:rPr>
                <w:rFonts w:ascii="Arial" w:cs="Arial" w:eastAsia="Arial" w:hAnsi="Arial"/>
                <w:sz w:val="14"/>
                <w:szCs w:val="14"/>
                <w:color w:val="auto"/>
              </w:rPr>
              <w:t>$65,146</w:t>
            </w:r>
          </w:p>
        </w:tc>
        <w:tc>
          <w:tcPr>
            <w:tcW w:w="1260" w:type="dxa"/>
            <w:vAlign w:val="bottom"/>
            <w:tcBorders>
              <w:bottom w:val="single" w:sz="8" w:color="F2F2F2"/>
            </w:tcBorders>
            <w:shd w:val="clear" w:color="auto" w:fill="F2F2F2"/>
          </w:tcPr>
          <w:p>
            <w:pPr>
              <w:jc w:val="right"/>
              <w:ind w:right="248"/>
              <w:spacing w:after="0"/>
              <w:rPr>
                <w:sz w:val="20"/>
                <w:szCs w:val="20"/>
                <w:color w:val="auto"/>
              </w:rPr>
            </w:pPr>
            <w:r>
              <w:rPr>
                <w:rFonts w:ascii="Arial" w:cs="Arial" w:eastAsia="Arial" w:hAnsi="Arial"/>
                <w:sz w:val="14"/>
                <w:szCs w:val="14"/>
                <w:color w:val="auto"/>
              </w:rPr>
              <w:t>$293,780</w:t>
            </w:r>
          </w:p>
        </w:tc>
        <w:tc>
          <w:tcPr>
            <w:tcW w:w="1220" w:type="dxa"/>
            <w:vAlign w:val="bottom"/>
            <w:tcBorders>
              <w:bottom w:val="single" w:sz="8" w:color="F2F2F2"/>
            </w:tcBorders>
            <w:shd w:val="clear" w:color="auto" w:fill="F2F2F2"/>
          </w:tcPr>
          <w:p>
            <w:pPr>
              <w:ind w:left="960"/>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F2F2F2"/>
            </w:tcBorders>
            <w:shd w:val="clear" w:color="auto" w:fill="F2F2F2"/>
          </w:tcPr>
          <w:p>
            <w:pPr>
              <w:jc w:val="right"/>
              <w:ind w:right="268"/>
              <w:spacing w:after="0"/>
              <w:rPr>
                <w:sz w:val="20"/>
                <w:szCs w:val="20"/>
                <w:color w:val="auto"/>
              </w:rPr>
            </w:pPr>
            <w:r>
              <w:rPr>
                <w:rFonts w:ascii="Arial" w:cs="Arial" w:eastAsia="Arial" w:hAnsi="Arial"/>
                <w:sz w:val="14"/>
                <w:szCs w:val="14"/>
                <w:color w:val="auto"/>
              </w:rPr>
              <w:t>$1,625,773</w:t>
            </w:r>
          </w:p>
        </w:tc>
        <w:tc>
          <w:tcPr>
            <w:tcW w:w="0" w:type="dxa"/>
            <w:vAlign w:val="bottom"/>
          </w:tcPr>
          <w:p>
            <w:pPr>
              <w:spacing w:after="0"/>
              <w:rPr>
                <w:sz w:val="1"/>
                <w:szCs w:val="1"/>
                <w:color w:val="auto"/>
              </w:rPr>
            </w:pPr>
          </w:p>
        </w:tc>
      </w:tr>
      <w:tr>
        <w:trPr>
          <w:trHeight w:val="193"/>
        </w:trPr>
        <w:tc>
          <w:tcPr>
            <w:tcW w:w="1040" w:type="dxa"/>
            <w:vAlign w:val="bottom"/>
          </w:tcPr>
          <w:p>
            <w:pPr>
              <w:ind w:left="20"/>
              <w:spacing w:after="0"/>
              <w:rPr>
                <w:sz w:val="20"/>
                <w:szCs w:val="20"/>
                <w:color w:val="auto"/>
              </w:rPr>
            </w:pPr>
            <w:r>
              <w:rPr>
                <w:rFonts w:ascii="Arial" w:cs="Arial" w:eastAsia="Arial" w:hAnsi="Arial"/>
                <w:sz w:val="14"/>
                <w:szCs w:val="14"/>
                <w:color w:val="auto"/>
              </w:rPr>
              <w:t>Ms. Hakim</w:t>
            </w:r>
          </w:p>
        </w:tc>
        <w:tc>
          <w:tcPr>
            <w:tcW w:w="1700" w:type="dxa"/>
            <w:vAlign w:val="bottom"/>
          </w:tcPr>
          <w:p>
            <w:pPr>
              <w:ind w:left="20"/>
              <w:spacing w:after="0"/>
              <w:rPr>
                <w:sz w:val="20"/>
                <w:szCs w:val="20"/>
                <w:color w:val="auto"/>
              </w:rPr>
            </w:pPr>
            <w:r>
              <w:rPr>
                <w:rFonts w:ascii="Arial" w:cs="Arial" w:eastAsia="Arial" w:hAnsi="Arial"/>
                <w:sz w:val="14"/>
                <w:szCs w:val="14"/>
                <w:color w:val="auto"/>
              </w:rPr>
              <w:t>Nonqualified Savings</w:t>
            </w:r>
          </w:p>
        </w:tc>
        <w:tc>
          <w:tcPr>
            <w:tcW w:w="1260" w:type="dxa"/>
            <w:vAlign w:val="bottom"/>
          </w:tcPr>
          <w:p>
            <w:pPr>
              <w:jc w:val="right"/>
              <w:ind w:right="188"/>
              <w:spacing w:after="0"/>
              <w:rPr>
                <w:sz w:val="20"/>
                <w:szCs w:val="20"/>
                <w:color w:val="auto"/>
              </w:rPr>
            </w:pPr>
            <w:r>
              <w:rPr>
                <w:rFonts w:ascii="Arial" w:cs="Arial" w:eastAsia="Arial" w:hAnsi="Arial"/>
                <w:sz w:val="14"/>
                <w:szCs w:val="14"/>
                <w:color w:val="auto"/>
              </w:rPr>
              <w:t>$39,300</w:t>
            </w: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$39,300</w:t>
            </w:r>
          </w:p>
        </w:tc>
        <w:tc>
          <w:tcPr>
            <w:tcW w:w="1260" w:type="dxa"/>
            <w:vAlign w:val="bottom"/>
          </w:tcPr>
          <w:p>
            <w:pPr>
              <w:jc w:val="right"/>
              <w:ind w:right="248"/>
              <w:spacing w:after="0"/>
              <w:rPr>
                <w:sz w:val="20"/>
                <w:szCs w:val="20"/>
                <w:color w:val="auto"/>
              </w:rPr>
            </w:pPr>
            <w:r>
              <w:rPr>
                <w:rFonts w:ascii="Arial" w:cs="Arial" w:eastAsia="Arial" w:hAnsi="Arial"/>
                <w:sz w:val="14"/>
                <w:szCs w:val="14"/>
                <w:color w:val="auto"/>
              </w:rPr>
              <w:t>$75,903</w:t>
            </w:r>
          </w:p>
        </w:tc>
        <w:tc>
          <w:tcPr>
            <w:tcW w:w="1220" w:type="dxa"/>
            <w:vAlign w:val="bottom"/>
          </w:tcPr>
          <w:p>
            <w:pPr>
              <w:ind w:left="960"/>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268"/>
              <w:spacing w:after="0"/>
              <w:rPr>
                <w:sz w:val="20"/>
                <w:szCs w:val="20"/>
                <w:color w:val="auto"/>
              </w:rPr>
            </w:pPr>
            <w:r>
              <w:rPr>
                <w:rFonts w:ascii="Arial" w:cs="Arial" w:eastAsia="Arial" w:hAnsi="Arial"/>
                <w:sz w:val="14"/>
                <w:szCs w:val="14"/>
                <w:color w:val="auto"/>
              </w:rPr>
              <w:t>$458,357</w:t>
            </w:r>
          </w:p>
        </w:tc>
        <w:tc>
          <w:tcPr>
            <w:tcW w:w="0" w:type="dxa"/>
            <w:vAlign w:val="bottom"/>
          </w:tcPr>
          <w:p>
            <w:pPr>
              <w:spacing w:after="0"/>
              <w:rPr>
                <w:sz w:val="1"/>
                <w:szCs w:val="1"/>
                <w:color w:val="auto"/>
              </w:rPr>
            </w:pPr>
          </w:p>
        </w:tc>
      </w:tr>
      <w:tr>
        <w:trPr>
          <w:trHeight w:val="190"/>
        </w:trPr>
        <w:tc>
          <w:tcPr>
            <w:tcW w:w="1040" w:type="dxa"/>
            <w:vAlign w:val="bottom"/>
          </w:tcPr>
          <w:p>
            <w:pPr>
              <w:spacing w:after="0"/>
              <w:rPr>
                <w:sz w:val="16"/>
                <w:szCs w:val="16"/>
                <w:color w:val="auto"/>
              </w:rPr>
            </w:pPr>
          </w:p>
        </w:tc>
        <w:tc>
          <w:tcPr>
            <w:tcW w:w="1700" w:type="dxa"/>
            <w:vAlign w:val="bottom"/>
          </w:tcPr>
          <w:p>
            <w:pPr>
              <w:ind w:left="20"/>
              <w:spacing w:after="0"/>
              <w:rPr>
                <w:sz w:val="20"/>
                <w:szCs w:val="20"/>
                <w:color w:val="auto"/>
              </w:rPr>
            </w:pPr>
            <w:r>
              <w:rPr>
                <w:rFonts w:ascii="Arial" w:cs="Arial" w:eastAsia="Arial" w:hAnsi="Arial"/>
                <w:sz w:val="14"/>
                <w:szCs w:val="14"/>
                <w:color w:val="auto"/>
              </w:rPr>
              <w:t>Plan</w:t>
            </w:r>
          </w:p>
        </w:tc>
        <w:tc>
          <w:tcPr>
            <w:tcW w:w="1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040" w:type="dxa"/>
            <w:vAlign w:val="bottom"/>
          </w:tcPr>
          <w:p>
            <w:pPr>
              <w:spacing w:after="0"/>
              <w:rPr>
                <w:sz w:val="18"/>
                <w:szCs w:val="18"/>
                <w:color w:val="auto"/>
              </w:rPr>
            </w:pPr>
          </w:p>
        </w:tc>
        <w:tc>
          <w:tcPr>
            <w:tcW w:w="1700" w:type="dxa"/>
            <w:vAlign w:val="bottom"/>
          </w:tcPr>
          <w:p>
            <w:pPr>
              <w:ind w:left="20"/>
              <w:spacing w:after="0"/>
              <w:rPr>
                <w:sz w:val="20"/>
                <w:szCs w:val="20"/>
                <w:color w:val="auto"/>
              </w:rPr>
            </w:pPr>
            <w:r>
              <w:rPr>
                <w:rFonts w:ascii="Arial" w:cs="Arial" w:eastAsia="Arial" w:hAnsi="Arial"/>
                <w:sz w:val="14"/>
                <w:szCs w:val="14"/>
                <w:color w:val="auto"/>
              </w:rPr>
              <w:t>Deferred Compensation</w:t>
            </w:r>
          </w:p>
        </w:tc>
        <w:tc>
          <w:tcPr>
            <w:tcW w:w="12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220" w:type="dxa"/>
            <w:vAlign w:val="bottom"/>
          </w:tcPr>
          <w:p>
            <w:pPr>
              <w:ind w:left="960"/>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1040" w:type="dxa"/>
            <w:vAlign w:val="bottom"/>
          </w:tcPr>
          <w:p>
            <w:pPr>
              <w:spacing w:after="0"/>
              <w:rPr>
                <w:sz w:val="16"/>
                <w:szCs w:val="16"/>
                <w:color w:val="auto"/>
              </w:rPr>
            </w:pPr>
          </w:p>
        </w:tc>
        <w:tc>
          <w:tcPr>
            <w:tcW w:w="1700" w:type="dxa"/>
            <w:vAlign w:val="bottom"/>
          </w:tcPr>
          <w:p>
            <w:pPr>
              <w:ind w:left="20"/>
              <w:spacing w:after="0"/>
              <w:rPr>
                <w:sz w:val="20"/>
                <w:szCs w:val="20"/>
                <w:color w:val="auto"/>
              </w:rPr>
            </w:pPr>
            <w:r>
              <w:rPr>
                <w:rFonts w:ascii="Arial" w:cs="Arial" w:eastAsia="Arial" w:hAnsi="Arial"/>
                <w:sz w:val="14"/>
                <w:szCs w:val="14"/>
                <w:color w:val="auto"/>
              </w:rPr>
              <w:t>Plan</w:t>
            </w:r>
          </w:p>
        </w:tc>
        <w:tc>
          <w:tcPr>
            <w:tcW w:w="1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1040" w:type="dxa"/>
            <w:vAlign w:val="bottom"/>
          </w:tcPr>
          <w:p>
            <w:pPr>
              <w:spacing w:after="0"/>
              <w:rPr>
                <w:sz w:val="22"/>
                <w:szCs w:val="22"/>
                <w:color w:val="auto"/>
              </w:rPr>
            </w:pPr>
          </w:p>
        </w:tc>
        <w:tc>
          <w:tcPr>
            <w:tcW w:w="1700" w:type="dxa"/>
            <w:vAlign w:val="bottom"/>
          </w:tcPr>
          <w:p>
            <w:pPr>
              <w:ind w:left="1420"/>
              <w:spacing w:after="0"/>
              <w:rPr>
                <w:sz w:val="20"/>
                <w:szCs w:val="20"/>
                <w:color w:val="auto"/>
              </w:rPr>
            </w:pPr>
            <w:r>
              <w:rPr>
                <w:rFonts w:ascii="Arial" w:cs="Arial" w:eastAsia="Arial" w:hAnsi="Arial"/>
                <w:sz w:val="14"/>
                <w:szCs w:val="14"/>
                <w:color w:val="auto"/>
                <w:w w:val="98"/>
              </w:rPr>
              <w:t>total</w:t>
            </w:r>
          </w:p>
        </w:tc>
        <w:tc>
          <w:tcPr>
            <w:tcW w:w="1260" w:type="dxa"/>
            <w:vAlign w:val="bottom"/>
          </w:tcPr>
          <w:p>
            <w:pPr>
              <w:jc w:val="right"/>
              <w:ind w:right="188"/>
              <w:spacing w:after="0"/>
              <w:rPr>
                <w:sz w:val="20"/>
                <w:szCs w:val="20"/>
                <w:color w:val="auto"/>
              </w:rPr>
            </w:pPr>
            <w:r>
              <w:rPr>
                <w:rFonts w:ascii="Arial" w:cs="Arial" w:eastAsia="Arial" w:hAnsi="Arial"/>
                <w:sz w:val="14"/>
                <w:szCs w:val="14"/>
                <w:color w:val="auto"/>
              </w:rPr>
              <w:t>$39,300</w:t>
            </w: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$39,300</w:t>
            </w:r>
          </w:p>
        </w:tc>
        <w:tc>
          <w:tcPr>
            <w:tcW w:w="1260" w:type="dxa"/>
            <w:vAlign w:val="bottom"/>
          </w:tcPr>
          <w:p>
            <w:pPr>
              <w:jc w:val="right"/>
              <w:ind w:right="248"/>
              <w:spacing w:after="0"/>
              <w:rPr>
                <w:sz w:val="20"/>
                <w:szCs w:val="20"/>
                <w:color w:val="auto"/>
              </w:rPr>
            </w:pPr>
            <w:r>
              <w:rPr>
                <w:rFonts w:ascii="Arial" w:cs="Arial" w:eastAsia="Arial" w:hAnsi="Arial"/>
                <w:sz w:val="14"/>
                <w:szCs w:val="14"/>
                <w:color w:val="auto"/>
              </w:rPr>
              <w:t>$75,903</w:t>
            </w:r>
          </w:p>
        </w:tc>
        <w:tc>
          <w:tcPr>
            <w:tcW w:w="1220" w:type="dxa"/>
            <w:vAlign w:val="bottom"/>
          </w:tcPr>
          <w:p>
            <w:pPr>
              <w:ind w:left="960"/>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268"/>
              <w:spacing w:after="0"/>
              <w:rPr>
                <w:sz w:val="20"/>
                <w:szCs w:val="20"/>
                <w:color w:val="auto"/>
              </w:rPr>
            </w:pPr>
            <w:r>
              <w:rPr>
                <w:rFonts w:ascii="Arial" w:cs="Arial" w:eastAsia="Arial" w:hAnsi="Arial"/>
                <w:sz w:val="14"/>
                <w:szCs w:val="14"/>
                <w:color w:val="auto"/>
              </w:rPr>
              <w:t>$458,357</w:t>
            </w:r>
          </w:p>
        </w:tc>
        <w:tc>
          <w:tcPr>
            <w:tcW w:w="0" w:type="dxa"/>
            <w:vAlign w:val="bottom"/>
          </w:tcPr>
          <w:p>
            <w:pPr>
              <w:spacing w:after="0"/>
              <w:rPr>
                <w:sz w:val="1"/>
                <w:szCs w:val="1"/>
                <w:color w:val="auto"/>
              </w:rPr>
            </w:pPr>
          </w:p>
        </w:tc>
      </w:tr>
      <w:tr>
        <w:trPr>
          <w:trHeight w:val="22"/>
        </w:trPr>
        <w:tc>
          <w:tcPr>
            <w:tcW w:w="10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040" w:type="dxa"/>
            <w:vAlign w:val="bottom"/>
            <w:shd w:val="clear" w:color="auto" w:fill="F2F2F2"/>
          </w:tcPr>
          <w:p>
            <w:pPr>
              <w:ind w:left="20"/>
              <w:spacing w:after="0"/>
              <w:rPr>
                <w:sz w:val="20"/>
                <w:szCs w:val="20"/>
                <w:color w:val="auto"/>
              </w:rPr>
            </w:pPr>
            <w:r>
              <w:rPr>
                <w:rFonts w:ascii="Arial" w:cs="Arial" w:eastAsia="Arial" w:hAnsi="Arial"/>
                <w:sz w:val="14"/>
                <w:szCs w:val="14"/>
                <w:color w:val="auto"/>
              </w:rPr>
              <w:t>Mr. Van</w:t>
            </w:r>
          </w:p>
        </w:tc>
        <w:tc>
          <w:tcPr>
            <w:tcW w:w="1700" w:type="dxa"/>
            <w:vAlign w:val="bottom"/>
            <w:shd w:val="clear" w:color="auto" w:fill="F2F2F2"/>
          </w:tcPr>
          <w:p>
            <w:pPr>
              <w:ind w:left="20"/>
              <w:spacing w:after="0"/>
              <w:rPr>
                <w:sz w:val="20"/>
                <w:szCs w:val="20"/>
                <w:color w:val="auto"/>
              </w:rPr>
            </w:pPr>
            <w:r>
              <w:rPr>
                <w:rFonts w:ascii="Arial" w:cs="Arial" w:eastAsia="Arial" w:hAnsi="Arial"/>
                <w:sz w:val="14"/>
                <w:szCs w:val="14"/>
                <w:color w:val="auto"/>
              </w:rPr>
              <w:t>Nonqualified Savings</w:t>
            </w:r>
          </w:p>
        </w:tc>
        <w:tc>
          <w:tcPr>
            <w:tcW w:w="1260" w:type="dxa"/>
            <w:vAlign w:val="bottom"/>
            <w:shd w:val="clear" w:color="auto" w:fill="F2F2F2"/>
          </w:tcPr>
          <w:p>
            <w:pPr>
              <w:jc w:val="right"/>
              <w:ind w:right="188"/>
              <w:spacing w:after="0"/>
              <w:rPr>
                <w:sz w:val="20"/>
                <w:szCs w:val="20"/>
                <w:color w:val="auto"/>
              </w:rPr>
            </w:pPr>
            <w:r>
              <w:rPr>
                <w:rFonts w:ascii="Arial" w:cs="Arial" w:eastAsia="Arial" w:hAnsi="Arial"/>
                <w:sz w:val="14"/>
                <w:szCs w:val="14"/>
                <w:color w:val="auto"/>
              </w:rPr>
              <w:t>$32,723</w:t>
            </w:r>
          </w:p>
        </w:tc>
        <w:tc>
          <w:tcPr>
            <w:tcW w:w="1280" w:type="dxa"/>
            <w:vAlign w:val="bottom"/>
            <w:shd w:val="clear" w:color="auto" w:fill="F2F2F2"/>
          </w:tcPr>
          <w:p>
            <w:pPr>
              <w:jc w:val="right"/>
              <w:ind w:right="8"/>
              <w:spacing w:after="0"/>
              <w:rPr>
                <w:sz w:val="20"/>
                <w:szCs w:val="20"/>
                <w:color w:val="auto"/>
              </w:rPr>
            </w:pPr>
            <w:r>
              <w:rPr>
                <w:rFonts w:ascii="Arial" w:cs="Arial" w:eastAsia="Arial" w:hAnsi="Arial"/>
                <w:sz w:val="14"/>
                <w:szCs w:val="14"/>
                <w:color w:val="auto"/>
              </w:rPr>
              <w:t>$32,723</w:t>
            </w:r>
          </w:p>
        </w:tc>
        <w:tc>
          <w:tcPr>
            <w:tcW w:w="1260" w:type="dxa"/>
            <w:vAlign w:val="bottom"/>
            <w:shd w:val="clear" w:color="auto" w:fill="F2F2F2"/>
          </w:tcPr>
          <w:p>
            <w:pPr>
              <w:jc w:val="right"/>
              <w:ind w:right="248"/>
              <w:spacing w:after="0"/>
              <w:rPr>
                <w:sz w:val="20"/>
                <w:szCs w:val="20"/>
                <w:color w:val="auto"/>
              </w:rPr>
            </w:pPr>
            <w:r>
              <w:rPr>
                <w:rFonts w:ascii="Arial" w:cs="Arial" w:eastAsia="Arial" w:hAnsi="Arial"/>
                <w:sz w:val="14"/>
                <w:szCs w:val="14"/>
                <w:color w:val="auto"/>
              </w:rPr>
              <w:t>$26,280</w:t>
            </w:r>
          </w:p>
        </w:tc>
        <w:tc>
          <w:tcPr>
            <w:tcW w:w="1220" w:type="dxa"/>
            <w:vAlign w:val="bottom"/>
            <w:shd w:val="clear" w:color="auto" w:fill="F2F2F2"/>
          </w:tcPr>
          <w:p>
            <w:pPr>
              <w:ind w:left="960"/>
              <w:spacing w:after="0"/>
              <w:rPr>
                <w:sz w:val="20"/>
                <w:szCs w:val="20"/>
                <w:color w:val="auto"/>
              </w:rPr>
            </w:pPr>
            <w:r>
              <w:rPr>
                <w:rFonts w:ascii="Arial" w:cs="Arial" w:eastAsia="Arial" w:hAnsi="Arial"/>
                <w:sz w:val="14"/>
                <w:szCs w:val="14"/>
                <w:color w:val="auto"/>
              </w:rPr>
              <w:t>—</w:t>
            </w:r>
          </w:p>
        </w:tc>
        <w:tc>
          <w:tcPr>
            <w:tcW w:w="1260" w:type="dxa"/>
            <w:vAlign w:val="bottom"/>
            <w:shd w:val="clear" w:color="auto" w:fill="F2F2F2"/>
          </w:tcPr>
          <w:p>
            <w:pPr>
              <w:jc w:val="right"/>
              <w:ind w:right="268"/>
              <w:spacing w:after="0"/>
              <w:rPr>
                <w:sz w:val="20"/>
                <w:szCs w:val="20"/>
                <w:color w:val="auto"/>
              </w:rPr>
            </w:pPr>
            <w:r>
              <w:rPr>
                <w:rFonts w:ascii="Arial" w:cs="Arial" w:eastAsia="Arial" w:hAnsi="Arial"/>
                <w:sz w:val="14"/>
                <w:szCs w:val="14"/>
                <w:color w:val="auto"/>
              </w:rPr>
              <w:t>$244,777</w:t>
            </w:r>
          </w:p>
        </w:tc>
        <w:tc>
          <w:tcPr>
            <w:tcW w:w="0" w:type="dxa"/>
            <w:vAlign w:val="bottom"/>
          </w:tcPr>
          <w:p>
            <w:pPr>
              <w:spacing w:after="0"/>
              <w:rPr>
                <w:sz w:val="1"/>
                <w:szCs w:val="1"/>
                <w:color w:val="auto"/>
              </w:rPr>
            </w:pPr>
          </w:p>
        </w:tc>
      </w:tr>
      <w:tr>
        <w:trPr>
          <w:trHeight w:val="190"/>
        </w:trPr>
        <w:tc>
          <w:tcPr>
            <w:tcW w:w="1040" w:type="dxa"/>
            <w:vAlign w:val="bottom"/>
            <w:shd w:val="clear" w:color="auto" w:fill="F2F2F2"/>
          </w:tcPr>
          <w:p>
            <w:pPr>
              <w:ind w:left="20"/>
              <w:spacing w:after="0"/>
              <w:rPr>
                <w:sz w:val="20"/>
                <w:szCs w:val="20"/>
                <w:color w:val="auto"/>
              </w:rPr>
            </w:pPr>
            <w:r>
              <w:rPr>
                <w:rFonts w:ascii="Arial" w:cs="Arial" w:eastAsia="Arial" w:hAnsi="Arial"/>
                <w:sz w:val="14"/>
                <w:szCs w:val="14"/>
                <w:color w:val="auto"/>
              </w:rPr>
              <w:t>Naarden</w:t>
            </w:r>
          </w:p>
        </w:tc>
        <w:tc>
          <w:tcPr>
            <w:tcW w:w="1700" w:type="dxa"/>
            <w:vAlign w:val="bottom"/>
            <w:shd w:val="clear" w:color="auto" w:fill="F2F2F2"/>
          </w:tcPr>
          <w:p>
            <w:pPr>
              <w:ind w:left="20"/>
              <w:spacing w:after="0"/>
              <w:rPr>
                <w:sz w:val="20"/>
                <w:szCs w:val="20"/>
                <w:color w:val="auto"/>
              </w:rPr>
            </w:pPr>
            <w:r>
              <w:rPr>
                <w:rFonts w:ascii="Arial" w:cs="Arial" w:eastAsia="Arial" w:hAnsi="Arial"/>
                <w:sz w:val="14"/>
                <w:szCs w:val="14"/>
                <w:color w:val="auto"/>
              </w:rPr>
              <w:t>Plan</w:t>
            </w:r>
          </w:p>
        </w:tc>
        <w:tc>
          <w:tcPr>
            <w:tcW w:w="1260" w:type="dxa"/>
            <w:vAlign w:val="bottom"/>
            <w:shd w:val="clear" w:color="auto" w:fill="F2F2F2"/>
          </w:tcPr>
          <w:p>
            <w:pPr>
              <w:spacing w:after="0"/>
              <w:rPr>
                <w:sz w:val="16"/>
                <w:szCs w:val="16"/>
                <w:color w:val="auto"/>
              </w:rPr>
            </w:pPr>
          </w:p>
        </w:tc>
        <w:tc>
          <w:tcPr>
            <w:tcW w:w="1280" w:type="dxa"/>
            <w:vAlign w:val="bottom"/>
            <w:shd w:val="clear" w:color="auto" w:fill="F2F2F2"/>
          </w:tcPr>
          <w:p>
            <w:pPr>
              <w:spacing w:after="0"/>
              <w:rPr>
                <w:sz w:val="16"/>
                <w:szCs w:val="16"/>
                <w:color w:val="auto"/>
              </w:rPr>
            </w:pPr>
          </w:p>
        </w:tc>
        <w:tc>
          <w:tcPr>
            <w:tcW w:w="1260" w:type="dxa"/>
            <w:vAlign w:val="bottom"/>
            <w:shd w:val="clear" w:color="auto" w:fill="F2F2F2"/>
          </w:tcPr>
          <w:p>
            <w:pPr>
              <w:spacing w:after="0"/>
              <w:rPr>
                <w:sz w:val="16"/>
                <w:szCs w:val="16"/>
                <w:color w:val="auto"/>
              </w:rPr>
            </w:pPr>
          </w:p>
        </w:tc>
        <w:tc>
          <w:tcPr>
            <w:tcW w:w="1220" w:type="dxa"/>
            <w:vAlign w:val="bottom"/>
            <w:shd w:val="clear" w:color="auto" w:fill="F2F2F2"/>
          </w:tcPr>
          <w:p>
            <w:pPr>
              <w:spacing w:after="0"/>
              <w:rPr>
                <w:sz w:val="16"/>
                <w:szCs w:val="16"/>
                <w:color w:val="auto"/>
              </w:rPr>
            </w:pPr>
          </w:p>
        </w:tc>
        <w:tc>
          <w:tcPr>
            <w:tcW w:w="1260" w:type="dxa"/>
            <w:vAlign w:val="bottom"/>
            <w:shd w:val="clear" w:color="auto" w:fill="F2F2F2"/>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040" w:type="dxa"/>
            <w:vAlign w:val="bottom"/>
            <w:shd w:val="clear" w:color="auto" w:fill="F2F2F2"/>
          </w:tcPr>
          <w:p>
            <w:pPr>
              <w:spacing w:after="0"/>
              <w:rPr>
                <w:sz w:val="18"/>
                <w:szCs w:val="18"/>
                <w:color w:val="auto"/>
              </w:rPr>
            </w:pPr>
          </w:p>
        </w:tc>
        <w:tc>
          <w:tcPr>
            <w:tcW w:w="1700" w:type="dxa"/>
            <w:vAlign w:val="bottom"/>
            <w:shd w:val="clear" w:color="auto" w:fill="F2F2F2"/>
          </w:tcPr>
          <w:p>
            <w:pPr>
              <w:ind w:left="20"/>
              <w:spacing w:after="0"/>
              <w:rPr>
                <w:sz w:val="20"/>
                <w:szCs w:val="20"/>
                <w:color w:val="auto"/>
              </w:rPr>
            </w:pPr>
            <w:r>
              <w:rPr>
                <w:rFonts w:ascii="Arial" w:cs="Arial" w:eastAsia="Arial" w:hAnsi="Arial"/>
                <w:sz w:val="14"/>
                <w:szCs w:val="14"/>
                <w:color w:val="auto"/>
              </w:rPr>
              <w:t>Deferred Compensation</w:t>
            </w:r>
          </w:p>
        </w:tc>
        <w:tc>
          <w:tcPr>
            <w:tcW w:w="1260" w:type="dxa"/>
            <w:vAlign w:val="bottom"/>
            <w:shd w:val="clear" w:color="auto" w:fill="F2F2F2"/>
          </w:tcPr>
          <w:p>
            <w:pPr>
              <w:jc w:val="right"/>
              <w:ind w:right="188"/>
              <w:spacing w:after="0"/>
              <w:rPr>
                <w:sz w:val="20"/>
                <w:szCs w:val="20"/>
                <w:color w:val="auto"/>
              </w:rPr>
            </w:pPr>
            <w:r>
              <w:rPr>
                <w:rFonts w:ascii="Arial" w:cs="Arial" w:eastAsia="Arial" w:hAnsi="Arial"/>
                <w:sz w:val="14"/>
                <w:szCs w:val="14"/>
                <w:color w:val="auto"/>
              </w:rPr>
              <w:t>—</w:t>
            </w:r>
          </w:p>
        </w:tc>
        <w:tc>
          <w:tcPr>
            <w:tcW w:w="1280" w:type="dxa"/>
            <w:vAlign w:val="bottom"/>
            <w:shd w:val="clear" w:color="auto" w:fill="F2F2F2"/>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shd w:val="clear" w:color="auto" w:fill="F2F2F2"/>
          </w:tcPr>
          <w:p>
            <w:pPr>
              <w:jc w:val="right"/>
              <w:ind w:right="248"/>
              <w:spacing w:after="0"/>
              <w:rPr>
                <w:sz w:val="20"/>
                <w:szCs w:val="20"/>
                <w:color w:val="auto"/>
              </w:rPr>
            </w:pPr>
            <w:r>
              <w:rPr>
                <w:rFonts w:ascii="Arial" w:cs="Arial" w:eastAsia="Arial" w:hAnsi="Arial"/>
                <w:sz w:val="14"/>
                <w:szCs w:val="14"/>
                <w:color w:val="auto"/>
              </w:rPr>
              <w:t>—</w:t>
            </w:r>
          </w:p>
        </w:tc>
        <w:tc>
          <w:tcPr>
            <w:tcW w:w="1220" w:type="dxa"/>
            <w:vAlign w:val="bottom"/>
            <w:shd w:val="clear" w:color="auto" w:fill="F2F2F2"/>
          </w:tcPr>
          <w:p>
            <w:pPr>
              <w:ind w:left="960"/>
              <w:spacing w:after="0"/>
              <w:rPr>
                <w:sz w:val="20"/>
                <w:szCs w:val="20"/>
                <w:color w:val="auto"/>
              </w:rPr>
            </w:pPr>
            <w:r>
              <w:rPr>
                <w:rFonts w:ascii="Arial" w:cs="Arial" w:eastAsia="Arial" w:hAnsi="Arial"/>
                <w:sz w:val="14"/>
                <w:szCs w:val="14"/>
                <w:color w:val="auto"/>
              </w:rPr>
              <w:t>—</w:t>
            </w:r>
          </w:p>
        </w:tc>
        <w:tc>
          <w:tcPr>
            <w:tcW w:w="1260" w:type="dxa"/>
            <w:vAlign w:val="bottom"/>
            <w:shd w:val="clear" w:color="auto" w:fill="F2F2F2"/>
          </w:tcPr>
          <w:p>
            <w:pPr>
              <w:jc w:val="right"/>
              <w:ind w:right="2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1040" w:type="dxa"/>
            <w:vAlign w:val="bottom"/>
            <w:shd w:val="clear" w:color="auto" w:fill="F2F2F2"/>
          </w:tcPr>
          <w:p>
            <w:pPr>
              <w:spacing w:after="0"/>
              <w:rPr>
                <w:sz w:val="16"/>
                <w:szCs w:val="16"/>
                <w:color w:val="auto"/>
              </w:rPr>
            </w:pPr>
          </w:p>
        </w:tc>
        <w:tc>
          <w:tcPr>
            <w:tcW w:w="1700" w:type="dxa"/>
            <w:vAlign w:val="bottom"/>
            <w:shd w:val="clear" w:color="auto" w:fill="F2F2F2"/>
          </w:tcPr>
          <w:p>
            <w:pPr>
              <w:ind w:left="20"/>
              <w:spacing w:after="0"/>
              <w:rPr>
                <w:sz w:val="20"/>
                <w:szCs w:val="20"/>
                <w:color w:val="auto"/>
              </w:rPr>
            </w:pPr>
            <w:r>
              <w:rPr>
                <w:rFonts w:ascii="Arial" w:cs="Arial" w:eastAsia="Arial" w:hAnsi="Arial"/>
                <w:sz w:val="14"/>
                <w:szCs w:val="14"/>
                <w:color w:val="auto"/>
              </w:rPr>
              <w:t>Plan</w:t>
            </w:r>
          </w:p>
        </w:tc>
        <w:tc>
          <w:tcPr>
            <w:tcW w:w="1260" w:type="dxa"/>
            <w:vAlign w:val="bottom"/>
            <w:shd w:val="clear" w:color="auto" w:fill="F2F2F2"/>
          </w:tcPr>
          <w:p>
            <w:pPr>
              <w:spacing w:after="0"/>
              <w:rPr>
                <w:sz w:val="16"/>
                <w:szCs w:val="16"/>
                <w:color w:val="auto"/>
              </w:rPr>
            </w:pPr>
          </w:p>
        </w:tc>
        <w:tc>
          <w:tcPr>
            <w:tcW w:w="1280" w:type="dxa"/>
            <w:vAlign w:val="bottom"/>
            <w:shd w:val="clear" w:color="auto" w:fill="F2F2F2"/>
          </w:tcPr>
          <w:p>
            <w:pPr>
              <w:spacing w:after="0"/>
              <w:rPr>
                <w:sz w:val="16"/>
                <w:szCs w:val="16"/>
                <w:color w:val="auto"/>
              </w:rPr>
            </w:pPr>
          </w:p>
        </w:tc>
        <w:tc>
          <w:tcPr>
            <w:tcW w:w="1260" w:type="dxa"/>
            <w:vAlign w:val="bottom"/>
            <w:shd w:val="clear" w:color="auto" w:fill="F2F2F2"/>
          </w:tcPr>
          <w:p>
            <w:pPr>
              <w:spacing w:after="0"/>
              <w:rPr>
                <w:sz w:val="16"/>
                <w:szCs w:val="16"/>
                <w:color w:val="auto"/>
              </w:rPr>
            </w:pPr>
          </w:p>
        </w:tc>
        <w:tc>
          <w:tcPr>
            <w:tcW w:w="1220" w:type="dxa"/>
            <w:vAlign w:val="bottom"/>
            <w:shd w:val="clear" w:color="auto" w:fill="F2F2F2"/>
          </w:tcPr>
          <w:p>
            <w:pPr>
              <w:spacing w:after="0"/>
              <w:rPr>
                <w:sz w:val="16"/>
                <w:szCs w:val="16"/>
                <w:color w:val="auto"/>
              </w:rPr>
            </w:pPr>
          </w:p>
        </w:tc>
        <w:tc>
          <w:tcPr>
            <w:tcW w:w="1260" w:type="dxa"/>
            <w:vAlign w:val="bottom"/>
            <w:shd w:val="clear" w:color="auto" w:fill="F2F2F2"/>
          </w:tcPr>
          <w:p>
            <w:pPr>
              <w:spacing w:after="0"/>
              <w:rPr>
                <w:sz w:val="16"/>
                <w:szCs w:val="16"/>
                <w:color w:val="auto"/>
              </w:rPr>
            </w:pPr>
          </w:p>
        </w:tc>
        <w:tc>
          <w:tcPr>
            <w:tcW w:w="0" w:type="dxa"/>
            <w:vAlign w:val="bottom"/>
          </w:tcPr>
          <w:p>
            <w:pPr>
              <w:spacing w:after="0"/>
              <w:rPr>
                <w:sz w:val="1"/>
                <w:szCs w:val="1"/>
                <w:color w:val="auto"/>
              </w:rPr>
            </w:pPr>
          </w:p>
        </w:tc>
      </w:tr>
      <w:tr>
        <w:trPr>
          <w:trHeight w:val="258"/>
        </w:trPr>
        <w:tc>
          <w:tcPr>
            <w:tcW w:w="1040" w:type="dxa"/>
            <w:vAlign w:val="bottom"/>
            <w:tcBorders>
              <w:bottom w:val="single" w:sz="8" w:color="F2F2F2"/>
            </w:tcBorders>
            <w:shd w:val="clear" w:color="auto" w:fill="F2F2F2"/>
          </w:tcPr>
          <w:p>
            <w:pPr>
              <w:spacing w:after="0"/>
              <w:rPr>
                <w:sz w:val="22"/>
                <w:szCs w:val="22"/>
                <w:color w:val="auto"/>
              </w:rPr>
            </w:pPr>
          </w:p>
        </w:tc>
        <w:tc>
          <w:tcPr>
            <w:tcW w:w="1700" w:type="dxa"/>
            <w:vAlign w:val="bottom"/>
            <w:tcBorders>
              <w:bottom w:val="single" w:sz="8" w:color="F2F2F2"/>
            </w:tcBorders>
            <w:shd w:val="clear" w:color="auto" w:fill="F2F2F2"/>
          </w:tcPr>
          <w:p>
            <w:pPr>
              <w:ind w:left="1420"/>
              <w:spacing w:after="0"/>
              <w:rPr>
                <w:sz w:val="20"/>
                <w:szCs w:val="20"/>
                <w:color w:val="auto"/>
              </w:rPr>
            </w:pPr>
            <w:r>
              <w:rPr>
                <w:rFonts w:ascii="Arial" w:cs="Arial" w:eastAsia="Arial" w:hAnsi="Arial"/>
                <w:sz w:val="14"/>
                <w:szCs w:val="14"/>
                <w:color w:val="auto"/>
                <w:w w:val="98"/>
              </w:rPr>
              <w:t>total</w:t>
            </w:r>
          </w:p>
        </w:tc>
        <w:tc>
          <w:tcPr>
            <w:tcW w:w="1260" w:type="dxa"/>
            <w:vAlign w:val="bottom"/>
            <w:tcBorders>
              <w:bottom w:val="single" w:sz="8" w:color="F2F2F2"/>
            </w:tcBorders>
            <w:shd w:val="clear" w:color="auto" w:fill="F2F2F2"/>
          </w:tcPr>
          <w:p>
            <w:pPr>
              <w:jc w:val="right"/>
              <w:ind w:right="188"/>
              <w:spacing w:after="0"/>
              <w:rPr>
                <w:sz w:val="20"/>
                <w:szCs w:val="20"/>
                <w:color w:val="auto"/>
              </w:rPr>
            </w:pPr>
            <w:r>
              <w:rPr>
                <w:rFonts w:ascii="Arial" w:cs="Arial" w:eastAsia="Arial" w:hAnsi="Arial"/>
                <w:sz w:val="14"/>
                <w:szCs w:val="14"/>
                <w:color w:val="auto"/>
              </w:rPr>
              <w:t>$32,723</w:t>
            </w:r>
          </w:p>
        </w:tc>
        <w:tc>
          <w:tcPr>
            <w:tcW w:w="1280" w:type="dxa"/>
            <w:vAlign w:val="bottom"/>
            <w:tcBorders>
              <w:bottom w:val="single" w:sz="8" w:color="F2F2F2"/>
            </w:tcBorders>
            <w:shd w:val="clear" w:color="auto" w:fill="F2F2F2"/>
          </w:tcPr>
          <w:p>
            <w:pPr>
              <w:jc w:val="right"/>
              <w:ind w:right="8"/>
              <w:spacing w:after="0"/>
              <w:rPr>
                <w:sz w:val="20"/>
                <w:szCs w:val="20"/>
                <w:color w:val="auto"/>
              </w:rPr>
            </w:pPr>
            <w:r>
              <w:rPr>
                <w:rFonts w:ascii="Arial" w:cs="Arial" w:eastAsia="Arial" w:hAnsi="Arial"/>
                <w:sz w:val="14"/>
                <w:szCs w:val="14"/>
                <w:color w:val="auto"/>
              </w:rPr>
              <w:t>$32,723</w:t>
            </w:r>
          </w:p>
        </w:tc>
        <w:tc>
          <w:tcPr>
            <w:tcW w:w="1260" w:type="dxa"/>
            <w:vAlign w:val="bottom"/>
            <w:tcBorders>
              <w:bottom w:val="single" w:sz="8" w:color="F2F2F2"/>
            </w:tcBorders>
            <w:shd w:val="clear" w:color="auto" w:fill="F2F2F2"/>
          </w:tcPr>
          <w:p>
            <w:pPr>
              <w:jc w:val="right"/>
              <w:ind w:right="248"/>
              <w:spacing w:after="0"/>
              <w:rPr>
                <w:sz w:val="20"/>
                <w:szCs w:val="20"/>
                <w:color w:val="auto"/>
              </w:rPr>
            </w:pPr>
            <w:r>
              <w:rPr>
                <w:rFonts w:ascii="Arial" w:cs="Arial" w:eastAsia="Arial" w:hAnsi="Arial"/>
                <w:sz w:val="14"/>
                <w:szCs w:val="14"/>
                <w:color w:val="auto"/>
              </w:rPr>
              <w:t>$26,280</w:t>
            </w:r>
          </w:p>
        </w:tc>
        <w:tc>
          <w:tcPr>
            <w:tcW w:w="1220" w:type="dxa"/>
            <w:vAlign w:val="bottom"/>
            <w:tcBorders>
              <w:bottom w:val="single" w:sz="8" w:color="F2F2F2"/>
            </w:tcBorders>
            <w:shd w:val="clear" w:color="auto" w:fill="F2F2F2"/>
          </w:tcPr>
          <w:p>
            <w:pPr>
              <w:ind w:left="960"/>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F2F2F2"/>
            </w:tcBorders>
            <w:shd w:val="clear" w:color="auto" w:fill="F2F2F2"/>
          </w:tcPr>
          <w:p>
            <w:pPr>
              <w:jc w:val="right"/>
              <w:ind w:right="268"/>
              <w:spacing w:after="0"/>
              <w:rPr>
                <w:sz w:val="20"/>
                <w:szCs w:val="20"/>
                <w:color w:val="auto"/>
              </w:rPr>
            </w:pPr>
            <w:r>
              <w:rPr>
                <w:rFonts w:ascii="Arial" w:cs="Arial" w:eastAsia="Arial" w:hAnsi="Arial"/>
                <w:sz w:val="14"/>
                <w:szCs w:val="14"/>
                <w:color w:val="auto"/>
              </w:rPr>
              <w:t>$244,777</w:t>
            </w:r>
          </w:p>
        </w:tc>
        <w:tc>
          <w:tcPr>
            <w:tcW w:w="0" w:type="dxa"/>
            <w:vAlign w:val="bottom"/>
          </w:tcPr>
          <w:p>
            <w:pPr>
              <w:spacing w:after="0"/>
              <w:rPr>
                <w:sz w:val="1"/>
                <w:szCs w:val="1"/>
                <w:color w:val="auto"/>
              </w:rPr>
            </w:pPr>
          </w:p>
        </w:tc>
      </w:tr>
      <w:tr>
        <w:trPr>
          <w:trHeight w:val="193"/>
        </w:trPr>
        <w:tc>
          <w:tcPr>
            <w:tcW w:w="1040" w:type="dxa"/>
            <w:vAlign w:val="bottom"/>
          </w:tcPr>
          <w:p>
            <w:pPr>
              <w:ind w:left="20"/>
              <w:spacing w:after="0"/>
              <w:rPr>
                <w:sz w:val="20"/>
                <w:szCs w:val="20"/>
                <w:color w:val="auto"/>
              </w:rPr>
            </w:pPr>
            <w:r>
              <w:rPr>
                <w:rFonts w:ascii="Arial" w:cs="Arial" w:eastAsia="Arial" w:hAnsi="Arial"/>
                <w:sz w:val="14"/>
                <w:szCs w:val="14"/>
                <w:color w:val="auto"/>
              </w:rPr>
              <w:t>Mr. Brooks</w:t>
            </w:r>
          </w:p>
        </w:tc>
        <w:tc>
          <w:tcPr>
            <w:tcW w:w="1700" w:type="dxa"/>
            <w:vAlign w:val="bottom"/>
          </w:tcPr>
          <w:p>
            <w:pPr>
              <w:ind w:left="20"/>
              <w:spacing w:after="0"/>
              <w:rPr>
                <w:sz w:val="20"/>
                <w:szCs w:val="20"/>
                <w:color w:val="auto"/>
              </w:rPr>
            </w:pPr>
            <w:r>
              <w:rPr>
                <w:rFonts w:ascii="Arial" w:cs="Arial" w:eastAsia="Arial" w:hAnsi="Arial"/>
                <w:sz w:val="14"/>
                <w:szCs w:val="14"/>
                <w:color w:val="auto"/>
              </w:rPr>
              <w:t>Nonqualified Savings</w:t>
            </w:r>
          </w:p>
        </w:tc>
        <w:tc>
          <w:tcPr>
            <w:tcW w:w="1260" w:type="dxa"/>
            <w:vAlign w:val="bottom"/>
          </w:tcPr>
          <w:p>
            <w:pPr>
              <w:jc w:val="right"/>
              <w:ind w:right="188"/>
              <w:spacing w:after="0"/>
              <w:rPr>
                <w:sz w:val="20"/>
                <w:szCs w:val="20"/>
                <w:color w:val="auto"/>
              </w:rPr>
            </w:pPr>
            <w:r>
              <w:rPr>
                <w:rFonts w:ascii="Arial" w:cs="Arial" w:eastAsia="Arial" w:hAnsi="Arial"/>
                <w:sz w:val="14"/>
                <w:szCs w:val="14"/>
                <w:color w:val="auto"/>
              </w:rPr>
              <w:t>$12,797</w:t>
            </w: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$12,797</w:t>
            </w:r>
          </w:p>
        </w:tc>
        <w:tc>
          <w:tcPr>
            <w:tcW w:w="1260" w:type="dxa"/>
            <w:vAlign w:val="bottom"/>
          </w:tcPr>
          <w:p>
            <w:pPr>
              <w:jc w:val="right"/>
              <w:ind w:right="248"/>
              <w:spacing w:after="0"/>
              <w:rPr>
                <w:sz w:val="20"/>
                <w:szCs w:val="20"/>
                <w:color w:val="auto"/>
              </w:rPr>
            </w:pPr>
            <w:r>
              <w:rPr>
                <w:rFonts w:ascii="Arial" w:cs="Arial" w:eastAsia="Arial" w:hAnsi="Arial"/>
                <w:sz w:val="14"/>
                <w:szCs w:val="14"/>
                <w:color w:val="auto"/>
              </w:rPr>
              <w:t>$188,552</w:t>
            </w:r>
          </w:p>
        </w:tc>
        <w:tc>
          <w:tcPr>
            <w:tcW w:w="1220" w:type="dxa"/>
            <w:vAlign w:val="bottom"/>
          </w:tcPr>
          <w:p>
            <w:pPr>
              <w:ind w:left="960"/>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268"/>
              <w:spacing w:after="0"/>
              <w:rPr>
                <w:sz w:val="20"/>
                <w:szCs w:val="20"/>
                <w:color w:val="auto"/>
              </w:rPr>
            </w:pPr>
            <w:r>
              <w:rPr>
                <w:rFonts w:ascii="Arial" w:cs="Arial" w:eastAsia="Arial" w:hAnsi="Arial"/>
                <w:sz w:val="14"/>
                <w:szCs w:val="14"/>
                <w:color w:val="auto"/>
              </w:rPr>
              <w:t>$890,082</w:t>
            </w:r>
          </w:p>
        </w:tc>
        <w:tc>
          <w:tcPr>
            <w:tcW w:w="0" w:type="dxa"/>
            <w:vAlign w:val="bottom"/>
          </w:tcPr>
          <w:p>
            <w:pPr>
              <w:spacing w:after="0"/>
              <w:rPr>
                <w:sz w:val="1"/>
                <w:szCs w:val="1"/>
                <w:color w:val="auto"/>
              </w:rPr>
            </w:pPr>
          </w:p>
        </w:tc>
      </w:tr>
      <w:tr>
        <w:trPr>
          <w:trHeight w:val="190"/>
        </w:trPr>
        <w:tc>
          <w:tcPr>
            <w:tcW w:w="1040" w:type="dxa"/>
            <w:vAlign w:val="bottom"/>
          </w:tcPr>
          <w:p>
            <w:pPr>
              <w:spacing w:after="0"/>
              <w:rPr>
                <w:sz w:val="16"/>
                <w:szCs w:val="16"/>
                <w:color w:val="auto"/>
              </w:rPr>
            </w:pPr>
          </w:p>
        </w:tc>
        <w:tc>
          <w:tcPr>
            <w:tcW w:w="1700" w:type="dxa"/>
            <w:vAlign w:val="bottom"/>
          </w:tcPr>
          <w:p>
            <w:pPr>
              <w:ind w:left="20"/>
              <w:spacing w:after="0"/>
              <w:rPr>
                <w:sz w:val="20"/>
                <w:szCs w:val="20"/>
                <w:color w:val="auto"/>
              </w:rPr>
            </w:pPr>
            <w:r>
              <w:rPr>
                <w:rFonts w:ascii="Arial" w:cs="Arial" w:eastAsia="Arial" w:hAnsi="Arial"/>
                <w:sz w:val="14"/>
                <w:szCs w:val="14"/>
                <w:color w:val="auto"/>
              </w:rPr>
              <w:t>Plan</w:t>
            </w:r>
          </w:p>
        </w:tc>
        <w:tc>
          <w:tcPr>
            <w:tcW w:w="1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040" w:type="dxa"/>
            <w:vAlign w:val="bottom"/>
          </w:tcPr>
          <w:p>
            <w:pPr>
              <w:spacing w:after="0"/>
              <w:rPr>
                <w:sz w:val="18"/>
                <w:szCs w:val="18"/>
                <w:color w:val="auto"/>
              </w:rPr>
            </w:pPr>
          </w:p>
        </w:tc>
        <w:tc>
          <w:tcPr>
            <w:tcW w:w="1700" w:type="dxa"/>
            <w:vAlign w:val="bottom"/>
          </w:tcPr>
          <w:p>
            <w:pPr>
              <w:ind w:left="20"/>
              <w:spacing w:after="0"/>
              <w:rPr>
                <w:sz w:val="20"/>
                <w:szCs w:val="20"/>
                <w:color w:val="auto"/>
              </w:rPr>
            </w:pPr>
            <w:r>
              <w:rPr>
                <w:rFonts w:ascii="Arial" w:cs="Arial" w:eastAsia="Arial" w:hAnsi="Arial"/>
                <w:sz w:val="14"/>
                <w:szCs w:val="14"/>
                <w:color w:val="auto"/>
              </w:rPr>
              <w:t>Deferred Compensation</w:t>
            </w:r>
          </w:p>
        </w:tc>
        <w:tc>
          <w:tcPr>
            <w:tcW w:w="12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220" w:type="dxa"/>
            <w:vAlign w:val="bottom"/>
          </w:tcPr>
          <w:p>
            <w:pPr>
              <w:ind w:left="960"/>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1040" w:type="dxa"/>
            <w:vAlign w:val="bottom"/>
          </w:tcPr>
          <w:p>
            <w:pPr>
              <w:spacing w:after="0"/>
              <w:rPr>
                <w:sz w:val="16"/>
                <w:szCs w:val="16"/>
                <w:color w:val="auto"/>
              </w:rPr>
            </w:pPr>
          </w:p>
        </w:tc>
        <w:tc>
          <w:tcPr>
            <w:tcW w:w="1700" w:type="dxa"/>
            <w:vAlign w:val="bottom"/>
          </w:tcPr>
          <w:p>
            <w:pPr>
              <w:ind w:left="20"/>
              <w:spacing w:after="0"/>
              <w:rPr>
                <w:sz w:val="20"/>
                <w:szCs w:val="20"/>
                <w:color w:val="auto"/>
              </w:rPr>
            </w:pPr>
            <w:r>
              <w:rPr>
                <w:rFonts w:ascii="Arial" w:cs="Arial" w:eastAsia="Arial" w:hAnsi="Arial"/>
                <w:sz w:val="14"/>
                <w:szCs w:val="14"/>
                <w:color w:val="auto"/>
              </w:rPr>
              <w:t>Plan</w:t>
            </w:r>
          </w:p>
        </w:tc>
        <w:tc>
          <w:tcPr>
            <w:tcW w:w="1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3"/>
                <w:szCs w:val="23"/>
                <w:color w:val="auto"/>
              </w:rPr>
            </w:pPr>
          </w:p>
        </w:tc>
        <w:tc>
          <w:tcPr>
            <w:tcW w:w="1700" w:type="dxa"/>
            <w:vAlign w:val="bottom"/>
          </w:tcPr>
          <w:p>
            <w:pPr>
              <w:ind w:left="1420"/>
              <w:spacing w:after="0"/>
              <w:rPr>
                <w:sz w:val="20"/>
                <w:szCs w:val="20"/>
                <w:color w:val="auto"/>
              </w:rPr>
            </w:pPr>
            <w:r>
              <w:rPr>
                <w:rFonts w:ascii="Arial" w:cs="Arial" w:eastAsia="Arial" w:hAnsi="Arial"/>
                <w:sz w:val="14"/>
                <w:szCs w:val="14"/>
                <w:color w:val="auto"/>
                <w:w w:val="98"/>
              </w:rPr>
              <w:t>total</w:t>
            </w:r>
          </w:p>
        </w:tc>
        <w:tc>
          <w:tcPr>
            <w:tcW w:w="1260" w:type="dxa"/>
            <w:vAlign w:val="bottom"/>
          </w:tcPr>
          <w:p>
            <w:pPr>
              <w:jc w:val="right"/>
              <w:ind w:right="188"/>
              <w:spacing w:after="0"/>
              <w:rPr>
                <w:sz w:val="20"/>
                <w:szCs w:val="20"/>
                <w:color w:val="auto"/>
              </w:rPr>
            </w:pPr>
            <w:r>
              <w:rPr>
                <w:rFonts w:ascii="Arial" w:cs="Arial" w:eastAsia="Arial" w:hAnsi="Arial"/>
                <w:sz w:val="14"/>
                <w:szCs w:val="14"/>
                <w:color w:val="auto"/>
              </w:rPr>
              <w:t>$12,797</w:t>
            </w: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$12,797</w:t>
            </w:r>
          </w:p>
        </w:tc>
        <w:tc>
          <w:tcPr>
            <w:tcW w:w="1260" w:type="dxa"/>
            <w:vAlign w:val="bottom"/>
          </w:tcPr>
          <w:p>
            <w:pPr>
              <w:jc w:val="right"/>
              <w:ind w:right="248"/>
              <w:spacing w:after="0"/>
              <w:rPr>
                <w:sz w:val="20"/>
                <w:szCs w:val="20"/>
                <w:color w:val="auto"/>
              </w:rPr>
            </w:pPr>
            <w:r>
              <w:rPr>
                <w:rFonts w:ascii="Arial" w:cs="Arial" w:eastAsia="Arial" w:hAnsi="Arial"/>
                <w:sz w:val="14"/>
                <w:szCs w:val="14"/>
                <w:color w:val="auto"/>
              </w:rPr>
              <w:t>$188,552</w:t>
            </w:r>
          </w:p>
        </w:tc>
        <w:tc>
          <w:tcPr>
            <w:tcW w:w="1220" w:type="dxa"/>
            <w:vAlign w:val="bottom"/>
          </w:tcPr>
          <w:p>
            <w:pPr>
              <w:ind w:left="960"/>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268"/>
              <w:spacing w:after="0"/>
              <w:rPr>
                <w:sz w:val="20"/>
                <w:szCs w:val="20"/>
                <w:color w:val="auto"/>
              </w:rPr>
            </w:pPr>
            <w:r>
              <w:rPr>
                <w:rFonts w:ascii="Arial" w:cs="Arial" w:eastAsia="Arial" w:hAnsi="Arial"/>
                <w:sz w:val="14"/>
                <w:szCs w:val="14"/>
                <w:color w:val="auto"/>
              </w:rPr>
              <w:t>$890,082</w:t>
            </w:r>
          </w:p>
        </w:tc>
        <w:tc>
          <w:tcPr>
            <w:tcW w:w="0" w:type="dxa"/>
            <w:vAlign w:val="bottom"/>
          </w:tcPr>
          <w:p>
            <w:pPr>
              <w:spacing w:after="0"/>
              <w:rPr>
                <w:sz w:val="1"/>
                <w:szCs w:val="1"/>
                <w:color w:val="auto"/>
              </w:rPr>
            </w:pPr>
          </w:p>
        </w:tc>
      </w:tr>
      <w:tr>
        <w:trPr>
          <w:trHeight w:val="21"/>
        </w:trPr>
        <w:tc>
          <w:tcPr>
            <w:tcW w:w="10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040" w:type="dxa"/>
            <w:vAlign w:val="bottom"/>
            <w:shd w:val="clear" w:color="auto" w:fill="F2F2F2"/>
          </w:tcPr>
          <w:p>
            <w:pPr>
              <w:ind w:left="20"/>
              <w:spacing w:after="0"/>
              <w:rPr>
                <w:sz w:val="20"/>
                <w:szCs w:val="20"/>
                <w:color w:val="auto"/>
              </w:rPr>
            </w:pPr>
            <w:r>
              <w:rPr>
                <w:rFonts w:ascii="Arial" w:cs="Arial" w:eastAsia="Arial" w:hAnsi="Arial"/>
                <w:sz w:val="14"/>
                <w:szCs w:val="14"/>
                <w:color w:val="auto"/>
              </w:rPr>
              <w:t>Ms. Ashkenazi</w:t>
            </w:r>
          </w:p>
        </w:tc>
        <w:tc>
          <w:tcPr>
            <w:tcW w:w="1700" w:type="dxa"/>
            <w:vAlign w:val="bottom"/>
            <w:shd w:val="clear" w:color="auto" w:fill="F2F2F2"/>
          </w:tcPr>
          <w:p>
            <w:pPr>
              <w:ind w:left="20"/>
              <w:spacing w:after="0"/>
              <w:rPr>
                <w:sz w:val="20"/>
                <w:szCs w:val="20"/>
                <w:color w:val="auto"/>
              </w:rPr>
            </w:pPr>
            <w:r>
              <w:rPr>
                <w:rFonts w:ascii="Arial" w:cs="Arial" w:eastAsia="Arial" w:hAnsi="Arial"/>
                <w:sz w:val="14"/>
                <w:szCs w:val="14"/>
                <w:color w:val="auto"/>
              </w:rPr>
              <w:t>Nonqualified Savings</w:t>
            </w:r>
          </w:p>
        </w:tc>
        <w:tc>
          <w:tcPr>
            <w:tcW w:w="1260" w:type="dxa"/>
            <w:vAlign w:val="bottom"/>
            <w:shd w:val="clear" w:color="auto" w:fill="F2F2F2"/>
          </w:tcPr>
          <w:p>
            <w:pPr>
              <w:spacing w:after="0"/>
              <w:rPr>
                <w:sz w:val="16"/>
                <w:szCs w:val="16"/>
                <w:color w:val="auto"/>
              </w:rPr>
            </w:pPr>
          </w:p>
        </w:tc>
        <w:tc>
          <w:tcPr>
            <w:tcW w:w="1280" w:type="dxa"/>
            <w:vAlign w:val="bottom"/>
            <w:shd w:val="clear" w:color="auto" w:fill="F2F2F2"/>
          </w:tcPr>
          <w:p>
            <w:pPr>
              <w:spacing w:after="0"/>
              <w:rPr>
                <w:sz w:val="16"/>
                <w:szCs w:val="16"/>
                <w:color w:val="auto"/>
              </w:rPr>
            </w:pPr>
          </w:p>
        </w:tc>
        <w:tc>
          <w:tcPr>
            <w:tcW w:w="1260" w:type="dxa"/>
            <w:vAlign w:val="bottom"/>
            <w:shd w:val="clear" w:color="auto" w:fill="F2F2F2"/>
          </w:tcPr>
          <w:p>
            <w:pPr>
              <w:spacing w:after="0"/>
              <w:rPr>
                <w:sz w:val="16"/>
                <w:szCs w:val="16"/>
                <w:color w:val="auto"/>
              </w:rPr>
            </w:pPr>
          </w:p>
        </w:tc>
        <w:tc>
          <w:tcPr>
            <w:tcW w:w="1220" w:type="dxa"/>
            <w:vAlign w:val="bottom"/>
            <w:shd w:val="clear" w:color="auto" w:fill="F2F2F2"/>
          </w:tcPr>
          <w:p>
            <w:pPr>
              <w:ind w:left="960"/>
              <w:spacing w:after="0"/>
              <w:rPr>
                <w:sz w:val="20"/>
                <w:szCs w:val="20"/>
                <w:color w:val="auto"/>
              </w:rPr>
            </w:pPr>
            <w:r>
              <w:rPr>
                <w:rFonts w:ascii="Arial" w:cs="Arial" w:eastAsia="Arial" w:hAnsi="Arial"/>
                <w:sz w:val="14"/>
                <w:szCs w:val="14"/>
                <w:color w:val="auto"/>
              </w:rPr>
              <w:t>—</w:t>
            </w:r>
          </w:p>
        </w:tc>
        <w:tc>
          <w:tcPr>
            <w:tcW w:w="1260" w:type="dxa"/>
            <w:vAlign w:val="bottom"/>
            <w:shd w:val="clear" w:color="auto" w:fill="F2F2F2"/>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040" w:type="dxa"/>
            <w:vAlign w:val="bottom"/>
            <w:shd w:val="clear" w:color="auto" w:fill="F2F2F2"/>
          </w:tcPr>
          <w:p>
            <w:pPr>
              <w:spacing w:after="0"/>
              <w:rPr>
                <w:sz w:val="16"/>
                <w:szCs w:val="16"/>
                <w:color w:val="auto"/>
              </w:rPr>
            </w:pPr>
          </w:p>
        </w:tc>
        <w:tc>
          <w:tcPr>
            <w:tcW w:w="1700" w:type="dxa"/>
            <w:vAlign w:val="bottom"/>
            <w:shd w:val="clear" w:color="auto" w:fill="F2F2F2"/>
          </w:tcPr>
          <w:p>
            <w:pPr>
              <w:ind w:left="20"/>
              <w:spacing w:after="0"/>
              <w:rPr>
                <w:sz w:val="20"/>
                <w:szCs w:val="20"/>
                <w:color w:val="auto"/>
              </w:rPr>
            </w:pPr>
            <w:r>
              <w:rPr>
                <w:rFonts w:ascii="Arial" w:cs="Arial" w:eastAsia="Arial" w:hAnsi="Arial"/>
                <w:sz w:val="14"/>
                <w:szCs w:val="14"/>
                <w:color w:val="auto"/>
              </w:rPr>
              <w:t>Plan</w:t>
            </w:r>
          </w:p>
        </w:tc>
        <w:tc>
          <w:tcPr>
            <w:tcW w:w="1260" w:type="dxa"/>
            <w:vAlign w:val="bottom"/>
            <w:shd w:val="clear" w:color="auto" w:fill="F2F2F2"/>
          </w:tcPr>
          <w:p>
            <w:pPr>
              <w:jc w:val="right"/>
              <w:ind w:right="188"/>
              <w:spacing w:after="0"/>
              <w:rPr>
                <w:sz w:val="20"/>
                <w:szCs w:val="20"/>
                <w:color w:val="auto"/>
              </w:rPr>
            </w:pPr>
            <w:r>
              <w:rPr>
                <w:rFonts w:ascii="Arial" w:cs="Arial" w:eastAsia="Arial" w:hAnsi="Arial"/>
                <w:sz w:val="14"/>
                <w:szCs w:val="14"/>
                <w:color w:val="auto"/>
              </w:rPr>
              <w:t>$17,342</w:t>
            </w:r>
          </w:p>
        </w:tc>
        <w:tc>
          <w:tcPr>
            <w:tcW w:w="1280" w:type="dxa"/>
            <w:vAlign w:val="bottom"/>
            <w:shd w:val="clear" w:color="auto" w:fill="F2F2F2"/>
          </w:tcPr>
          <w:p>
            <w:pPr>
              <w:jc w:val="right"/>
              <w:ind w:right="8"/>
              <w:spacing w:after="0"/>
              <w:rPr>
                <w:sz w:val="20"/>
                <w:szCs w:val="20"/>
                <w:color w:val="auto"/>
              </w:rPr>
            </w:pPr>
            <w:r>
              <w:rPr>
                <w:rFonts w:ascii="Arial" w:cs="Arial" w:eastAsia="Arial" w:hAnsi="Arial"/>
                <w:sz w:val="14"/>
                <w:szCs w:val="14"/>
                <w:color w:val="auto"/>
              </w:rPr>
              <w:t>$17,342</w:t>
            </w:r>
          </w:p>
        </w:tc>
        <w:tc>
          <w:tcPr>
            <w:tcW w:w="1260" w:type="dxa"/>
            <w:vAlign w:val="bottom"/>
            <w:shd w:val="clear" w:color="auto" w:fill="F2F2F2"/>
          </w:tcPr>
          <w:p>
            <w:pPr>
              <w:jc w:val="right"/>
              <w:ind w:right="248"/>
              <w:spacing w:after="0"/>
              <w:rPr>
                <w:sz w:val="20"/>
                <w:szCs w:val="20"/>
                <w:color w:val="auto"/>
              </w:rPr>
            </w:pPr>
            <w:r>
              <w:rPr>
                <w:rFonts w:ascii="Arial" w:cs="Arial" w:eastAsia="Arial" w:hAnsi="Arial"/>
                <w:sz w:val="14"/>
                <w:szCs w:val="14"/>
                <w:color w:val="auto"/>
              </w:rPr>
              <w:t>$48,069</w:t>
            </w:r>
          </w:p>
        </w:tc>
        <w:tc>
          <w:tcPr>
            <w:tcW w:w="1220" w:type="dxa"/>
            <w:vAlign w:val="bottom"/>
            <w:shd w:val="clear" w:color="auto" w:fill="F2F2F2"/>
          </w:tcPr>
          <w:p>
            <w:pPr>
              <w:spacing w:after="0"/>
              <w:rPr>
                <w:sz w:val="16"/>
                <w:szCs w:val="16"/>
                <w:color w:val="auto"/>
              </w:rPr>
            </w:pPr>
          </w:p>
        </w:tc>
        <w:tc>
          <w:tcPr>
            <w:tcW w:w="1260" w:type="dxa"/>
            <w:vAlign w:val="bottom"/>
            <w:shd w:val="clear" w:color="auto" w:fill="F2F2F2"/>
          </w:tcPr>
          <w:p>
            <w:pPr>
              <w:jc w:val="right"/>
              <w:ind w:right="268"/>
              <w:spacing w:after="0"/>
              <w:rPr>
                <w:sz w:val="20"/>
                <w:szCs w:val="20"/>
                <w:color w:val="auto"/>
              </w:rPr>
            </w:pPr>
            <w:r>
              <w:rPr>
                <w:rFonts w:ascii="Arial" w:cs="Arial" w:eastAsia="Arial" w:hAnsi="Arial"/>
                <w:sz w:val="14"/>
                <w:szCs w:val="14"/>
                <w:color w:val="auto"/>
              </w:rPr>
              <w:t>$488,714</w:t>
            </w:r>
          </w:p>
        </w:tc>
        <w:tc>
          <w:tcPr>
            <w:tcW w:w="0" w:type="dxa"/>
            <w:vAlign w:val="bottom"/>
          </w:tcPr>
          <w:p>
            <w:pPr>
              <w:spacing w:after="0"/>
              <w:rPr>
                <w:sz w:val="1"/>
                <w:szCs w:val="1"/>
                <w:color w:val="auto"/>
              </w:rPr>
            </w:pPr>
          </w:p>
        </w:tc>
      </w:tr>
      <w:tr>
        <w:trPr>
          <w:trHeight w:val="215"/>
        </w:trPr>
        <w:tc>
          <w:tcPr>
            <w:tcW w:w="1040" w:type="dxa"/>
            <w:vAlign w:val="bottom"/>
            <w:shd w:val="clear" w:color="auto" w:fill="F2F2F2"/>
          </w:tcPr>
          <w:p>
            <w:pPr>
              <w:spacing w:after="0"/>
              <w:rPr>
                <w:sz w:val="18"/>
                <w:szCs w:val="18"/>
                <w:color w:val="auto"/>
              </w:rPr>
            </w:pPr>
          </w:p>
        </w:tc>
        <w:tc>
          <w:tcPr>
            <w:tcW w:w="1700" w:type="dxa"/>
            <w:vAlign w:val="bottom"/>
            <w:shd w:val="clear" w:color="auto" w:fill="F2F2F2"/>
          </w:tcPr>
          <w:p>
            <w:pPr>
              <w:ind w:left="20"/>
              <w:spacing w:after="0"/>
              <w:rPr>
                <w:sz w:val="20"/>
                <w:szCs w:val="20"/>
                <w:color w:val="auto"/>
              </w:rPr>
            </w:pPr>
            <w:r>
              <w:rPr>
                <w:rFonts w:ascii="Arial" w:cs="Arial" w:eastAsia="Arial" w:hAnsi="Arial"/>
                <w:sz w:val="14"/>
                <w:szCs w:val="14"/>
                <w:color w:val="auto"/>
              </w:rPr>
              <w:t>Deferred Compensation</w:t>
            </w:r>
          </w:p>
        </w:tc>
        <w:tc>
          <w:tcPr>
            <w:tcW w:w="1260" w:type="dxa"/>
            <w:vAlign w:val="bottom"/>
            <w:shd w:val="clear" w:color="auto" w:fill="F2F2F2"/>
          </w:tcPr>
          <w:p>
            <w:pPr>
              <w:spacing w:after="0"/>
              <w:rPr>
                <w:sz w:val="18"/>
                <w:szCs w:val="18"/>
                <w:color w:val="auto"/>
              </w:rPr>
            </w:pPr>
          </w:p>
        </w:tc>
        <w:tc>
          <w:tcPr>
            <w:tcW w:w="1280" w:type="dxa"/>
            <w:vAlign w:val="bottom"/>
            <w:shd w:val="clear" w:color="auto" w:fill="F2F2F2"/>
          </w:tcPr>
          <w:p>
            <w:pPr>
              <w:spacing w:after="0"/>
              <w:rPr>
                <w:sz w:val="18"/>
                <w:szCs w:val="18"/>
                <w:color w:val="auto"/>
              </w:rPr>
            </w:pPr>
          </w:p>
        </w:tc>
        <w:tc>
          <w:tcPr>
            <w:tcW w:w="1260" w:type="dxa"/>
            <w:vAlign w:val="bottom"/>
            <w:shd w:val="clear" w:color="auto" w:fill="F2F2F2"/>
          </w:tcPr>
          <w:p>
            <w:pPr>
              <w:spacing w:after="0"/>
              <w:rPr>
                <w:sz w:val="18"/>
                <w:szCs w:val="18"/>
                <w:color w:val="auto"/>
              </w:rPr>
            </w:pPr>
          </w:p>
        </w:tc>
        <w:tc>
          <w:tcPr>
            <w:tcW w:w="1220" w:type="dxa"/>
            <w:vAlign w:val="bottom"/>
            <w:shd w:val="clear" w:color="auto" w:fill="F2F2F2"/>
          </w:tcPr>
          <w:p>
            <w:pPr>
              <w:spacing w:after="0"/>
              <w:rPr>
                <w:sz w:val="18"/>
                <w:szCs w:val="18"/>
                <w:color w:val="auto"/>
              </w:rPr>
            </w:pPr>
          </w:p>
        </w:tc>
        <w:tc>
          <w:tcPr>
            <w:tcW w:w="1260" w:type="dxa"/>
            <w:vAlign w:val="bottom"/>
            <w:shd w:val="clear" w:color="auto" w:fill="F2F2F2"/>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040" w:type="dxa"/>
            <w:vAlign w:val="bottom"/>
            <w:shd w:val="clear" w:color="auto" w:fill="F2F2F2"/>
          </w:tcPr>
          <w:p>
            <w:pPr>
              <w:spacing w:after="0"/>
              <w:rPr>
                <w:sz w:val="16"/>
                <w:szCs w:val="16"/>
                <w:color w:val="auto"/>
              </w:rPr>
            </w:pPr>
          </w:p>
        </w:tc>
        <w:tc>
          <w:tcPr>
            <w:tcW w:w="1700" w:type="dxa"/>
            <w:vAlign w:val="bottom"/>
            <w:shd w:val="clear" w:color="auto" w:fill="F2F2F2"/>
          </w:tcPr>
          <w:p>
            <w:pPr>
              <w:ind w:left="20"/>
              <w:spacing w:after="0"/>
              <w:rPr>
                <w:sz w:val="20"/>
                <w:szCs w:val="20"/>
                <w:color w:val="auto"/>
              </w:rPr>
            </w:pPr>
            <w:r>
              <w:rPr>
                <w:rFonts w:ascii="Arial" w:cs="Arial" w:eastAsia="Arial" w:hAnsi="Arial"/>
                <w:sz w:val="14"/>
                <w:szCs w:val="14"/>
                <w:color w:val="auto"/>
              </w:rPr>
              <w:t>Plan</w:t>
            </w:r>
          </w:p>
        </w:tc>
        <w:tc>
          <w:tcPr>
            <w:tcW w:w="1260" w:type="dxa"/>
            <w:vAlign w:val="bottom"/>
            <w:shd w:val="clear" w:color="auto" w:fill="F2F2F2"/>
          </w:tcPr>
          <w:p>
            <w:pPr>
              <w:jc w:val="right"/>
              <w:ind w:right="188"/>
              <w:spacing w:after="0"/>
              <w:rPr>
                <w:sz w:val="20"/>
                <w:szCs w:val="20"/>
                <w:color w:val="auto"/>
              </w:rPr>
            </w:pPr>
            <w:r>
              <w:rPr>
                <w:rFonts w:ascii="Arial" w:cs="Arial" w:eastAsia="Arial" w:hAnsi="Arial"/>
                <w:sz w:val="14"/>
                <w:szCs w:val="14"/>
                <w:color w:val="auto"/>
              </w:rPr>
              <w:t>—</w:t>
            </w:r>
          </w:p>
        </w:tc>
        <w:tc>
          <w:tcPr>
            <w:tcW w:w="1280" w:type="dxa"/>
            <w:vAlign w:val="bottom"/>
            <w:shd w:val="clear" w:color="auto" w:fill="F2F2F2"/>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shd w:val="clear" w:color="auto" w:fill="F2F2F2"/>
          </w:tcPr>
          <w:p>
            <w:pPr>
              <w:jc w:val="right"/>
              <w:ind w:right="248"/>
              <w:spacing w:after="0"/>
              <w:rPr>
                <w:sz w:val="20"/>
                <w:szCs w:val="20"/>
                <w:color w:val="auto"/>
              </w:rPr>
            </w:pPr>
            <w:r>
              <w:rPr>
                <w:rFonts w:ascii="Arial" w:cs="Arial" w:eastAsia="Arial" w:hAnsi="Arial"/>
                <w:sz w:val="14"/>
                <w:szCs w:val="14"/>
                <w:color w:val="auto"/>
              </w:rPr>
              <w:t>$54,886</w:t>
            </w:r>
          </w:p>
        </w:tc>
        <w:tc>
          <w:tcPr>
            <w:tcW w:w="1220" w:type="dxa"/>
            <w:vAlign w:val="bottom"/>
            <w:shd w:val="clear" w:color="auto" w:fill="F2F2F2"/>
          </w:tcPr>
          <w:p>
            <w:pPr>
              <w:ind w:left="960"/>
              <w:spacing w:after="0"/>
              <w:rPr>
                <w:sz w:val="20"/>
                <w:szCs w:val="20"/>
                <w:color w:val="auto"/>
              </w:rPr>
            </w:pPr>
            <w:r>
              <w:rPr>
                <w:rFonts w:ascii="Arial" w:cs="Arial" w:eastAsia="Arial" w:hAnsi="Arial"/>
                <w:sz w:val="14"/>
                <w:szCs w:val="14"/>
                <w:color w:val="auto"/>
              </w:rPr>
              <w:t>—</w:t>
            </w:r>
          </w:p>
        </w:tc>
        <w:tc>
          <w:tcPr>
            <w:tcW w:w="1260" w:type="dxa"/>
            <w:vAlign w:val="bottom"/>
            <w:shd w:val="clear" w:color="auto" w:fill="F2F2F2"/>
          </w:tcPr>
          <w:p>
            <w:pPr>
              <w:jc w:val="right"/>
              <w:ind w:right="268"/>
              <w:spacing w:after="0"/>
              <w:rPr>
                <w:sz w:val="20"/>
                <w:szCs w:val="20"/>
                <w:color w:val="auto"/>
              </w:rPr>
            </w:pPr>
            <w:r>
              <w:rPr>
                <w:rFonts w:ascii="Arial" w:cs="Arial" w:eastAsia="Arial" w:hAnsi="Arial"/>
                <w:sz w:val="14"/>
                <w:szCs w:val="14"/>
                <w:color w:val="auto"/>
              </w:rPr>
              <w:t>$986,744</w:t>
            </w:r>
          </w:p>
        </w:tc>
        <w:tc>
          <w:tcPr>
            <w:tcW w:w="0" w:type="dxa"/>
            <w:vAlign w:val="bottom"/>
          </w:tcPr>
          <w:p>
            <w:pPr>
              <w:spacing w:after="0"/>
              <w:rPr>
                <w:sz w:val="1"/>
                <w:szCs w:val="1"/>
                <w:color w:val="auto"/>
              </w:rPr>
            </w:pPr>
          </w:p>
        </w:tc>
      </w:tr>
      <w:tr>
        <w:trPr>
          <w:trHeight w:val="271"/>
        </w:trPr>
        <w:tc>
          <w:tcPr>
            <w:tcW w:w="1040" w:type="dxa"/>
            <w:vAlign w:val="bottom"/>
            <w:tcBorders>
              <w:bottom w:val="single" w:sz="8" w:color="F2F2F2"/>
            </w:tcBorders>
            <w:shd w:val="clear" w:color="auto" w:fill="F2F2F2"/>
          </w:tcPr>
          <w:p>
            <w:pPr>
              <w:spacing w:after="0"/>
              <w:rPr>
                <w:sz w:val="23"/>
                <w:szCs w:val="23"/>
                <w:color w:val="auto"/>
              </w:rPr>
            </w:pPr>
          </w:p>
        </w:tc>
        <w:tc>
          <w:tcPr>
            <w:tcW w:w="1700" w:type="dxa"/>
            <w:vAlign w:val="bottom"/>
            <w:tcBorders>
              <w:bottom w:val="single" w:sz="8" w:color="F2F2F2"/>
            </w:tcBorders>
            <w:shd w:val="clear" w:color="auto" w:fill="F2F2F2"/>
          </w:tcPr>
          <w:p>
            <w:pPr>
              <w:ind w:left="1420"/>
              <w:spacing w:after="0"/>
              <w:rPr>
                <w:sz w:val="20"/>
                <w:szCs w:val="20"/>
                <w:color w:val="auto"/>
              </w:rPr>
            </w:pPr>
            <w:r>
              <w:rPr>
                <w:rFonts w:ascii="Arial" w:cs="Arial" w:eastAsia="Arial" w:hAnsi="Arial"/>
                <w:sz w:val="14"/>
                <w:szCs w:val="14"/>
                <w:color w:val="auto"/>
                <w:w w:val="98"/>
              </w:rPr>
              <w:t>total</w:t>
            </w:r>
          </w:p>
        </w:tc>
        <w:tc>
          <w:tcPr>
            <w:tcW w:w="1260" w:type="dxa"/>
            <w:vAlign w:val="bottom"/>
            <w:tcBorders>
              <w:bottom w:val="single" w:sz="8" w:color="F2F2F2"/>
            </w:tcBorders>
            <w:shd w:val="clear" w:color="auto" w:fill="F2F2F2"/>
          </w:tcPr>
          <w:p>
            <w:pPr>
              <w:jc w:val="right"/>
              <w:ind w:right="188"/>
              <w:spacing w:after="0"/>
              <w:rPr>
                <w:sz w:val="20"/>
                <w:szCs w:val="20"/>
                <w:color w:val="auto"/>
              </w:rPr>
            </w:pPr>
            <w:r>
              <w:rPr>
                <w:rFonts w:ascii="Arial" w:cs="Arial" w:eastAsia="Arial" w:hAnsi="Arial"/>
                <w:sz w:val="14"/>
                <w:szCs w:val="14"/>
                <w:color w:val="auto"/>
              </w:rPr>
              <w:t>$17,342</w:t>
            </w:r>
          </w:p>
        </w:tc>
        <w:tc>
          <w:tcPr>
            <w:tcW w:w="1280" w:type="dxa"/>
            <w:vAlign w:val="bottom"/>
            <w:tcBorders>
              <w:bottom w:val="single" w:sz="8" w:color="F2F2F2"/>
            </w:tcBorders>
            <w:shd w:val="clear" w:color="auto" w:fill="F2F2F2"/>
          </w:tcPr>
          <w:p>
            <w:pPr>
              <w:jc w:val="right"/>
              <w:ind w:right="8"/>
              <w:spacing w:after="0"/>
              <w:rPr>
                <w:sz w:val="20"/>
                <w:szCs w:val="20"/>
                <w:color w:val="auto"/>
              </w:rPr>
            </w:pPr>
            <w:r>
              <w:rPr>
                <w:rFonts w:ascii="Arial" w:cs="Arial" w:eastAsia="Arial" w:hAnsi="Arial"/>
                <w:sz w:val="14"/>
                <w:szCs w:val="14"/>
                <w:color w:val="auto"/>
              </w:rPr>
              <w:t>$17,342</w:t>
            </w:r>
          </w:p>
        </w:tc>
        <w:tc>
          <w:tcPr>
            <w:tcW w:w="1260" w:type="dxa"/>
            <w:vAlign w:val="bottom"/>
            <w:tcBorders>
              <w:bottom w:val="single" w:sz="8" w:color="F2F2F2"/>
            </w:tcBorders>
            <w:shd w:val="clear" w:color="auto" w:fill="F2F2F2"/>
          </w:tcPr>
          <w:p>
            <w:pPr>
              <w:jc w:val="right"/>
              <w:ind w:right="248"/>
              <w:spacing w:after="0"/>
              <w:rPr>
                <w:sz w:val="20"/>
                <w:szCs w:val="20"/>
                <w:color w:val="auto"/>
              </w:rPr>
            </w:pPr>
            <w:r>
              <w:rPr>
                <w:rFonts w:ascii="Arial" w:cs="Arial" w:eastAsia="Arial" w:hAnsi="Arial"/>
                <w:sz w:val="14"/>
                <w:szCs w:val="14"/>
                <w:color w:val="auto"/>
              </w:rPr>
              <w:t>$102,956</w:t>
            </w:r>
          </w:p>
        </w:tc>
        <w:tc>
          <w:tcPr>
            <w:tcW w:w="1220" w:type="dxa"/>
            <w:vAlign w:val="bottom"/>
            <w:tcBorders>
              <w:bottom w:val="single" w:sz="8" w:color="F2F2F2"/>
            </w:tcBorders>
            <w:shd w:val="clear" w:color="auto" w:fill="F2F2F2"/>
          </w:tcPr>
          <w:p>
            <w:pPr>
              <w:ind w:left="960"/>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F2F2F2"/>
            </w:tcBorders>
            <w:shd w:val="clear" w:color="auto" w:fill="F2F2F2"/>
          </w:tcPr>
          <w:p>
            <w:pPr>
              <w:jc w:val="right"/>
              <w:ind w:right="268"/>
              <w:spacing w:after="0"/>
              <w:rPr>
                <w:sz w:val="20"/>
                <w:szCs w:val="20"/>
                <w:color w:val="auto"/>
              </w:rPr>
            </w:pPr>
            <w:r>
              <w:rPr>
                <w:rFonts w:ascii="Arial" w:cs="Arial" w:eastAsia="Arial" w:hAnsi="Arial"/>
                <w:sz w:val="14"/>
                <w:szCs w:val="14"/>
                <w:color w:val="auto"/>
              </w:rPr>
              <w:t>$1,475,458</w:t>
            </w:r>
          </w:p>
        </w:tc>
        <w:tc>
          <w:tcPr>
            <w:tcW w:w="0" w:type="dxa"/>
            <w:vAlign w:val="bottom"/>
          </w:tcPr>
          <w:p>
            <w:pPr>
              <w:spacing w:after="0"/>
              <w:rPr>
                <w:sz w:val="1"/>
                <w:szCs w:val="1"/>
                <w:color w:val="auto"/>
              </w:rPr>
            </w:pPr>
          </w:p>
        </w:tc>
      </w:tr>
      <w:tr>
        <w:trPr>
          <w:trHeight w:val="20"/>
        </w:trPr>
        <w:tc>
          <w:tcPr>
            <w:tcW w:w="104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ind w:left="180" w:right="40" w:hanging="172"/>
        <w:spacing w:after="0" w:line="231" w:lineRule="auto"/>
        <w:tabs>
          <w:tab w:leader="none" w:pos="227" w:val="left"/>
        </w:tabs>
        <w:numPr>
          <w:ilvl w:val="0"/>
          <w:numId w:val="167"/>
        </w:numPr>
        <w:rPr>
          <w:rFonts w:ascii="Arial" w:cs="Arial" w:eastAsia="Arial" w:hAnsi="Arial"/>
          <w:sz w:val="19"/>
          <w:szCs w:val="19"/>
          <w:color w:val="auto"/>
          <w:vertAlign w:val="superscript"/>
        </w:rPr>
      </w:pPr>
      <w:r>
        <w:rPr>
          <w:rFonts w:ascii="Arial" w:cs="Arial" w:eastAsia="Arial" w:hAnsi="Arial"/>
          <w:sz w:val="14"/>
          <w:szCs w:val="14"/>
          <w:color w:val="auto"/>
        </w:rPr>
        <w:t>The amounts in this column are also included in the Summary Compensation Table (SCT) in the “Salary” column (with respect to the Nonqualified Savings Plan) or the “Non-Equity Incentive Plan Compensation” column (with respect to the Deferred Compensation Plan).</w:t>
      </w:r>
    </w:p>
    <w:p>
      <w:pPr>
        <w:sectPr>
          <w:pgSz w:w="11900" w:h="16838" w:orient="portrait"/>
          <w:cols w:equalWidth="0" w:num="1">
            <w:col w:w="11240"/>
          </w:cols>
          <w:pgMar w:left="320" w:top="985" w:right="33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103505</wp:posOffset>
            </wp:positionV>
            <wp:extent cx="7157720" cy="42545"/>
            <wp:wrapNone/>
            <wp:docPr id="2314" name="Picture 2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4"/>
                    <pic:cNvPicPr>
                      <a:picLocks noChangeAspect="1" noChangeArrowheads="1"/>
                    </pic:cNvPicPr>
                  </pic:nvPicPr>
                  <pic:blipFill>
                    <a:blip r:embed="rId2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type w:val="continuous"/>
        </w:sectPr>
      </w:pPr>
    </w:p>
    <w:bookmarkStart w:id="74" w:name="page75"/>
    <w:bookmarkEnd w:id="74"/>
    <w:p>
      <w:pPr>
        <w:ind w:left="220" w:hanging="212"/>
        <w:spacing w:after="0"/>
        <w:tabs>
          <w:tab w:leader="none" w:pos="220" w:val="left"/>
        </w:tabs>
        <w:numPr>
          <w:ilvl w:val="0"/>
          <w:numId w:val="168"/>
        </w:numPr>
        <w:rPr>
          <w:rFonts w:ascii="Arial" w:cs="Arial" w:eastAsia="Arial" w:hAnsi="Arial"/>
          <w:sz w:val="19"/>
          <w:szCs w:val="19"/>
          <w:color w:val="auto"/>
          <w:vertAlign w:val="superscript"/>
        </w:rPr>
      </w:pPr>
      <w:r>
        <w:rPr>
          <w:rFonts w:ascii="Arial" w:cs="Arial" w:eastAsia="Arial" w:hAnsi="Arial"/>
          <w:sz w:val="14"/>
          <w:szCs w:val="14"/>
          <w:color w:val="auto"/>
        </w:rPr>
        <w:t>The amounts in this column are also included in the SCT in the “All Other Compensation” column as a portion of the Nonqualified Savings Plan company match.</w:t>
      </w:r>
    </w:p>
    <w:p>
      <w:pPr>
        <w:spacing w:after="0" w:line="11" w:lineRule="exact"/>
        <w:rPr>
          <w:sz w:val="20"/>
          <w:szCs w:val="20"/>
          <w:color w:val="auto"/>
        </w:rPr>
      </w:pPr>
    </w:p>
    <w:p>
      <w:pPr>
        <w:ind w:left="220" w:hanging="212"/>
        <w:spacing w:after="0"/>
        <w:tabs>
          <w:tab w:leader="none" w:pos="220" w:val="left"/>
        </w:tabs>
        <w:numPr>
          <w:ilvl w:val="0"/>
          <w:numId w:val="169"/>
        </w:numPr>
        <w:rPr>
          <w:rFonts w:ascii="Arial" w:cs="Arial" w:eastAsia="Arial" w:hAnsi="Arial"/>
          <w:sz w:val="19"/>
          <w:szCs w:val="19"/>
          <w:color w:val="auto"/>
          <w:vertAlign w:val="superscript"/>
        </w:rPr>
      </w:pPr>
      <w:r>
        <w:rPr>
          <w:rFonts w:ascii="Arial" w:cs="Arial" w:eastAsia="Arial" w:hAnsi="Arial"/>
          <w:sz w:val="14"/>
          <w:szCs w:val="14"/>
          <w:color w:val="auto"/>
        </w:rPr>
        <w:t>Of the totals in this column, the following amounts have previously been reported in the SCT for 2024 and previous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48260</wp:posOffset>
            </wp:positionV>
            <wp:extent cx="4277360" cy="8255"/>
            <wp:wrapNone/>
            <wp:docPr id="2315" name="Picture 2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5"/>
                    <pic:cNvPicPr>
                      <a:picLocks noChangeAspect="1" noChangeArrowheads="1"/>
                    </pic:cNvPicPr>
                  </pic:nvPicPr>
                  <pic:blipFill>
                    <a:blip r:embed="rId2322">
                      <a:extLst>
                        <a:ext uri="{28A0092B-C50C-407E-A947-70E740481C1C}"/>
                      </a:extLst>
                    </a:blip>
                    <a:srcRect/>
                    <a:stretch>
                      <a:fillRect/>
                    </a:stretch>
                  </pic:blipFill>
                  <pic:spPr bwMode="auto">
                    <a:xfrm>
                      <a:off x="0" y="0"/>
                      <a:ext cx="4277360" cy="8255"/>
                    </a:xfrm>
                    <a:prstGeom prst="rect">
                      <a:avLst/>
                    </a:prstGeom>
                    <a:noFill/>
                  </pic:spPr>
                </pic:pic>
              </a:graphicData>
            </a:graphic>
          </wp:anchor>
        </w:drawing>
      </w:r>
    </w:p>
    <w:p>
      <w:pPr>
        <w:spacing w:after="0" w:line="100" w:lineRule="exact"/>
        <w:rPr>
          <w:sz w:val="20"/>
          <w:szCs w:val="20"/>
          <w:color w:val="auto"/>
        </w:rPr>
      </w:pPr>
    </w:p>
    <w:tbl>
      <w:tblPr>
        <w:tblLayout w:type="fixed"/>
        <w:tblInd w:w="660" w:type="dxa"/>
        <w:tblCellMar>
          <w:top w:w="0" w:type="dxa"/>
          <w:left w:w="0" w:type="dxa"/>
          <w:bottom w:w="0" w:type="dxa"/>
          <w:right w:w="0" w:type="dxa"/>
        </w:tblCellMar>
      </w:tblPr>
      <w:tr>
        <w:trPr>
          <w:trHeight w:val="205"/>
        </w:trPr>
        <w:tc>
          <w:tcPr>
            <w:tcW w:w="19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17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2024 ($)</w:t>
            </w:r>
          </w:p>
        </w:tc>
        <w:tc>
          <w:tcPr>
            <w:tcW w:w="17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Previous Years ($)</w:t>
            </w:r>
          </w:p>
        </w:tc>
        <w:tc>
          <w:tcPr>
            <w:tcW w:w="12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Total ($)</w:t>
            </w:r>
          </w:p>
        </w:tc>
      </w:tr>
      <w:tr>
        <w:trPr>
          <w:trHeight w:val="223"/>
        </w:trPr>
        <w:tc>
          <w:tcPr>
            <w:tcW w:w="198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4"/>
                <w:szCs w:val="14"/>
                <w:color w:val="auto"/>
              </w:rPr>
              <w:t>Mr. Ricks</w:t>
            </w:r>
          </w:p>
        </w:tc>
        <w:tc>
          <w:tcPr>
            <w:tcW w:w="1740" w:type="dxa"/>
            <w:vAlign w:val="bottom"/>
            <w:tcBorders>
              <w:bottom w:val="single" w:sz="8" w:color="F2F2F2"/>
            </w:tcBorders>
            <w:shd w:val="clear" w:color="auto" w:fill="F2F2F2"/>
          </w:tcPr>
          <w:p>
            <w:pPr>
              <w:jc w:val="right"/>
              <w:ind w:right="188"/>
              <w:spacing w:after="0"/>
              <w:rPr>
                <w:sz w:val="20"/>
                <w:szCs w:val="20"/>
                <w:color w:val="auto"/>
              </w:rPr>
            </w:pPr>
            <w:r>
              <w:rPr>
                <w:rFonts w:ascii="Arial" w:cs="Arial" w:eastAsia="Arial" w:hAnsi="Arial"/>
                <w:sz w:val="14"/>
                <w:szCs w:val="14"/>
                <w:color w:val="auto"/>
              </w:rPr>
              <w:t>$161,446</w:t>
            </w:r>
          </w:p>
        </w:tc>
        <w:tc>
          <w:tcPr>
            <w:tcW w:w="1780" w:type="dxa"/>
            <w:vAlign w:val="bottom"/>
            <w:tcBorders>
              <w:bottom w:val="single" w:sz="8" w:color="F2F2F2"/>
            </w:tcBorders>
            <w:shd w:val="clear" w:color="auto" w:fill="F2F2F2"/>
          </w:tcPr>
          <w:p>
            <w:pPr>
              <w:jc w:val="right"/>
              <w:ind w:right="88"/>
              <w:spacing w:after="0"/>
              <w:rPr>
                <w:sz w:val="20"/>
                <w:szCs w:val="20"/>
                <w:color w:val="auto"/>
              </w:rPr>
            </w:pPr>
            <w:r>
              <w:rPr>
                <w:rFonts w:ascii="Arial" w:cs="Arial" w:eastAsia="Arial" w:hAnsi="Arial"/>
                <w:sz w:val="14"/>
                <w:szCs w:val="14"/>
                <w:color w:val="auto"/>
              </w:rPr>
              <w:t>$990,954</w:t>
            </w:r>
          </w:p>
        </w:tc>
        <w:tc>
          <w:tcPr>
            <w:tcW w:w="1240" w:type="dxa"/>
            <w:vAlign w:val="bottom"/>
            <w:tcBorders>
              <w:bottom w:val="single" w:sz="8" w:color="F2F2F2"/>
            </w:tcBorders>
            <w:shd w:val="clear" w:color="auto" w:fill="F2F2F2"/>
          </w:tcPr>
          <w:p>
            <w:pPr>
              <w:jc w:val="right"/>
              <w:ind w:right="268"/>
              <w:spacing w:after="0"/>
              <w:rPr>
                <w:sz w:val="20"/>
                <w:szCs w:val="20"/>
                <w:color w:val="auto"/>
              </w:rPr>
            </w:pPr>
            <w:r>
              <w:rPr>
                <w:rFonts w:ascii="Arial" w:cs="Arial" w:eastAsia="Arial" w:hAnsi="Arial"/>
                <w:sz w:val="14"/>
                <w:szCs w:val="14"/>
                <w:color w:val="auto"/>
              </w:rPr>
              <w:t>$1,152,400</w:t>
            </w:r>
          </w:p>
        </w:tc>
      </w:tr>
      <w:tr>
        <w:trPr>
          <w:trHeight w:val="235"/>
        </w:trPr>
        <w:tc>
          <w:tcPr>
            <w:tcW w:w="1980" w:type="dxa"/>
            <w:vAlign w:val="bottom"/>
          </w:tcPr>
          <w:p>
            <w:pPr>
              <w:ind w:left="20"/>
              <w:spacing w:after="0"/>
              <w:rPr>
                <w:sz w:val="20"/>
                <w:szCs w:val="20"/>
                <w:color w:val="auto"/>
              </w:rPr>
            </w:pPr>
            <w:r>
              <w:rPr>
                <w:rFonts w:ascii="Arial" w:cs="Arial" w:eastAsia="Arial" w:hAnsi="Arial"/>
                <w:sz w:val="14"/>
                <w:szCs w:val="14"/>
                <w:color w:val="auto"/>
              </w:rPr>
              <w:t>Mr. Montarce</w:t>
            </w:r>
          </w:p>
        </w:tc>
        <w:tc>
          <w:tcPr>
            <w:tcW w:w="1740" w:type="dxa"/>
            <w:vAlign w:val="bottom"/>
          </w:tcPr>
          <w:p>
            <w:pPr>
              <w:jc w:val="right"/>
              <w:ind w:right="188"/>
              <w:spacing w:after="0"/>
              <w:rPr>
                <w:sz w:val="20"/>
                <w:szCs w:val="20"/>
                <w:color w:val="auto"/>
              </w:rPr>
            </w:pPr>
            <w:r>
              <w:rPr>
                <w:rFonts w:ascii="Arial" w:cs="Arial" w:eastAsia="Arial" w:hAnsi="Arial"/>
                <w:sz w:val="14"/>
                <w:szCs w:val="14"/>
                <w:color w:val="auto"/>
              </w:rPr>
              <w:t>$38,357</w:t>
            </w:r>
          </w:p>
        </w:tc>
        <w:tc>
          <w:tcPr>
            <w:tcW w:w="17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268"/>
              <w:spacing w:after="0"/>
              <w:rPr>
                <w:sz w:val="20"/>
                <w:szCs w:val="20"/>
                <w:color w:val="auto"/>
              </w:rPr>
            </w:pPr>
            <w:r>
              <w:rPr>
                <w:rFonts w:ascii="Arial" w:cs="Arial" w:eastAsia="Arial" w:hAnsi="Arial"/>
                <w:sz w:val="14"/>
                <w:szCs w:val="14"/>
                <w:color w:val="auto"/>
              </w:rPr>
              <w:t>$38,357</w:t>
            </w:r>
          </w:p>
        </w:tc>
      </w:tr>
      <w:tr>
        <w:trPr>
          <w:trHeight w:val="22"/>
        </w:trPr>
        <w:tc>
          <w:tcPr>
            <w:tcW w:w="19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37"/>
        </w:trPr>
        <w:tc>
          <w:tcPr>
            <w:tcW w:w="198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4"/>
                <w:szCs w:val="14"/>
                <w:color w:val="auto"/>
              </w:rPr>
              <w:t>Dr. Skovronsky</w:t>
            </w:r>
          </w:p>
        </w:tc>
        <w:tc>
          <w:tcPr>
            <w:tcW w:w="1740" w:type="dxa"/>
            <w:vAlign w:val="bottom"/>
            <w:tcBorders>
              <w:bottom w:val="single" w:sz="8" w:color="F2F2F2"/>
            </w:tcBorders>
            <w:shd w:val="clear" w:color="auto" w:fill="F2F2F2"/>
          </w:tcPr>
          <w:p>
            <w:pPr>
              <w:jc w:val="right"/>
              <w:ind w:right="188"/>
              <w:spacing w:after="0"/>
              <w:rPr>
                <w:sz w:val="20"/>
                <w:szCs w:val="20"/>
                <w:color w:val="auto"/>
              </w:rPr>
            </w:pPr>
            <w:r>
              <w:rPr>
                <w:rFonts w:ascii="Arial" w:cs="Arial" w:eastAsia="Arial" w:hAnsi="Arial"/>
                <w:sz w:val="14"/>
                <w:szCs w:val="14"/>
                <w:color w:val="auto"/>
              </w:rPr>
              <w:t>$130,293</w:t>
            </w:r>
          </w:p>
        </w:tc>
        <w:tc>
          <w:tcPr>
            <w:tcW w:w="1780" w:type="dxa"/>
            <w:vAlign w:val="bottom"/>
            <w:tcBorders>
              <w:bottom w:val="single" w:sz="8" w:color="F2F2F2"/>
            </w:tcBorders>
            <w:shd w:val="clear" w:color="auto" w:fill="F2F2F2"/>
          </w:tcPr>
          <w:p>
            <w:pPr>
              <w:jc w:val="right"/>
              <w:ind w:right="88"/>
              <w:spacing w:after="0"/>
              <w:rPr>
                <w:sz w:val="20"/>
                <w:szCs w:val="20"/>
                <w:color w:val="auto"/>
              </w:rPr>
            </w:pPr>
            <w:r>
              <w:rPr>
                <w:rFonts w:ascii="Arial" w:cs="Arial" w:eastAsia="Arial" w:hAnsi="Arial"/>
                <w:sz w:val="14"/>
                <w:szCs w:val="14"/>
                <w:color w:val="auto"/>
              </w:rPr>
              <w:t>$537,701</w:t>
            </w:r>
          </w:p>
        </w:tc>
        <w:tc>
          <w:tcPr>
            <w:tcW w:w="1240" w:type="dxa"/>
            <w:vAlign w:val="bottom"/>
            <w:tcBorders>
              <w:bottom w:val="single" w:sz="8" w:color="F2F2F2"/>
            </w:tcBorders>
            <w:shd w:val="clear" w:color="auto" w:fill="F2F2F2"/>
          </w:tcPr>
          <w:p>
            <w:pPr>
              <w:jc w:val="right"/>
              <w:ind w:right="268"/>
              <w:spacing w:after="0"/>
              <w:rPr>
                <w:sz w:val="20"/>
                <w:szCs w:val="20"/>
                <w:color w:val="auto"/>
              </w:rPr>
            </w:pPr>
            <w:r>
              <w:rPr>
                <w:rFonts w:ascii="Arial" w:cs="Arial" w:eastAsia="Arial" w:hAnsi="Arial"/>
                <w:sz w:val="14"/>
                <w:szCs w:val="14"/>
                <w:color w:val="auto"/>
              </w:rPr>
              <w:t>$667,994</w:t>
            </w:r>
          </w:p>
        </w:tc>
      </w:tr>
      <w:tr>
        <w:trPr>
          <w:trHeight w:val="235"/>
        </w:trPr>
        <w:tc>
          <w:tcPr>
            <w:tcW w:w="1980" w:type="dxa"/>
            <w:vAlign w:val="bottom"/>
          </w:tcPr>
          <w:p>
            <w:pPr>
              <w:ind w:left="20"/>
              <w:spacing w:after="0"/>
              <w:rPr>
                <w:sz w:val="20"/>
                <w:szCs w:val="20"/>
                <w:color w:val="auto"/>
              </w:rPr>
            </w:pPr>
            <w:r>
              <w:rPr>
                <w:rFonts w:ascii="Arial" w:cs="Arial" w:eastAsia="Arial" w:hAnsi="Arial"/>
                <w:sz w:val="14"/>
                <w:szCs w:val="14"/>
                <w:color w:val="auto"/>
              </w:rPr>
              <w:t>Ms. Hakim</w:t>
            </w:r>
          </w:p>
        </w:tc>
        <w:tc>
          <w:tcPr>
            <w:tcW w:w="1740" w:type="dxa"/>
            <w:vAlign w:val="bottom"/>
          </w:tcPr>
          <w:p>
            <w:pPr>
              <w:jc w:val="right"/>
              <w:ind w:right="188"/>
              <w:spacing w:after="0"/>
              <w:rPr>
                <w:sz w:val="20"/>
                <w:szCs w:val="20"/>
                <w:color w:val="auto"/>
              </w:rPr>
            </w:pPr>
            <w:r>
              <w:rPr>
                <w:rFonts w:ascii="Arial" w:cs="Arial" w:eastAsia="Arial" w:hAnsi="Arial"/>
                <w:sz w:val="14"/>
                <w:szCs w:val="14"/>
                <w:color w:val="auto"/>
              </w:rPr>
              <w:t>$78,600</w:t>
            </w:r>
          </w:p>
        </w:tc>
        <w:tc>
          <w:tcPr>
            <w:tcW w:w="1780" w:type="dxa"/>
            <w:vAlign w:val="bottom"/>
          </w:tcPr>
          <w:p>
            <w:pPr>
              <w:jc w:val="right"/>
              <w:ind w:right="88"/>
              <w:spacing w:after="0"/>
              <w:rPr>
                <w:sz w:val="20"/>
                <w:szCs w:val="20"/>
                <w:color w:val="auto"/>
              </w:rPr>
            </w:pPr>
            <w:r>
              <w:rPr>
                <w:rFonts w:ascii="Arial" w:cs="Arial" w:eastAsia="Arial" w:hAnsi="Arial"/>
                <w:sz w:val="14"/>
                <w:szCs w:val="14"/>
                <w:color w:val="auto"/>
              </w:rPr>
              <w:t>$146,609</w:t>
            </w:r>
          </w:p>
        </w:tc>
        <w:tc>
          <w:tcPr>
            <w:tcW w:w="1240" w:type="dxa"/>
            <w:vAlign w:val="bottom"/>
          </w:tcPr>
          <w:p>
            <w:pPr>
              <w:jc w:val="right"/>
              <w:ind w:right="268"/>
              <w:spacing w:after="0"/>
              <w:rPr>
                <w:sz w:val="20"/>
                <w:szCs w:val="20"/>
                <w:color w:val="auto"/>
              </w:rPr>
            </w:pPr>
            <w:r>
              <w:rPr>
                <w:rFonts w:ascii="Arial" w:cs="Arial" w:eastAsia="Arial" w:hAnsi="Arial"/>
                <w:sz w:val="14"/>
                <w:szCs w:val="14"/>
                <w:color w:val="auto"/>
              </w:rPr>
              <w:t>$225,209</w:t>
            </w:r>
          </w:p>
        </w:tc>
      </w:tr>
      <w:tr>
        <w:trPr>
          <w:trHeight w:val="22"/>
        </w:trPr>
        <w:tc>
          <w:tcPr>
            <w:tcW w:w="19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37"/>
        </w:trPr>
        <w:tc>
          <w:tcPr>
            <w:tcW w:w="198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4"/>
                <w:szCs w:val="14"/>
                <w:color w:val="auto"/>
              </w:rPr>
              <w:t>Mr. Van Naarden</w:t>
            </w:r>
          </w:p>
        </w:tc>
        <w:tc>
          <w:tcPr>
            <w:tcW w:w="1740" w:type="dxa"/>
            <w:vAlign w:val="bottom"/>
            <w:tcBorders>
              <w:bottom w:val="single" w:sz="8" w:color="F2F2F2"/>
            </w:tcBorders>
            <w:shd w:val="clear" w:color="auto" w:fill="F2F2F2"/>
          </w:tcPr>
          <w:p>
            <w:pPr>
              <w:jc w:val="right"/>
              <w:ind w:right="188"/>
              <w:spacing w:after="0"/>
              <w:rPr>
                <w:sz w:val="20"/>
                <w:szCs w:val="20"/>
                <w:color w:val="auto"/>
              </w:rPr>
            </w:pPr>
            <w:r>
              <w:rPr>
                <w:rFonts w:ascii="Arial" w:cs="Arial" w:eastAsia="Arial" w:hAnsi="Arial"/>
                <w:sz w:val="14"/>
                <w:szCs w:val="14"/>
                <w:color w:val="auto"/>
              </w:rPr>
              <w:t>$65,446</w:t>
            </w:r>
          </w:p>
        </w:tc>
        <w:tc>
          <w:tcPr>
            <w:tcW w:w="1780" w:type="dxa"/>
            <w:vAlign w:val="bottom"/>
            <w:tcBorders>
              <w:bottom w:val="single" w:sz="8" w:color="F2F2F2"/>
            </w:tcBorders>
            <w:shd w:val="clear" w:color="auto" w:fill="F2F2F2"/>
          </w:tcPr>
          <w:p>
            <w:pPr>
              <w:jc w:val="right"/>
              <w:ind w:right="88"/>
              <w:spacing w:after="0"/>
              <w:rPr>
                <w:sz w:val="20"/>
                <w:szCs w:val="20"/>
                <w:color w:val="auto"/>
              </w:rPr>
            </w:pPr>
            <w:r>
              <w:rPr>
                <w:rFonts w:ascii="Arial" w:cs="Arial" w:eastAsia="Arial" w:hAnsi="Arial"/>
                <w:sz w:val="14"/>
                <w:szCs w:val="14"/>
                <w:color w:val="auto"/>
              </w:rPr>
              <w:t>$136,685</w:t>
            </w:r>
          </w:p>
        </w:tc>
        <w:tc>
          <w:tcPr>
            <w:tcW w:w="1240" w:type="dxa"/>
            <w:vAlign w:val="bottom"/>
            <w:tcBorders>
              <w:bottom w:val="single" w:sz="8" w:color="F2F2F2"/>
            </w:tcBorders>
            <w:shd w:val="clear" w:color="auto" w:fill="F2F2F2"/>
          </w:tcPr>
          <w:p>
            <w:pPr>
              <w:jc w:val="right"/>
              <w:ind w:right="268"/>
              <w:spacing w:after="0"/>
              <w:rPr>
                <w:sz w:val="20"/>
                <w:szCs w:val="20"/>
                <w:color w:val="auto"/>
              </w:rPr>
            </w:pPr>
            <w:r>
              <w:rPr>
                <w:rFonts w:ascii="Arial" w:cs="Arial" w:eastAsia="Arial" w:hAnsi="Arial"/>
                <w:sz w:val="14"/>
                <w:szCs w:val="14"/>
                <w:color w:val="auto"/>
              </w:rPr>
              <w:t>$202,131</w:t>
            </w:r>
          </w:p>
        </w:tc>
      </w:tr>
      <w:tr>
        <w:trPr>
          <w:trHeight w:val="235"/>
        </w:trPr>
        <w:tc>
          <w:tcPr>
            <w:tcW w:w="1980" w:type="dxa"/>
            <w:vAlign w:val="bottom"/>
          </w:tcPr>
          <w:p>
            <w:pPr>
              <w:ind w:left="20"/>
              <w:spacing w:after="0"/>
              <w:rPr>
                <w:sz w:val="20"/>
                <w:szCs w:val="20"/>
                <w:color w:val="auto"/>
              </w:rPr>
            </w:pPr>
            <w:r>
              <w:rPr>
                <w:rFonts w:ascii="Arial" w:cs="Arial" w:eastAsia="Arial" w:hAnsi="Arial"/>
                <w:sz w:val="14"/>
                <w:szCs w:val="14"/>
                <w:color w:val="auto"/>
              </w:rPr>
              <w:t>Mr. Brooks</w:t>
            </w:r>
          </w:p>
        </w:tc>
        <w:tc>
          <w:tcPr>
            <w:tcW w:w="1740" w:type="dxa"/>
            <w:vAlign w:val="bottom"/>
          </w:tcPr>
          <w:p>
            <w:pPr>
              <w:jc w:val="right"/>
              <w:ind w:right="188"/>
              <w:spacing w:after="0"/>
              <w:rPr>
                <w:sz w:val="20"/>
                <w:szCs w:val="20"/>
                <w:color w:val="auto"/>
              </w:rPr>
            </w:pPr>
            <w:r>
              <w:rPr>
                <w:rFonts w:ascii="Arial" w:cs="Arial" w:eastAsia="Arial" w:hAnsi="Arial"/>
                <w:sz w:val="14"/>
                <w:szCs w:val="14"/>
                <w:color w:val="auto"/>
              </w:rPr>
              <w:t>$25,595</w:t>
            </w:r>
          </w:p>
        </w:tc>
        <w:tc>
          <w:tcPr>
            <w:tcW w:w="17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268"/>
              <w:spacing w:after="0"/>
              <w:rPr>
                <w:sz w:val="20"/>
                <w:szCs w:val="20"/>
                <w:color w:val="auto"/>
              </w:rPr>
            </w:pPr>
            <w:r>
              <w:rPr>
                <w:rFonts w:ascii="Arial" w:cs="Arial" w:eastAsia="Arial" w:hAnsi="Arial"/>
                <w:sz w:val="14"/>
                <w:szCs w:val="14"/>
                <w:color w:val="auto"/>
              </w:rPr>
              <w:t>$25,595</w:t>
            </w:r>
          </w:p>
        </w:tc>
      </w:tr>
      <w:tr>
        <w:trPr>
          <w:trHeight w:val="22"/>
        </w:trPr>
        <w:tc>
          <w:tcPr>
            <w:tcW w:w="19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37"/>
        </w:trPr>
        <w:tc>
          <w:tcPr>
            <w:tcW w:w="198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4"/>
                <w:szCs w:val="14"/>
                <w:color w:val="auto"/>
              </w:rPr>
              <w:t>Ms. Ashkenazi</w:t>
            </w:r>
          </w:p>
        </w:tc>
        <w:tc>
          <w:tcPr>
            <w:tcW w:w="1740" w:type="dxa"/>
            <w:vAlign w:val="bottom"/>
            <w:tcBorders>
              <w:bottom w:val="single" w:sz="8" w:color="F2F2F2"/>
            </w:tcBorders>
            <w:shd w:val="clear" w:color="auto" w:fill="F2F2F2"/>
          </w:tcPr>
          <w:p>
            <w:pPr>
              <w:jc w:val="right"/>
              <w:ind w:right="188"/>
              <w:spacing w:after="0"/>
              <w:rPr>
                <w:sz w:val="20"/>
                <w:szCs w:val="20"/>
                <w:color w:val="auto"/>
              </w:rPr>
            </w:pPr>
            <w:r>
              <w:rPr>
                <w:rFonts w:ascii="Arial" w:cs="Arial" w:eastAsia="Arial" w:hAnsi="Arial"/>
                <w:sz w:val="14"/>
                <w:szCs w:val="14"/>
                <w:color w:val="auto"/>
              </w:rPr>
              <w:t>$34,685</w:t>
            </w:r>
          </w:p>
        </w:tc>
        <w:tc>
          <w:tcPr>
            <w:tcW w:w="1780" w:type="dxa"/>
            <w:vAlign w:val="bottom"/>
            <w:tcBorders>
              <w:bottom w:val="single" w:sz="8" w:color="F2F2F2"/>
            </w:tcBorders>
            <w:shd w:val="clear" w:color="auto" w:fill="F2F2F2"/>
          </w:tcPr>
          <w:p>
            <w:pPr>
              <w:jc w:val="right"/>
              <w:ind w:right="88"/>
              <w:spacing w:after="0"/>
              <w:rPr>
                <w:sz w:val="20"/>
                <w:szCs w:val="20"/>
                <w:color w:val="auto"/>
              </w:rPr>
            </w:pPr>
            <w:r>
              <w:rPr>
                <w:rFonts w:ascii="Arial" w:cs="Arial" w:eastAsia="Arial" w:hAnsi="Arial"/>
                <w:sz w:val="14"/>
                <w:szCs w:val="14"/>
                <w:color w:val="auto"/>
              </w:rPr>
              <w:t>$1,099,047</w:t>
            </w:r>
          </w:p>
        </w:tc>
        <w:tc>
          <w:tcPr>
            <w:tcW w:w="1240" w:type="dxa"/>
            <w:vAlign w:val="bottom"/>
            <w:tcBorders>
              <w:bottom w:val="single" w:sz="8" w:color="F2F2F2"/>
            </w:tcBorders>
            <w:shd w:val="clear" w:color="auto" w:fill="F2F2F2"/>
          </w:tcPr>
          <w:p>
            <w:pPr>
              <w:jc w:val="right"/>
              <w:ind w:right="268"/>
              <w:spacing w:after="0"/>
              <w:rPr>
                <w:sz w:val="20"/>
                <w:szCs w:val="20"/>
                <w:color w:val="auto"/>
              </w:rPr>
            </w:pPr>
            <w:r>
              <w:rPr>
                <w:rFonts w:ascii="Arial" w:cs="Arial" w:eastAsia="Arial" w:hAnsi="Arial"/>
                <w:sz w:val="14"/>
                <w:szCs w:val="14"/>
                <w:color w:val="auto"/>
              </w:rPr>
              <w:t>$1,133,732</w:t>
            </w:r>
          </w:p>
        </w:tc>
      </w:tr>
      <w:tr>
        <w:trPr>
          <w:trHeight w:val="20"/>
        </w:trPr>
        <w:tc>
          <w:tcPr>
            <w:tcW w:w="1980" w:type="dxa"/>
            <w:vAlign w:val="bottom"/>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r>
    </w:tbl>
    <w:p>
      <w:pPr>
        <w:spacing w:after="0" w:line="11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table above reports information about two company programs: the Nonqualified Savings Plan and the Deferred Compensation Plan. The Nonqualified Savings Plan is designed to allow each employee to contribute up to 6 percent of his or her base salary and receive a company match, beyond the contribution limits prescribed by the IRS with regards to 401(k) plans. This plan is administered in the same manner as the 401(k) Plan, with the same participation and investment elections. Executive officers and other U.S. executives may also defer receipt of all or part of their cash compensation under the Deferred Compensation Plan. Amounts deferred by executives under this plan are credited with interest at 120 percent of the applicable federal long-term rate as established the preceding December by the U.S. Treasury Department under Section 1274(d) of the Internal Revenue Code with monthly compounding, which was 5.89 percent for 2024 and is 5.32 percent for 2025. Participants may elect to receive the funds in a lump sum or in up to 10 annual installments following termination of employment but may not make withdrawals while employed by the company, except in the event of hardship as approved by the Committee. All deferral elections and associated distribution schedules are irrevocable. Both plans are unfunded and subject to forfeiture in the event of company bankruptcy.</w:t>
      </w:r>
    </w:p>
    <w:p>
      <w:pPr>
        <w:spacing w:after="0" w:line="123" w:lineRule="exact"/>
        <w:rPr>
          <w:sz w:val="20"/>
          <w:szCs w:val="20"/>
          <w:color w:val="auto"/>
        </w:rPr>
      </w:pPr>
    </w:p>
    <w:p>
      <w:pPr>
        <w:spacing w:after="0"/>
        <w:rPr>
          <w:sz w:val="20"/>
          <w:szCs w:val="20"/>
          <w:color w:val="auto"/>
        </w:rPr>
      </w:pPr>
      <w:r>
        <w:rPr>
          <w:rFonts w:ascii="Arial" w:cs="Arial" w:eastAsia="Arial" w:hAnsi="Arial"/>
          <w:sz w:val="25"/>
          <w:szCs w:val="25"/>
          <w:b w:val="1"/>
          <w:bCs w:val="1"/>
          <w:color w:val="00A1DE"/>
        </w:rPr>
        <w:t>Payments upon Termination or Change in Control (as of December 31, 2024)</w:t>
      </w:r>
    </w:p>
    <w:p>
      <w:pPr>
        <w:spacing w:after="0" w:line="8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following table and accompanying narrative describe the potential payments and benefits under the company’s compensation and benefit plans and arrangements to which the named executive officers would be eligible upon covered termination of employment. Except for certain terminations following a change in control of the company, as described below, there are no agreements, arrangements, or plans that entitle named executive officers to severance, perquisites, or other enhanced benefits upon termination of their employment. Any agreement to provide such payments or benefits to a terminating executive officer (other than following a change in control pursuant to our change-in-control severance plan) would be at the discretion of the Committee. Ms. Ashkenazi, who exited from the company on July 30, 2024, has been excluded from this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5760720" cy="8890"/>
            <wp:wrapNone/>
            <wp:docPr id="2316" name="Picture 2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6"/>
                    <pic:cNvPicPr>
                      <a:picLocks noChangeAspect="1" noChangeArrowheads="1"/>
                    </pic:cNvPicPr>
                  </pic:nvPicPr>
                  <pic:blipFill>
                    <a:blip r:embed="rId2323">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rPr>
              <w:t>Continuation of</w:t>
            </w: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Acceleration and</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4040" w:type="dxa"/>
            <w:vAlign w:val="bottom"/>
          </w:tcPr>
          <w:p>
            <w:pPr>
              <w:spacing w:after="0"/>
              <w:rPr>
                <w:sz w:val="4"/>
                <w:szCs w:val="4"/>
                <w:color w:val="auto"/>
              </w:rPr>
            </w:pPr>
          </w:p>
        </w:tc>
        <w:tc>
          <w:tcPr>
            <w:tcW w:w="980" w:type="dxa"/>
            <w:vAlign w:val="bottom"/>
            <w:vMerge w:val="restart"/>
          </w:tcPr>
          <w:p>
            <w:pPr>
              <w:jc w:val="center"/>
              <w:ind w:right="8"/>
              <w:spacing w:after="0"/>
              <w:rPr>
                <w:sz w:val="20"/>
                <w:szCs w:val="20"/>
                <w:color w:val="auto"/>
              </w:rPr>
            </w:pPr>
            <w:r>
              <w:rPr>
                <w:rFonts w:ascii="Arial" w:cs="Arial" w:eastAsia="Arial" w:hAnsi="Arial"/>
                <w:sz w:val="14"/>
                <w:szCs w:val="14"/>
                <w:b w:val="1"/>
                <w:bCs w:val="1"/>
                <w:color w:val="auto"/>
                <w:w w:val="99"/>
              </w:rPr>
              <w:t>Cash</w:t>
            </w:r>
          </w:p>
        </w:tc>
        <w:tc>
          <w:tcPr>
            <w:tcW w:w="13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Medical / Welfare</w:t>
            </w:r>
          </w:p>
        </w:tc>
        <w:tc>
          <w:tcPr>
            <w:tcW w:w="1420" w:type="dxa"/>
            <w:vAlign w:val="bottom"/>
            <w:vMerge w:val="continue"/>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220" w:type="dxa"/>
            <w:vAlign w:val="bottom"/>
          </w:tcPr>
          <w:p>
            <w:pPr>
              <w:spacing w:after="0"/>
              <w:rPr>
                <w:sz w:val="10"/>
                <w:szCs w:val="10"/>
                <w:color w:val="auto"/>
              </w:rPr>
            </w:pPr>
          </w:p>
        </w:tc>
        <w:tc>
          <w:tcPr>
            <w:tcW w:w="404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Continuation of</w:t>
            </w: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4040" w:type="dxa"/>
            <w:vAlign w:val="bottom"/>
          </w:tcPr>
          <w:p>
            <w:pPr>
              <w:spacing w:after="0"/>
              <w:rPr>
                <w:sz w:val="4"/>
                <w:szCs w:val="4"/>
                <w:color w:val="auto"/>
              </w:rPr>
            </w:pPr>
          </w:p>
        </w:tc>
        <w:tc>
          <w:tcPr>
            <w:tcW w:w="98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rPr>
              <w:t>Severance</w:t>
            </w:r>
          </w:p>
        </w:tc>
        <w:tc>
          <w:tcPr>
            <w:tcW w:w="13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Benefits (present</w:t>
            </w:r>
          </w:p>
        </w:tc>
        <w:tc>
          <w:tcPr>
            <w:tcW w:w="142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9"/>
        </w:trPr>
        <w:tc>
          <w:tcPr>
            <w:tcW w:w="220" w:type="dxa"/>
            <w:vAlign w:val="bottom"/>
          </w:tcPr>
          <w:p>
            <w:pPr>
              <w:spacing w:after="0"/>
              <w:rPr>
                <w:sz w:val="10"/>
                <w:szCs w:val="10"/>
                <w:color w:val="auto"/>
              </w:rPr>
            </w:pPr>
          </w:p>
        </w:tc>
        <w:tc>
          <w:tcPr>
            <w:tcW w:w="404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Equity Awards as</w:t>
            </w: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Termination</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4040" w:type="dxa"/>
            <w:vAlign w:val="bottom"/>
          </w:tcPr>
          <w:p>
            <w:pPr>
              <w:spacing w:after="0"/>
              <w:rPr>
                <w:sz w:val="4"/>
                <w:szCs w:val="4"/>
                <w:color w:val="auto"/>
              </w:rPr>
            </w:pPr>
          </w:p>
        </w:tc>
        <w:tc>
          <w:tcPr>
            <w:tcW w:w="980" w:type="dxa"/>
            <w:vAlign w:val="bottom"/>
            <w:vMerge w:val="restart"/>
          </w:tcPr>
          <w:p>
            <w:pPr>
              <w:jc w:val="center"/>
              <w:ind w:right="8"/>
              <w:spacing w:after="0"/>
              <w:rPr>
                <w:sz w:val="20"/>
                <w:szCs w:val="20"/>
                <w:color w:val="auto"/>
              </w:rPr>
            </w:pPr>
            <w:r>
              <w:rPr>
                <w:rFonts w:ascii="Arial" w:cs="Arial" w:eastAsia="Arial" w:hAnsi="Arial"/>
                <w:sz w:val="14"/>
                <w:szCs w:val="14"/>
                <w:b w:val="1"/>
                <w:bCs w:val="1"/>
                <w:color w:val="auto"/>
              </w:rPr>
              <w:t xml:space="preserve">Payment </w:t>
            </w:r>
            <w:r>
              <w:rPr>
                <w:rFonts w:ascii="Arial" w:cs="Arial" w:eastAsia="Arial" w:hAnsi="Arial"/>
                <w:sz w:val="9"/>
                <w:szCs w:val="9"/>
                <w:b w:val="1"/>
                <w:bCs w:val="1"/>
                <w:color w:val="auto"/>
              </w:rPr>
              <w:t>1</w:t>
            </w:r>
          </w:p>
        </w:tc>
        <w:tc>
          <w:tcPr>
            <w:tcW w:w="1300" w:type="dxa"/>
            <w:vAlign w:val="bottom"/>
            <w:vMerge w:val="restart"/>
          </w:tcPr>
          <w:p>
            <w:pPr>
              <w:jc w:val="center"/>
              <w:spacing w:after="0" w:line="201" w:lineRule="exact"/>
              <w:rPr>
                <w:sz w:val="20"/>
                <w:szCs w:val="20"/>
                <w:color w:val="auto"/>
              </w:rPr>
            </w:pPr>
            <w:r>
              <w:rPr>
                <w:rFonts w:ascii="Arial" w:cs="Arial" w:eastAsia="Arial" w:hAnsi="Arial"/>
                <w:sz w:val="14"/>
                <w:szCs w:val="14"/>
                <w:b w:val="1"/>
                <w:bCs w:val="1"/>
                <w:color w:val="auto"/>
                <w:w w:val="97"/>
              </w:rPr>
              <w:t xml:space="preserve">value) </w:t>
            </w:r>
            <w:r>
              <w:rPr>
                <w:rFonts w:ascii="Arial" w:cs="Arial" w:eastAsia="Arial" w:hAnsi="Arial"/>
                <w:sz w:val="18"/>
                <w:szCs w:val="18"/>
                <w:b w:val="1"/>
                <w:bCs w:val="1"/>
                <w:color w:val="auto"/>
                <w:w w:val="97"/>
                <w:vertAlign w:val="superscript"/>
              </w:rPr>
              <w:t>2</w:t>
            </w:r>
          </w:p>
        </w:tc>
        <w:tc>
          <w:tcPr>
            <w:tcW w:w="142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4"/>
        </w:trPr>
        <w:tc>
          <w:tcPr>
            <w:tcW w:w="42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980" w:type="dxa"/>
            <w:vAlign w:val="bottom"/>
            <w:vMerge w:val="continue"/>
          </w:tcPr>
          <w:p>
            <w:pPr>
              <w:spacing w:after="0"/>
              <w:rPr>
                <w:sz w:val="12"/>
                <w:szCs w:val="12"/>
                <w:color w:val="auto"/>
              </w:rPr>
            </w:pPr>
          </w:p>
        </w:tc>
        <w:tc>
          <w:tcPr>
            <w:tcW w:w="1300" w:type="dxa"/>
            <w:vAlign w:val="bottom"/>
            <w:vMerge w:val="continue"/>
          </w:tcPr>
          <w:p>
            <w:pPr>
              <w:spacing w:after="0"/>
              <w:rPr>
                <w:sz w:val="12"/>
                <w:szCs w:val="12"/>
                <w:color w:val="auto"/>
              </w:rPr>
            </w:pP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of 12/31/2024</w:t>
            </w: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Benefits</w:t>
            </w:r>
          </w:p>
        </w:tc>
        <w:tc>
          <w:tcPr>
            <w:tcW w:w="0" w:type="dxa"/>
            <w:vAlign w:val="bottom"/>
          </w:tcPr>
          <w:p>
            <w:pPr>
              <w:spacing w:after="0"/>
              <w:rPr>
                <w:sz w:val="1"/>
                <w:szCs w:val="1"/>
                <w:color w:val="auto"/>
              </w:rPr>
            </w:pPr>
          </w:p>
        </w:tc>
      </w:tr>
      <w:tr>
        <w:trPr>
          <w:trHeight w:val="61"/>
        </w:trPr>
        <w:tc>
          <w:tcPr>
            <w:tcW w:w="4260" w:type="dxa"/>
            <w:vAlign w:val="bottom"/>
            <w:tcBorders>
              <w:bottom w:val="single" w:sz="8" w:color="auto"/>
            </w:tcBorders>
            <w:gridSpan w:val="2"/>
            <w:vMerge w:val="continue"/>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vMerge w:val="continue"/>
          </w:tcPr>
          <w:p>
            <w:pPr>
              <w:spacing w:after="0"/>
              <w:rPr>
                <w:sz w:val="5"/>
                <w:szCs w:val="5"/>
                <w:color w:val="auto"/>
              </w:rPr>
            </w:pPr>
          </w:p>
        </w:tc>
        <w:tc>
          <w:tcPr>
            <w:tcW w:w="112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1"/>
        </w:trPr>
        <w:tc>
          <w:tcPr>
            <w:tcW w:w="4260" w:type="dxa"/>
            <w:vAlign w:val="bottom"/>
            <w:gridSpan w:val="2"/>
            <w:shd w:val="clear" w:color="auto" w:fill="F2F2F2"/>
          </w:tcPr>
          <w:p>
            <w:pPr>
              <w:ind w:left="20"/>
              <w:spacing w:after="0"/>
              <w:rPr>
                <w:sz w:val="20"/>
                <w:szCs w:val="20"/>
                <w:color w:val="auto"/>
              </w:rPr>
            </w:pPr>
            <w:r>
              <w:rPr>
                <w:rFonts w:ascii="Arial" w:cs="Arial" w:eastAsia="Arial" w:hAnsi="Arial"/>
                <w:sz w:val="14"/>
                <w:szCs w:val="14"/>
                <w:color w:val="auto"/>
              </w:rPr>
              <w:t>Mr. Ricks</w:t>
            </w:r>
          </w:p>
        </w:tc>
        <w:tc>
          <w:tcPr>
            <w:tcW w:w="980" w:type="dxa"/>
            <w:vAlign w:val="bottom"/>
            <w:shd w:val="clear" w:color="auto" w:fill="F2F2F2"/>
          </w:tcPr>
          <w:p>
            <w:pPr>
              <w:spacing w:after="0"/>
              <w:rPr>
                <w:sz w:val="19"/>
                <w:szCs w:val="19"/>
                <w:color w:val="auto"/>
              </w:rPr>
            </w:pPr>
          </w:p>
        </w:tc>
        <w:tc>
          <w:tcPr>
            <w:tcW w:w="1300" w:type="dxa"/>
            <w:vAlign w:val="bottom"/>
            <w:shd w:val="clear" w:color="auto" w:fill="F2F2F2"/>
          </w:tcPr>
          <w:p>
            <w:pPr>
              <w:spacing w:after="0"/>
              <w:rPr>
                <w:sz w:val="19"/>
                <w:szCs w:val="19"/>
                <w:color w:val="auto"/>
              </w:rPr>
            </w:pPr>
          </w:p>
        </w:tc>
        <w:tc>
          <w:tcPr>
            <w:tcW w:w="1420" w:type="dxa"/>
            <w:vAlign w:val="bottom"/>
            <w:shd w:val="clear" w:color="auto" w:fill="F2F2F2"/>
          </w:tcPr>
          <w:p>
            <w:pPr>
              <w:spacing w:after="0"/>
              <w:rPr>
                <w:sz w:val="19"/>
                <w:szCs w:val="19"/>
                <w:color w:val="auto"/>
              </w:rPr>
            </w:pPr>
          </w:p>
        </w:tc>
        <w:tc>
          <w:tcPr>
            <w:tcW w:w="1120" w:type="dxa"/>
            <w:vAlign w:val="bottom"/>
            <w:shd w:val="clear" w:color="auto" w:fill="F2F2F2"/>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20" w:type="dxa"/>
            <w:vAlign w:val="bottom"/>
            <w:shd w:val="clear" w:color="auto" w:fill="F2F2F2"/>
          </w:tcPr>
          <w:p>
            <w:pPr>
              <w:ind w:left="20"/>
              <w:spacing w:after="0"/>
              <w:rPr>
                <w:sz w:val="20"/>
                <w:szCs w:val="20"/>
                <w:color w:val="auto"/>
              </w:rPr>
            </w:pPr>
            <w:r>
              <w:rPr>
                <w:rFonts w:ascii="Arial" w:cs="Arial" w:eastAsia="Arial" w:hAnsi="Arial"/>
                <w:sz w:val="14"/>
                <w:szCs w:val="14"/>
                <w:color w:val="auto"/>
              </w:rPr>
              <w:t>•</w:t>
            </w:r>
          </w:p>
        </w:tc>
        <w:tc>
          <w:tcPr>
            <w:tcW w:w="4040" w:type="dxa"/>
            <w:vAlign w:val="bottom"/>
            <w:shd w:val="clear" w:color="auto" w:fill="F2F2F2"/>
          </w:tcPr>
          <w:p>
            <w:pPr>
              <w:ind w:left="20"/>
              <w:spacing w:after="0"/>
              <w:rPr>
                <w:sz w:val="20"/>
                <w:szCs w:val="20"/>
                <w:color w:val="auto"/>
              </w:rPr>
            </w:pPr>
            <w:r>
              <w:rPr>
                <w:rFonts w:ascii="Arial" w:cs="Arial" w:eastAsia="Arial" w:hAnsi="Arial"/>
                <w:sz w:val="14"/>
                <w:szCs w:val="14"/>
                <w:color w:val="auto"/>
              </w:rPr>
              <w:t>Retirement or Involuntary termination</w:t>
            </w:r>
          </w:p>
        </w:tc>
        <w:tc>
          <w:tcPr>
            <w:tcW w:w="980" w:type="dxa"/>
            <w:vAlign w:val="bottom"/>
            <w:shd w:val="clear" w:color="auto" w:fill="F2F2F2"/>
          </w:tcPr>
          <w:p>
            <w:pPr>
              <w:jc w:val="right"/>
              <w:ind w:right="48"/>
              <w:spacing w:after="0"/>
              <w:rPr>
                <w:sz w:val="20"/>
                <w:szCs w:val="20"/>
                <w:color w:val="auto"/>
              </w:rPr>
            </w:pPr>
            <w:r>
              <w:rPr>
                <w:rFonts w:ascii="Arial" w:cs="Arial" w:eastAsia="Arial" w:hAnsi="Arial"/>
                <w:sz w:val="14"/>
                <w:szCs w:val="14"/>
                <w:color w:val="auto"/>
              </w:rPr>
              <w:t>—</w:t>
            </w:r>
          </w:p>
        </w:tc>
        <w:tc>
          <w:tcPr>
            <w:tcW w:w="1300" w:type="dxa"/>
            <w:vAlign w:val="bottom"/>
            <w:shd w:val="clear" w:color="auto" w:fill="F2F2F2"/>
          </w:tcPr>
          <w:p>
            <w:pPr>
              <w:jc w:val="right"/>
              <w:ind w:right="188"/>
              <w:spacing w:after="0"/>
              <w:rPr>
                <w:sz w:val="20"/>
                <w:szCs w:val="20"/>
                <w:color w:val="auto"/>
              </w:rPr>
            </w:pPr>
            <w:r>
              <w:rPr>
                <w:rFonts w:ascii="Arial" w:cs="Arial" w:eastAsia="Arial" w:hAnsi="Arial"/>
                <w:sz w:val="14"/>
                <w:szCs w:val="14"/>
                <w:color w:val="auto"/>
              </w:rPr>
              <w:t>—</w:t>
            </w:r>
          </w:p>
        </w:tc>
        <w:tc>
          <w:tcPr>
            <w:tcW w:w="1420" w:type="dxa"/>
            <w:vAlign w:val="bottom"/>
            <w:shd w:val="clear" w:color="auto" w:fill="F2F2F2"/>
          </w:tcPr>
          <w:p>
            <w:pPr>
              <w:jc w:val="right"/>
              <w:ind w:right="248"/>
              <w:spacing w:after="0"/>
              <w:rPr>
                <w:sz w:val="20"/>
                <w:szCs w:val="20"/>
                <w:color w:val="auto"/>
              </w:rPr>
            </w:pPr>
            <w:r>
              <w:rPr>
                <w:rFonts w:ascii="Arial" w:cs="Arial" w:eastAsia="Arial" w:hAnsi="Arial"/>
                <w:sz w:val="14"/>
                <w:szCs w:val="14"/>
                <w:color w:val="auto"/>
              </w:rPr>
              <w:t>$45,156,596</w:t>
            </w:r>
          </w:p>
        </w:tc>
        <w:tc>
          <w:tcPr>
            <w:tcW w:w="1120" w:type="dxa"/>
            <w:vAlign w:val="bottom"/>
            <w:shd w:val="clear" w:color="auto" w:fill="F2F2F2"/>
          </w:tcPr>
          <w:p>
            <w:pPr>
              <w:jc w:val="right"/>
              <w:ind w:right="48"/>
              <w:spacing w:after="0"/>
              <w:rPr>
                <w:sz w:val="20"/>
                <w:szCs w:val="20"/>
                <w:color w:val="auto"/>
              </w:rPr>
            </w:pPr>
            <w:r>
              <w:rPr>
                <w:rFonts w:ascii="Arial" w:cs="Arial" w:eastAsia="Arial" w:hAnsi="Arial"/>
                <w:sz w:val="14"/>
                <w:szCs w:val="14"/>
                <w:color w:val="auto"/>
              </w:rPr>
              <w:t>$45,156,596</w:t>
            </w:r>
          </w:p>
        </w:tc>
        <w:tc>
          <w:tcPr>
            <w:tcW w:w="0" w:type="dxa"/>
            <w:vAlign w:val="bottom"/>
          </w:tcPr>
          <w:p>
            <w:pPr>
              <w:spacing w:after="0"/>
              <w:rPr>
                <w:sz w:val="1"/>
                <w:szCs w:val="1"/>
                <w:color w:val="auto"/>
              </w:rPr>
            </w:pPr>
          </w:p>
        </w:tc>
      </w:tr>
      <w:tr>
        <w:trPr>
          <w:trHeight w:val="258"/>
        </w:trPr>
        <w:tc>
          <w:tcPr>
            <w:tcW w:w="2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4"/>
                <w:szCs w:val="14"/>
                <w:color w:val="auto"/>
              </w:rPr>
              <w:t>•</w:t>
            </w:r>
          </w:p>
        </w:tc>
        <w:tc>
          <w:tcPr>
            <w:tcW w:w="404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4"/>
                <w:szCs w:val="14"/>
                <w:color w:val="auto"/>
              </w:rPr>
              <w:t>Involuntary or good-reason termination after change in control</w:t>
            </w:r>
          </w:p>
        </w:tc>
        <w:tc>
          <w:tcPr>
            <w:tcW w:w="98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$8,500,000</w:t>
            </w:r>
          </w:p>
        </w:tc>
        <w:tc>
          <w:tcPr>
            <w:tcW w:w="1300" w:type="dxa"/>
            <w:vAlign w:val="bottom"/>
            <w:tcBorders>
              <w:bottom w:val="single" w:sz="8" w:color="F2F2F2"/>
            </w:tcBorders>
            <w:shd w:val="clear" w:color="auto" w:fill="F2F2F2"/>
          </w:tcPr>
          <w:p>
            <w:pPr>
              <w:jc w:val="right"/>
              <w:ind w:right="128"/>
              <w:spacing w:after="0"/>
              <w:rPr>
                <w:sz w:val="20"/>
                <w:szCs w:val="20"/>
                <w:color w:val="auto"/>
              </w:rPr>
            </w:pPr>
            <w:r>
              <w:rPr>
                <w:rFonts w:ascii="Arial" w:cs="Arial" w:eastAsia="Arial" w:hAnsi="Arial"/>
                <w:sz w:val="14"/>
                <w:szCs w:val="14"/>
                <w:color w:val="auto"/>
              </w:rPr>
              <w:t>$53,947</w:t>
            </w:r>
          </w:p>
        </w:tc>
        <w:tc>
          <w:tcPr>
            <w:tcW w:w="1420" w:type="dxa"/>
            <w:vAlign w:val="bottom"/>
            <w:tcBorders>
              <w:bottom w:val="single" w:sz="8" w:color="F2F2F2"/>
            </w:tcBorders>
            <w:shd w:val="clear" w:color="auto" w:fill="F2F2F2"/>
          </w:tcPr>
          <w:p>
            <w:pPr>
              <w:jc w:val="right"/>
              <w:ind w:right="248"/>
              <w:spacing w:after="0"/>
              <w:rPr>
                <w:sz w:val="20"/>
                <w:szCs w:val="20"/>
                <w:color w:val="auto"/>
              </w:rPr>
            </w:pPr>
            <w:r>
              <w:rPr>
                <w:rFonts w:ascii="Arial" w:cs="Arial" w:eastAsia="Arial" w:hAnsi="Arial"/>
                <w:sz w:val="14"/>
                <w:szCs w:val="14"/>
                <w:color w:val="auto"/>
              </w:rPr>
              <w:t>$122,876,083</w:t>
            </w:r>
          </w:p>
        </w:tc>
        <w:tc>
          <w:tcPr>
            <w:tcW w:w="1120" w:type="dxa"/>
            <w:vAlign w:val="bottom"/>
            <w:tcBorders>
              <w:bottom w:val="single" w:sz="8" w:color="F2F2F2"/>
            </w:tcBorders>
            <w:shd w:val="clear" w:color="auto" w:fill="F2F2F2"/>
          </w:tcPr>
          <w:p>
            <w:pPr>
              <w:jc w:val="right"/>
              <w:ind w:right="48"/>
              <w:spacing w:after="0"/>
              <w:rPr>
                <w:sz w:val="20"/>
                <w:szCs w:val="20"/>
                <w:color w:val="auto"/>
              </w:rPr>
            </w:pPr>
            <w:r>
              <w:rPr>
                <w:rFonts w:ascii="Arial" w:cs="Arial" w:eastAsia="Arial" w:hAnsi="Arial"/>
                <w:sz w:val="14"/>
                <w:szCs w:val="14"/>
                <w:color w:val="auto"/>
              </w:rPr>
              <w:t>$131,430,030</w:t>
            </w:r>
          </w:p>
        </w:tc>
        <w:tc>
          <w:tcPr>
            <w:tcW w:w="0" w:type="dxa"/>
            <w:vAlign w:val="bottom"/>
          </w:tcPr>
          <w:p>
            <w:pPr>
              <w:spacing w:after="0"/>
              <w:rPr>
                <w:sz w:val="1"/>
                <w:szCs w:val="1"/>
                <w:color w:val="auto"/>
              </w:rPr>
            </w:pPr>
          </w:p>
        </w:tc>
      </w:tr>
      <w:tr>
        <w:trPr>
          <w:trHeight w:val="235"/>
        </w:trPr>
        <w:tc>
          <w:tcPr>
            <w:tcW w:w="4260" w:type="dxa"/>
            <w:vAlign w:val="bottom"/>
            <w:gridSpan w:val="2"/>
          </w:tcPr>
          <w:p>
            <w:pPr>
              <w:ind w:left="20"/>
              <w:spacing w:after="0"/>
              <w:rPr>
                <w:sz w:val="20"/>
                <w:szCs w:val="20"/>
                <w:color w:val="auto"/>
              </w:rPr>
            </w:pPr>
            <w:r>
              <w:rPr>
                <w:rFonts w:ascii="Arial" w:cs="Arial" w:eastAsia="Arial" w:hAnsi="Arial"/>
                <w:sz w:val="14"/>
                <w:szCs w:val="14"/>
                <w:color w:val="auto"/>
              </w:rPr>
              <w:t>Mr. Montarce</w:t>
            </w:r>
          </w:p>
        </w:tc>
        <w:tc>
          <w:tcPr>
            <w:tcW w:w="9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4260" w:type="dxa"/>
            <w:vAlign w:val="bottom"/>
            <w:gridSpan w:val="2"/>
          </w:tcPr>
          <w:p>
            <w:pPr>
              <w:ind w:left="20"/>
              <w:spacing w:after="0"/>
              <w:rPr>
                <w:sz w:val="20"/>
                <w:szCs w:val="20"/>
                <w:color w:val="auto"/>
              </w:rPr>
            </w:pPr>
            <w:r>
              <w:rPr>
                <w:rFonts w:ascii="Arial" w:cs="Arial" w:eastAsia="Arial" w:hAnsi="Arial"/>
                <w:sz w:val="14"/>
                <w:szCs w:val="14"/>
                <w:color w:val="auto"/>
              </w:rPr>
              <w:t>•  Retirement or Involuntary termination</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248"/>
              <w:spacing w:after="0"/>
              <w:rPr>
                <w:sz w:val="20"/>
                <w:szCs w:val="20"/>
                <w:color w:val="auto"/>
              </w:rPr>
            </w:pPr>
            <w:r>
              <w:rPr>
                <w:rFonts w:ascii="Arial" w:cs="Arial" w:eastAsia="Arial" w:hAnsi="Arial"/>
                <w:sz w:val="14"/>
                <w:szCs w:val="14"/>
                <w:color w:val="auto"/>
              </w:rPr>
              <w:t>$3,652,332</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$3,652,332</w:t>
            </w:r>
          </w:p>
        </w:tc>
        <w:tc>
          <w:tcPr>
            <w:tcW w:w="0" w:type="dxa"/>
            <w:vAlign w:val="bottom"/>
          </w:tcPr>
          <w:p>
            <w:pPr>
              <w:spacing w:after="0"/>
              <w:rPr>
                <w:sz w:val="1"/>
                <w:szCs w:val="1"/>
                <w:color w:val="auto"/>
              </w:rPr>
            </w:pPr>
          </w:p>
        </w:tc>
      </w:tr>
      <w:tr>
        <w:trPr>
          <w:trHeight w:val="257"/>
        </w:trPr>
        <w:tc>
          <w:tcPr>
            <w:tcW w:w="220" w:type="dxa"/>
            <w:vAlign w:val="bottom"/>
          </w:tcPr>
          <w:p>
            <w:pPr>
              <w:ind w:left="20"/>
              <w:spacing w:after="0"/>
              <w:rPr>
                <w:sz w:val="20"/>
                <w:szCs w:val="20"/>
                <w:color w:val="auto"/>
              </w:rPr>
            </w:pPr>
            <w:r>
              <w:rPr>
                <w:rFonts w:ascii="Arial" w:cs="Arial" w:eastAsia="Arial" w:hAnsi="Arial"/>
                <w:sz w:val="14"/>
                <w:szCs w:val="14"/>
                <w:color w:val="auto"/>
              </w:rPr>
              <w:t>•</w:t>
            </w:r>
          </w:p>
        </w:tc>
        <w:tc>
          <w:tcPr>
            <w:tcW w:w="4040" w:type="dxa"/>
            <w:vAlign w:val="bottom"/>
          </w:tcPr>
          <w:p>
            <w:pPr>
              <w:ind w:left="20"/>
              <w:spacing w:after="0"/>
              <w:rPr>
                <w:sz w:val="20"/>
                <w:szCs w:val="20"/>
                <w:color w:val="auto"/>
              </w:rPr>
            </w:pPr>
            <w:r>
              <w:rPr>
                <w:rFonts w:ascii="Arial" w:cs="Arial" w:eastAsia="Arial" w:hAnsi="Arial"/>
                <w:sz w:val="14"/>
                <w:szCs w:val="14"/>
                <w:color w:val="auto"/>
              </w:rPr>
              <w:t>Involuntary or good-reason termination after change in control</w:t>
            </w:r>
          </w:p>
        </w:tc>
        <w:tc>
          <w:tcPr>
            <w:tcW w:w="980" w:type="dxa"/>
            <w:vAlign w:val="bottom"/>
          </w:tcPr>
          <w:p>
            <w:pPr>
              <w:jc w:val="right"/>
              <w:spacing w:after="0"/>
              <w:rPr>
                <w:sz w:val="20"/>
                <w:szCs w:val="20"/>
                <w:color w:val="auto"/>
              </w:rPr>
            </w:pPr>
            <w:r>
              <w:rPr>
                <w:rFonts w:ascii="Arial" w:cs="Arial" w:eastAsia="Arial" w:hAnsi="Arial"/>
                <w:sz w:val="14"/>
                <w:szCs w:val="14"/>
                <w:color w:val="auto"/>
              </w:rPr>
              <w:t>$4,000,000</w:t>
            </w:r>
          </w:p>
        </w:tc>
        <w:tc>
          <w:tcPr>
            <w:tcW w:w="1300" w:type="dxa"/>
            <w:vAlign w:val="bottom"/>
          </w:tcPr>
          <w:p>
            <w:pPr>
              <w:jc w:val="right"/>
              <w:ind w:right="188"/>
              <w:spacing w:after="0"/>
              <w:rPr>
                <w:sz w:val="20"/>
                <w:szCs w:val="20"/>
                <w:color w:val="auto"/>
              </w:rPr>
            </w:pPr>
            <w:r>
              <w:rPr>
                <w:rFonts w:ascii="Arial" w:cs="Arial" w:eastAsia="Arial" w:hAnsi="Arial"/>
                <w:sz w:val="14"/>
                <w:szCs w:val="14"/>
                <w:color w:val="auto"/>
              </w:rPr>
              <w:t>$65,124</w:t>
            </w:r>
          </w:p>
        </w:tc>
        <w:tc>
          <w:tcPr>
            <w:tcW w:w="1420" w:type="dxa"/>
            <w:vAlign w:val="bottom"/>
          </w:tcPr>
          <w:p>
            <w:pPr>
              <w:jc w:val="right"/>
              <w:ind w:right="248"/>
              <w:spacing w:after="0"/>
              <w:rPr>
                <w:sz w:val="20"/>
                <w:szCs w:val="20"/>
                <w:color w:val="auto"/>
              </w:rPr>
            </w:pPr>
            <w:r>
              <w:rPr>
                <w:rFonts w:ascii="Arial" w:cs="Arial" w:eastAsia="Arial" w:hAnsi="Arial"/>
                <w:sz w:val="14"/>
                <w:szCs w:val="14"/>
                <w:color w:val="auto"/>
              </w:rPr>
              <w:t>$5,922,097</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$9,987,221</w:t>
            </w:r>
          </w:p>
        </w:tc>
        <w:tc>
          <w:tcPr>
            <w:tcW w:w="0" w:type="dxa"/>
            <w:vAlign w:val="bottom"/>
          </w:tcPr>
          <w:p>
            <w:pPr>
              <w:spacing w:after="0"/>
              <w:rPr>
                <w:sz w:val="1"/>
                <w:szCs w:val="1"/>
                <w:color w:val="auto"/>
              </w:rPr>
            </w:pPr>
          </w:p>
        </w:tc>
      </w:tr>
      <w:tr>
        <w:trPr>
          <w:trHeight w:val="22"/>
        </w:trPr>
        <w:tc>
          <w:tcPr>
            <w:tcW w:w="426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4260" w:type="dxa"/>
            <w:vAlign w:val="bottom"/>
            <w:gridSpan w:val="2"/>
            <w:shd w:val="clear" w:color="auto" w:fill="F2F2F2"/>
          </w:tcPr>
          <w:p>
            <w:pPr>
              <w:ind w:left="20"/>
              <w:spacing w:after="0"/>
              <w:rPr>
                <w:sz w:val="20"/>
                <w:szCs w:val="20"/>
                <w:color w:val="auto"/>
              </w:rPr>
            </w:pPr>
            <w:r>
              <w:rPr>
                <w:rFonts w:ascii="Arial" w:cs="Arial" w:eastAsia="Arial" w:hAnsi="Arial"/>
                <w:sz w:val="14"/>
                <w:szCs w:val="14"/>
                <w:color w:val="auto"/>
              </w:rPr>
              <w:t>Dr. Skovronsky</w:t>
            </w:r>
          </w:p>
        </w:tc>
        <w:tc>
          <w:tcPr>
            <w:tcW w:w="980" w:type="dxa"/>
            <w:vAlign w:val="bottom"/>
            <w:shd w:val="clear" w:color="auto" w:fill="F2F2F2"/>
          </w:tcPr>
          <w:p>
            <w:pPr>
              <w:spacing w:after="0"/>
              <w:rPr>
                <w:sz w:val="20"/>
                <w:szCs w:val="20"/>
                <w:color w:val="auto"/>
              </w:rPr>
            </w:pPr>
          </w:p>
        </w:tc>
        <w:tc>
          <w:tcPr>
            <w:tcW w:w="1300" w:type="dxa"/>
            <w:vAlign w:val="bottom"/>
            <w:shd w:val="clear" w:color="auto" w:fill="F2F2F2"/>
          </w:tcPr>
          <w:p>
            <w:pPr>
              <w:spacing w:after="0"/>
              <w:rPr>
                <w:sz w:val="20"/>
                <w:szCs w:val="20"/>
                <w:color w:val="auto"/>
              </w:rPr>
            </w:pPr>
          </w:p>
        </w:tc>
        <w:tc>
          <w:tcPr>
            <w:tcW w:w="1420" w:type="dxa"/>
            <w:vAlign w:val="bottom"/>
            <w:shd w:val="clear" w:color="auto" w:fill="F2F2F2"/>
          </w:tcPr>
          <w:p>
            <w:pPr>
              <w:spacing w:after="0"/>
              <w:rPr>
                <w:sz w:val="20"/>
                <w:szCs w:val="20"/>
                <w:color w:val="auto"/>
              </w:rPr>
            </w:pPr>
          </w:p>
        </w:tc>
        <w:tc>
          <w:tcPr>
            <w:tcW w:w="1120" w:type="dxa"/>
            <w:vAlign w:val="bottom"/>
            <w:shd w:val="clear" w:color="auto" w:fill="F2F2F2"/>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20" w:type="dxa"/>
            <w:vAlign w:val="bottom"/>
            <w:shd w:val="clear" w:color="auto" w:fill="F2F2F2"/>
          </w:tcPr>
          <w:p>
            <w:pPr>
              <w:ind w:left="20"/>
              <w:spacing w:after="0"/>
              <w:rPr>
                <w:sz w:val="20"/>
                <w:szCs w:val="20"/>
                <w:color w:val="auto"/>
              </w:rPr>
            </w:pPr>
            <w:r>
              <w:rPr>
                <w:rFonts w:ascii="Arial" w:cs="Arial" w:eastAsia="Arial" w:hAnsi="Arial"/>
                <w:sz w:val="14"/>
                <w:szCs w:val="14"/>
                <w:color w:val="auto"/>
              </w:rPr>
              <w:t>•</w:t>
            </w:r>
          </w:p>
        </w:tc>
        <w:tc>
          <w:tcPr>
            <w:tcW w:w="4040" w:type="dxa"/>
            <w:vAlign w:val="bottom"/>
            <w:shd w:val="clear" w:color="auto" w:fill="F2F2F2"/>
          </w:tcPr>
          <w:p>
            <w:pPr>
              <w:ind w:left="20"/>
              <w:spacing w:after="0"/>
              <w:rPr>
                <w:sz w:val="20"/>
                <w:szCs w:val="20"/>
                <w:color w:val="auto"/>
              </w:rPr>
            </w:pPr>
            <w:r>
              <w:rPr>
                <w:rFonts w:ascii="Arial" w:cs="Arial" w:eastAsia="Arial" w:hAnsi="Arial"/>
                <w:sz w:val="14"/>
                <w:szCs w:val="14"/>
                <w:color w:val="auto"/>
              </w:rPr>
              <w:t>Retirement or Involuntary termination</w:t>
            </w:r>
          </w:p>
        </w:tc>
        <w:tc>
          <w:tcPr>
            <w:tcW w:w="980" w:type="dxa"/>
            <w:vAlign w:val="bottom"/>
            <w:shd w:val="clear" w:color="auto" w:fill="F2F2F2"/>
          </w:tcPr>
          <w:p>
            <w:pPr>
              <w:jc w:val="right"/>
              <w:ind w:right="48"/>
              <w:spacing w:after="0"/>
              <w:rPr>
                <w:sz w:val="20"/>
                <w:szCs w:val="20"/>
                <w:color w:val="auto"/>
              </w:rPr>
            </w:pPr>
            <w:r>
              <w:rPr>
                <w:rFonts w:ascii="Arial" w:cs="Arial" w:eastAsia="Arial" w:hAnsi="Arial"/>
                <w:sz w:val="14"/>
                <w:szCs w:val="14"/>
                <w:color w:val="auto"/>
              </w:rPr>
              <w:t>—</w:t>
            </w:r>
          </w:p>
        </w:tc>
        <w:tc>
          <w:tcPr>
            <w:tcW w:w="1300" w:type="dxa"/>
            <w:vAlign w:val="bottom"/>
            <w:shd w:val="clear" w:color="auto" w:fill="F2F2F2"/>
          </w:tcPr>
          <w:p>
            <w:pPr>
              <w:jc w:val="right"/>
              <w:ind w:right="188"/>
              <w:spacing w:after="0"/>
              <w:rPr>
                <w:sz w:val="20"/>
                <w:szCs w:val="20"/>
                <w:color w:val="auto"/>
              </w:rPr>
            </w:pPr>
            <w:r>
              <w:rPr>
                <w:rFonts w:ascii="Arial" w:cs="Arial" w:eastAsia="Arial" w:hAnsi="Arial"/>
                <w:sz w:val="14"/>
                <w:szCs w:val="14"/>
                <w:color w:val="auto"/>
              </w:rPr>
              <w:t>—</w:t>
            </w:r>
          </w:p>
        </w:tc>
        <w:tc>
          <w:tcPr>
            <w:tcW w:w="1420" w:type="dxa"/>
            <w:vAlign w:val="bottom"/>
            <w:shd w:val="clear" w:color="auto" w:fill="F2F2F2"/>
          </w:tcPr>
          <w:p>
            <w:pPr>
              <w:jc w:val="right"/>
              <w:ind w:right="248"/>
              <w:spacing w:after="0"/>
              <w:rPr>
                <w:sz w:val="20"/>
                <w:szCs w:val="20"/>
                <w:color w:val="auto"/>
              </w:rPr>
            </w:pPr>
            <w:r>
              <w:rPr>
                <w:rFonts w:ascii="Arial" w:cs="Arial" w:eastAsia="Arial" w:hAnsi="Arial"/>
                <w:sz w:val="14"/>
                <w:szCs w:val="14"/>
                <w:color w:val="auto"/>
              </w:rPr>
              <w:t>$16,731,556</w:t>
            </w:r>
          </w:p>
        </w:tc>
        <w:tc>
          <w:tcPr>
            <w:tcW w:w="1120" w:type="dxa"/>
            <w:vAlign w:val="bottom"/>
            <w:shd w:val="clear" w:color="auto" w:fill="F2F2F2"/>
          </w:tcPr>
          <w:p>
            <w:pPr>
              <w:jc w:val="right"/>
              <w:ind w:right="48"/>
              <w:spacing w:after="0"/>
              <w:rPr>
                <w:sz w:val="20"/>
                <w:szCs w:val="20"/>
                <w:color w:val="auto"/>
              </w:rPr>
            </w:pPr>
            <w:r>
              <w:rPr>
                <w:rFonts w:ascii="Arial" w:cs="Arial" w:eastAsia="Arial" w:hAnsi="Arial"/>
                <w:sz w:val="14"/>
                <w:szCs w:val="14"/>
                <w:color w:val="auto"/>
              </w:rPr>
              <w:t>$16,731,556</w:t>
            </w:r>
          </w:p>
        </w:tc>
        <w:tc>
          <w:tcPr>
            <w:tcW w:w="0" w:type="dxa"/>
            <w:vAlign w:val="bottom"/>
          </w:tcPr>
          <w:p>
            <w:pPr>
              <w:spacing w:after="0"/>
              <w:rPr>
                <w:sz w:val="1"/>
                <w:szCs w:val="1"/>
                <w:color w:val="auto"/>
              </w:rPr>
            </w:pPr>
          </w:p>
        </w:tc>
      </w:tr>
      <w:tr>
        <w:trPr>
          <w:trHeight w:val="258"/>
        </w:trPr>
        <w:tc>
          <w:tcPr>
            <w:tcW w:w="2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4"/>
                <w:szCs w:val="14"/>
                <w:color w:val="auto"/>
              </w:rPr>
              <w:t>•</w:t>
            </w:r>
          </w:p>
        </w:tc>
        <w:tc>
          <w:tcPr>
            <w:tcW w:w="404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4"/>
                <w:szCs w:val="14"/>
                <w:color w:val="auto"/>
              </w:rPr>
              <w:t>Involuntary or good-reason termination after change in control</w:t>
            </w:r>
          </w:p>
        </w:tc>
        <w:tc>
          <w:tcPr>
            <w:tcW w:w="98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$5,800,000</w:t>
            </w:r>
          </w:p>
        </w:tc>
        <w:tc>
          <w:tcPr>
            <w:tcW w:w="1300" w:type="dxa"/>
            <w:vAlign w:val="bottom"/>
            <w:tcBorders>
              <w:bottom w:val="single" w:sz="8" w:color="F2F2F2"/>
            </w:tcBorders>
            <w:shd w:val="clear" w:color="auto" w:fill="F2F2F2"/>
          </w:tcPr>
          <w:p>
            <w:pPr>
              <w:jc w:val="right"/>
              <w:ind w:right="128"/>
              <w:spacing w:after="0"/>
              <w:rPr>
                <w:sz w:val="20"/>
                <w:szCs w:val="20"/>
                <w:color w:val="auto"/>
              </w:rPr>
            </w:pPr>
            <w:r>
              <w:rPr>
                <w:rFonts w:ascii="Arial" w:cs="Arial" w:eastAsia="Arial" w:hAnsi="Arial"/>
                <w:sz w:val="14"/>
                <w:szCs w:val="14"/>
                <w:color w:val="auto"/>
              </w:rPr>
              <w:t>$54,113</w:t>
            </w:r>
          </w:p>
        </w:tc>
        <w:tc>
          <w:tcPr>
            <w:tcW w:w="1420" w:type="dxa"/>
            <w:vAlign w:val="bottom"/>
            <w:tcBorders>
              <w:bottom w:val="single" w:sz="8" w:color="F2F2F2"/>
            </w:tcBorders>
            <w:shd w:val="clear" w:color="auto" w:fill="F2F2F2"/>
          </w:tcPr>
          <w:p>
            <w:pPr>
              <w:jc w:val="right"/>
              <w:ind w:right="248"/>
              <w:spacing w:after="0"/>
              <w:rPr>
                <w:sz w:val="20"/>
                <w:szCs w:val="20"/>
                <w:color w:val="auto"/>
              </w:rPr>
            </w:pPr>
            <w:r>
              <w:rPr>
                <w:rFonts w:ascii="Arial" w:cs="Arial" w:eastAsia="Arial" w:hAnsi="Arial"/>
                <w:sz w:val="14"/>
                <w:szCs w:val="14"/>
                <w:color w:val="auto"/>
              </w:rPr>
              <w:t>$47,195,463</w:t>
            </w:r>
          </w:p>
        </w:tc>
        <w:tc>
          <w:tcPr>
            <w:tcW w:w="1120" w:type="dxa"/>
            <w:vAlign w:val="bottom"/>
            <w:tcBorders>
              <w:bottom w:val="single" w:sz="8" w:color="F2F2F2"/>
            </w:tcBorders>
            <w:shd w:val="clear" w:color="auto" w:fill="F2F2F2"/>
          </w:tcPr>
          <w:p>
            <w:pPr>
              <w:jc w:val="right"/>
              <w:ind w:right="48"/>
              <w:spacing w:after="0"/>
              <w:rPr>
                <w:sz w:val="20"/>
                <w:szCs w:val="20"/>
                <w:color w:val="auto"/>
              </w:rPr>
            </w:pPr>
            <w:r>
              <w:rPr>
                <w:rFonts w:ascii="Arial" w:cs="Arial" w:eastAsia="Arial" w:hAnsi="Arial"/>
                <w:sz w:val="14"/>
                <w:szCs w:val="14"/>
                <w:color w:val="auto"/>
              </w:rPr>
              <w:t>$53,049,576</w:t>
            </w:r>
          </w:p>
        </w:tc>
        <w:tc>
          <w:tcPr>
            <w:tcW w:w="0" w:type="dxa"/>
            <w:vAlign w:val="bottom"/>
          </w:tcPr>
          <w:p>
            <w:pPr>
              <w:spacing w:after="0"/>
              <w:rPr>
                <w:sz w:val="1"/>
                <w:szCs w:val="1"/>
                <w:color w:val="auto"/>
              </w:rPr>
            </w:pPr>
          </w:p>
        </w:tc>
      </w:tr>
      <w:tr>
        <w:trPr>
          <w:trHeight w:val="235"/>
        </w:trPr>
        <w:tc>
          <w:tcPr>
            <w:tcW w:w="4260" w:type="dxa"/>
            <w:vAlign w:val="bottom"/>
            <w:gridSpan w:val="2"/>
          </w:tcPr>
          <w:p>
            <w:pPr>
              <w:ind w:left="20"/>
              <w:spacing w:after="0"/>
              <w:rPr>
                <w:sz w:val="20"/>
                <w:szCs w:val="20"/>
                <w:color w:val="auto"/>
              </w:rPr>
            </w:pPr>
            <w:r>
              <w:rPr>
                <w:rFonts w:ascii="Arial" w:cs="Arial" w:eastAsia="Arial" w:hAnsi="Arial"/>
                <w:sz w:val="14"/>
                <w:szCs w:val="14"/>
                <w:color w:val="auto"/>
              </w:rPr>
              <w:t>Ms. Hakim</w:t>
            </w:r>
          </w:p>
        </w:tc>
        <w:tc>
          <w:tcPr>
            <w:tcW w:w="9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260" w:type="dxa"/>
            <w:vAlign w:val="bottom"/>
            <w:gridSpan w:val="2"/>
          </w:tcPr>
          <w:p>
            <w:pPr>
              <w:ind w:left="20"/>
              <w:spacing w:after="0"/>
              <w:rPr>
                <w:sz w:val="20"/>
                <w:szCs w:val="20"/>
                <w:color w:val="auto"/>
              </w:rPr>
            </w:pPr>
            <w:r>
              <w:rPr>
                <w:rFonts w:ascii="Arial" w:cs="Arial" w:eastAsia="Arial" w:hAnsi="Arial"/>
                <w:sz w:val="14"/>
                <w:szCs w:val="14"/>
                <w:color w:val="auto"/>
              </w:rPr>
              <w:t>•  Retirement or Involuntary termination</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248"/>
              <w:spacing w:after="0"/>
              <w:rPr>
                <w:sz w:val="20"/>
                <w:szCs w:val="20"/>
                <w:color w:val="auto"/>
              </w:rPr>
            </w:pPr>
            <w:r>
              <w:rPr>
                <w:rFonts w:ascii="Arial" w:cs="Arial" w:eastAsia="Arial" w:hAnsi="Arial"/>
                <w:sz w:val="14"/>
                <w:szCs w:val="14"/>
                <w:color w:val="auto"/>
              </w:rPr>
              <w:t>$8,958,288</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$8,958,288</w:t>
            </w:r>
          </w:p>
        </w:tc>
        <w:tc>
          <w:tcPr>
            <w:tcW w:w="0" w:type="dxa"/>
            <w:vAlign w:val="bottom"/>
          </w:tcPr>
          <w:p>
            <w:pPr>
              <w:spacing w:after="0"/>
              <w:rPr>
                <w:sz w:val="1"/>
                <w:szCs w:val="1"/>
                <w:color w:val="auto"/>
              </w:rPr>
            </w:pPr>
          </w:p>
        </w:tc>
      </w:tr>
      <w:tr>
        <w:trPr>
          <w:trHeight w:val="256"/>
        </w:trPr>
        <w:tc>
          <w:tcPr>
            <w:tcW w:w="220" w:type="dxa"/>
            <w:vAlign w:val="bottom"/>
          </w:tcPr>
          <w:p>
            <w:pPr>
              <w:ind w:left="20"/>
              <w:spacing w:after="0"/>
              <w:rPr>
                <w:sz w:val="20"/>
                <w:szCs w:val="20"/>
                <w:color w:val="auto"/>
              </w:rPr>
            </w:pPr>
            <w:r>
              <w:rPr>
                <w:rFonts w:ascii="Arial" w:cs="Arial" w:eastAsia="Arial" w:hAnsi="Arial"/>
                <w:sz w:val="14"/>
                <w:szCs w:val="14"/>
                <w:color w:val="auto"/>
              </w:rPr>
              <w:t>•</w:t>
            </w:r>
          </w:p>
        </w:tc>
        <w:tc>
          <w:tcPr>
            <w:tcW w:w="4040" w:type="dxa"/>
            <w:vAlign w:val="bottom"/>
          </w:tcPr>
          <w:p>
            <w:pPr>
              <w:ind w:left="20"/>
              <w:spacing w:after="0"/>
              <w:rPr>
                <w:sz w:val="20"/>
                <w:szCs w:val="20"/>
                <w:color w:val="auto"/>
              </w:rPr>
            </w:pPr>
            <w:r>
              <w:rPr>
                <w:rFonts w:ascii="Arial" w:cs="Arial" w:eastAsia="Arial" w:hAnsi="Arial"/>
                <w:sz w:val="14"/>
                <w:szCs w:val="14"/>
                <w:color w:val="auto"/>
              </w:rPr>
              <w:t>Involuntary or good-reason termination after change in control</w:t>
            </w:r>
          </w:p>
        </w:tc>
        <w:tc>
          <w:tcPr>
            <w:tcW w:w="980" w:type="dxa"/>
            <w:vAlign w:val="bottom"/>
          </w:tcPr>
          <w:p>
            <w:pPr>
              <w:jc w:val="right"/>
              <w:spacing w:after="0"/>
              <w:rPr>
                <w:sz w:val="20"/>
                <w:szCs w:val="20"/>
                <w:color w:val="auto"/>
              </w:rPr>
            </w:pPr>
            <w:r>
              <w:rPr>
                <w:rFonts w:ascii="Arial" w:cs="Arial" w:eastAsia="Arial" w:hAnsi="Arial"/>
                <w:sz w:val="14"/>
                <w:szCs w:val="14"/>
                <w:color w:val="auto"/>
              </w:rPr>
              <w:t>$4,000,000</w:t>
            </w:r>
          </w:p>
        </w:tc>
        <w:tc>
          <w:tcPr>
            <w:tcW w:w="1300" w:type="dxa"/>
            <w:vAlign w:val="bottom"/>
          </w:tcPr>
          <w:p>
            <w:pPr>
              <w:jc w:val="right"/>
              <w:ind w:right="128"/>
              <w:spacing w:after="0"/>
              <w:rPr>
                <w:sz w:val="20"/>
                <w:szCs w:val="20"/>
                <w:color w:val="auto"/>
              </w:rPr>
            </w:pPr>
            <w:r>
              <w:rPr>
                <w:rFonts w:ascii="Arial" w:cs="Arial" w:eastAsia="Arial" w:hAnsi="Arial"/>
                <w:sz w:val="14"/>
                <w:szCs w:val="14"/>
                <w:color w:val="auto"/>
              </w:rPr>
              <w:t>$65,543</w:t>
            </w:r>
          </w:p>
        </w:tc>
        <w:tc>
          <w:tcPr>
            <w:tcW w:w="1420" w:type="dxa"/>
            <w:vAlign w:val="bottom"/>
          </w:tcPr>
          <w:p>
            <w:pPr>
              <w:jc w:val="right"/>
              <w:ind w:right="248"/>
              <w:spacing w:after="0"/>
              <w:rPr>
                <w:sz w:val="20"/>
                <w:szCs w:val="20"/>
                <w:color w:val="auto"/>
              </w:rPr>
            </w:pPr>
            <w:r>
              <w:rPr>
                <w:rFonts w:ascii="Arial" w:cs="Arial" w:eastAsia="Arial" w:hAnsi="Arial"/>
                <w:sz w:val="14"/>
                <w:szCs w:val="14"/>
                <w:color w:val="auto"/>
              </w:rPr>
              <w:t>$25,034,138</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$29,099,681</w:t>
            </w:r>
          </w:p>
        </w:tc>
        <w:tc>
          <w:tcPr>
            <w:tcW w:w="0" w:type="dxa"/>
            <w:vAlign w:val="bottom"/>
          </w:tcPr>
          <w:p>
            <w:pPr>
              <w:spacing w:after="0"/>
              <w:rPr>
                <w:sz w:val="1"/>
                <w:szCs w:val="1"/>
                <w:color w:val="auto"/>
              </w:rPr>
            </w:pPr>
          </w:p>
        </w:tc>
      </w:tr>
      <w:tr>
        <w:trPr>
          <w:trHeight w:val="21"/>
        </w:trPr>
        <w:tc>
          <w:tcPr>
            <w:tcW w:w="426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4260" w:type="dxa"/>
            <w:vAlign w:val="bottom"/>
            <w:gridSpan w:val="2"/>
            <w:shd w:val="clear" w:color="auto" w:fill="F2F2F2"/>
          </w:tcPr>
          <w:p>
            <w:pPr>
              <w:ind w:left="20"/>
              <w:spacing w:after="0"/>
              <w:rPr>
                <w:sz w:val="20"/>
                <w:szCs w:val="20"/>
                <w:color w:val="auto"/>
              </w:rPr>
            </w:pPr>
            <w:r>
              <w:rPr>
                <w:rFonts w:ascii="Arial" w:cs="Arial" w:eastAsia="Arial" w:hAnsi="Arial"/>
                <w:sz w:val="14"/>
                <w:szCs w:val="14"/>
                <w:color w:val="auto"/>
              </w:rPr>
              <w:t>Mr. Van Naarden</w:t>
            </w:r>
          </w:p>
        </w:tc>
        <w:tc>
          <w:tcPr>
            <w:tcW w:w="980" w:type="dxa"/>
            <w:vAlign w:val="bottom"/>
            <w:shd w:val="clear" w:color="auto" w:fill="F2F2F2"/>
          </w:tcPr>
          <w:p>
            <w:pPr>
              <w:spacing w:after="0"/>
              <w:rPr>
                <w:sz w:val="20"/>
                <w:szCs w:val="20"/>
                <w:color w:val="auto"/>
              </w:rPr>
            </w:pPr>
          </w:p>
        </w:tc>
        <w:tc>
          <w:tcPr>
            <w:tcW w:w="1300" w:type="dxa"/>
            <w:vAlign w:val="bottom"/>
            <w:shd w:val="clear" w:color="auto" w:fill="F2F2F2"/>
          </w:tcPr>
          <w:p>
            <w:pPr>
              <w:spacing w:after="0"/>
              <w:rPr>
                <w:sz w:val="20"/>
                <w:szCs w:val="20"/>
                <w:color w:val="auto"/>
              </w:rPr>
            </w:pPr>
          </w:p>
        </w:tc>
        <w:tc>
          <w:tcPr>
            <w:tcW w:w="1420" w:type="dxa"/>
            <w:vAlign w:val="bottom"/>
            <w:shd w:val="clear" w:color="auto" w:fill="F2F2F2"/>
          </w:tcPr>
          <w:p>
            <w:pPr>
              <w:spacing w:after="0"/>
              <w:rPr>
                <w:sz w:val="20"/>
                <w:szCs w:val="20"/>
                <w:color w:val="auto"/>
              </w:rPr>
            </w:pPr>
          </w:p>
        </w:tc>
        <w:tc>
          <w:tcPr>
            <w:tcW w:w="1120" w:type="dxa"/>
            <w:vAlign w:val="bottom"/>
            <w:shd w:val="clear" w:color="auto" w:fill="F2F2F2"/>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20" w:type="dxa"/>
            <w:vAlign w:val="bottom"/>
            <w:shd w:val="clear" w:color="auto" w:fill="F2F2F2"/>
          </w:tcPr>
          <w:p>
            <w:pPr>
              <w:ind w:left="20"/>
              <w:spacing w:after="0"/>
              <w:rPr>
                <w:sz w:val="20"/>
                <w:szCs w:val="20"/>
                <w:color w:val="auto"/>
              </w:rPr>
            </w:pPr>
            <w:r>
              <w:rPr>
                <w:rFonts w:ascii="Arial" w:cs="Arial" w:eastAsia="Arial" w:hAnsi="Arial"/>
                <w:sz w:val="14"/>
                <w:szCs w:val="14"/>
                <w:color w:val="auto"/>
              </w:rPr>
              <w:t>•</w:t>
            </w:r>
          </w:p>
        </w:tc>
        <w:tc>
          <w:tcPr>
            <w:tcW w:w="4040" w:type="dxa"/>
            <w:vAlign w:val="bottom"/>
            <w:shd w:val="clear" w:color="auto" w:fill="F2F2F2"/>
          </w:tcPr>
          <w:p>
            <w:pPr>
              <w:ind w:left="20"/>
              <w:spacing w:after="0"/>
              <w:rPr>
                <w:sz w:val="20"/>
                <w:szCs w:val="20"/>
                <w:color w:val="auto"/>
              </w:rPr>
            </w:pPr>
            <w:r>
              <w:rPr>
                <w:rFonts w:ascii="Arial" w:cs="Arial" w:eastAsia="Arial" w:hAnsi="Arial"/>
                <w:sz w:val="14"/>
                <w:szCs w:val="14"/>
                <w:color w:val="auto"/>
              </w:rPr>
              <w:t>Retirement or Involuntary termination</w:t>
            </w:r>
          </w:p>
        </w:tc>
        <w:tc>
          <w:tcPr>
            <w:tcW w:w="980" w:type="dxa"/>
            <w:vAlign w:val="bottom"/>
            <w:shd w:val="clear" w:color="auto" w:fill="F2F2F2"/>
          </w:tcPr>
          <w:p>
            <w:pPr>
              <w:jc w:val="right"/>
              <w:ind w:right="48"/>
              <w:spacing w:after="0"/>
              <w:rPr>
                <w:sz w:val="20"/>
                <w:szCs w:val="20"/>
                <w:color w:val="auto"/>
              </w:rPr>
            </w:pPr>
            <w:r>
              <w:rPr>
                <w:rFonts w:ascii="Arial" w:cs="Arial" w:eastAsia="Arial" w:hAnsi="Arial"/>
                <w:sz w:val="14"/>
                <w:szCs w:val="14"/>
                <w:color w:val="auto"/>
              </w:rPr>
              <w:t>—</w:t>
            </w:r>
          </w:p>
        </w:tc>
        <w:tc>
          <w:tcPr>
            <w:tcW w:w="1300" w:type="dxa"/>
            <w:vAlign w:val="bottom"/>
            <w:shd w:val="clear" w:color="auto" w:fill="F2F2F2"/>
          </w:tcPr>
          <w:p>
            <w:pPr>
              <w:jc w:val="right"/>
              <w:ind w:right="188"/>
              <w:spacing w:after="0"/>
              <w:rPr>
                <w:sz w:val="20"/>
                <w:szCs w:val="20"/>
                <w:color w:val="auto"/>
              </w:rPr>
            </w:pPr>
            <w:r>
              <w:rPr>
                <w:rFonts w:ascii="Arial" w:cs="Arial" w:eastAsia="Arial" w:hAnsi="Arial"/>
                <w:sz w:val="14"/>
                <w:szCs w:val="14"/>
                <w:color w:val="auto"/>
              </w:rPr>
              <w:t>—</w:t>
            </w:r>
          </w:p>
        </w:tc>
        <w:tc>
          <w:tcPr>
            <w:tcW w:w="1420" w:type="dxa"/>
            <w:vAlign w:val="bottom"/>
            <w:shd w:val="clear" w:color="auto" w:fill="F2F2F2"/>
          </w:tcPr>
          <w:p>
            <w:pPr>
              <w:jc w:val="right"/>
              <w:ind w:right="248"/>
              <w:spacing w:after="0"/>
              <w:rPr>
                <w:sz w:val="20"/>
                <w:szCs w:val="20"/>
                <w:color w:val="auto"/>
              </w:rPr>
            </w:pPr>
            <w:r>
              <w:rPr>
                <w:rFonts w:ascii="Arial" w:cs="Arial" w:eastAsia="Arial" w:hAnsi="Arial"/>
                <w:sz w:val="14"/>
                <w:szCs w:val="14"/>
                <w:color w:val="auto"/>
              </w:rPr>
              <w:t>$5,505,132</w:t>
            </w:r>
          </w:p>
        </w:tc>
        <w:tc>
          <w:tcPr>
            <w:tcW w:w="1120" w:type="dxa"/>
            <w:vAlign w:val="bottom"/>
            <w:shd w:val="clear" w:color="auto" w:fill="F2F2F2"/>
          </w:tcPr>
          <w:p>
            <w:pPr>
              <w:jc w:val="right"/>
              <w:ind w:right="48"/>
              <w:spacing w:after="0"/>
              <w:rPr>
                <w:sz w:val="20"/>
                <w:szCs w:val="20"/>
                <w:color w:val="auto"/>
              </w:rPr>
            </w:pPr>
            <w:r>
              <w:rPr>
                <w:rFonts w:ascii="Arial" w:cs="Arial" w:eastAsia="Arial" w:hAnsi="Arial"/>
                <w:sz w:val="14"/>
                <w:szCs w:val="14"/>
                <w:color w:val="auto"/>
              </w:rPr>
              <w:t>$5,505,132</w:t>
            </w:r>
          </w:p>
        </w:tc>
        <w:tc>
          <w:tcPr>
            <w:tcW w:w="0" w:type="dxa"/>
            <w:vAlign w:val="bottom"/>
          </w:tcPr>
          <w:p>
            <w:pPr>
              <w:spacing w:after="0"/>
              <w:rPr>
                <w:sz w:val="1"/>
                <w:szCs w:val="1"/>
                <w:color w:val="auto"/>
              </w:rPr>
            </w:pPr>
          </w:p>
        </w:tc>
      </w:tr>
      <w:tr>
        <w:trPr>
          <w:trHeight w:val="256"/>
        </w:trPr>
        <w:tc>
          <w:tcPr>
            <w:tcW w:w="220" w:type="dxa"/>
            <w:vAlign w:val="bottom"/>
            <w:shd w:val="clear" w:color="auto" w:fill="F2F2F2"/>
          </w:tcPr>
          <w:p>
            <w:pPr>
              <w:ind w:left="20"/>
              <w:spacing w:after="0"/>
              <w:rPr>
                <w:sz w:val="20"/>
                <w:szCs w:val="20"/>
                <w:color w:val="auto"/>
              </w:rPr>
            </w:pPr>
            <w:r>
              <w:rPr>
                <w:rFonts w:ascii="Arial" w:cs="Arial" w:eastAsia="Arial" w:hAnsi="Arial"/>
                <w:sz w:val="14"/>
                <w:szCs w:val="14"/>
                <w:color w:val="auto"/>
              </w:rPr>
              <w:t>•</w:t>
            </w:r>
          </w:p>
        </w:tc>
        <w:tc>
          <w:tcPr>
            <w:tcW w:w="4040" w:type="dxa"/>
            <w:vAlign w:val="bottom"/>
            <w:shd w:val="clear" w:color="auto" w:fill="F2F2F2"/>
          </w:tcPr>
          <w:p>
            <w:pPr>
              <w:ind w:left="20"/>
              <w:spacing w:after="0"/>
              <w:rPr>
                <w:sz w:val="20"/>
                <w:szCs w:val="20"/>
                <w:color w:val="auto"/>
              </w:rPr>
            </w:pPr>
            <w:r>
              <w:rPr>
                <w:rFonts w:ascii="Arial" w:cs="Arial" w:eastAsia="Arial" w:hAnsi="Arial"/>
                <w:sz w:val="14"/>
                <w:szCs w:val="14"/>
                <w:color w:val="auto"/>
              </w:rPr>
              <w:t>Involuntary or good-reason termination after change in control</w:t>
            </w:r>
          </w:p>
        </w:tc>
        <w:tc>
          <w:tcPr>
            <w:tcW w:w="980" w:type="dxa"/>
            <w:vAlign w:val="bottom"/>
            <w:shd w:val="clear" w:color="auto" w:fill="F2F2F2"/>
          </w:tcPr>
          <w:p>
            <w:pPr>
              <w:jc w:val="right"/>
              <w:spacing w:after="0"/>
              <w:rPr>
                <w:sz w:val="20"/>
                <w:szCs w:val="20"/>
                <w:color w:val="auto"/>
              </w:rPr>
            </w:pPr>
            <w:r>
              <w:rPr>
                <w:rFonts w:ascii="Arial" w:cs="Arial" w:eastAsia="Arial" w:hAnsi="Arial"/>
                <w:sz w:val="14"/>
                <w:szCs w:val="14"/>
                <w:color w:val="auto"/>
              </w:rPr>
              <w:t>$3,600,000</w:t>
            </w:r>
          </w:p>
        </w:tc>
        <w:tc>
          <w:tcPr>
            <w:tcW w:w="1300" w:type="dxa"/>
            <w:vAlign w:val="bottom"/>
            <w:shd w:val="clear" w:color="auto" w:fill="F2F2F2"/>
          </w:tcPr>
          <w:p>
            <w:pPr>
              <w:jc w:val="right"/>
              <w:ind w:right="128"/>
              <w:spacing w:after="0"/>
              <w:rPr>
                <w:sz w:val="20"/>
                <w:szCs w:val="20"/>
                <w:color w:val="auto"/>
              </w:rPr>
            </w:pPr>
            <w:r>
              <w:rPr>
                <w:rFonts w:ascii="Arial" w:cs="Arial" w:eastAsia="Arial" w:hAnsi="Arial"/>
                <w:sz w:val="14"/>
                <w:szCs w:val="14"/>
                <w:color w:val="auto"/>
              </w:rPr>
              <w:t>$65,124</w:t>
            </w:r>
          </w:p>
        </w:tc>
        <w:tc>
          <w:tcPr>
            <w:tcW w:w="1420" w:type="dxa"/>
            <w:vAlign w:val="bottom"/>
            <w:shd w:val="clear" w:color="auto" w:fill="F2F2F2"/>
          </w:tcPr>
          <w:p>
            <w:pPr>
              <w:jc w:val="right"/>
              <w:ind w:right="248"/>
              <w:spacing w:after="0"/>
              <w:rPr>
                <w:sz w:val="20"/>
                <w:szCs w:val="20"/>
                <w:color w:val="auto"/>
              </w:rPr>
            </w:pPr>
            <w:r>
              <w:rPr>
                <w:rFonts w:ascii="Arial" w:cs="Arial" w:eastAsia="Arial" w:hAnsi="Arial"/>
                <w:sz w:val="14"/>
                <w:szCs w:val="14"/>
                <w:color w:val="auto"/>
              </w:rPr>
              <w:t>$15,693,911</w:t>
            </w:r>
          </w:p>
        </w:tc>
        <w:tc>
          <w:tcPr>
            <w:tcW w:w="1120" w:type="dxa"/>
            <w:vAlign w:val="bottom"/>
            <w:shd w:val="clear" w:color="auto" w:fill="F2F2F2"/>
          </w:tcPr>
          <w:p>
            <w:pPr>
              <w:jc w:val="right"/>
              <w:ind w:right="48"/>
              <w:spacing w:after="0"/>
              <w:rPr>
                <w:sz w:val="20"/>
                <w:szCs w:val="20"/>
                <w:color w:val="auto"/>
              </w:rPr>
            </w:pPr>
            <w:r>
              <w:rPr>
                <w:rFonts w:ascii="Arial" w:cs="Arial" w:eastAsia="Arial" w:hAnsi="Arial"/>
                <w:sz w:val="14"/>
                <w:szCs w:val="14"/>
                <w:color w:val="auto"/>
              </w:rPr>
              <w:t>$19,359,035</w:t>
            </w:r>
          </w:p>
        </w:tc>
        <w:tc>
          <w:tcPr>
            <w:tcW w:w="0" w:type="dxa"/>
            <w:vAlign w:val="bottom"/>
          </w:tcPr>
          <w:p>
            <w:pPr>
              <w:spacing w:after="0"/>
              <w:rPr>
                <w:sz w:val="1"/>
                <w:szCs w:val="1"/>
                <w:color w:val="auto"/>
              </w:rPr>
            </w:pPr>
          </w:p>
        </w:tc>
      </w:tr>
      <w:tr>
        <w:trPr>
          <w:trHeight w:val="21"/>
        </w:trPr>
        <w:tc>
          <w:tcPr>
            <w:tcW w:w="220" w:type="dxa"/>
            <w:vAlign w:val="bottom"/>
            <w:shd w:val="clear" w:color="auto" w:fill="F2F2F2"/>
          </w:tcPr>
          <w:p>
            <w:pPr>
              <w:spacing w:after="0" w:line="20" w:lineRule="exact"/>
              <w:rPr>
                <w:sz w:val="1"/>
                <w:szCs w:val="1"/>
                <w:color w:val="auto"/>
              </w:rPr>
            </w:pPr>
          </w:p>
        </w:tc>
        <w:tc>
          <w:tcPr>
            <w:tcW w:w="4040" w:type="dxa"/>
            <w:vAlign w:val="bottom"/>
            <w:shd w:val="clear" w:color="auto" w:fill="F2F2F2"/>
          </w:tcPr>
          <w:p>
            <w:pPr>
              <w:spacing w:after="0" w:line="20" w:lineRule="exact"/>
              <w:rPr>
                <w:sz w:val="1"/>
                <w:szCs w:val="1"/>
                <w:color w:val="auto"/>
              </w:rPr>
            </w:pPr>
          </w:p>
        </w:tc>
        <w:tc>
          <w:tcPr>
            <w:tcW w:w="980" w:type="dxa"/>
            <w:vAlign w:val="bottom"/>
            <w:shd w:val="clear" w:color="auto" w:fill="F2F2F2"/>
          </w:tcPr>
          <w:p>
            <w:pPr>
              <w:spacing w:after="0" w:line="20" w:lineRule="exact"/>
              <w:rPr>
                <w:sz w:val="1"/>
                <w:szCs w:val="1"/>
                <w:color w:val="auto"/>
              </w:rPr>
            </w:pPr>
          </w:p>
        </w:tc>
        <w:tc>
          <w:tcPr>
            <w:tcW w:w="1300" w:type="dxa"/>
            <w:vAlign w:val="bottom"/>
            <w:shd w:val="clear" w:color="auto" w:fill="F2F2F2"/>
          </w:tcPr>
          <w:p>
            <w:pPr>
              <w:spacing w:after="0" w:line="20" w:lineRule="exact"/>
              <w:rPr>
                <w:sz w:val="1"/>
                <w:szCs w:val="1"/>
                <w:color w:val="auto"/>
              </w:rPr>
            </w:pPr>
          </w:p>
        </w:tc>
        <w:tc>
          <w:tcPr>
            <w:tcW w:w="1420" w:type="dxa"/>
            <w:vAlign w:val="bottom"/>
            <w:shd w:val="clear" w:color="auto" w:fill="F2F2F2"/>
          </w:tcPr>
          <w:p>
            <w:pPr>
              <w:spacing w:after="0" w:line="20" w:lineRule="exact"/>
              <w:rPr>
                <w:sz w:val="1"/>
                <w:szCs w:val="1"/>
                <w:color w:val="auto"/>
              </w:rPr>
            </w:pPr>
          </w:p>
        </w:tc>
        <w:tc>
          <w:tcPr>
            <w:tcW w:w="1120" w:type="dxa"/>
            <w:vAlign w:val="bottom"/>
            <w:shd w:val="clear" w:color="auto" w:fill="F2F2F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00"/>
          </w:cols>
          <w:pgMar w:left="320" w:top="750" w:right="379" w:bottom="1440" w:gutter="0" w:footer="0" w:header="0"/>
        </w:sectPr>
      </w:pPr>
    </w:p>
    <w:p>
      <w:pPr>
        <w:spacing w:after="0" w:line="32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94615</wp:posOffset>
            </wp:positionV>
            <wp:extent cx="7157720" cy="42545"/>
            <wp:wrapNone/>
            <wp:docPr id="2317" name="Picture 2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7"/>
                    <pic:cNvPicPr>
                      <a:picLocks noChangeAspect="1" noChangeArrowheads="1"/>
                    </pic:cNvPicPr>
                  </pic:nvPicPr>
                  <pic:blipFill>
                    <a:blip r:embed="rId2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50" w:right="379" w:bottom="1440" w:gutter="0" w:footer="0" w:header="0"/>
          <w:type w:val="continuous"/>
        </w:sectPr>
      </w:pPr>
    </w:p>
    <w:bookmarkStart w:id="75" w:name="page76"/>
    <w:bookmarkEnd w:id="75"/>
    <w:tbl>
      <w:tblPr>
        <w:tblLayout w:type="fixed"/>
        <w:tblInd w:w="0" w:type="dxa"/>
        <w:tblCellMar>
          <w:top w:w="0" w:type="dxa"/>
          <w:left w:w="0" w:type="dxa"/>
          <w:bottom w:w="0" w:type="dxa"/>
          <w:right w:w="0" w:type="dxa"/>
        </w:tblCellMar>
      </w:tblPr>
      <w:tr>
        <w:trPr>
          <w:trHeight w:val="175"/>
        </w:trPr>
        <w:tc>
          <w:tcPr>
            <w:tcW w:w="4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rPr>
              <w:t>Continuation of</w:t>
            </w:r>
          </w:p>
        </w:tc>
        <w:tc>
          <w:tcPr>
            <w:tcW w:w="14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Acceleration and</w:t>
            </w: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4260" w:type="dxa"/>
            <w:vAlign w:val="bottom"/>
          </w:tcPr>
          <w:p>
            <w:pPr>
              <w:spacing w:after="0"/>
              <w:rPr>
                <w:sz w:val="4"/>
                <w:szCs w:val="4"/>
                <w:color w:val="auto"/>
              </w:rPr>
            </w:pPr>
          </w:p>
        </w:tc>
        <w:tc>
          <w:tcPr>
            <w:tcW w:w="1000" w:type="dxa"/>
            <w:vAlign w:val="bottom"/>
            <w:vMerge w:val="restart"/>
          </w:tcPr>
          <w:p>
            <w:pPr>
              <w:jc w:val="center"/>
              <w:ind w:right="8"/>
              <w:spacing w:after="0"/>
              <w:rPr>
                <w:sz w:val="20"/>
                <w:szCs w:val="20"/>
                <w:color w:val="auto"/>
              </w:rPr>
            </w:pPr>
            <w:r>
              <w:rPr>
                <w:rFonts w:ascii="Arial" w:cs="Arial" w:eastAsia="Arial" w:hAnsi="Arial"/>
                <w:sz w:val="14"/>
                <w:szCs w:val="14"/>
                <w:b w:val="1"/>
                <w:bCs w:val="1"/>
                <w:color w:val="auto"/>
              </w:rPr>
              <w:t>Cash</w:t>
            </w:r>
          </w:p>
        </w:tc>
        <w:tc>
          <w:tcPr>
            <w:tcW w:w="13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Medical / Welfare</w:t>
            </w:r>
          </w:p>
        </w:tc>
        <w:tc>
          <w:tcPr>
            <w:tcW w:w="1400" w:type="dxa"/>
            <w:vAlign w:val="bottom"/>
            <w:vMerge w:val="continue"/>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426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4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Continuation of</w:t>
            </w: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54"/>
        </w:trPr>
        <w:tc>
          <w:tcPr>
            <w:tcW w:w="4260" w:type="dxa"/>
            <w:vAlign w:val="bottom"/>
          </w:tcPr>
          <w:p>
            <w:pPr>
              <w:spacing w:after="0"/>
              <w:rPr>
                <w:sz w:val="4"/>
                <w:szCs w:val="4"/>
                <w:color w:val="auto"/>
              </w:rPr>
            </w:pPr>
          </w:p>
        </w:tc>
        <w:tc>
          <w:tcPr>
            <w:tcW w:w="1000" w:type="dxa"/>
            <w:vAlign w:val="bottom"/>
            <w:vMerge w:val="restart"/>
          </w:tcPr>
          <w:p>
            <w:pPr>
              <w:jc w:val="center"/>
              <w:ind w:right="8"/>
              <w:spacing w:after="0"/>
              <w:rPr>
                <w:sz w:val="20"/>
                <w:szCs w:val="20"/>
                <w:color w:val="auto"/>
              </w:rPr>
            </w:pPr>
            <w:r>
              <w:rPr>
                <w:rFonts w:ascii="Arial" w:cs="Arial" w:eastAsia="Arial" w:hAnsi="Arial"/>
                <w:sz w:val="14"/>
                <w:szCs w:val="14"/>
                <w:b w:val="1"/>
                <w:bCs w:val="1"/>
                <w:color w:val="auto"/>
              </w:rPr>
              <w:t>Severance</w:t>
            </w:r>
          </w:p>
        </w:tc>
        <w:tc>
          <w:tcPr>
            <w:tcW w:w="13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Benefits (present</w:t>
            </w:r>
          </w:p>
        </w:tc>
        <w:tc>
          <w:tcPr>
            <w:tcW w:w="1400" w:type="dxa"/>
            <w:vAlign w:val="bottom"/>
            <w:vMerge w:val="continue"/>
          </w:tcPr>
          <w:p>
            <w:pPr>
              <w:spacing w:after="0"/>
              <w:rPr>
                <w:sz w:val="4"/>
                <w:szCs w:val="4"/>
                <w:color w:val="auto"/>
              </w:rPr>
            </w:pPr>
          </w:p>
        </w:tc>
        <w:tc>
          <w:tcPr>
            <w:tcW w:w="1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426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14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Equity Awards as</w:t>
            </w: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Termination</w:t>
            </w:r>
          </w:p>
        </w:tc>
        <w:tc>
          <w:tcPr>
            <w:tcW w:w="0" w:type="dxa"/>
            <w:vAlign w:val="bottom"/>
          </w:tcPr>
          <w:p>
            <w:pPr>
              <w:spacing w:after="0"/>
              <w:rPr>
                <w:sz w:val="1"/>
                <w:szCs w:val="1"/>
                <w:color w:val="auto"/>
              </w:rPr>
            </w:pPr>
          </w:p>
        </w:tc>
      </w:tr>
      <w:tr>
        <w:trPr>
          <w:trHeight w:val="54"/>
        </w:trPr>
        <w:tc>
          <w:tcPr>
            <w:tcW w:w="4260" w:type="dxa"/>
            <w:vAlign w:val="bottom"/>
          </w:tcPr>
          <w:p>
            <w:pPr>
              <w:spacing w:after="0"/>
              <w:rPr>
                <w:sz w:val="4"/>
                <w:szCs w:val="4"/>
                <w:color w:val="auto"/>
              </w:rPr>
            </w:pPr>
          </w:p>
        </w:tc>
        <w:tc>
          <w:tcPr>
            <w:tcW w:w="1000" w:type="dxa"/>
            <w:vAlign w:val="bottom"/>
            <w:vMerge w:val="restart"/>
          </w:tcPr>
          <w:p>
            <w:pPr>
              <w:jc w:val="center"/>
              <w:ind w:right="8"/>
              <w:spacing w:after="0"/>
              <w:rPr>
                <w:sz w:val="20"/>
                <w:szCs w:val="20"/>
                <w:color w:val="auto"/>
              </w:rPr>
            </w:pPr>
            <w:r>
              <w:rPr>
                <w:rFonts w:ascii="Arial" w:cs="Arial" w:eastAsia="Arial" w:hAnsi="Arial"/>
                <w:sz w:val="14"/>
                <w:szCs w:val="14"/>
                <w:b w:val="1"/>
                <w:bCs w:val="1"/>
                <w:color w:val="auto"/>
                <w:w w:val="98"/>
              </w:rPr>
              <w:t xml:space="preserve">Payment </w:t>
            </w:r>
            <w:r>
              <w:rPr>
                <w:rFonts w:ascii="Arial" w:cs="Arial" w:eastAsia="Arial" w:hAnsi="Arial"/>
                <w:sz w:val="18"/>
                <w:szCs w:val="18"/>
                <w:b w:val="1"/>
                <w:bCs w:val="1"/>
                <w:color w:val="auto"/>
                <w:w w:val="98"/>
                <w:vertAlign w:val="superscript"/>
              </w:rPr>
              <w:t>1</w:t>
            </w:r>
          </w:p>
        </w:tc>
        <w:tc>
          <w:tcPr>
            <w:tcW w:w="13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 xml:space="preserve">value) </w:t>
            </w:r>
            <w:r>
              <w:rPr>
                <w:rFonts w:ascii="Arial" w:cs="Arial" w:eastAsia="Arial" w:hAnsi="Arial"/>
                <w:sz w:val="9"/>
                <w:szCs w:val="9"/>
                <w:b w:val="1"/>
                <w:bCs w:val="1"/>
                <w:color w:val="auto"/>
              </w:rPr>
              <w:t>2</w:t>
            </w:r>
          </w:p>
        </w:tc>
        <w:tc>
          <w:tcPr>
            <w:tcW w:w="1400" w:type="dxa"/>
            <w:vAlign w:val="bottom"/>
            <w:vMerge w:val="continue"/>
          </w:tcPr>
          <w:p>
            <w:pPr>
              <w:spacing w:after="0"/>
              <w:rPr>
                <w:sz w:val="4"/>
                <w:szCs w:val="4"/>
                <w:color w:val="auto"/>
              </w:rPr>
            </w:pPr>
          </w:p>
        </w:tc>
        <w:tc>
          <w:tcPr>
            <w:tcW w:w="1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8"/>
        </w:trPr>
        <w:tc>
          <w:tcPr>
            <w:tcW w:w="42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1000" w:type="dxa"/>
            <w:vAlign w:val="bottom"/>
            <w:vMerge w:val="continue"/>
          </w:tcPr>
          <w:p>
            <w:pPr>
              <w:spacing w:after="0"/>
              <w:rPr>
                <w:sz w:val="13"/>
                <w:szCs w:val="13"/>
                <w:color w:val="auto"/>
              </w:rPr>
            </w:pPr>
          </w:p>
        </w:tc>
        <w:tc>
          <w:tcPr>
            <w:tcW w:w="1320" w:type="dxa"/>
            <w:vAlign w:val="bottom"/>
            <w:vMerge w:val="continue"/>
          </w:tcPr>
          <w:p>
            <w:pPr>
              <w:spacing w:after="0"/>
              <w:rPr>
                <w:sz w:val="13"/>
                <w:szCs w:val="13"/>
                <w:color w:val="auto"/>
              </w:rPr>
            </w:pPr>
          </w:p>
        </w:tc>
        <w:tc>
          <w:tcPr>
            <w:tcW w:w="14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of 12/31/2024</w:t>
            </w:r>
          </w:p>
        </w:tc>
        <w:tc>
          <w:tcPr>
            <w:tcW w:w="110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Benefits</w:t>
            </w:r>
          </w:p>
        </w:tc>
        <w:tc>
          <w:tcPr>
            <w:tcW w:w="0" w:type="dxa"/>
            <w:vAlign w:val="bottom"/>
          </w:tcPr>
          <w:p>
            <w:pPr>
              <w:spacing w:after="0"/>
              <w:rPr>
                <w:sz w:val="1"/>
                <w:szCs w:val="1"/>
                <w:color w:val="auto"/>
              </w:rPr>
            </w:pPr>
          </w:p>
        </w:tc>
      </w:tr>
      <w:tr>
        <w:trPr>
          <w:trHeight w:val="53"/>
        </w:trPr>
        <w:tc>
          <w:tcPr>
            <w:tcW w:w="4260" w:type="dxa"/>
            <w:vAlign w:val="bottom"/>
            <w:tcBorders>
              <w:bottom w:val="single" w:sz="8" w:color="auto"/>
            </w:tcBorders>
            <w:vMerge w:val="continue"/>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vMerge w:val="continue"/>
          </w:tcPr>
          <w:p>
            <w:pPr>
              <w:spacing w:after="0"/>
              <w:rPr>
                <w:sz w:val="4"/>
                <w:szCs w:val="4"/>
                <w:color w:val="auto"/>
              </w:rPr>
            </w:pPr>
          </w:p>
        </w:tc>
        <w:tc>
          <w:tcPr>
            <w:tcW w:w="110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4260" w:type="dxa"/>
            <w:vAlign w:val="bottom"/>
          </w:tcPr>
          <w:p>
            <w:pPr>
              <w:ind w:left="20"/>
              <w:spacing w:after="0"/>
              <w:rPr>
                <w:sz w:val="20"/>
                <w:szCs w:val="20"/>
                <w:color w:val="auto"/>
              </w:rPr>
            </w:pPr>
            <w:r>
              <w:rPr>
                <w:rFonts w:ascii="Arial" w:cs="Arial" w:eastAsia="Arial" w:hAnsi="Arial"/>
                <w:sz w:val="14"/>
                <w:szCs w:val="14"/>
                <w:color w:val="auto"/>
              </w:rPr>
              <w:t>Mr. Brooks</w:t>
            </w:r>
          </w:p>
        </w:tc>
        <w:tc>
          <w:tcPr>
            <w:tcW w:w="10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4260" w:type="dxa"/>
            <w:vAlign w:val="bottom"/>
          </w:tcPr>
          <w:p>
            <w:pPr>
              <w:ind w:left="20"/>
              <w:spacing w:after="0"/>
              <w:rPr>
                <w:sz w:val="20"/>
                <w:szCs w:val="20"/>
                <w:color w:val="auto"/>
              </w:rPr>
            </w:pPr>
            <w:r>
              <w:rPr>
                <w:rFonts w:ascii="Arial" w:cs="Arial" w:eastAsia="Arial" w:hAnsi="Arial"/>
                <w:sz w:val="14"/>
                <w:szCs w:val="14"/>
                <w:color w:val="auto"/>
              </w:rPr>
              <w:t>•  Retirement or Involuntary termination</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248"/>
              <w:spacing w:after="0"/>
              <w:rPr>
                <w:sz w:val="20"/>
                <w:szCs w:val="20"/>
                <w:color w:val="auto"/>
              </w:rPr>
            </w:pPr>
            <w:r>
              <w:rPr>
                <w:rFonts w:ascii="Arial" w:cs="Arial" w:eastAsia="Arial" w:hAnsi="Arial"/>
                <w:sz w:val="14"/>
                <w:szCs w:val="14"/>
                <w:color w:val="auto"/>
              </w:rPr>
              <w:t>$5,794,095</w:t>
            </w:r>
          </w:p>
        </w:tc>
        <w:tc>
          <w:tcPr>
            <w:tcW w:w="1100" w:type="dxa"/>
            <w:vAlign w:val="bottom"/>
          </w:tcPr>
          <w:p>
            <w:pPr>
              <w:ind w:left="260"/>
              <w:spacing w:after="0"/>
              <w:rPr>
                <w:sz w:val="20"/>
                <w:szCs w:val="20"/>
                <w:color w:val="auto"/>
              </w:rPr>
            </w:pPr>
            <w:r>
              <w:rPr>
                <w:rFonts w:ascii="Arial" w:cs="Arial" w:eastAsia="Arial" w:hAnsi="Arial"/>
                <w:sz w:val="14"/>
                <w:szCs w:val="14"/>
                <w:color w:val="auto"/>
              </w:rPr>
              <w:t>$5,794,095</w:t>
            </w:r>
          </w:p>
        </w:tc>
        <w:tc>
          <w:tcPr>
            <w:tcW w:w="0" w:type="dxa"/>
            <w:vAlign w:val="bottom"/>
          </w:tcPr>
          <w:p>
            <w:pPr>
              <w:spacing w:after="0"/>
              <w:rPr>
                <w:sz w:val="1"/>
                <w:szCs w:val="1"/>
                <w:color w:val="auto"/>
              </w:rPr>
            </w:pPr>
          </w:p>
        </w:tc>
      </w:tr>
      <w:tr>
        <w:trPr>
          <w:trHeight w:val="257"/>
        </w:trPr>
        <w:tc>
          <w:tcPr>
            <w:tcW w:w="4260" w:type="dxa"/>
            <w:vAlign w:val="bottom"/>
          </w:tcPr>
          <w:p>
            <w:pPr>
              <w:ind w:left="20"/>
              <w:spacing w:after="0"/>
              <w:rPr>
                <w:sz w:val="20"/>
                <w:szCs w:val="20"/>
                <w:color w:val="auto"/>
              </w:rPr>
            </w:pPr>
            <w:r>
              <w:rPr>
                <w:rFonts w:ascii="Arial" w:cs="Arial" w:eastAsia="Arial" w:hAnsi="Arial"/>
                <w:sz w:val="14"/>
                <w:szCs w:val="14"/>
                <w:color w:val="auto"/>
              </w:rPr>
              <w:t>•  Involuntary or good-reason termination after change in control</w:t>
            </w:r>
          </w:p>
        </w:tc>
        <w:tc>
          <w:tcPr>
            <w:tcW w:w="1000" w:type="dxa"/>
            <w:vAlign w:val="bottom"/>
          </w:tcPr>
          <w:p>
            <w:pPr>
              <w:jc w:val="right"/>
              <w:spacing w:after="0"/>
              <w:rPr>
                <w:sz w:val="20"/>
                <w:szCs w:val="20"/>
                <w:color w:val="auto"/>
              </w:rPr>
            </w:pPr>
            <w:r>
              <w:rPr>
                <w:rFonts w:ascii="Arial" w:cs="Arial" w:eastAsia="Arial" w:hAnsi="Arial"/>
                <w:sz w:val="14"/>
                <w:szCs w:val="14"/>
                <w:color w:val="auto"/>
              </w:rPr>
              <w:t>$1,746,599</w:t>
            </w:r>
          </w:p>
        </w:tc>
        <w:tc>
          <w:tcPr>
            <w:tcW w:w="1320" w:type="dxa"/>
            <w:vAlign w:val="bottom"/>
          </w:tcPr>
          <w:p>
            <w:pPr>
              <w:jc w:val="right"/>
              <w:ind w:right="128"/>
              <w:spacing w:after="0"/>
              <w:rPr>
                <w:sz w:val="20"/>
                <w:szCs w:val="20"/>
                <w:color w:val="auto"/>
              </w:rPr>
            </w:pPr>
            <w:r>
              <w:rPr>
                <w:rFonts w:ascii="Arial" w:cs="Arial" w:eastAsia="Arial" w:hAnsi="Arial"/>
                <w:sz w:val="14"/>
                <w:szCs w:val="14"/>
                <w:color w:val="auto"/>
              </w:rPr>
              <w:t>$54,113</w:t>
            </w:r>
          </w:p>
        </w:tc>
        <w:tc>
          <w:tcPr>
            <w:tcW w:w="1400" w:type="dxa"/>
            <w:vAlign w:val="bottom"/>
          </w:tcPr>
          <w:p>
            <w:pPr>
              <w:jc w:val="right"/>
              <w:ind w:right="248"/>
              <w:spacing w:after="0"/>
              <w:rPr>
                <w:sz w:val="20"/>
                <w:szCs w:val="20"/>
                <w:color w:val="auto"/>
              </w:rPr>
            </w:pPr>
            <w:r>
              <w:rPr>
                <w:rFonts w:ascii="Arial" w:cs="Arial" w:eastAsia="Arial" w:hAnsi="Arial"/>
                <w:sz w:val="14"/>
                <w:szCs w:val="14"/>
                <w:color w:val="auto"/>
              </w:rPr>
              <w:t>$7,495,783</w:t>
            </w:r>
          </w:p>
        </w:tc>
        <w:tc>
          <w:tcPr>
            <w:tcW w:w="1100" w:type="dxa"/>
            <w:vAlign w:val="bottom"/>
          </w:tcPr>
          <w:p>
            <w:pPr>
              <w:ind w:left="260"/>
              <w:spacing w:after="0"/>
              <w:rPr>
                <w:sz w:val="20"/>
                <w:szCs w:val="20"/>
                <w:color w:val="auto"/>
              </w:rPr>
            </w:pPr>
            <w:r>
              <w:rPr>
                <w:rFonts w:ascii="Arial" w:cs="Arial" w:eastAsia="Arial" w:hAnsi="Arial"/>
                <w:sz w:val="14"/>
                <w:szCs w:val="14"/>
                <w:color w:val="auto"/>
              </w:rPr>
              <w:t>$9,296,495</w:t>
            </w:r>
          </w:p>
        </w:tc>
        <w:tc>
          <w:tcPr>
            <w:tcW w:w="0" w:type="dxa"/>
            <w:vAlign w:val="bottom"/>
          </w:tcPr>
          <w:p>
            <w:pPr>
              <w:spacing w:after="0"/>
              <w:rPr>
                <w:sz w:val="1"/>
                <w:szCs w:val="1"/>
                <w:color w:val="auto"/>
              </w:rPr>
            </w:pPr>
          </w:p>
        </w:tc>
      </w:tr>
      <w:tr>
        <w:trPr>
          <w:trHeight w:val="22"/>
        </w:trPr>
        <w:tc>
          <w:tcPr>
            <w:tcW w:w="4260" w:type="dxa"/>
            <w:vAlign w:val="bottom"/>
            <w:tcBorders>
              <w:bottom w:val="single" w:sz="8" w:color="6D6D6D"/>
            </w:tcBorders>
          </w:tcPr>
          <w:p>
            <w:pPr>
              <w:spacing w:after="0" w:line="20" w:lineRule="exact"/>
              <w:rPr>
                <w:sz w:val="1"/>
                <w:szCs w:val="1"/>
                <w:color w:val="auto"/>
              </w:rPr>
            </w:pPr>
          </w:p>
        </w:tc>
        <w:tc>
          <w:tcPr>
            <w:tcW w:w="1000" w:type="dxa"/>
            <w:vAlign w:val="bottom"/>
            <w:tcBorders>
              <w:bottom w:val="single" w:sz="8" w:color="6D6D6D"/>
            </w:tcBorders>
          </w:tcPr>
          <w:p>
            <w:pPr>
              <w:spacing w:after="0" w:line="20" w:lineRule="exact"/>
              <w:rPr>
                <w:sz w:val="1"/>
                <w:szCs w:val="1"/>
                <w:color w:val="auto"/>
              </w:rPr>
            </w:pPr>
          </w:p>
        </w:tc>
        <w:tc>
          <w:tcPr>
            <w:tcW w:w="1320" w:type="dxa"/>
            <w:vAlign w:val="bottom"/>
            <w:tcBorders>
              <w:bottom w:val="single" w:sz="8" w:color="6D6D6D"/>
            </w:tcBorders>
          </w:tcPr>
          <w:p>
            <w:pPr>
              <w:spacing w:after="0" w:line="20" w:lineRule="exact"/>
              <w:rPr>
                <w:sz w:val="1"/>
                <w:szCs w:val="1"/>
                <w:color w:val="auto"/>
              </w:rPr>
            </w:pPr>
          </w:p>
        </w:tc>
        <w:tc>
          <w:tcPr>
            <w:tcW w:w="1400" w:type="dxa"/>
            <w:vAlign w:val="bottom"/>
            <w:tcBorders>
              <w:bottom w:val="single" w:sz="8" w:color="6D6D6D"/>
            </w:tcBorders>
          </w:tcPr>
          <w:p>
            <w:pPr>
              <w:spacing w:after="0" w:line="20" w:lineRule="exact"/>
              <w:rPr>
                <w:sz w:val="1"/>
                <w:szCs w:val="1"/>
                <w:color w:val="auto"/>
              </w:rPr>
            </w:pPr>
          </w:p>
        </w:tc>
        <w:tc>
          <w:tcPr>
            <w:tcW w:w="1100" w:type="dxa"/>
            <w:vAlign w:val="bottom"/>
            <w:tcBorders>
              <w:bottom w:val="single" w:sz="8" w:color="6D6D6D"/>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551815</wp:posOffset>
            </wp:positionV>
            <wp:extent cx="5760720" cy="8255"/>
            <wp:wrapNone/>
            <wp:docPr id="2318" name="Picture 2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8"/>
                    <pic:cNvPicPr>
                      <a:picLocks noChangeAspect="1" noChangeArrowheads="1"/>
                    </pic:cNvPicPr>
                  </pic:nvPicPr>
                  <pic:blipFill>
                    <a:blip r:embed="rId2325">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ind w:left="180" w:right="180" w:hanging="172"/>
        <w:spacing w:after="0" w:line="234" w:lineRule="auto"/>
        <w:tabs>
          <w:tab w:leader="none" w:pos="270" w:val="left"/>
        </w:tabs>
        <w:numPr>
          <w:ilvl w:val="0"/>
          <w:numId w:val="170"/>
        </w:numPr>
        <w:rPr>
          <w:rFonts w:ascii="Arial" w:cs="Arial" w:eastAsia="Arial" w:hAnsi="Arial"/>
          <w:sz w:val="19"/>
          <w:szCs w:val="19"/>
          <w:color w:val="auto"/>
          <w:vertAlign w:val="superscript"/>
        </w:rPr>
      </w:pPr>
      <w:r>
        <w:rPr>
          <w:rFonts w:ascii="Arial" w:cs="Arial" w:eastAsia="Arial" w:hAnsi="Arial"/>
          <w:sz w:val="14"/>
          <w:szCs w:val="14"/>
          <w:color w:val="auto"/>
        </w:rPr>
        <w:t>See “</w:t>
      </w:r>
      <w:r>
        <w:rPr>
          <w:rFonts w:ascii="Arial" w:cs="Arial" w:eastAsia="Arial" w:hAnsi="Arial"/>
          <w:sz w:val="14"/>
          <w:szCs w:val="14"/>
          <w:u w:val="single" w:color="auto"/>
          <w:color w:val="0000FF"/>
        </w:rPr>
        <w:t>Change-in-Control Severance Pay Plan—Cash Severance Payment</w:t>
      </w:r>
      <w:r>
        <w:rPr>
          <w:rFonts w:ascii="Arial" w:cs="Arial" w:eastAsia="Arial" w:hAnsi="Arial"/>
          <w:sz w:val="14"/>
          <w:szCs w:val="14"/>
          <w:color w:val="auto"/>
        </w:rPr>
        <w:t>” below. The table above assumes that the company does not elect to enforce Non-Compete Payment Agreements with Dr. Skovronsky and Mr. Van Naarden, under which they may receive up to $5 million and $3 million (less applicable reductions by the Company and deductions required by law for the payment of wages), respectively, in exchange for their restrictive covenant obligations.</w:t>
      </w:r>
    </w:p>
    <w:p>
      <w:pPr>
        <w:spacing w:after="0" w:line="12" w:lineRule="exact"/>
        <w:rPr>
          <w:sz w:val="20"/>
          <w:szCs w:val="20"/>
          <w:color w:val="auto"/>
        </w:rPr>
      </w:pPr>
    </w:p>
    <w:p>
      <w:pPr>
        <w:ind w:left="260" w:hanging="252"/>
        <w:spacing w:after="0"/>
        <w:tabs>
          <w:tab w:leader="none" w:pos="260" w:val="left"/>
        </w:tabs>
        <w:numPr>
          <w:ilvl w:val="0"/>
          <w:numId w:val="171"/>
        </w:numPr>
        <w:rPr>
          <w:rFonts w:ascii="Arial" w:cs="Arial" w:eastAsia="Arial" w:hAnsi="Arial"/>
          <w:sz w:val="19"/>
          <w:szCs w:val="19"/>
          <w:color w:val="auto"/>
          <w:vertAlign w:val="superscript"/>
        </w:rPr>
      </w:pPr>
      <w:r>
        <w:rPr>
          <w:rFonts w:ascii="Arial" w:cs="Arial" w:eastAsia="Arial" w:hAnsi="Arial"/>
          <w:sz w:val="14"/>
          <w:szCs w:val="14"/>
          <w:color w:val="auto"/>
        </w:rPr>
        <w:t>See “</w:t>
      </w:r>
      <w:r>
        <w:rPr>
          <w:rFonts w:ascii="Arial" w:cs="Arial" w:eastAsia="Arial" w:hAnsi="Arial"/>
          <w:sz w:val="14"/>
          <w:szCs w:val="14"/>
          <w:u w:val="single" w:color="auto"/>
          <w:color w:val="0000FF"/>
        </w:rPr>
        <w:t>Accrued Pay and Regular Retirement Benefits</w:t>
      </w:r>
      <w:r>
        <w:rPr>
          <w:rFonts w:ascii="Arial" w:cs="Arial" w:eastAsia="Arial" w:hAnsi="Arial"/>
          <w:sz w:val="14"/>
          <w:szCs w:val="14"/>
          <w:color w:val="auto"/>
        </w:rPr>
        <w:t>” and “</w:t>
      </w:r>
      <w:r>
        <w:rPr>
          <w:rFonts w:ascii="Arial" w:cs="Arial" w:eastAsia="Arial" w:hAnsi="Arial"/>
          <w:sz w:val="14"/>
          <w:szCs w:val="14"/>
          <w:u w:val="single" w:color="auto"/>
          <w:color w:val="0000FF"/>
        </w:rPr>
        <w:t>Change-in-Control Severance Pay Plan—Continuation of Medical and Welfare Benefits</w:t>
      </w:r>
      <w:r>
        <w:rPr>
          <w:rFonts w:ascii="Arial" w:cs="Arial" w:eastAsia="Arial" w:hAnsi="Arial"/>
          <w:sz w:val="14"/>
          <w:szCs w:val="14"/>
          <w:color w:val="auto"/>
        </w:rPr>
        <w:t>” below.</w:t>
      </w:r>
    </w:p>
    <w:p>
      <w:pPr>
        <w:spacing w:after="0" w:line="223" w:lineRule="exact"/>
        <w:rPr>
          <w:sz w:val="20"/>
          <w:szCs w:val="20"/>
          <w:color w:val="auto"/>
        </w:rPr>
      </w:pPr>
    </w:p>
    <w:p>
      <w:pPr>
        <w:ind w:right="280"/>
        <w:spacing w:after="0" w:line="250" w:lineRule="auto"/>
        <w:rPr>
          <w:sz w:val="20"/>
          <w:szCs w:val="20"/>
          <w:color w:val="auto"/>
        </w:rPr>
      </w:pPr>
      <w:r>
        <w:rPr>
          <w:rFonts w:ascii="Arial" w:cs="Arial" w:eastAsia="Arial" w:hAnsi="Arial"/>
          <w:sz w:val="22"/>
          <w:szCs w:val="22"/>
          <w:b w:val="1"/>
          <w:bCs w:val="1"/>
          <w:color w:val="auto"/>
        </w:rPr>
        <w:t xml:space="preserve">Accrued Pay and Regular Retirement Benefits: </w:t>
      </w:r>
      <w:r>
        <w:rPr>
          <w:rFonts w:ascii="Arial" w:cs="Arial" w:eastAsia="Arial" w:hAnsi="Arial"/>
          <w:sz w:val="17"/>
          <w:szCs w:val="17"/>
          <w:color w:val="auto"/>
        </w:rPr>
        <w:t>The amounts shown in the table above do not include certain payments and</w:t>
      </w:r>
      <w:r>
        <w:rPr>
          <w:rFonts w:ascii="Arial" w:cs="Arial" w:eastAsia="Arial" w:hAnsi="Arial"/>
          <w:sz w:val="22"/>
          <w:szCs w:val="22"/>
          <w:b w:val="1"/>
          <w:bCs w:val="1"/>
          <w:color w:val="auto"/>
        </w:rPr>
        <w:t xml:space="preserve"> </w:t>
      </w:r>
      <w:r>
        <w:rPr>
          <w:rFonts w:ascii="Arial" w:cs="Arial" w:eastAsia="Arial" w:hAnsi="Arial"/>
          <w:sz w:val="17"/>
          <w:szCs w:val="17"/>
          <w:color w:val="auto"/>
        </w:rPr>
        <w:t>benefits to the extent they are provided on a non-discriminatory basis to salaried employees generally upon termination of employment. These include:</w:t>
      </w:r>
    </w:p>
    <w:p>
      <w:pPr>
        <w:spacing w:after="0" w:line="129" w:lineRule="exact"/>
        <w:rPr>
          <w:sz w:val="20"/>
          <w:szCs w:val="20"/>
          <w:color w:val="auto"/>
        </w:rPr>
      </w:pPr>
    </w:p>
    <w:p>
      <w:pPr>
        <w:ind w:left="480" w:hanging="310"/>
        <w:spacing w:after="0"/>
        <w:tabs>
          <w:tab w:leader="none" w:pos="480" w:val="left"/>
        </w:tabs>
        <w:numPr>
          <w:ilvl w:val="0"/>
          <w:numId w:val="172"/>
        </w:numPr>
        <w:rPr>
          <w:rFonts w:ascii="Arial" w:cs="Arial" w:eastAsia="Arial" w:hAnsi="Arial"/>
          <w:sz w:val="16"/>
          <w:szCs w:val="16"/>
          <w:color w:val="auto"/>
        </w:rPr>
      </w:pPr>
      <w:r>
        <w:rPr>
          <w:rFonts w:ascii="Arial" w:cs="Arial" w:eastAsia="Arial" w:hAnsi="Arial"/>
          <w:sz w:val="18"/>
          <w:szCs w:val="18"/>
          <w:color w:val="auto"/>
        </w:rPr>
        <w:t>accrued salary and vacation pay;</w:t>
      </w:r>
    </w:p>
    <w:p>
      <w:pPr>
        <w:spacing w:after="0" w:line="171" w:lineRule="exact"/>
        <w:rPr>
          <w:rFonts w:ascii="Arial" w:cs="Arial" w:eastAsia="Arial" w:hAnsi="Arial"/>
          <w:sz w:val="16"/>
          <w:szCs w:val="16"/>
          <w:color w:val="auto"/>
        </w:rPr>
      </w:pPr>
    </w:p>
    <w:p>
      <w:pPr>
        <w:ind w:left="480" w:hanging="310"/>
        <w:spacing w:after="0"/>
        <w:tabs>
          <w:tab w:leader="none" w:pos="480" w:val="left"/>
        </w:tabs>
        <w:numPr>
          <w:ilvl w:val="0"/>
          <w:numId w:val="172"/>
        </w:numPr>
        <w:rPr>
          <w:rFonts w:ascii="Arial" w:cs="Arial" w:eastAsia="Arial" w:hAnsi="Arial"/>
          <w:sz w:val="16"/>
          <w:szCs w:val="16"/>
          <w:color w:val="auto"/>
        </w:rPr>
      </w:pPr>
      <w:r>
        <w:rPr>
          <w:rFonts w:ascii="Arial" w:cs="Arial" w:eastAsia="Arial" w:hAnsi="Arial"/>
          <w:sz w:val="18"/>
          <w:szCs w:val="18"/>
          <w:color w:val="auto"/>
        </w:rPr>
        <w:t>regular pension benefits under the Retirement Plan and the Nonqualified Pension Plan. See “</w:t>
      </w:r>
      <w:r>
        <w:rPr>
          <w:rFonts w:ascii="Arial" w:cs="Arial" w:eastAsia="Arial" w:hAnsi="Arial"/>
          <w:sz w:val="18"/>
          <w:szCs w:val="18"/>
          <w:u w:val="single" w:color="auto"/>
          <w:color w:val="0000FF"/>
        </w:rPr>
        <w:t>Retirement Benefits</w:t>
      </w:r>
      <w:r>
        <w:rPr>
          <w:rFonts w:ascii="Arial" w:cs="Arial" w:eastAsia="Arial" w:hAnsi="Arial"/>
          <w:sz w:val="18"/>
          <w:szCs w:val="18"/>
          <w:color w:val="auto"/>
        </w:rPr>
        <w:t>” above;</w:t>
      </w:r>
    </w:p>
    <w:p>
      <w:pPr>
        <w:spacing w:after="0" w:line="171" w:lineRule="exact"/>
        <w:rPr>
          <w:rFonts w:ascii="Arial" w:cs="Arial" w:eastAsia="Arial" w:hAnsi="Arial"/>
          <w:sz w:val="16"/>
          <w:szCs w:val="16"/>
          <w:color w:val="auto"/>
        </w:rPr>
      </w:pPr>
    </w:p>
    <w:p>
      <w:pPr>
        <w:ind w:left="500" w:right="420" w:hanging="330"/>
        <w:spacing w:after="0" w:line="287" w:lineRule="auto"/>
        <w:tabs>
          <w:tab w:leader="none" w:pos="489" w:val="left"/>
        </w:tabs>
        <w:numPr>
          <w:ilvl w:val="0"/>
          <w:numId w:val="172"/>
        </w:numPr>
        <w:rPr>
          <w:rFonts w:ascii="Arial" w:cs="Arial" w:eastAsia="Arial" w:hAnsi="Arial"/>
          <w:sz w:val="16"/>
          <w:szCs w:val="16"/>
          <w:color w:val="auto"/>
        </w:rPr>
      </w:pPr>
      <w:r>
        <w:rPr>
          <w:rFonts w:ascii="Arial" w:cs="Arial" w:eastAsia="Arial" w:hAnsi="Arial"/>
          <w:sz w:val="18"/>
          <w:szCs w:val="18"/>
          <w:color w:val="auto"/>
        </w:rPr>
        <w:t>welfare benefits provided to eligible U.S. retirees, including retiree medical and dental insurance. The amounts shown in the table above as “Continuation of Medical/Welfare Benefits” are explained below; and</w:t>
      </w:r>
    </w:p>
    <w:p>
      <w:pPr>
        <w:spacing w:after="0" w:line="98" w:lineRule="exact"/>
        <w:rPr>
          <w:rFonts w:ascii="Arial" w:cs="Arial" w:eastAsia="Arial" w:hAnsi="Arial"/>
          <w:sz w:val="16"/>
          <w:szCs w:val="16"/>
          <w:color w:val="auto"/>
        </w:rPr>
      </w:pPr>
    </w:p>
    <w:p>
      <w:pPr>
        <w:ind w:left="500" w:right="300" w:hanging="330"/>
        <w:spacing w:after="0" w:line="287" w:lineRule="auto"/>
        <w:tabs>
          <w:tab w:leader="none" w:pos="489" w:val="left"/>
        </w:tabs>
        <w:numPr>
          <w:ilvl w:val="0"/>
          <w:numId w:val="172"/>
        </w:numPr>
        <w:rPr>
          <w:rFonts w:ascii="Arial" w:cs="Arial" w:eastAsia="Arial" w:hAnsi="Arial"/>
          <w:sz w:val="16"/>
          <w:szCs w:val="16"/>
          <w:color w:val="auto"/>
        </w:rPr>
      </w:pPr>
      <w:r>
        <w:rPr>
          <w:rFonts w:ascii="Arial" w:cs="Arial" w:eastAsia="Arial" w:hAnsi="Arial"/>
          <w:sz w:val="18"/>
          <w:szCs w:val="18"/>
          <w:color w:val="auto"/>
        </w:rPr>
        <w:t>distributions of plan balances under the 401(k) Plan, the Nonqualified Savings Plan, and the Deferred Compensation Plan. See the narrative following the Nonqualified Deferred Compensation in 2024 table for information about these plans.</w:t>
      </w:r>
    </w:p>
    <w:p>
      <w:pPr>
        <w:spacing w:after="0" w:line="157" w:lineRule="exact"/>
        <w:rPr>
          <w:sz w:val="20"/>
          <w:szCs w:val="20"/>
          <w:color w:val="auto"/>
        </w:rPr>
      </w:pPr>
    </w:p>
    <w:p>
      <w:pPr>
        <w:spacing w:after="0" w:line="292" w:lineRule="auto"/>
        <w:rPr>
          <w:sz w:val="20"/>
          <w:szCs w:val="20"/>
          <w:color w:val="auto"/>
        </w:rPr>
      </w:pPr>
      <w:r>
        <w:rPr>
          <w:rFonts w:ascii="Arial" w:cs="Arial" w:eastAsia="Arial" w:hAnsi="Arial"/>
          <w:sz w:val="22"/>
          <w:szCs w:val="22"/>
          <w:b w:val="1"/>
          <w:bCs w:val="1"/>
          <w:color w:val="auto"/>
        </w:rPr>
        <w:t xml:space="preserve">Death and Disability: </w:t>
      </w:r>
      <w:r>
        <w:rPr>
          <w:rFonts w:ascii="Arial" w:cs="Arial" w:eastAsia="Arial" w:hAnsi="Arial"/>
          <w:sz w:val="17"/>
          <w:szCs w:val="17"/>
          <w:color w:val="auto"/>
        </w:rPr>
        <w:t>A termination of employment due to death or disability does not entitle named executive officers to any payments</w:t>
      </w:r>
      <w:r>
        <w:rPr>
          <w:rFonts w:ascii="Arial" w:cs="Arial" w:eastAsia="Arial" w:hAnsi="Arial"/>
          <w:sz w:val="22"/>
          <w:szCs w:val="22"/>
          <w:b w:val="1"/>
          <w:bCs w:val="1"/>
          <w:color w:val="auto"/>
        </w:rPr>
        <w:t xml:space="preserve"> </w:t>
      </w:r>
      <w:r>
        <w:rPr>
          <w:rFonts w:ascii="Arial" w:cs="Arial" w:eastAsia="Arial" w:hAnsi="Arial"/>
          <w:sz w:val="17"/>
          <w:szCs w:val="17"/>
          <w:color w:val="auto"/>
        </w:rPr>
        <w:t>or benefits that are not available to U.S. employees generally.</w:t>
      </w:r>
    </w:p>
    <w:p>
      <w:pPr>
        <w:spacing w:after="0" w:line="143" w:lineRule="exact"/>
        <w:rPr>
          <w:sz w:val="20"/>
          <w:szCs w:val="20"/>
          <w:color w:val="auto"/>
        </w:rPr>
      </w:pPr>
    </w:p>
    <w:p>
      <w:pPr>
        <w:ind w:right="220"/>
        <w:spacing w:after="0" w:line="239" w:lineRule="auto"/>
        <w:rPr>
          <w:sz w:val="20"/>
          <w:szCs w:val="20"/>
          <w:color w:val="auto"/>
        </w:rPr>
      </w:pPr>
      <w:r>
        <w:rPr>
          <w:rFonts w:ascii="Arial" w:cs="Arial" w:eastAsia="Arial" w:hAnsi="Arial"/>
          <w:sz w:val="22"/>
          <w:szCs w:val="22"/>
          <w:b w:val="1"/>
          <w:bCs w:val="1"/>
          <w:color w:val="auto"/>
        </w:rPr>
        <w:t xml:space="preserve">Termination for Cause: </w:t>
      </w:r>
      <w:r>
        <w:rPr>
          <w:rFonts w:ascii="Arial" w:cs="Arial" w:eastAsia="Arial" w:hAnsi="Arial"/>
          <w:sz w:val="17"/>
          <w:szCs w:val="17"/>
          <w:color w:val="auto"/>
        </w:rPr>
        <w:t>Executives terminated for cause receive no severance or enhanced benefits and forfeit any unvested equity</w:t>
      </w:r>
      <w:r>
        <w:rPr>
          <w:rFonts w:ascii="Arial" w:cs="Arial" w:eastAsia="Arial" w:hAnsi="Arial"/>
          <w:sz w:val="22"/>
          <w:szCs w:val="22"/>
          <w:b w:val="1"/>
          <w:bCs w:val="1"/>
          <w:color w:val="auto"/>
        </w:rPr>
        <w:t xml:space="preserve"> </w:t>
      </w:r>
      <w:r>
        <w:rPr>
          <w:rFonts w:ascii="Arial" w:cs="Arial" w:eastAsia="Arial" w:hAnsi="Arial"/>
          <w:sz w:val="17"/>
          <w:szCs w:val="17"/>
          <w:color w:val="auto"/>
        </w:rPr>
        <w:t>grants.</w:t>
      </w:r>
    </w:p>
    <w:p>
      <w:pPr>
        <w:spacing w:after="0" w:line="198" w:lineRule="exact"/>
        <w:rPr>
          <w:sz w:val="20"/>
          <w:szCs w:val="20"/>
          <w:color w:val="auto"/>
        </w:rPr>
      </w:pPr>
    </w:p>
    <w:p>
      <w:pPr>
        <w:ind w:right="140"/>
        <w:spacing w:after="0" w:line="269" w:lineRule="auto"/>
        <w:rPr>
          <w:sz w:val="20"/>
          <w:szCs w:val="20"/>
          <w:color w:val="auto"/>
        </w:rPr>
      </w:pPr>
      <w:r>
        <w:rPr>
          <w:rFonts w:ascii="Arial" w:cs="Arial" w:eastAsia="Arial" w:hAnsi="Arial"/>
          <w:sz w:val="22"/>
          <w:szCs w:val="22"/>
          <w:b w:val="1"/>
          <w:bCs w:val="1"/>
          <w:color w:val="auto"/>
        </w:rPr>
        <w:t>Equity Acceleration</w:t>
      </w:r>
      <w:r>
        <w:rPr>
          <w:rFonts w:ascii="Arial" w:cs="Arial" w:eastAsia="Arial" w:hAnsi="Arial"/>
          <w:sz w:val="17"/>
          <w:szCs w:val="17"/>
          <w:color w:val="auto"/>
        </w:rPr>
        <w:t>: Pursuant to the award agreements granted under the Amended and Restated 2022 Lilly Stock Plan, in the event</w:t>
      </w:r>
      <w:r>
        <w:rPr>
          <w:rFonts w:ascii="Arial" w:cs="Arial" w:eastAsia="Arial" w:hAnsi="Arial"/>
          <w:sz w:val="22"/>
          <w:szCs w:val="22"/>
          <w:b w:val="1"/>
          <w:bCs w:val="1"/>
          <w:color w:val="auto"/>
        </w:rPr>
        <w:t xml:space="preserve"> </w:t>
      </w:r>
      <w:r>
        <w:rPr>
          <w:rFonts w:ascii="Arial" w:cs="Arial" w:eastAsia="Arial" w:hAnsi="Arial"/>
          <w:sz w:val="17"/>
          <w:szCs w:val="17"/>
          <w:color w:val="auto"/>
        </w:rPr>
        <w:t>an applicable transaction occurs prior to the end of the applicable performance period, the unvested equity awards would convert into restricted stock units of the new company, with the number of shares earned under the awards based on the accrued performance at the time of the transaction. The restricted stock units will continue to vest and pay out upon the earlier of the completion of the original award period; upon a covered termination; or if the successor entity does not assume, substitute, or otherwise replace the award.</w:t>
      </w:r>
    </w:p>
    <w:p>
      <w:pPr>
        <w:spacing w:after="0" w:line="177" w:lineRule="exact"/>
        <w:rPr>
          <w:sz w:val="20"/>
          <w:szCs w:val="20"/>
          <w:color w:val="auto"/>
        </w:rPr>
      </w:pPr>
    </w:p>
    <w:p>
      <w:pPr>
        <w:ind w:right="80"/>
        <w:spacing w:after="0" w:line="257" w:lineRule="auto"/>
        <w:rPr>
          <w:sz w:val="20"/>
          <w:szCs w:val="20"/>
          <w:color w:val="auto"/>
        </w:rPr>
      </w:pPr>
      <w:r>
        <w:rPr>
          <w:rFonts w:ascii="Arial" w:cs="Arial" w:eastAsia="Arial" w:hAnsi="Arial"/>
          <w:sz w:val="22"/>
          <w:szCs w:val="22"/>
          <w:b w:val="1"/>
          <w:bCs w:val="1"/>
          <w:color w:val="auto"/>
        </w:rPr>
        <w:t xml:space="preserve">Change-in-Control Severance Pay Plan: </w:t>
      </w:r>
      <w:r>
        <w:rPr>
          <w:rFonts w:ascii="Arial" w:cs="Arial" w:eastAsia="Arial" w:hAnsi="Arial"/>
          <w:sz w:val="17"/>
          <w:szCs w:val="17"/>
          <w:color w:val="auto"/>
        </w:rPr>
        <w:t>As described in the CD&amp;A under “</w:t>
      </w:r>
      <w:r>
        <w:rPr>
          <w:rFonts w:ascii="Arial" w:cs="Arial" w:eastAsia="Arial" w:hAnsi="Arial"/>
          <w:sz w:val="17"/>
          <w:szCs w:val="17"/>
          <w:u w:val="single" w:color="auto"/>
          <w:color w:val="0000FF"/>
        </w:rPr>
        <w:t>Other Compensation Practices and Information—</w:t>
      </w:r>
      <w:r>
        <w:rPr>
          <w:rFonts w:ascii="Arial" w:cs="Arial" w:eastAsia="Arial" w:hAnsi="Arial"/>
          <w:sz w:val="22"/>
          <w:szCs w:val="22"/>
          <w:b w:val="1"/>
          <w:bCs w:val="1"/>
          <w:color w:val="auto"/>
        </w:rPr>
        <w:t xml:space="preserve"> </w:t>
      </w:r>
      <w:r>
        <w:rPr>
          <w:rFonts w:ascii="Arial" w:cs="Arial" w:eastAsia="Arial" w:hAnsi="Arial"/>
          <w:sz w:val="17"/>
          <w:szCs w:val="17"/>
          <w:u w:val="single" w:color="auto"/>
          <w:color w:val="0000FF"/>
        </w:rPr>
        <w:t>Severance Benefits</w:t>
      </w:r>
      <w:r>
        <w:rPr>
          <w:rFonts w:ascii="Arial" w:cs="Arial" w:eastAsia="Arial" w:hAnsi="Arial"/>
          <w:sz w:val="17"/>
          <w:szCs w:val="17"/>
          <w:color w:val="000000"/>
        </w:rPr>
        <w:t>,” the company maintains a change-in-control severance pay plan for nearly all employees, including the named</w:t>
      </w:r>
      <w:r>
        <w:rPr>
          <w:rFonts w:ascii="Arial" w:cs="Arial" w:eastAsia="Arial" w:hAnsi="Arial"/>
          <w:sz w:val="17"/>
          <w:szCs w:val="17"/>
          <w:color w:val="0000FF"/>
        </w:rPr>
        <w:t xml:space="preserve"> </w:t>
      </w:r>
      <w:r>
        <w:rPr>
          <w:rFonts w:ascii="Arial" w:cs="Arial" w:eastAsia="Arial" w:hAnsi="Arial"/>
          <w:sz w:val="17"/>
          <w:szCs w:val="17"/>
          <w:color w:val="000000"/>
        </w:rPr>
        <w:t>executive officers. The change-in-control plan for executive officers defines a change in control specifically, but generally the terms include the occurrence of one of the following: (i) acquisition by any person of 20 percent or more of the company’s stock; (ii) replacement by the shareholders of one-half or more of the board of directors; (iii) consummation of a merger, share exchange, or consolidation of the company (other than a transaction that results in the Lilly shareholders prior to the transaction continuing to hold more than 60 percent of the voting stock of the combined entity); or (iv) complete liquidation of the company or sale or disposition of all or substantially all of its assets (other than a sale or disposition to any subsidiary of the company). The amounts shown in the table above for “involuntary or good-reason termination after change in control” are based on the following assumptions and plan provisions and are conditioned upon the executive’s execution and non-revocation of a general release of claims:</w:t>
      </w:r>
    </w:p>
    <w:p>
      <w:pPr>
        <w:spacing w:after="0" w:line="320" w:lineRule="exact"/>
        <w:rPr>
          <w:sz w:val="20"/>
          <w:szCs w:val="20"/>
          <w:color w:val="auto"/>
        </w:rPr>
      </w:pPr>
    </w:p>
    <w:p>
      <w:pPr>
        <w:jc w:val="both"/>
        <w:ind w:left="500" w:right="160" w:hanging="330"/>
        <w:spacing w:after="0" w:line="266" w:lineRule="auto"/>
        <w:tabs>
          <w:tab w:leader="none" w:pos="489" w:val="left"/>
        </w:tabs>
        <w:numPr>
          <w:ilvl w:val="0"/>
          <w:numId w:val="173"/>
        </w:numPr>
        <w:rPr>
          <w:rFonts w:ascii="Arial" w:cs="Arial" w:eastAsia="Arial" w:hAnsi="Arial"/>
          <w:sz w:val="16"/>
          <w:szCs w:val="16"/>
          <w:b w:val="1"/>
          <w:bCs w:val="1"/>
          <w:color w:val="D52B1E"/>
        </w:rPr>
      </w:pPr>
      <w:r>
        <w:rPr>
          <w:rFonts w:ascii="Arial" w:cs="Arial" w:eastAsia="Arial" w:hAnsi="Arial"/>
          <w:sz w:val="20"/>
          <w:szCs w:val="20"/>
          <w:b w:val="1"/>
          <w:bCs w:val="1"/>
          <w:color w:val="D52B1E"/>
        </w:rPr>
        <w:t xml:space="preserve">Covered terminations. </w:t>
      </w:r>
      <w:r>
        <w:rPr>
          <w:rFonts w:ascii="Arial" w:cs="Arial" w:eastAsia="Arial" w:hAnsi="Arial"/>
          <w:sz w:val="17"/>
          <w:szCs w:val="17"/>
          <w:color w:val="000000"/>
        </w:rPr>
        <w:t>The table assumes a termination of employment that is eligible for severance under the terms of the plan,</w:t>
      </w:r>
      <w:r>
        <w:rPr>
          <w:rFonts w:ascii="Arial" w:cs="Arial" w:eastAsia="Arial" w:hAnsi="Arial"/>
          <w:sz w:val="20"/>
          <w:szCs w:val="20"/>
          <w:b w:val="1"/>
          <w:bCs w:val="1"/>
          <w:color w:val="D52B1E"/>
        </w:rPr>
        <w:t xml:space="preserve"> </w:t>
      </w:r>
      <w:r>
        <w:rPr>
          <w:rFonts w:ascii="Arial" w:cs="Arial" w:eastAsia="Arial" w:hAnsi="Arial"/>
          <w:sz w:val="17"/>
          <w:szCs w:val="17"/>
          <w:color w:val="000000"/>
        </w:rPr>
        <w:t>based on the named executive officer’s compensation, benefits, age, and service credit on December 31, 2024. Eligible terminations include an involuntary termination for reasons</w:t>
      </w:r>
    </w:p>
    <w:p>
      <w:pPr>
        <w:spacing w:after="0" w:line="200" w:lineRule="exact"/>
        <w:rPr>
          <w:sz w:val="20"/>
          <w:szCs w:val="20"/>
          <w:color w:val="auto"/>
        </w:rPr>
      </w:pPr>
    </w:p>
    <w:p>
      <w:pPr>
        <w:spacing w:after="0" w:line="312" w:lineRule="exact"/>
        <w:rPr>
          <w:sz w:val="20"/>
          <w:szCs w:val="20"/>
          <w:color w:val="auto"/>
        </w:rPr>
      </w:pPr>
    </w:p>
    <w:p>
      <w:pPr>
        <w:jc w:val="center"/>
        <w:ind w:right="-79"/>
        <w:spacing w:after="0"/>
        <w:rPr>
          <w:sz w:val="20"/>
          <w:szCs w:val="20"/>
          <w:color w:val="auto"/>
        </w:rPr>
      </w:pPr>
      <w:r>
        <w:rPr>
          <w:rFonts w:ascii="Arial" w:cs="Arial" w:eastAsia="Arial" w:hAnsi="Arial"/>
          <w:sz w:val="19"/>
          <w:szCs w:val="19"/>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88900</wp:posOffset>
            </wp:positionV>
            <wp:extent cx="7157720" cy="42545"/>
            <wp:wrapNone/>
            <wp:docPr id="2319" name="Picture 2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9"/>
                    <pic:cNvPicPr>
                      <a:picLocks noChangeAspect="1" noChangeArrowheads="1"/>
                    </pic:cNvPicPr>
                  </pic:nvPicPr>
                  <pic:blipFill>
                    <a:blip r:embed="rId2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08" w:right="399" w:bottom="1440" w:gutter="0" w:footer="0" w:header="0"/>
        </w:sectPr>
      </w:pPr>
    </w:p>
    <w:bookmarkStart w:id="76" w:name="page77"/>
    <w:bookmarkEnd w:id="76"/>
    <w:p>
      <w:pPr>
        <w:ind w:left="500" w:right="40"/>
        <w:spacing w:after="0" w:line="287" w:lineRule="auto"/>
        <w:rPr>
          <w:sz w:val="20"/>
          <w:szCs w:val="20"/>
          <w:color w:val="auto"/>
        </w:rPr>
      </w:pPr>
      <w:r>
        <w:rPr>
          <w:rFonts w:ascii="Arial" w:cs="Arial" w:eastAsia="Arial" w:hAnsi="Arial"/>
          <w:sz w:val="18"/>
          <w:szCs w:val="18"/>
          <w:color w:val="auto"/>
        </w:rPr>
        <w:t>other than “cause” or a voluntary termination by the executive for “good reason,” each as defined in the plan, within two years following the change in control.</w:t>
      </w:r>
    </w:p>
    <w:p>
      <w:pPr>
        <w:spacing w:after="0" w:line="99" w:lineRule="exact"/>
        <w:rPr>
          <w:sz w:val="20"/>
          <w:szCs w:val="20"/>
          <w:color w:val="auto"/>
        </w:rPr>
      </w:pPr>
    </w:p>
    <w:p>
      <w:pPr>
        <w:ind w:left="860" w:right="240" w:hanging="324"/>
        <w:spacing w:after="0" w:line="257" w:lineRule="auto"/>
        <w:rPr>
          <w:sz w:val="20"/>
          <w:szCs w:val="20"/>
          <w:color w:val="auto"/>
        </w:rPr>
      </w:pPr>
      <w:r>
        <w:rPr>
          <w:rFonts w:ascii="Arial" w:cs="Arial" w:eastAsia="Arial" w:hAnsi="Arial"/>
          <w:sz w:val="18"/>
          <w:szCs w:val="18"/>
          <w:color w:val="auto"/>
        </w:rPr>
        <w:t>– A termination of an executive officer by the company is for “cause,” in general, if it is for any of the following reasons: (i) the employee’s willful refusal to perform, without legal cause, his or her material duties, resulting in demonstrable economic harm to the company or participating employers; (ii) any act of fraud, dishonesty, or gross misconduct resulting in significant economic harm or other significant harm to the company or participating employers or to the business reputation of the company or participating employers; or (iii) conviction by a court of competent jurisdiction of any crime (or the entering of a plea of guilty or nolo contendere to a charge of any crime) constituting a felony.</w:t>
      </w:r>
    </w:p>
    <w:p>
      <w:pPr>
        <w:spacing w:after="0" w:line="128" w:lineRule="exact"/>
        <w:rPr>
          <w:sz w:val="20"/>
          <w:szCs w:val="20"/>
          <w:color w:val="auto"/>
        </w:rPr>
      </w:pPr>
    </w:p>
    <w:p>
      <w:pPr>
        <w:ind w:left="860" w:hanging="324"/>
        <w:spacing w:after="0" w:line="253" w:lineRule="auto"/>
        <w:rPr>
          <w:sz w:val="20"/>
          <w:szCs w:val="20"/>
          <w:color w:val="auto"/>
        </w:rPr>
      </w:pPr>
      <w:r>
        <w:rPr>
          <w:rFonts w:ascii="Arial" w:cs="Arial" w:eastAsia="Arial" w:hAnsi="Arial"/>
          <w:sz w:val="18"/>
          <w:szCs w:val="18"/>
          <w:color w:val="auto"/>
        </w:rPr>
        <w:t>– A termination by the executive officer is for “good reason,” in general, if it results from: (i) a material diminution in the nature or status of the executive’s position, title, reporting relationship, duties, responsibilities, or authority, or the assignment to him or her of additional responsibilities that materially increase his or her workload; (ii) any reduction in the executive’s then-current base salary; (iii) a material reduction in the executive’s opportunities to earn incentive bonuses below those in effect for the year prior to the change in control; (iv) a material reduction in the executive’s employee benefits from the benefit levels in effect immediately prior to the change in control; (v) the failure to grant to the executive stock options, stock units, performance shares, or similar incentive rights during each 12-month period following the change in control on the basis of a number of shares or units and all other material terms at least as favorable to the executive as those rights granted to him or her on an annualized average basis for the three-year period immediately prior to the change in control; (vi) relocation of the executive by more than 50 miles from his or her regularly assigned workplace in effect immediately prior to the change in control; or (vii) any failure by a successor entity to the company in connection with a change in control to assume the obligations of the company under the plan, or any attempted amendment, termination or repudiation of the plan by such successor entity.</w:t>
      </w:r>
    </w:p>
    <w:p>
      <w:pPr>
        <w:spacing w:after="0" w:line="157" w:lineRule="exact"/>
        <w:rPr>
          <w:sz w:val="20"/>
          <w:szCs w:val="20"/>
          <w:color w:val="auto"/>
        </w:rPr>
      </w:pPr>
    </w:p>
    <w:p>
      <w:pPr>
        <w:ind w:left="500" w:right="260" w:hanging="330"/>
        <w:spacing w:after="0" w:line="267" w:lineRule="auto"/>
        <w:tabs>
          <w:tab w:leader="none" w:pos="489" w:val="left"/>
        </w:tabs>
        <w:numPr>
          <w:ilvl w:val="0"/>
          <w:numId w:val="174"/>
        </w:numPr>
        <w:rPr>
          <w:rFonts w:ascii="Arial" w:cs="Arial" w:eastAsia="Arial" w:hAnsi="Arial"/>
          <w:sz w:val="16"/>
          <w:szCs w:val="16"/>
          <w:b w:val="1"/>
          <w:bCs w:val="1"/>
          <w:color w:val="D52B1E"/>
        </w:rPr>
      </w:pPr>
      <w:r>
        <w:rPr>
          <w:rFonts w:ascii="Arial" w:cs="Arial" w:eastAsia="Arial" w:hAnsi="Arial"/>
          <w:sz w:val="20"/>
          <w:szCs w:val="20"/>
          <w:b w:val="1"/>
          <w:bCs w:val="1"/>
          <w:color w:val="D52B1E"/>
        </w:rPr>
        <w:t xml:space="preserve">Cash severance payment. </w:t>
      </w:r>
      <w:r>
        <w:rPr>
          <w:rFonts w:ascii="Arial" w:cs="Arial" w:eastAsia="Arial" w:hAnsi="Arial"/>
          <w:sz w:val="17"/>
          <w:szCs w:val="17"/>
          <w:color w:val="000000"/>
        </w:rPr>
        <w:t>The cash severance payment amounts, in general, equal two times the sum of the executive officer's</w:t>
      </w:r>
      <w:r>
        <w:rPr>
          <w:rFonts w:ascii="Arial" w:cs="Arial" w:eastAsia="Arial" w:hAnsi="Arial"/>
          <w:sz w:val="20"/>
          <w:szCs w:val="20"/>
          <w:b w:val="1"/>
          <w:bCs w:val="1"/>
          <w:color w:val="D52B1E"/>
        </w:rPr>
        <w:t xml:space="preserve"> </w:t>
      </w:r>
      <w:r>
        <w:rPr>
          <w:rFonts w:ascii="Arial" w:cs="Arial" w:eastAsia="Arial" w:hAnsi="Arial"/>
          <w:sz w:val="17"/>
          <w:szCs w:val="17"/>
          <w:color w:val="000000"/>
        </w:rPr>
        <w:t>annual base salary and target bonus, to be paid in a lump sum.</w:t>
      </w:r>
    </w:p>
    <w:p>
      <w:pPr>
        <w:spacing w:after="0" w:line="55" w:lineRule="exact"/>
        <w:rPr>
          <w:rFonts w:ascii="Arial" w:cs="Arial" w:eastAsia="Arial" w:hAnsi="Arial"/>
          <w:sz w:val="16"/>
          <w:szCs w:val="16"/>
          <w:b w:val="1"/>
          <w:bCs w:val="1"/>
          <w:color w:val="D52B1E"/>
        </w:rPr>
      </w:pPr>
    </w:p>
    <w:p>
      <w:pPr>
        <w:ind w:left="500" w:right="120" w:hanging="330"/>
        <w:spacing w:after="0" w:line="270" w:lineRule="auto"/>
        <w:tabs>
          <w:tab w:leader="none" w:pos="489" w:val="left"/>
        </w:tabs>
        <w:numPr>
          <w:ilvl w:val="0"/>
          <w:numId w:val="174"/>
        </w:numPr>
        <w:rPr>
          <w:rFonts w:ascii="Arial" w:cs="Arial" w:eastAsia="Arial" w:hAnsi="Arial"/>
          <w:sz w:val="16"/>
          <w:szCs w:val="16"/>
          <w:b w:val="1"/>
          <w:bCs w:val="1"/>
          <w:color w:val="D52B1E"/>
        </w:rPr>
      </w:pPr>
      <w:r>
        <w:rPr>
          <w:rFonts w:ascii="Arial" w:cs="Arial" w:eastAsia="Arial" w:hAnsi="Arial"/>
          <w:sz w:val="20"/>
          <w:szCs w:val="20"/>
          <w:b w:val="1"/>
          <w:bCs w:val="1"/>
          <w:color w:val="D52B1E"/>
        </w:rPr>
        <w:t xml:space="preserve">Continuation of medical and welfare benefits. </w:t>
      </w:r>
      <w:r>
        <w:rPr>
          <w:rFonts w:ascii="Arial" w:cs="Arial" w:eastAsia="Arial" w:hAnsi="Arial"/>
          <w:sz w:val="17"/>
          <w:szCs w:val="17"/>
          <w:color w:val="000000"/>
        </w:rPr>
        <w:t>This amount represents the present value of the change-in-control plan’s</w:t>
      </w:r>
      <w:r>
        <w:rPr>
          <w:rFonts w:ascii="Arial" w:cs="Arial" w:eastAsia="Arial" w:hAnsi="Arial"/>
          <w:sz w:val="20"/>
          <w:szCs w:val="20"/>
          <w:b w:val="1"/>
          <w:bCs w:val="1"/>
          <w:color w:val="D52B1E"/>
        </w:rPr>
        <w:t xml:space="preserve"> </w:t>
      </w:r>
      <w:r>
        <w:rPr>
          <w:rFonts w:ascii="Arial" w:cs="Arial" w:eastAsia="Arial" w:hAnsi="Arial"/>
          <w:sz w:val="17"/>
          <w:szCs w:val="17"/>
          <w:color w:val="000000"/>
        </w:rPr>
        <w:t>provision, following a covered termination, of 18 months of continued coverage equivalent to the company’s current active employee medical, dental, group life, company-provided death benefit, and long-term disability insurance. Similar actuarial assumptions to those used to calculate incremental pension benefits apply to the calculation for continuation of medical and welfare benefits, with the addition of actual COBRA rates based on current benefit elections. In addition, the executive will receive two years of additional age and service credit for eligibility purposes under the retiree medical plan.</w:t>
      </w:r>
    </w:p>
    <w:p>
      <w:pPr>
        <w:spacing w:after="0" w:line="59" w:lineRule="exact"/>
        <w:rPr>
          <w:rFonts w:ascii="Arial" w:cs="Arial" w:eastAsia="Arial" w:hAnsi="Arial"/>
          <w:sz w:val="16"/>
          <w:szCs w:val="16"/>
          <w:b w:val="1"/>
          <w:bCs w:val="1"/>
          <w:color w:val="D52B1E"/>
        </w:rPr>
      </w:pPr>
    </w:p>
    <w:p>
      <w:pPr>
        <w:ind w:left="500" w:right="80" w:hanging="330"/>
        <w:spacing w:after="0" w:line="279" w:lineRule="auto"/>
        <w:tabs>
          <w:tab w:leader="none" w:pos="489" w:val="left"/>
        </w:tabs>
        <w:numPr>
          <w:ilvl w:val="0"/>
          <w:numId w:val="174"/>
        </w:numPr>
        <w:rPr>
          <w:rFonts w:ascii="Arial" w:cs="Arial" w:eastAsia="Arial" w:hAnsi="Arial"/>
          <w:sz w:val="16"/>
          <w:szCs w:val="16"/>
          <w:b w:val="1"/>
          <w:bCs w:val="1"/>
          <w:color w:val="D52B1E"/>
        </w:rPr>
      </w:pPr>
      <w:r>
        <w:rPr>
          <w:rFonts w:ascii="Arial" w:cs="Arial" w:eastAsia="Arial" w:hAnsi="Arial"/>
          <w:sz w:val="20"/>
          <w:szCs w:val="20"/>
          <w:b w:val="1"/>
          <w:bCs w:val="1"/>
          <w:color w:val="D52B1E"/>
        </w:rPr>
        <w:t xml:space="preserve">Excise taxes. </w:t>
      </w:r>
      <w:r>
        <w:rPr>
          <w:rFonts w:ascii="Arial" w:cs="Arial" w:eastAsia="Arial" w:hAnsi="Arial"/>
          <w:sz w:val="17"/>
          <w:szCs w:val="17"/>
          <w:color w:val="000000"/>
        </w:rPr>
        <w:t>Upon a change in control, employees may be subject to certain excise taxes under Section 280G of the Internal</w:t>
      </w:r>
      <w:r>
        <w:rPr>
          <w:rFonts w:ascii="Arial" w:cs="Arial" w:eastAsia="Arial" w:hAnsi="Arial"/>
          <w:sz w:val="20"/>
          <w:szCs w:val="20"/>
          <w:b w:val="1"/>
          <w:bCs w:val="1"/>
          <w:color w:val="D52B1E"/>
        </w:rPr>
        <w:t xml:space="preserve"> </w:t>
      </w:r>
      <w:r>
        <w:rPr>
          <w:rFonts w:ascii="Arial" w:cs="Arial" w:eastAsia="Arial" w:hAnsi="Arial"/>
          <w:sz w:val="17"/>
          <w:szCs w:val="17"/>
          <w:color w:val="000000"/>
        </w:rPr>
        <w:t>Revenue Code. The company does not reimburse the affected employees for those excise taxes or any income taxes payable by the employee. To reduce the employee’s exposure to potential excise taxes, the employee’s change in control benefit would be decreased to maximize the after-tax benefit to the individual.</w:t>
      </w:r>
    </w:p>
    <w:p>
      <w:pPr>
        <w:spacing w:after="0" w:line="49" w:lineRule="exact"/>
        <w:rPr>
          <w:rFonts w:ascii="Arial" w:cs="Arial" w:eastAsia="Arial" w:hAnsi="Arial"/>
          <w:sz w:val="16"/>
          <w:szCs w:val="16"/>
          <w:b w:val="1"/>
          <w:bCs w:val="1"/>
          <w:color w:val="D52B1E"/>
        </w:rPr>
      </w:pPr>
    </w:p>
    <w:p>
      <w:pPr>
        <w:ind w:left="500" w:right="240" w:hanging="330"/>
        <w:spacing w:after="0" w:line="258" w:lineRule="auto"/>
        <w:tabs>
          <w:tab w:leader="none" w:pos="489" w:val="left"/>
        </w:tabs>
        <w:numPr>
          <w:ilvl w:val="0"/>
          <w:numId w:val="174"/>
        </w:numPr>
        <w:rPr>
          <w:rFonts w:ascii="Arial" w:cs="Arial" w:eastAsia="Arial" w:hAnsi="Arial"/>
          <w:sz w:val="16"/>
          <w:szCs w:val="16"/>
          <w:b w:val="1"/>
          <w:bCs w:val="1"/>
          <w:color w:val="D52B1E"/>
        </w:rPr>
      </w:pPr>
      <w:r>
        <w:rPr>
          <w:rFonts w:ascii="Arial" w:cs="Arial" w:eastAsia="Arial" w:hAnsi="Arial"/>
          <w:sz w:val="20"/>
          <w:szCs w:val="20"/>
          <w:b w:val="1"/>
          <w:bCs w:val="1"/>
          <w:color w:val="D52B1E"/>
        </w:rPr>
        <w:t xml:space="preserve">Payments upon Change in Control Alone. </w:t>
      </w:r>
      <w:r>
        <w:rPr>
          <w:rFonts w:ascii="Arial" w:cs="Arial" w:eastAsia="Arial" w:hAnsi="Arial"/>
          <w:sz w:val="17"/>
          <w:szCs w:val="17"/>
          <w:color w:val="000000"/>
        </w:rPr>
        <w:t>The change-in-control plan is a “double trigger” plan, meaning payments are made</w:t>
      </w:r>
      <w:r>
        <w:rPr>
          <w:rFonts w:ascii="Arial" w:cs="Arial" w:eastAsia="Arial" w:hAnsi="Arial"/>
          <w:sz w:val="20"/>
          <w:szCs w:val="20"/>
          <w:b w:val="1"/>
          <w:bCs w:val="1"/>
          <w:color w:val="D52B1E"/>
        </w:rPr>
        <w:t xml:space="preserve"> </w:t>
      </w:r>
      <w:r>
        <w:rPr>
          <w:rFonts w:ascii="Arial" w:cs="Arial" w:eastAsia="Arial" w:hAnsi="Arial"/>
          <w:sz w:val="17"/>
          <w:szCs w:val="17"/>
          <w:color w:val="000000"/>
        </w:rPr>
        <w:t>only if the employee suffers a covered termination of employment within two years following the change in control, or in the case of equity awards, if the successor entity does not assume, substitute, or otherwise replace the awards.</w:t>
      </w:r>
    </w:p>
    <w:p>
      <w:pPr>
        <w:spacing w:after="0" w:line="328" w:lineRule="exact"/>
        <w:rPr>
          <w:sz w:val="20"/>
          <w:szCs w:val="20"/>
          <w:color w:val="auto"/>
        </w:rPr>
      </w:pPr>
    </w:p>
    <w:p>
      <w:pPr>
        <w:spacing w:after="0"/>
        <w:rPr>
          <w:sz w:val="20"/>
          <w:szCs w:val="20"/>
          <w:color w:val="auto"/>
        </w:rPr>
      </w:pPr>
      <w:r>
        <w:rPr>
          <w:rFonts w:ascii="Arial" w:cs="Arial" w:eastAsia="Arial" w:hAnsi="Arial"/>
          <w:sz w:val="32"/>
          <w:szCs w:val="32"/>
          <w:b w:val="1"/>
          <w:bCs w:val="1"/>
          <w:color w:val="D52B1E"/>
        </w:rPr>
        <w:t>CEO Pay Ratio</w:t>
      </w:r>
    </w:p>
    <w:p>
      <w:pPr>
        <w:spacing w:after="0" w:line="89"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Lilly’s compensation and benefits philosophy is designed to recognize and reward all employees who contribute to the company’s success. We are committed to ensuring that every Lilly employee’s pay reflects his or her job impact and responsibilities and remains competitive within our industry. Our dedication to pay equity is essential for fostering a diverse workforce and providing opportunities for growth, development and contribution for all employees.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discloses the 2024 annual total compensation for our CEO and median paid employee:</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2320" name="Picture 2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0"/>
                    <pic:cNvPicPr>
                      <a:picLocks noChangeAspect="1" noChangeArrowheads="1"/>
                    </pic:cNvPicPr>
                  </pic:nvPicPr>
                  <pic:blipFill>
                    <a:blip r:embed="rId2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7" w:name="page78"/>
    <w:bookmarkEnd w:id="77"/>
    <w:p>
      <w:pPr>
        <w:ind w:left="20"/>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3737610" cy="8255"/>
            <wp:wrapNone/>
            <wp:docPr id="2321" name="Picture 2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1"/>
                    <pic:cNvPicPr>
                      <a:picLocks noChangeAspect="1" noChangeArrowheads="1"/>
                    </pic:cNvPicPr>
                  </pic:nvPicPr>
                  <pic:blipFill>
                    <a:blip r:embed="rId2328">
                      <a:extLst>
                        <a:ext uri="{28A0092B-C50C-407E-A947-70E740481C1C}"/>
                      </a:extLst>
                    </a:blip>
                    <a:srcRect/>
                    <a:stretch>
                      <a:fillRect/>
                    </a:stretch>
                  </pic:blipFill>
                  <pic:spPr bwMode="auto">
                    <a:xfrm>
                      <a:off x="0" y="0"/>
                      <a:ext cx="3737610" cy="8255"/>
                    </a:xfrm>
                    <a:prstGeom prst="rect">
                      <a:avLst/>
                    </a:prstGeom>
                    <a:noFill/>
                  </pic:spPr>
                </pic:pic>
              </a:graphicData>
            </a:graphic>
          </wp:anchor>
        </w:drawing>
        <w:t>CEO Pay Ratio:</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220" w:type="dxa"/>
            <w:vAlign w:val="bottom"/>
            <w:tcBorders>
              <w:top w:val="single" w:sz="8" w:color="auto"/>
              <w:bottom w:val="single" w:sz="8" w:color="F2F2F2"/>
            </w:tcBorders>
            <w:shd w:val="clear" w:color="auto" w:fill="F2F2F2"/>
          </w:tcPr>
          <w:p>
            <w:pPr>
              <w:ind w:left="20"/>
              <w:spacing w:after="0"/>
              <w:rPr>
                <w:sz w:val="20"/>
                <w:szCs w:val="20"/>
                <w:color w:val="auto"/>
              </w:rPr>
            </w:pPr>
            <w:r>
              <w:rPr>
                <w:rFonts w:ascii="Arial" w:cs="Arial" w:eastAsia="Arial" w:hAnsi="Arial"/>
                <w:sz w:val="14"/>
                <w:szCs w:val="14"/>
                <w:color w:val="auto"/>
              </w:rPr>
              <w:t>CEO Annual Total Compensation*</w:t>
            </w:r>
          </w:p>
        </w:tc>
        <w:tc>
          <w:tcPr>
            <w:tcW w:w="1680" w:type="dxa"/>
            <w:vAlign w:val="bottom"/>
            <w:tcBorders>
              <w:top w:val="single" w:sz="8" w:color="auto"/>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$29,242,926</w:t>
            </w:r>
          </w:p>
        </w:tc>
      </w:tr>
      <w:tr>
        <w:trPr>
          <w:trHeight w:val="208"/>
        </w:trPr>
        <w:tc>
          <w:tcPr>
            <w:tcW w:w="4220" w:type="dxa"/>
            <w:vAlign w:val="bottom"/>
          </w:tcPr>
          <w:p>
            <w:pPr>
              <w:ind w:left="20"/>
              <w:spacing w:after="0"/>
              <w:rPr>
                <w:sz w:val="20"/>
                <w:szCs w:val="20"/>
                <w:color w:val="auto"/>
              </w:rPr>
            </w:pPr>
            <w:r>
              <w:rPr>
                <w:rFonts w:ascii="Arial" w:cs="Arial" w:eastAsia="Arial" w:hAnsi="Arial"/>
                <w:sz w:val="14"/>
                <w:szCs w:val="14"/>
                <w:color w:val="auto"/>
              </w:rPr>
              <w:t>Median Employee Annual Total Compensation</w:t>
            </w:r>
          </w:p>
        </w:tc>
        <w:tc>
          <w:tcPr>
            <w:tcW w:w="1680" w:type="dxa"/>
            <w:vAlign w:val="bottom"/>
          </w:tcPr>
          <w:p>
            <w:pPr>
              <w:jc w:val="right"/>
              <w:spacing w:after="0"/>
              <w:rPr>
                <w:sz w:val="20"/>
                <w:szCs w:val="20"/>
                <w:color w:val="auto"/>
              </w:rPr>
            </w:pPr>
            <w:r>
              <w:rPr>
                <w:rFonts w:ascii="Arial" w:cs="Arial" w:eastAsia="Arial" w:hAnsi="Arial"/>
                <w:sz w:val="14"/>
                <w:szCs w:val="14"/>
                <w:color w:val="auto"/>
              </w:rPr>
              <w:t>$120,574</w:t>
            </w:r>
          </w:p>
        </w:tc>
      </w:tr>
      <w:tr>
        <w:trPr>
          <w:trHeight w:val="22"/>
        </w:trPr>
        <w:tc>
          <w:tcPr>
            <w:tcW w:w="42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62"/>
        </w:trPr>
        <w:tc>
          <w:tcPr>
            <w:tcW w:w="42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4"/>
                <w:szCs w:val="14"/>
                <w:color w:val="auto"/>
              </w:rPr>
              <w:t>CEO to Median Employee Pay Ratio</w:t>
            </w:r>
          </w:p>
        </w:tc>
        <w:tc>
          <w:tcPr>
            <w:tcW w:w="168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243:1</w:t>
            </w:r>
          </w:p>
        </w:tc>
      </w:tr>
      <w:tr>
        <w:trPr>
          <w:trHeight w:val="215"/>
        </w:trPr>
        <w:tc>
          <w:tcPr>
            <w:tcW w:w="422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*This annual total compensation is the SCT amount.</w:t>
            </w:r>
          </w:p>
        </w:tc>
        <w:tc>
          <w:tcPr>
            <w:tcW w:w="1680" w:type="dxa"/>
            <w:vAlign w:val="bottom"/>
            <w:tcBorders>
              <w:top w:val="single" w:sz="8" w:color="auto"/>
            </w:tcBorders>
          </w:tcPr>
          <w:p>
            <w:pPr>
              <w:spacing w:after="0"/>
              <w:rPr>
                <w:sz w:val="18"/>
                <w:szCs w:val="18"/>
                <w:color w:val="auto"/>
              </w:rPr>
            </w:pPr>
          </w:p>
        </w:tc>
      </w:tr>
    </w:tbl>
    <w:p>
      <w:pPr>
        <w:spacing w:after="0" w:line="254" w:lineRule="exact"/>
        <w:rPr>
          <w:sz w:val="20"/>
          <w:szCs w:val="20"/>
          <w:color w:val="auto"/>
        </w:rPr>
      </w:pPr>
    </w:p>
    <w:p>
      <w:pPr>
        <w:spacing w:after="0"/>
        <w:rPr>
          <w:sz w:val="20"/>
          <w:szCs w:val="20"/>
          <w:color w:val="auto"/>
        </w:rPr>
      </w:pPr>
      <w:r>
        <w:rPr>
          <w:rFonts w:ascii="Arial" w:cs="Arial" w:eastAsia="Arial" w:hAnsi="Arial"/>
          <w:sz w:val="25"/>
          <w:szCs w:val="25"/>
          <w:b w:val="1"/>
          <w:bCs w:val="1"/>
          <w:color w:val="00A1DE"/>
        </w:rPr>
        <w:t>Methodology:</w:t>
      </w:r>
    </w:p>
    <w:p>
      <w:pPr>
        <w:spacing w:after="0" w:line="182" w:lineRule="exact"/>
        <w:rPr>
          <w:sz w:val="20"/>
          <w:szCs w:val="20"/>
          <w:color w:val="auto"/>
        </w:rPr>
      </w:pPr>
    </w:p>
    <w:p>
      <w:pPr>
        <w:ind w:left="500" w:right="340" w:hanging="330"/>
        <w:spacing w:after="0" w:line="268" w:lineRule="auto"/>
        <w:tabs>
          <w:tab w:leader="none" w:pos="489" w:val="left"/>
        </w:tabs>
        <w:numPr>
          <w:ilvl w:val="0"/>
          <w:numId w:val="175"/>
        </w:numPr>
        <w:rPr>
          <w:rFonts w:ascii="Arial" w:cs="Arial" w:eastAsia="Arial" w:hAnsi="Arial"/>
          <w:sz w:val="16"/>
          <w:szCs w:val="16"/>
          <w:b w:val="1"/>
          <w:bCs w:val="1"/>
          <w:color w:val="auto"/>
        </w:rPr>
      </w:pPr>
      <w:r>
        <w:rPr>
          <w:rFonts w:ascii="Arial" w:cs="Arial" w:eastAsia="Arial" w:hAnsi="Arial"/>
          <w:sz w:val="19"/>
          <w:szCs w:val="19"/>
          <w:b w:val="1"/>
          <w:bCs w:val="1"/>
          <w:color w:val="auto"/>
        </w:rPr>
        <w:t xml:space="preserve">Measurement Date: </w:t>
      </w:r>
      <w:r>
        <w:rPr>
          <w:rFonts w:ascii="Arial" w:cs="Arial" w:eastAsia="Arial" w:hAnsi="Arial"/>
          <w:sz w:val="17"/>
          <w:szCs w:val="17"/>
          <w:color w:val="auto"/>
        </w:rPr>
        <w:t>The median employee was identified from our employee population as of October 31, 2024. Lilly employed</w:t>
      </w:r>
      <w:r>
        <w:rPr>
          <w:rFonts w:ascii="Arial" w:cs="Arial" w:eastAsia="Arial" w:hAnsi="Arial"/>
          <w:sz w:val="19"/>
          <w:szCs w:val="19"/>
          <w:b w:val="1"/>
          <w:bCs w:val="1"/>
          <w:color w:val="auto"/>
        </w:rPr>
        <w:t xml:space="preserve"> </w:t>
      </w:r>
      <w:r>
        <w:rPr>
          <w:rFonts w:ascii="Arial" w:cs="Arial" w:eastAsia="Arial" w:hAnsi="Arial"/>
          <w:sz w:val="17"/>
          <w:szCs w:val="17"/>
          <w:color w:val="auto"/>
        </w:rPr>
        <w:t>approximately 47,000 individuals globally, with approximately 21,500 in the United States and approximately 25,500 internationally.</w:t>
      </w:r>
    </w:p>
    <w:p>
      <w:pPr>
        <w:spacing w:after="0" w:line="119" w:lineRule="exact"/>
        <w:rPr>
          <w:rFonts w:ascii="Arial" w:cs="Arial" w:eastAsia="Arial" w:hAnsi="Arial"/>
          <w:sz w:val="16"/>
          <w:szCs w:val="16"/>
          <w:b w:val="1"/>
          <w:bCs w:val="1"/>
          <w:color w:val="auto"/>
        </w:rPr>
      </w:pPr>
    </w:p>
    <w:p>
      <w:pPr>
        <w:ind w:left="500" w:right="340" w:hanging="330"/>
        <w:spacing w:after="0" w:line="280" w:lineRule="auto"/>
        <w:tabs>
          <w:tab w:leader="none" w:pos="489" w:val="left"/>
        </w:tabs>
        <w:numPr>
          <w:ilvl w:val="0"/>
          <w:numId w:val="175"/>
        </w:numPr>
        <w:rPr>
          <w:rFonts w:ascii="Arial" w:cs="Arial" w:eastAsia="Arial" w:hAnsi="Arial"/>
          <w:sz w:val="16"/>
          <w:szCs w:val="16"/>
          <w:b w:val="1"/>
          <w:bCs w:val="1"/>
          <w:color w:val="auto"/>
        </w:rPr>
      </w:pPr>
      <w:r>
        <w:rPr>
          <w:rFonts w:ascii="Arial" w:cs="Arial" w:eastAsia="Arial" w:hAnsi="Arial"/>
          <w:sz w:val="19"/>
          <w:szCs w:val="19"/>
          <w:b w:val="1"/>
          <w:bCs w:val="1"/>
          <w:color w:val="auto"/>
        </w:rPr>
        <w:t xml:space="preserve">Identification of Median Employee: </w:t>
      </w:r>
      <w:r>
        <w:rPr>
          <w:rFonts w:ascii="Arial" w:cs="Arial" w:eastAsia="Arial" w:hAnsi="Arial"/>
          <w:sz w:val="17"/>
          <w:szCs w:val="17"/>
          <w:color w:val="auto"/>
        </w:rPr>
        <w:t>In compliance with SEC regulations, we utilized a “consistently applied compensation</w:t>
      </w:r>
      <w:r>
        <w:rPr>
          <w:rFonts w:ascii="Arial" w:cs="Arial" w:eastAsia="Arial" w:hAnsi="Arial"/>
          <w:sz w:val="19"/>
          <w:szCs w:val="19"/>
          <w:b w:val="1"/>
          <w:bCs w:val="1"/>
          <w:color w:val="auto"/>
        </w:rPr>
        <w:t xml:space="preserve"> </w:t>
      </w:r>
      <w:r>
        <w:rPr>
          <w:rFonts w:ascii="Arial" w:cs="Arial" w:eastAsia="Arial" w:hAnsi="Arial"/>
          <w:sz w:val="17"/>
          <w:szCs w:val="17"/>
          <w:color w:val="auto"/>
        </w:rPr>
        <w:t>measure” (CACM) to determine the median employee. This involved examining annual base pay, target bonus opportunity, and the grant date fair value for annual equity awards. Part-time employees’ compensation was not adjusted to full-time equivalents.</w:t>
      </w:r>
    </w:p>
    <w:p>
      <w:pPr>
        <w:spacing w:after="0" w:line="112" w:lineRule="exact"/>
        <w:rPr>
          <w:rFonts w:ascii="Arial" w:cs="Arial" w:eastAsia="Arial" w:hAnsi="Arial"/>
          <w:sz w:val="16"/>
          <w:szCs w:val="16"/>
          <w:b w:val="1"/>
          <w:bCs w:val="1"/>
          <w:color w:val="auto"/>
        </w:rPr>
      </w:pPr>
    </w:p>
    <w:p>
      <w:pPr>
        <w:ind w:left="480" w:hanging="310"/>
        <w:spacing w:after="0"/>
        <w:tabs>
          <w:tab w:leader="none" w:pos="480" w:val="left"/>
        </w:tabs>
        <w:numPr>
          <w:ilvl w:val="0"/>
          <w:numId w:val="175"/>
        </w:numPr>
        <w:rPr>
          <w:rFonts w:ascii="Arial" w:cs="Arial" w:eastAsia="Arial" w:hAnsi="Arial"/>
          <w:sz w:val="16"/>
          <w:szCs w:val="16"/>
          <w:b w:val="1"/>
          <w:bCs w:val="1"/>
          <w:color w:val="auto"/>
        </w:rPr>
      </w:pPr>
      <w:r>
        <w:rPr>
          <w:rFonts w:ascii="Arial" w:cs="Arial" w:eastAsia="Arial" w:hAnsi="Arial"/>
          <w:sz w:val="19"/>
          <w:szCs w:val="19"/>
          <w:b w:val="1"/>
          <w:bCs w:val="1"/>
          <w:color w:val="auto"/>
        </w:rPr>
        <w:t xml:space="preserve">De Minimis Exception: </w:t>
      </w:r>
      <w:r>
        <w:rPr>
          <w:rFonts w:ascii="Arial" w:cs="Arial" w:eastAsia="Arial" w:hAnsi="Arial"/>
          <w:sz w:val="17"/>
          <w:szCs w:val="17"/>
          <w:color w:val="auto"/>
        </w:rPr>
        <w:t>Lilly has employees in 65 countries. In identifying the median employee, we excluded 331 workers in the</w:t>
      </w:r>
    </w:p>
    <w:p>
      <w:pPr>
        <w:spacing w:after="0" w:line="23" w:lineRule="exact"/>
        <w:rPr>
          <w:rFonts w:ascii="Arial" w:cs="Arial" w:eastAsia="Arial" w:hAnsi="Arial"/>
          <w:sz w:val="16"/>
          <w:szCs w:val="16"/>
          <w:b w:val="1"/>
          <w:bCs w:val="1"/>
          <w:color w:val="auto"/>
        </w:rPr>
      </w:pPr>
    </w:p>
    <w:p>
      <w:pPr>
        <w:ind w:left="500" w:right="420"/>
        <w:spacing w:after="0" w:line="266" w:lineRule="auto"/>
        <w:rPr>
          <w:rFonts w:ascii="Arial" w:cs="Arial" w:eastAsia="Arial" w:hAnsi="Arial"/>
          <w:sz w:val="16"/>
          <w:szCs w:val="16"/>
          <w:b w:val="1"/>
          <w:bCs w:val="1"/>
          <w:color w:val="auto"/>
        </w:rPr>
      </w:pPr>
      <w:r>
        <w:rPr>
          <w:rFonts w:ascii="Arial" w:cs="Arial" w:eastAsia="Arial" w:hAnsi="Arial"/>
          <w:sz w:val="18"/>
          <w:szCs w:val="18"/>
          <w:color w:val="auto"/>
        </w:rPr>
        <w:t>following nine countries, representing less than 1 percent of our workforce: Bahrain, Costa Rica, Egypt, Greece, Kuwait, Pakistan, Qatar, Russia, and United Arab Emirates.</w:t>
      </w:r>
    </w:p>
    <w:p>
      <w:pPr>
        <w:spacing w:after="0" w:line="122" w:lineRule="exact"/>
        <w:rPr>
          <w:rFonts w:ascii="Arial" w:cs="Arial" w:eastAsia="Arial" w:hAnsi="Arial"/>
          <w:sz w:val="16"/>
          <w:szCs w:val="16"/>
          <w:b w:val="1"/>
          <w:bCs w:val="1"/>
          <w:color w:val="auto"/>
        </w:rPr>
      </w:pPr>
    </w:p>
    <w:p>
      <w:pPr>
        <w:ind w:left="500" w:right="660" w:hanging="330"/>
        <w:spacing w:after="0" w:line="268" w:lineRule="auto"/>
        <w:tabs>
          <w:tab w:leader="none" w:pos="489" w:val="left"/>
        </w:tabs>
        <w:numPr>
          <w:ilvl w:val="0"/>
          <w:numId w:val="175"/>
        </w:numPr>
        <w:rPr>
          <w:rFonts w:ascii="Arial" w:cs="Arial" w:eastAsia="Arial" w:hAnsi="Arial"/>
          <w:sz w:val="16"/>
          <w:szCs w:val="16"/>
          <w:b w:val="1"/>
          <w:bCs w:val="1"/>
          <w:color w:val="auto"/>
        </w:rPr>
      </w:pPr>
      <w:r>
        <w:rPr>
          <w:rFonts w:ascii="Arial" w:cs="Arial" w:eastAsia="Arial" w:hAnsi="Arial"/>
          <w:sz w:val="19"/>
          <w:szCs w:val="19"/>
          <w:b w:val="1"/>
          <w:bCs w:val="1"/>
          <w:color w:val="auto"/>
        </w:rPr>
        <w:t xml:space="preserve">Calculated CEO Pay Ratio: </w:t>
      </w:r>
      <w:r>
        <w:rPr>
          <w:rFonts w:ascii="Arial" w:cs="Arial" w:eastAsia="Arial" w:hAnsi="Arial"/>
          <w:sz w:val="17"/>
          <w:szCs w:val="17"/>
          <w:color w:val="auto"/>
        </w:rPr>
        <w:t>After applying our CACM and accounting for the exclusions mentioned, we identified the median</w:t>
      </w:r>
      <w:r>
        <w:rPr>
          <w:rFonts w:ascii="Arial" w:cs="Arial" w:eastAsia="Arial" w:hAnsi="Arial"/>
          <w:sz w:val="19"/>
          <w:szCs w:val="19"/>
          <w:b w:val="1"/>
          <w:bCs w:val="1"/>
          <w:color w:val="auto"/>
        </w:rPr>
        <w:t xml:space="preserve"> </w:t>
      </w:r>
      <w:r>
        <w:rPr>
          <w:rFonts w:ascii="Arial" w:cs="Arial" w:eastAsia="Arial" w:hAnsi="Arial"/>
          <w:sz w:val="17"/>
          <w:szCs w:val="17"/>
          <w:color w:val="auto"/>
        </w:rPr>
        <w:t>employee. We then calculated the median employee’s total annual compensation following SCT requirements.</w:t>
      </w:r>
    </w:p>
    <w:p>
      <w:pPr>
        <w:spacing w:after="0" w:line="319" w:lineRule="exact"/>
        <w:rPr>
          <w:sz w:val="20"/>
          <w:szCs w:val="20"/>
          <w:color w:val="auto"/>
        </w:rPr>
      </w:pPr>
    </w:p>
    <w:p>
      <w:pPr>
        <w:spacing w:after="0"/>
        <w:rPr>
          <w:sz w:val="20"/>
          <w:szCs w:val="20"/>
          <w:color w:val="auto"/>
        </w:rPr>
      </w:pPr>
      <w:r>
        <w:rPr>
          <w:rFonts w:ascii="Arial" w:cs="Arial" w:eastAsia="Arial" w:hAnsi="Arial"/>
          <w:sz w:val="32"/>
          <w:szCs w:val="32"/>
          <w:b w:val="1"/>
          <w:bCs w:val="1"/>
          <w:color w:val="D52B1E"/>
        </w:rPr>
        <w:t>Pay versus Performance</w:t>
      </w:r>
    </w:p>
    <w:p>
      <w:pPr>
        <w:spacing w:after="0" w:line="89"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Committee manages compensation programs that strategically attract, retain, motivate, and reward our employees. Our compensation approach aligns executive pay with shareholder interests and is directly tied to a blend of short-term and long-term performance indicators. In 2024, incentive pay made up 93 percent of our CEO’s target compensation and, on average, 84 percent of the target compensation for other named executive officers.</w:t>
      </w:r>
    </w:p>
    <w:p>
      <w:pPr>
        <w:spacing w:after="0" w:line="122" w:lineRule="exact"/>
        <w:rPr>
          <w:sz w:val="20"/>
          <w:szCs w:val="20"/>
          <w:color w:val="auto"/>
        </w:rPr>
      </w:pPr>
    </w:p>
    <w:p>
      <w:pPr>
        <w:ind w:right="660"/>
        <w:spacing w:after="0" w:line="287" w:lineRule="auto"/>
        <w:rPr>
          <w:sz w:val="20"/>
          <w:szCs w:val="20"/>
          <w:color w:val="auto"/>
        </w:rPr>
      </w:pPr>
      <w:r>
        <w:rPr>
          <w:rFonts w:ascii="Arial" w:cs="Arial" w:eastAsia="Arial" w:hAnsi="Arial"/>
          <w:sz w:val="18"/>
          <w:szCs w:val="18"/>
          <w:color w:val="auto"/>
        </w:rPr>
        <w:t>High utilization of incentive compensation means total pay can rise and fall as leaders exceed or miss performance targets set by the Committee. Significant underperformance results in most awards delivering no payout.</w:t>
      </w:r>
    </w:p>
    <w:p>
      <w:pPr>
        <w:spacing w:after="0" w:line="99" w:lineRule="exact"/>
        <w:rPr>
          <w:sz w:val="20"/>
          <w:szCs w:val="20"/>
          <w:color w:val="auto"/>
        </w:rPr>
      </w:pPr>
    </w:p>
    <w:p>
      <w:pPr>
        <w:ind w:right="460"/>
        <w:spacing w:after="0" w:line="262" w:lineRule="auto"/>
        <w:rPr>
          <w:sz w:val="20"/>
          <w:szCs w:val="20"/>
          <w:color w:val="auto"/>
        </w:rPr>
      </w:pPr>
      <w:r>
        <w:rPr>
          <w:rFonts w:ascii="Arial" w:cs="Arial" w:eastAsia="Arial" w:hAnsi="Arial"/>
          <w:sz w:val="18"/>
          <w:szCs w:val="18"/>
          <w:color w:val="auto"/>
        </w:rPr>
        <w:t>Mr. Ricks was the principle executive officer (PEO) for the entire five-year period represented in the table. However, non-PEO average compensation actually paid (CAP) was impacted by the shifting of non-PEO membership and the cancellation of compensation for the company’s former CFOs, who departed during the 2021 and 2024 reporting years. The impact was most pronounced in 2024, when the compensation for the interim CFO (Mr. Brooks) was included in the non-PEO NEO average.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3305175</wp:posOffset>
            </wp:positionH>
            <wp:positionV relativeFrom="paragraph">
              <wp:posOffset>106680</wp:posOffset>
            </wp:positionV>
            <wp:extent cx="1276985" cy="25400"/>
            <wp:wrapNone/>
            <wp:docPr id="2322" name="Picture 2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2"/>
                    <pic:cNvPicPr>
                      <a:picLocks noChangeAspect="1" noChangeArrowheads="1"/>
                    </pic:cNvPicPr>
                  </pic:nvPicPr>
                  <pic:blipFill>
                    <a:blip r:embed="rId2329">
                      <a:extLst>
                        <a:ext uri="{28A0092B-C50C-407E-A947-70E740481C1C}"/>
                      </a:extLst>
                    </a:blip>
                    <a:srcRect/>
                    <a:stretch>
                      <a:fillRect/>
                    </a:stretch>
                  </pic:blipFill>
                  <pic:spPr bwMode="auto">
                    <a:xfrm>
                      <a:off x="0" y="0"/>
                      <a:ext cx="1276985" cy="25400"/>
                    </a:xfrm>
                    <a:prstGeom prst="rect">
                      <a:avLst/>
                    </a:prstGeom>
                    <a:noFill/>
                  </pic:spPr>
                </pic:pic>
              </a:graphicData>
            </a:graphic>
          </wp:anchor>
        </w:drawing>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960" w:type="dxa"/>
            <w:vAlign w:val="bottom"/>
            <w:gridSpan w:val="2"/>
          </w:tcPr>
          <w:p>
            <w:pPr>
              <w:jc w:val="center"/>
              <w:spacing w:after="0"/>
              <w:rPr>
                <w:sz w:val="20"/>
                <w:szCs w:val="20"/>
                <w:color w:val="auto"/>
              </w:rPr>
            </w:pPr>
            <w:r>
              <w:rPr>
                <w:rFonts w:ascii="Arial" w:cs="Arial" w:eastAsia="Arial" w:hAnsi="Arial"/>
                <w:sz w:val="14"/>
                <w:szCs w:val="14"/>
                <w:b w:val="1"/>
                <w:bCs w:val="1"/>
                <w:color w:val="auto"/>
              </w:rPr>
              <w:t>Value of initial fixed $100</w:t>
            </w:r>
          </w:p>
        </w:tc>
        <w:tc>
          <w:tcPr>
            <w:tcW w:w="7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05"/>
        </w:trPr>
        <w:tc>
          <w:tcPr>
            <w:tcW w:w="4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investment based on:</w:t>
            </w:r>
          </w:p>
        </w:tc>
        <w:tc>
          <w:tcPr>
            <w:tcW w:w="7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r>
      <w:tr>
        <w:trPr>
          <w:trHeight w:val="193"/>
        </w:trPr>
        <w:tc>
          <w:tcPr>
            <w:tcW w:w="4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Company</w:t>
            </w:r>
          </w:p>
        </w:tc>
      </w:tr>
      <w:tr>
        <w:trPr>
          <w:trHeight w:val="162"/>
        </w:trPr>
        <w:tc>
          <w:tcPr>
            <w:tcW w:w="4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c>
          <w:tcPr>
            <w:tcW w:w="9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Selected</w:t>
            </w:r>
          </w:p>
        </w:tc>
      </w:tr>
      <w:tr>
        <w:trPr>
          <w:trHeight w:val="175"/>
        </w:trPr>
        <w:tc>
          <w:tcPr>
            <w:tcW w:w="46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Summary</w:t>
            </w:r>
          </w:p>
        </w:tc>
        <w:tc>
          <w:tcPr>
            <w:tcW w:w="1160" w:type="dxa"/>
            <w:vAlign w:val="bottom"/>
          </w:tcPr>
          <w:p>
            <w:pPr>
              <w:spacing w:after="0"/>
              <w:rPr>
                <w:sz w:val="15"/>
                <w:szCs w:val="15"/>
                <w:color w:val="auto"/>
              </w:rPr>
            </w:pPr>
          </w:p>
        </w:tc>
        <w:tc>
          <w:tcPr>
            <w:tcW w:w="1320" w:type="dxa"/>
            <w:vAlign w:val="bottom"/>
            <w:gridSpan w:val="2"/>
          </w:tcPr>
          <w:p>
            <w:pPr>
              <w:jc w:val="center"/>
              <w:spacing w:after="0"/>
              <w:rPr>
                <w:sz w:val="20"/>
                <w:szCs w:val="20"/>
                <w:color w:val="auto"/>
              </w:rPr>
            </w:pPr>
            <w:r>
              <w:rPr>
                <w:rFonts w:ascii="Arial" w:cs="Arial" w:eastAsia="Arial" w:hAnsi="Arial"/>
                <w:sz w:val="14"/>
                <w:szCs w:val="14"/>
                <w:b w:val="1"/>
                <w:bCs w:val="1"/>
                <w:color w:val="auto"/>
              </w:rPr>
              <w:t>Average Summary</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Compensation</w:t>
            </w:r>
          </w:p>
        </w:tc>
        <w:tc>
          <w:tcPr>
            <w:tcW w:w="96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Peer Group</w:t>
            </w:r>
          </w:p>
        </w:tc>
        <w:tc>
          <w:tcPr>
            <w:tcW w:w="76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Measure (CSM)</w:t>
            </w:r>
          </w:p>
        </w:tc>
      </w:tr>
      <w:tr>
        <w:trPr>
          <w:trHeight w:val="176"/>
        </w:trPr>
        <w:tc>
          <w:tcPr>
            <w:tcW w:w="46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Compensation</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rPr>
              <w:t>Compensation</w:t>
            </w:r>
          </w:p>
        </w:tc>
        <w:tc>
          <w:tcPr>
            <w:tcW w:w="1320" w:type="dxa"/>
            <w:vAlign w:val="bottom"/>
            <w:gridSpan w:val="2"/>
          </w:tcPr>
          <w:p>
            <w:pPr>
              <w:jc w:val="center"/>
              <w:spacing w:after="0"/>
              <w:rPr>
                <w:sz w:val="20"/>
                <w:szCs w:val="20"/>
                <w:color w:val="auto"/>
              </w:rPr>
            </w:pPr>
            <w:r>
              <w:rPr>
                <w:rFonts w:ascii="Arial" w:cs="Arial" w:eastAsia="Arial" w:hAnsi="Arial"/>
                <w:sz w:val="14"/>
                <w:szCs w:val="14"/>
                <w:b w:val="1"/>
                <w:bCs w:val="1"/>
                <w:color w:val="auto"/>
              </w:rPr>
              <w:t>Compensation</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Actually Paid to</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Total</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5"/>
              </w:rPr>
              <w:t>Total</w:t>
            </w:r>
          </w:p>
        </w:tc>
        <w:tc>
          <w:tcPr>
            <w:tcW w:w="760" w:type="dxa"/>
            <w:vAlign w:val="bottom"/>
          </w:tcPr>
          <w:p>
            <w:pPr>
              <w:jc w:val="right"/>
              <w:ind w:right="168"/>
              <w:spacing w:after="0"/>
              <w:rPr>
                <w:sz w:val="20"/>
                <w:szCs w:val="20"/>
                <w:color w:val="auto"/>
              </w:rPr>
            </w:pPr>
            <w:r>
              <w:rPr>
                <w:rFonts w:ascii="Arial" w:cs="Arial" w:eastAsia="Arial" w:hAnsi="Arial"/>
                <w:sz w:val="14"/>
                <w:szCs w:val="14"/>
                <w:b w:val="1"/>
                <w:bCs w:val="1"/>
                <w:color w:val="auto"/>
              </w:rPr>
              <w:t>Net</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–Adjusted</w:t>
            </w:r>
          </w:p>
        </w:tc>
      </w:tr>
      <w:tr>
        <w:trPr>
          <w:trHeight w:val="173"/>
        </w:trPr>
        <w:tc>
          <w:tcPr>
            <w:tcW w:w="46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Table Total for</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rPr>
              <w:t>Actually Paid to</w:t>
            </w:r>
          </w:p>
        </w:tc>
        <w:tc>
          <w:tcPr>
            <w:tcW w:w="13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9"/>
              </w:rPr>
              <w:t>Table Total for</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Non-PEO</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Shareholder</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Shareholder</w:t>
            </w:r>
          </w:p>
        </w:tc>
        <w:tc>
          <w:tcPr>
            <w:tcW w:w="1880" w:type="dxa"/>
            <w:vAlign w:val="bottom"/>
            <w:gridSpan w:val="2"/>
          </w:tcPr>
          <w:p>
            <w:pPr>
              <w:jc w:val="right"/>
              <w:ind w:right="88"/>
              <w:spacing w:after="0"/>
              <w:rPr>
                <w:sz w:val="20"/>
                <w:szCs w:val="20"/>
                <w:color w:val="auto"/>
              </w:rPr>
            </w:pPr>
            <w:r>
              <w:rPr>
                <w:rFonts w:ascii="Arial" w:cs="Arial" w:eastAsia="Arial" w:hAnsi="Arial"/>
                <w:sz w:val="14"/>
                <w:szCs w:val="14"/>
                <w:b w:val="1"/>
                <w:bCs w:val="1"/>
                <w:color w:val="auto"/>
              </w:rPr>
              <w:t>Income ($   Non-GAAP</w:t>
            </w:r>
          </w:p>
        </w:tc>
      </w:tr>
      <w:tr>
        <w:trPr>
          <w:trHeight w:val="214"/>
        </w:trPr>
        <w:tc>
          <w:tcPr>
            <w:tcW w:w="4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Year</w:t>
            </w:r>
            <w:r>
              <w:rPr>
                <w:rFonts w:ascii="Arial" w:cs="Arial" w:eastAsia="Arial" w:hAnsi="Arial"/>
                <w:sz w:val="18"/>
                <w:szCs w:val="18"/>
                <w:b w:val="1"/>
                <w:bCs w:val="1"/>
                <w:color w:val="auto"/>
                <w:vertAlign w:val="superscript"/>
              </w:rPr>
              <w:t>1</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PEO</w:t>
            </w:r>
            <w:r>
              <w:rPr>
                <w:rFonts w:ascii="Arial" w:cs="Arial" w:eastAsia="Arial" w:hAnsi="Arial"/>
                <w:sz w:val="9"/>
                <w:szCs w:val="9"/>
                <w:b w:val="1"/>
                <w:bCs w:val="1"/>
                <w:color w:val="auto"/>
              </w:rPr>
              <w:t>2</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PEO</w:t>
            </w:r>
            <w:r>
              <w:rPr>
                <w:rFonts w:ascii="Arial" w:cs="Arial" w:eastAsia="Arial" w:hAnsi="Arial"/>
                <w:sz w:val="9"/>
                <w:szCs w:val="9"/>
                <w:b w:val="1"/>
                <w:bCs w:val="1"/>
                <w:color w:val="auto"/>
              </w:rPr>
              <w:t>3</w:t>
            </w:r>
          </w:p>
        </w:tc>
        <w:tc>
          <w:tcPr>
            <w:tcW w:w="13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Non-PEO NEOs</w:t>
            </w:r>
            <w:r>
              <w:rPr>
                <w:rFonts w:ascii="Arial" w:cs="Arial" w:eastAsia="Arial" w:hAnsi="Arial"/>
                <w:sz w:val="9"/>
                <w:szCs w:val="9"/>
                <w:b w:val="1"/>
                <w:bCs w:val="1"/>
                <w:color w:val="auto"/>
              </w:rPr>
              <w:t>4</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NEOs</w:t>
            </w:r>
            <w:r>
              <w:rPr>
                <w:rFonts w:ascii="Arial" w:cs="Arial" w:eastAsia="Arial" w:hAnsi="Arial"/>
                <w:sz w:val="18"/>
                <w:szCs w:val="18"/>
                <w:b w:val="1"/>
                <w:bCs w:val="1"/>
                <w:color w:val="auto"/>
                <w:w w:val="98"/>
                <w:vertAlign w:val="superscript"/>
              </w:rPr>
              <w:t>3</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Return</w:t>
            </w:r>
            <w:r>
              <w:rPr>
                <w:rFonts w:ascii="Arial" w:cs="Arial" w:eastAsia="Arial" w:hAnsi="Arial"/>
                <w:sz w:val="9"/>
                <w:szCs w:val="9"/>
                <w:b w:val="1"/>
                <w:bCs w:val="1"/>
                <w:color w:val="auto"/>
              </w:rPr>
              <w:t>5</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Return</w:t>
            </w:r>
            <w:r>
              <w:rPr>
                <w:rFonts w:ascii="Arial" w:cs="Arial" w:eastAsia="Arial" w:hAnsi="Arial"/>
                <w:sz w:val="9"/>
                <w:szCs w:val="9"/>
                <w:b w:val="1"/>
                <w:bCs w:val="1"/>
                <w:color w:val="auto"/>
              </w:rPr>
              <w:t>5</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millions)</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EPS</w:t>
            </w:r>
            <w:r>
              <w:rPr>
                <w:rFonts w:ascii="Arial" w:cs="Arial" w:eastAsia="Arial" w:hAnsi="Arial"/>
                <w:sz w:val="18"/>
                <w:szCs w:val="18"/>
                <w:b w:val="1"/>
                <w:bCs w:val="1"/>
                <w:color w:val="auto"/>
                <w:w w:val="97"/>
                <w:vertAlign w:val="superscript"/>
              </w:rPr>
              <w:t>6</w:t>
            </w:r>
          </w:p>
        </w:tc>
      </w:tr>
      <w:tr>
        <w:trPr>
          <w:trHeight w:val="201"/>
        </w:trPr>
        <w:tc>
          <w:tcPr>
            <w:tcW w:w="460" w:type="dxa"/>
            <w:vAlign w:val="bottom"/>
            <w:shd w:val="clear" w:color="auto" w:fill="F2F2F2"/>
          </w:tcPr>
          <w:p>
            <w:pPr>
              <w:ind w:left="20"/>
              <w:spacing w:after="0"/>
              <w:rPr>
                <w:sz w:val="20"/>
                <w:szCs w:val="20"/>
                <w:color w:val="auto"/>
              </w:rPr>
            </w:pPr>
            <w:r>
              <w:rPr>
                <w:rFonts w:ascii="Arial" w:cs="Arial" w:eastAsia="Arial" w:hAnsi="Arial"/>
                <w:sz w:val="14"/>
                <w:szCs w:val="14"/>
                <w:color w:val="auto"/>
              </w:rPr>
              <w:t>2024</w:t>
            </w:r>
          </w:p>
        </w:tc>
        <w:tc>
          <w:tcPr>
            <w:tcW w:w="112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$29,242,926</w:t>
            </w:r>
          </w:p>
        </w:tc>
        <w:tc>
          <w:tcPr>
            <w:tcW w:w="1160" w:type="dxa"/>
            <w:vAlign w:val="bottom"/>
            <w:shd w:val="clear" w:color="auto" w:fill="F2F2F2"/>
          </w:tcPr>
          <w:p>
            <w:pPr>
              <w:jc w:val="right"/>
              <w:ind w:right="68"/>
              <w:spacing w:after="0"/>
              <w:rPr>
                <w:sz w:val="20"/>
                <w:szCs w:val="20"/>
                <w:color w:val="auto"/>
              </w:rPr>
            </w:pPr>
            <w:r>
              <w:rPr>
                <w:rFonts w:ascii="Arial" w:cs="Arial" w:eastAsia="Arial" w:hAnsi="Arial"/>
                <w:sz w:val="14"/>
                <w:szCs w:val="14"/>
                <w:color w:val="auto"/>
              </w:rPr>
              <w:t>$80,583,515</w:t>
            </w:r>
          </w:p>
        </w:tc>
        <w:tc>
          <w:tcPr>
            <w:tcW w:w="940" w:type="dxa"/>
            <w:vAlign w:val="bottom"/>
            <w:shd w:val="clear" w:color="auto" w:fill="F2F2F2"/>
          </w:tcPr>
          <w:p>
            <w:pPr>
              <w:jc w:val="right"/>
              <w:spacing w:after="0"/>
              <w:rPr>
                <w:sz w:val="20"/>
                <w:szCs w:val="20"/>
                <w:color w:val="auto"/>
              </w:rPr>
            </w:pPr>
            <w:r>
              <w:rPr>
                <w:rFonts w:ascii="Arial" w:cs="Arial" w:eastAsia="Arial" w:hAnsi="Arial"/>
                <w:sz w:val="14"/>
                <w:szCs w:val="14"/>
                <w:color w:val="auto"/>
              </w:rPr>
              <w:t>$6,090,259</w:t>
            </w:r>
          </w:p>
        </w:tc>
        <w:tc>
          <w:tcPr>
            <w:tcW w:w="380" w:type="dxa"/>
            <w:vAlign w:val="bottom"/>
            <w:shd w:val="clear" w:color="auto" w:fill="F2F2F2"/>
          </w:tcPr>
          <w:p>
            <w:pPr>
              <w:ind w:left="20"/>
              <w:spacing w:after="0"/>
              <w:rPr>
                <w:sz w:val="20"/>
                <w:szCs w:val="20"/>
                <w:color w:val="auto"/>
              </w:rPr>
            </w:pPr>
            <w:r>
              <w:rPr>
                <w:rFonts w:ascii="Arial" w:cs="Arial" w:eastAsia="Arial" w:hAnsi="Arial"/>
                <w:sz w:val="12"/>
                <w:szCs w:val="12"/>
                <w:color w:val="auto"/>
              </w:rPr>
              <w:t>7</w:t>
            </w:r>
          </w:p>
        </w:tc>
        <w:tc>
          <w:tcPr>
            <w:tcW w:w="1180" w:type="dxa"/>
            <w:vAlign w:val="bottom"/>
            <w:shd w:val="clear" w:color="auto" w:fill="F2F2F2"/>
          </w:tcPr>
          <w:p>
            <w:pPr>
              <w:jc w:val="right"/>
              <w:ind w:right="8"/>
              <w:spacing w:after="0"/>
              <w:rPr>
                <w:sz w:val="20"/>
                <w:szCs w:val="20"/>
                <w:color w:val="auto"/>
              </w:rPr>
            </w:pPr>
            <w:r>
              <w:rPr>
                <w:rFonts w:ascii="Arial" w:cs="Arial" w:eastAsia="Arial" w:hAnsi="Arial"/>
                <w:sz w:val="14"/>
                <w:szCs w:val="14"/>
                <w:color w:val="auto"/>
              </w:rPr>
              <w:t>($929,092)</w:t>
            </w:r>
          </w:p>
        </w:tc>
        <w:tc>
          <w:tcPr>
            <w:tcW w:w="96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$626.69</w:t>
            </w:r>
          </w:p>
        </w:tc>
        <w:tc>
          <w:tcPr>
            <w:tcW w:w="100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$132.19</w:t>
            </w:r>
          </w:p>
        </w:tc>
        <w:tc>
          <w:tcPr>
            <w:tcW w:w="760" w:type="dxa"/>
            <w:vAlign w:val="bottom"/>
            <w:shd w:val="clear" w:color="auto" w:fill="F2F2F2"/>
          </w:tcPr>
          <w:p>
            <w:pPr>
              <w:jc w:val="right"/>
              <w:ind w:right="8"/>
              <w:spacing w:after="0"/>
              <w:rPr>
                <w:sz w:val="20"/>
                <w:szCs w:val="20"/>
                <w:color w:val="auto"/>
              </w:rPr>
            </w:pPr>
            <w:r>
              <w:rPr>
                <w:rFonts w:ascii="Arial" w:cs="Arial" w:eastAsia="Arial" w:hAnsi="Arial"/>
                <w:sz w:val="14"/>
                <w:szCs w:val="14"/>
                <w:color w:val="auto"/>
              </w:rPr>
              <w:t>$10,590</w:t>
            </w:r>
          </w:p>
        </w:tc>
        <w:tc>
          <w:tcPr>
            <w:tcW w:w="1120" w:type="dxa"/>
            <w:vAlign w:val="bottom"/>
            <w:shd w:val="clear" w:color="auto" w:fill="F2F2F2"/>
          </w:tcPr>
          <w:p>
            <w:pPr>
              <w:jc w:val="right"/>
              <w:ind w:right="268"/>
              <w:spacing w:after="0"/>
              <w:rPr>
                <w:sz w:val="20"/>
                <w:szCs w:val="20"/>
                <w:color w:val="auto"/>
              </w:rPr>
            </w:pPr>
            <w:r>
              <w:rPr>
                <w:rFonts w:ascii="Arial" w:cs="Arial" w:eastAsia="Arial" w:hAnsi="Arial"/>
                <w:sz w:val="14"/>
                <w:szCs w:val="14"/>
                <w:color w:val="auto"/>
              </w:rPr>
              <w:t>$16.51</w:t>
            </w:r>
          </w:p>
        </w:tc>
      </w:tr>
      <w:tr>
        <w:trPr>
          <w:trHeight w:val="183"/>
        </w:trPr>
        <w:tc>
          <w:tcPr>
            <w:tcW w:w="460" w:type="dxa"/>
            <w:vAlign w:val="bottom"/>
            <w:shd w:val="clear" w:color="auto" w:fill="F2F2F2"/>
          </w:tcPr>
          <w:p>
            <w:pPr>
              <w:spacing w:after="0"/>
              <w:rPr>
                <w:sz w:val="15"/>
                <w:szCs w:val="15"/>
                <w:color w:val="auto"/>
              </w:rPr>
            </w:pPr>
          </w:p>
        </w:tc>
        <w:tc>
          <w:tcPr>
            <w:tcW w:w="1120" w:type="dxa"/>
            <w:vAlign w:val="bottom"/>
            <w:shd w:val="clear" w:color="auto" w:fill="F2F2F2"/>
          </w:tcPr>
          <w:p>
            <w:pPr>
              <w:spacing w:after="0"/>
              <w:rPr>
                <w:sz w:val="15"/>
                <w:szCs w:val="15"/>
                <w:color w:val="auto"/>
              </w:rPr>
            </w:pPr>
          </w:p>
        </w:tc>
        <w:tc>
          <w:tcPr>
            <w:tcW w:w="1160" w:type="dxa"/>
            <w:vAlign w:val="bottom"/>
            <w:shd w:val="clear" w:color="auto" w:fill="F2F2F2"/>
          </w:tcPr>
          <w:p>
            <w:pPr>
              <w:spacing w:after="0"/>
              <w:rPr>
                <w:sz w:val="15"/>
                <w:szCs w:val="15"/>
                <w:color w:val="auto"/>
              </w:rPr>
            </w:pPr>
          </w:p>
        </w:tc>
        <w:tc>
          <w:tcPr>
            <w:tcW w:w="940" w:type="dxa"/>
            <w:vAlign w:val="bottom"/>
            <w:shd w:val="clear" w:color="auto" w:fill="F2F2F2"/>
          </w:tcPr>
          <w:p>
            <w:pPr>
              <w:spacing w:after="0"/>
              <w:rPr>
                <w:sz w:val="15"/>
                <w:szCs w:val="15"/>
                <w:color w:val="auto"/>
              </w:rPr>
            </w:pPr>
          </w:p>
        </w:tc>
        <w:tc>
          <w:tcPr>
            <w:tcW w:w="380" w:type="dxa"/>
            <w:vAlign w:val="bottom"/>
            <w:shd w:val="clear" w:color="auto" w:fill="F2F2F2"/>
          </w:tcPr>
          <w:p>
            <w:pPr>
              <w:spacing w:after="0"/>
              <w:rPr>
                <w:sz w:val="15"/>
                <w:szCs w:val="15"/>
                <w:color w:val="auto"/>
              </w:rPr>
            </w:pPr>
          </w:p>
        </w:tc>
        <w:tc>
          <w:tcPr>
            <w:tcW w:w="1180" w:type="dxa"/>
            <w:vAlign w:val="bottom"/>
            <w:shd w:val="clear" w:color="auto" w:fill="F2F2F2"/>
          </w:tcPr>
          <w:p>
            <w:pPr>
              <w:spacing w:after="0"/>
              <w:rPr>
                <w:sz w:val="15"/>
                <w:szCs w:val="15"/>
                <w:color w:val="auto"/>
              </w:rPr>
            </w:pPr>
          </w:p>
        </w:tc>
        <w:tc>
          <w:tcPr>
            <w:tcW w:w="960" w:type="dxa"/>
            <w:vAlign w:val="bottom"/>
            <w:shd w:val="clear" w:color="auto" w:fill="F2F2F2"/>
          </w:tcPr>
          <w:p>
            <w:pPr>
              <w:spacing w:after="0"/>
              <w:rPr>
                <w:sz w:val="15"/>
                <w:szCs w:val="15"/>
                <w:color w:val="auto"/>
              </w:rPr>
            </w:pPr>
          </w:p>
        </w:tc>
        <w:tc>
          <w:tcPr>
            <w:tcW w:w="1000" w:type="dxa"/>
            <w:vAlign w:val="bottom"/>
            <w:shd w:val="clear" w:color="auto" w:fill="F2F2F2"/>
          </w:tcPr>
          <w:p>
            <w:pPr>
              <w:spacing w:after="0"/>
              <w:rPr>
                <w:sz w:val="15"/>
                <w:szCs w:val="15"/>
                <w:color w:val="auto"/>
              </w:rPr>
            </w:pPr>
          </w:p>
        </w:tc>
        <w:tc>
          <w:tcPr>
            <w:tcW w:w="760" w:type="dxa"/>
            <w:vAlign w:val="bottom"/>
            <w:shd w:val="clear" w:color="auto" w:fill="F2F2F2"/>
          </w:tcPr>
          <w:p>
            <w:pPr>
              <w:spacing w:after="0"/>
              <w:rPr>
                <w:sz w:val="15"/>
                <w:szCs w:val="15"/>
                <w:color w:val="auto"/>
              </w:rPr>
            </w:pPr>
          </w:p>
        </w:tc>
        <w:tc>
          <w:tcPr>
            <w:tcW w:w="1120" w:type="dxa"/>
            <w:vAlign w:val="bottom"/>
            <w:shd w:val="clear" w:color="auto" w:fill="F2F2F2"/>
          </w:tcPr>
          <w:p>
            <w:pPr>
              <w:spacing w:after="0"/>
              <w:rPr>
                <w:sz w:val="15"/>
                <w:szCs w:val="15"/>
                <w:color w:val="auto"/>
              </w:rPr>
            </w:pPr>
          </w:p>
        </w:tc>
      </w:tr>
      <w:tr>
        <w:trPr>
          <w:trHeight w:val="208"/>
        </w:trPr>
        <w:tc>
          <w:tcPr>
            <w:tcW w:w="460" w:type="dxa"/>
            <w:vAlign w:val="bottom"/>
          </w:tcPr>
          <w:p>
            <w:pPr>
              <w:ind w:left="20"/>
              <w:spacing w:after="0"/>
              <w:rPr>
                <w:sz w:val="20"/>
                <w:szCs w:val="20"/>
                <w:color w:val="auto"/>
              </w:rPr>
            </w:pPr>
            <w:r>
              <w:rPr>
                <w:rFonts w:ascii="Arial" w:cs="Arial" w:eastAsia="Arial" w:hAnsi="Arial"/>
                <w:sz w:val="14"/>
                <w:szCs w:val="14"/>
                <w:color w:val="auto"/>
              </w:rPr>
              <w:t>2023</w:t>
            </w:r>
          </w:p>
        </w:tc>
        <w:tc>
          <w:tcPr>
            <w:tcW w:w="1120" w:type="dxa"/>
            <w:vAlign w:val="bottom"/>
          </w:tcPr>
          <w:p>
            <w:pPr>
              <w:jc w:val="center"/>
              <w:spacing w:after="0"/>
              <w:rPr>
                <w:sz w:val="20"/>
                <w:szCs w:val="20"/>
                <w:color w:val="auto"/>
              </w:rPr>
            </w:pPr>
            <w:r>
              <w:rPr>
                <w:rFonts w:ascii="Arial" w:cs="Arial" w:eastAsia="Arial" w:hAnsi="Arial"/>
                <w:sz w:val="14"/>
                <w:szCs w:val="14"/>
                <w:color w:val="auto"/>
              </w:rPr>
              <w:t>$26,565,732</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$120,865,280</w:t>
            </w:r>
          </w:p>
        </w:tc>
        <w:tc>
          <w:tcPr>
            <w:tcW w:w="940" w:type="dxa"/>
            <w:vAlign w:val="bottom"/>
          </w:tcPr>
          <w:p>
            <w:pPr>
              <w:jc w:val="right"/>
              <w:spacing w:after="0"/>
              <w:rPr>
                <w:sz w:val="20"/>
                <w:szCs w:val="20"/>
                <w:color w:val="auto"/>
              </w:rPr>
            </w:pPr>
            <w:r>
              <w:rPr>
                <w:rFonts w:ascii="Arial" w:cs="Arial" w:eastAsia="Arial" w:hAnsi="Arial"/>
                <w:sz w:val="14"/>
                <w:szCs w:val="14"/>
                <w:color w:val="auto"/>
              </w:rPr>
              <w:t>$7,836,611</w:t>
            </w:r>
          </w:p>
        </w:tc>
        <w:tc>
          <w:tcPr>
            <w:tcW w:w="380" w:type="dxa"/>
            <w:vAlign w:val="bottom"/>
          </w:tcPr>
          <w:p>
            <w:pPr>
              <w:ind w:left="20"/>
              <w:spacing w:after="0"/>
              <w:rPr>
                <w:sz w:val="20"/>
                <w:szCs w:val="20"/>
                <w:color w:val="auto"/>
              </w:rPr>
            </w:pPr>
            <w:r>
              <w:rPr>
                <w:rFonts w:ascii="Arial" w:cs="Arial" w:eastAsia="Arial" w:hAnsi="Arial"/>
                <w:sz w:val="12"/>
                <w:szCs w:val="12"/>
                <w:color w:val="auto"/>
              </w:rPr>
              <w:t>8</w:t>
            </w: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$27,249,897</w:t>
            </w:r>
          </w:p>
        </w:tc>
        <w:tc>
          <w:tcPr>
            <w:tcW w:w="960" w:type="dxa"/>
            <w:vAlign w:val="bottom"/>
          </w:tcPr>
          <w:p>
            <w:pPr>
              <w:jc w:val="center"/>
              <w:spacing w:after="0"/>
              <w:rPr>
                <w:sz w:val="20"/>
                <w:szCs w:val="20"/>
                <w:color w:val="auto"/>
              </w:rPr>
            </w:pPr>
            <w:r>
              <w:rPr>
                <w:rFonts w:ascii="Arial" w:cs="Arial" w:eastAsia="Arial" w:hAnsi="Arial"/>
                <w:sz w:val="14"/>
                <w:szCs w:val="14"/>
                <w:color w:val="auto"/>
              </w:rPr>
              <w:t>$470.13</w:t>
            </w:r>
          </w:p>
        </w:tc>
        <w:tc>
          <w:tcPr>
            <w:tcW w:w="1000" w:type="dxa"/>
            <w:vAlign w:val="bottom"/>
          </w:tcPr>
          <w:p>
            <w:pPr>
              <w:jc w:val="center"/>
              <w:spacing w:after="0"/>
              <w:rPr>
                <w:sz w:val="20"/>
                <w:szCs w:val="20"/>
                <w:color w:val="auto"/>
              </w:rPr>
            </w:pPr>
            <w:r>
              <w:rPr>
                <w:rFonts w:ascii="Arial" w:cs="Arial" w:eastAsia="Arial" w:hAnsi="Arial"/>
                <w:sz w:val="14"/>
                <w:szCs w:val="14"/>
                <w:color w:val="auto"/>
              </w:rPr>
              <w:t>$132.57</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$5,240</w:t>
            </w:r>
          </w:p>
        </w:tc>
        <w:tc>
          <w:tcPr>
            <w:tcW w:w="1120" w:type="dxa"/>
            <w:vAlign w:val="bottom"/>
          </w:tcPr>
          <w:p>
            <w:pPr>
              <w:jc w:val="right"/>
              <w:ind w:right="268"/>
              <w:spacing w:after="0"/>
              <w:rPr>
                <w:sz w:val="20"/>
                <w:szCs w:val="20"/>
                <w:color w:val="auto"/>
              </w:rPr>
            </w:pPr>
            <w:r>
              <w:rPr>
                <w:rFonts w:ascii="Arial" w:cs="Arial" w:eastAsia="Arial" w:hAnsi="Arial"/>
                <w:sz w:val="14"/>
                <w:szCs w:val="14"/>
                <w:color w:val="auto"/>
              </w:rPr>
              <w:t>$10.42</w:t>
            </w:r>
          </w:p>
        </w:tc>
      </w:tr>
      <w:tr>
        <w:trPr>
          <w:trHeight w:val="184"/>
        </w:trPr>
        <w:tc>
          <w:tcPr>
            <w:tcW w:w="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08"/>
        </w:trPr>
        <w:tc>
          <w:tcPr>
            <w:tcW w:w="460" w:type="dxa"/>
            <w:vAlign w:val="bottom"/>
            <w:shd w:val="clear" w:color="auto" w:fill="F2F2F2"/>
          </w:tcPr>
          <w:p>
            <w:pPr>
              <w:ind w:left="20"/>
              <w:spacing w:after="0"/>
              <w:rPr>
                <w:sz w:val="20"/>
                <w:szCs w:val="20"/>
                <w:color w:val="auto"/>
              </w:rPr>
            </w:pPr>
            <w:r>
              <w:rPr>
                <w:rFonts w:ascii="Arial" w:cs="Arial" w:eastAsia="Arial" w:hAnsi="Arial"/>
                <w:sz w:val="14"/>
                <w:szCs w:val="14"/>
                <w:color w:val="auto"/>
              </w:rPr>
              <w:t>2022</w:t>
            </w:r>
          </w:p>
        </w:tc>
        <w:tc>
          <w:tcPr>
            <w:tcW w:w="112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$21,398,135</w:t>
            </w:r>
          </w:p>
        </w:tc>
        <w:tc>
          <w:tcPr>
            <w:tcW w:w="1160" w:type="dxa"/>
            <w:vAlign w:val="bottom"/>
            <w:shd w:val="clear" w:color="auto" w:fill="F2F2F2"/>
          </w:tcPr>
          <w:p>
            <w:pPr>
              <w:jc w:val="right"/>
              <w:ind w:right="68"/>
              <w:spacing w:after="0"/>
              <w:rPr>
                <w:sz w:val="20"/>
                <w:szCs w:val="20"/>
                <w:color w:val="auto"/>
              </w:rPr>
            </w:pPr>
            <w:r>
              <w:rPr>
                <w:rFonts w:ascii="Arial" w:cs="Arial" w:eastAsia="Arial" w:hAnsi="Arial"/>
                <w:sz w:val="14"/>
                <w:szCs w:val="14"/>
                <w:color w:val="auto"/>
              </w:rPr>
              <w:t>$64,088,705</w:t>
            </w:r>
          </w:p>
        </w:tc>
        <w:tc>
          <w:tcPr>
            <w:tcW w:w="940" w:type="dxa"/>
            <w:vAlign w:val="bottom"/>
            <w:shd w:val="clear" w:color="auto" w:fill="F2F2F2"/>
          </w:tcPr>
          <w:p>
            <w:pPr>
              <w:jc w:val="right"/>
              <w:spacing w:after="0"/>
              <w:rPr>
                <w:sz w:val="20"/>
                <w:szCs w:val="20"/>
                <w:color w:val="auto"/>
              </w:rPr>
            </w:pPr>
            <w:r>
              <w:rPr>
                <w:rFonts w:ascii="Arial" w:cs="Arial" w:eastAsia="Arial" w:hAnsi="Arial"/>
                <w:sz w:val="14"/>
                <w:szCs w:val="14"/>
                <w:color w:val="auto"/>
              </w:rPr>
              <w:t>$5,769,810</w:t>
            </w:r>
          </w:p>
        </w:tc>
        <w:tc>
          <w:tcPr>
            <w:tcW w:w="380" w:type="dxa"/>
            <w:vAlign w:val="bottom"/>
            <w:shd w:val="clear" w:color="auto" w:fill="F2F2F2"/>
          </w:tcPr>
          <w:p>
            <w:pPr>
              <w:ind w:left="20"/>
              <w:spacing w:after="0"/>
              <w:rPr>
                <w:sz w:val="20"/>
                <w:szCs w:val="20"/>
                <w:color w:val="auto"/>
              </w:rPr>
            </w:pPr>
            <w:r>
              <w:rPr>
                <w:rFonts w:ascii="Arial" w:cs="Arial" w:eastAsia="Arial" w:hAnsi="Arial"/>
                <w:sz w:val="12"/>
                <w:szCs w:val="12"/>
                <w:color w:val="auto"/>
              </w:rPr>
              <w:t>8</w:t>
            </w:r>
          </w:p>
        </w:tc>
        <w:tc>
          <w:tcPr>
            <w:tcW w:w="1180" w:type="dxa"/>
            <w:vAlign w:val="bottom"/>
            <w:shd w:val="clear" w:color="auto" w:fill="F2F2F2"/>
          </w:tcPr>
          <w:p>
            <w:pPr>
              <w:jc w:val="right"/>
              <w:ind w:right="48"/>
              <w:spacing w:after="0"/>
              <w:rPr>
                <w:sz w:val="20"/>
                <w:szCs w:val="20"/>
                <w:color w:val="auto"/>
              </w:rPr>
            </w:pPr>
            <w:r>
              <w:rPr>
                <w:rFonts w:ascii="Arial" w:cs="Arial" w:eastAsia="Arial" w:hAnsi="Arial"/>
                <w:sz w:val="14"/>
                <w:szCs w:val="14"/>
                <w:color w:val="auto"/>
              </w:rPr>
              <w:t>$13,893,269</w:t>
            </w:r>
          </w:p>
        </w:tc>
        <w:tc>
          <w:tcPr>
            <w:tcW w:w="96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$292.18</w:t>
            </w:r>
          </w:p>
        </w:tc>
        <w:tc>
          <w:tcPr>
            <w:tcW w:w="100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$133.61</w:t>
            </w:r>
          </w:p>
        </w:tc>
        <w:tc>
          <w:tcPr>
            <w:tcW w:w="760" w:type="dxa"/>
            <w:vAlign w:val="bottom"/>
            <w:shd w:val="clear" w:color="auto" w:fill="F2F2F2"/>
          </w:tcPr>
          <w:p>
            <w:pPr>
              <w:jc w:val="right"/>
              <w:ind w:right="8"/>
              <w:spacing w:after="0"/>
              <w:rPr>
                <w:sz w:val="20"/>
                <w:szCs w:val="20"/>
                <w:color w:val="auto"/>
              </w:rPr>
            </w:pPr>
            <w:r>
              <w:rPr>
                <w:rFonts w:ascii="Arial" w:cs="Arial" w:eastAsia="Arial" w:hAnsi="Arial"/>
                <w:sz w:val="14"/>
                <w:szCs w:val="14"/>
                <w:color w:val="auto"/>
              </w:rPr>
              <w:t>$6,245</w:t>
            </w:r>
          </w:p>
        </w:tc>
        <w:tc>
          <w:tcPr>
            <w:tcW w:w="1120" w:type="dxa"/>
            <w:vAlign w:val="bottom"/>
            <w:shd w:val="clear" w:color="auto" w:fill="F2F2F2"/>
          </w:tcPr>
          <w:p>
            <w:pPr>
              <w:jc w:val="right"/>
              <w:ind w:right="268"/>
              <w:spacing w:after="0"/>
              <w:rPr>
                <w:sz w:val="20"/>
                <w:szCs w:val="20"/>
                <w:color w:val="auto"/>
              </w:rPr>
            </w:pPr>
            <w:r>
              <w:rPr>
                <w:rFonts w:ascii="Arial" w:cs="Arial" w:eastAsia="Arial" w:hAnsi="Arial"/>
                <w:sz w:val="14"/>
                <w:szCs w:val="14"/>
                <w:color w:val="auto"/>
              </w:rPr>
              <w:t>$8.84</w:t>
            </w:r>
          </w:p>
        </w:tc>
      </w:tr>
      <w:tr>
        <w:trPr>
          <w:trHeight w:val="62"/>
        </w:trPr>
        <w:tc>
          <w:tcPr>
            <w:tcW w:w="460" w:type="dxa"/>
            <w:vAlign w:val="bottom"/>
            <w:shd w:val="clear" w:color="auto" w:fill="F2F2F2"/>
          </w:tcPr>
          <w:p>
            <w:pPr>
              <w:spacing w:after="0"/>
              <w:rPr>
                <w:sz w:val="5"/>
                <w:szCs w:val="5"/>
                <w:color w:val="auto"/>
              </w:rPr>
            </w:pPr>
          </w:p>
        </w:tc>
        <w:tc>
          <w:tcPr>
            <w:tcW w:w="1120" w:type="dxa"/>
            <w:vAlign w:val="bottom"/>
            <w:shd w:val="clear" w:color="auto" w:fill="F2F2F2"/>
          </w:tcPr>
          <w:p>
            <w:pPr>
              <w:spacing w:after="0"/>
              <w:rPr>
                <w:sz w:val="5"/>
                <w:szCs w:val="5"/>
                <w:color w:val="auto"/>
              </w:rPr>
            </w:pPr>
          </w:p>
        </w:tc>
        <w:tc>
          <w:tcPr>
            <w:tcW w:w="1160" w:type="dxa"/>
            <w:vAlign w:val="bottom"/>
            <w:shd w:val="clear" w:color="auto" w:fill="F2F2F2"/>
          </w:tcPr>
          <w:p>
            <w:pPr>
              <w:spacing w:after="0"/>
              <w:rPr>
                <w:sz w:val="5"/>
                <w:szCs w:val="5"/>
                <w:color w:val="auto"/>
              </w:rPr>
            </w:pPr>
          </w:p>
        </w:tc>
        <w:tc>
          <w:tcPr>
            <w:tcW w:w="940" w:type="dxa"/>
            <w:vAlign w:val="bottom"/>
            <w:shd w:val="clear" w:color="auto" w:fill="F2F2F2"/>
          </w:tcPr>
          <w:p>
            <w:pPr>
              <w:spacing w:after="0"/>
              <w:rPr>
                <w:sz w:val="5"/>
                <w:szCs w:val="5"/>
                <w:color w:val="auto"/>
              </w:rPr>
            </w:pPr>
          </w:p>
        </w:tc>
        <w:tc>
          <w:tcPr>
            <w:tcW w:w="380" w:type="dxa"/>
            <w:vAlign w:val="bottom"/>
            <w:shd w:val="clear" w:color="auto" w:fill="F2F2F2"/>
          </w:tcPr>
          <w:p>
            <w:pPr>
              <w:spacing w:after="0"/>
              <w:rPr>
                <w:sz w:val="5"/>
                <w:szCs w:val="5"/>
                <w:color w:val="auto"/>
              </w:rPr>
            </w:pPr>
          </w:p>
        </w:tc>
        <w:tc>
          <w:tcPr>
            <w:tcW w:w="1180" w:type="dxa"/>
            <w:vAlign w:val="bottom"/>
            <w:shd w:val="clear" w:color="auto" w:fill="F2F2F2"/>
          </w:tcPr>
          <w:p>
            <w:pPr>
              <w:spacing w:after="0"/>
              <w:rPr>
                <w:sz w:val="5"/>
                <w:szCs w:val="5"/>
                <w:color w:val="auto"/>
              </w:rPr>
            </w:pPr>
          </w:p>
        </w:tc>
        <w:tc>
          <w:tcPr>
            <w:tcW w:w="960" w:type="dxa"/>
            <w:vAlign w:val="bottom"/>
            <w:shd w:val="clear" w:color="auto" w:fill="F2F2F2"/>
          </w:tcPr>
          <w:p>
            <w:pPr>
              <w:spacing w:after="0"/>
              <w:rPr>
                <w:sz w:val="5"/>
                <w:szCs w:val="5"/>
                <w:color w:val="auto"/>
              </w:rPr>
            </w:pPr>
          </w:p>
        </w:tc>
        <w:tc>
          <w:tcPr>
            <w:tcW w:w="1000" w:type="dxa"/>
            <w:vAlign w:val="bottom"/>
            <w:shd w:val="clear" w:color="auto" w:fill="F2F2F2"/>
          </w:tcPr>
          <w:p>
            <w:pPr>
              <w:spacing w:after="0"/>
              <w:rPr>
                <w:sz w:val="5"/>
                <w:szCs w:val="5"/>
                <w:color w:val="auto"/>
              </w:rPr>
            </w:pPr>
          </w:p>
        </w:tc>
        <w:tc>
          <w:tcPr>
            <w:tcW w:w="760" w:type="dxa"/>
            <w:vAlign w:val="bottom"/>
            <w:shd w:val="clear" w:color="auto" w:fill="F2F2F2"/>
          </w:tcPr>
          <w:p>
            <w:pPr>
              <w:spacing w:after="0"/>
              <w:rPr>
                <w:sz w:val="5"/>
                <w:szCs w:val="5"/>
                <w:color w:val="auto"/>
              </w:rPr>
            </w:pPr>
          </w:p>
        </w:tc>
        <w:tc>
          <w:tcPr>
            <w:tcW w:w="1120" w:type="dxa"/>
            <w:vAlign w:val="bottom"/>
            <w:shd w:val="clear" w:color="auto" w:fill="F2F2F2"/>
          </w:tcPr>
          <w:p>
            <w:pPr>
              <w:spacing w:after="0"/>
              <w:rPr>
                <w:sz w:val="5"/>
                <w:szCs w:val="5"/>
                <w:color w:val="auto"/>
              </w:rPr>
            </w:pPr>
          </w:p>
        </w:tc>
      </w:tr>
      <w:tr>
        <w:trPr>
          <w:trHeight w:val="208"/>
        </w:trPr>
        <w:tc>
          <w:tcPr>
            <w:tcW w:w="460" w:type="dxa"/>
            <w:vAlign w:val="bottom"/>
          </w:tcPr>
          <w:p>
            <w:pPr>
              <w:ind w:left="20"/>
              <w:spacing w:after="0"/>
              <w:rPr>
                <w:sz w:val="20"/>
                <w:szCs w:val="20"/>
                <w:color w:val="auto"/>
              </w:rPr>
            </w:pPr>
            <w:r>
              <w:rPr>
                <w:rFonts w:ascii="Arial" w:cs="Arial" w:eastAsia="Arial" w:hAnsi="Arial"/>
                <w:sz w:val="14"/>
                <w:szCs w:val="14"/>
                <w:color w:val="auto"/>
              </w:rPr>
              <w:t>2021</w:t>
            </w:r>
          </w:p>
        </w:tc>
        <w:tc>
          <w:tcPr>
            <w:tcW w:w="1120" w:type="dxa"/>
            <w:vAlign w:val="bottom"/>
          </w:tcPr>
          <w:p>
            <w:pPr>
              <w:jc w:val="center"/>
              <w:spacing w:after="0"/>
              <w:rPr>
                <w:sz w:val="20"/>
                <w:szCs w:val="20"/>
                <w:color w:val="auto"/>
              </w:rPr>
            </w:pPr>
            <w:r>
              <w:rPr>
                <w:rFonts w:ascii="Arial" w:cs="Arial" w:eastAsia="Arial" w:hAnsi="Arial"/>
                <w:sz w:val="14"/>
                <w:szCs w:val="14"/>
                <w:color w:val="auto"/>
              </w:rPr>
              <w:t>$21,509,985</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$75,705,116</w:t>
            </w:r>
          </w:p>
        </w:tc>
        <w:tc>
          <w:tcPr>
            <w:tcW w:w="940" w:type="dxa"/>
            <w:vAlign w:val="bottom"/>
          </w:tcPr>
          <w:p>
            <w:pPr>
              <w:jc w:val="right"/>
              <w:spacing w:after="0"/>
              <w:rPr>
                <w:sz w:val="20"/>
                <w:szCs w:val="20"/>
                <w:color w:val="auto"/>
              </w:rPr>
            </w:pPr>
            <w:r>
              <w:rPr>
                <w:rFonts w:ascii="Arial" w:cs="Arial" w:eastAsia="Arial" w:hAnsi="Arial"/>
                <w:sz w:val="14"/>
                <w:szCs w:val="14"/>
                <w:color w:val="auto"/>
              </w:rPr>
              <w:t>$4,730,690</w:t>
            </w:r>
          </w:p>
        </w:tc>
        <w:tc>
          <w:tcPr>
            <w:tcW w:w="380" w:type="dxa"/>
            <w:vAlign w:val="bottom"/>
          </w:tcPr>
          <w:p>
            <w:pPr>
              <w:ind w:left="20"/>
              <w:spacing w:after="0"/>
              <w:rPr>
                <w:sz w:val="20"/>
                <w:szCs w:val="20"/>
                <w:color w:val="auto"/>
              </w:rPr>
            </w:pPr>
            <w:r>
              <w:rPr>
                <w:rFonts w:ascii="Arial" w:cs="Arial" w:eastAsia="Arial" w:hAnsi="Arial"/>
                <w:sz w:val="12"/>
                <w:szCs w:val="12"/>
                <w:color w:val="auto"/>
              </w:rPr>
              <w:t>10</w:t>
            </w: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$4,563,545</w:t>
            </w:r>
          </w:p>
        </w:tc>
        <w:tc>
          <w:tcPr>
            <w:tcW w:w="960" w:type="dxa"/>
            <w:vAlign w:val="bottom"/>
          </w:tcPr>
          <w:p>
            <w:pPr>
              <w:jc w:val="center"/>
              <w:spacing w:after="0"/>
              <w:rPr>
                <w:sz w:val="20"/>
                <w:szCs w:val="20"/>
                <w:color w:val="auto"/>
              </w:rPr>
            </w:pPr>
            <w:r>
              <w:rPr>
                <w:rFonts w:ascii="Arial" w:cs="Arial" w:eastAsia="Arial" w:hAnsi="Arial"/>
                <w:sz w:val="14"/>
                <w:szCs w:val="14"/>
                <w:color w:val="auto"/>
              </w:rPr>
              <w:t>$217.66</w:t>
            </w:r>
          </w:p>
        </w:tc>
        <w:tc>
          <w:tcPr>
            <w:tcW w:w="1000" w:type="dxa"/>
            <w:vAlign w:val="bottom"/>
          </w:tcPr>
          <w:p>
            <w:pPr>
              <w:jc w:val="center"/>
              <w:spacing w:after="0"/>
              <w:rPr>
                <w:sz w:val="20"/>
                <w:szCs w:val="20"/>
                <w:color w:val="auto"/>
              </w:rPr>
            </w:pPr>
            <w:r>
              <w:rPr>
                <w:rFonts w:ascii="Arial" w:cs="Arial" w:eastAsia="Arial" w:hAnsi="Arial"/>
                <w:sz w:val="14"/>
                <w:szCs w:val="14"/>
                <w:color w:val="auto"/>
              </w:rPr>
              <w:t>$121.90</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$5,582</w:t>
            </w:r>
          </w:p>
        </w:tc>
        <w:tc>
          <w:tcPr>
            <w:tcW w:w="1120" w:type="dxa"/>
            <w:vAlign w:val="bottom"/>
          </w:tcPr>
          <w:p>
            <w:pPr>
              <w:jc w:val="right"/>
              <w:ind w:right="268"/>
              <w:spacing w:after="0"/>
              <w:rPr>
                <w:sz w:val="20"/>
                <w:szCs w:val="20"/>
                <w:color w:val="auto"/>
              </w:rPr>
            </w:pPr>
            <w:r>
              <w:rPr>
                <w:rFonts w:ascii="Arial" w:cs="Arial" w:eastAsia="Arial" w:hAnsi="Arial"/>
                <w:sz w:val="14"/>
                <w:szCs w:val="14"/>
                <w:color w:val="auto"/>
              </w:rPr>
              <w:t>$8.25</w:t>
            </w:r>
          </w:p>
        </w:tc>
      </w:tr>
      <w:tr>
        <w:trPr>
          <w:trHeight w:val="62"/>
        </w:trPr>
        <w:tc>
          <w:tcPr>
            <w:tcW w:w="4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9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120" w:type="dxa"/>
            <w:vAlign w:val="bottom"/>
          </w:tcPr>
          <w:p>
            <w:pPr>
              <w:spacing w:after="0"/>
              <w:rPr>
                <w:sz w:val="5"/>
                <w:szCs w:val="5"/>
                <w:color w:val="auto"/>
              </w:rPr>
            </w:pPr>
          </w:p>
        </w:tc>
      </w:tr>
      <w:tr>
        <w:trPr>
          <w:trHeight w:val="208"/>
        </w:trPr>
        <w:tc>
          <w:tcPr>
            <w:tcW w:w="460" w:type="dxa"/>
            <w:vAlign w:val="bottom"/>
            <w:shd w:val="clear" w:color="auto" w:fill="F2F2F2"/>
          </w:tcPr>
          <w:p>
            <w:pPr>
              <w:ind w:left="20"/>
              <w:spacing w:after="0"/>
              <w:rPr>
                <w:sz w:val="20"/>
                <w:szCs w:val="20"/>
                <w:color w:val="auto"/>
              </w:rPr>
            </w:pPr>
            <w:r>
              <w:rPr>
                <w:rFonts w:ascii="Arial" w:cs="Arial" w:eastAsia="Arial" w:hAnsi="Arial"/>
                <w:sz w:val="14"/>
                <w:szCs w:val="14"/>
                <w:color w:val="auto"/>
              </w:rPr>
              <w:t>2020</w:t>
            </w:r>
          </w:p>
        </w:tc>
        <w:tc>
          <w:tcPr>
            <w:tcW w:w="112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$23,708,629</w:t>
            </w:r>
          </w:p>
        </w:tc>
        <w:tc>
          <w:tcPr>
            <w:tcW w:w="1160" w:type="dxa"/>
            <w:vAlign w:val="bottom"/>
            <w:shd w:val="clear" w:color="auto" w:fill="F2F2F2"/>
          </w:tcPr>
          <w:p>
            <w:pPr>
              <w:jc w:val="right"/>
              <w:ind w:right="68"/>
              <w:spacing w:after="0"/>
              <w:rPr>
                <w:sz w:val="20"/>
                <w:szCs w:val="20"/>
                <w:color w:val="auto"/>
              </w:rPr>
            </w:pPr>
            <w:r>
              <w:rPr>
                <w:rFonts w:ascii="Arial" w:cs="Arial" w:eastAsia="Arial" w:hAnsi="Arial"/>
                <w:sz w:val="14"/>
                <w:szCs w:val="14"/>
                <w:color w:val="auto"/>
              </w:rPr>
              <w:t>$51,253,831</w:t>
            </w:r>
          </w:p>
        </w:tc>
        <w:tc>
          <w:tcPr>
            <w:tcW w:w="940" w:type="dxa"/>
            <w:vAlign w:val="bottom"/>
            <w:shd w:val="clear" w:color="auto" w:fill="F2F2F2"/>
          </w:tcPr>
          <w:p>
            <w:pPr>
              <w:jc w:val="right"/>
              <w:spacing w:after="0"/>
              <w:rPr>
                <w:sz w:val="20"/>
                <w:szCs w:val="20"/>
                <w:color w:val="auto"/>
              </w:rPr>
            </w:pPr>
            <w:r>
              <w:rPr>
                <w:rFonts w:ascii="Arial" w:cs="Arial" w:eastAsia="Arial" w:hAnsi="Arial"/>
                <w:sz w:val="14"/>
                <w:szCs w:val="14"/>
                <w:color w:val="auto"/>
              </w:rPr>
              <w:t>$6,787,934</w:t>
            </w:r>
          </w:p>
        </w:tc>
        <w:tc>
          <w:tcPr>
            <w:tcW w:w="380" w:type="dxa"/>
            <w:vAlign w:val="bottom"/>
            <w:shd w:val="clear" w:color="auto" w:fill="F2F2F2"/>
          </w:tcPr>
          <w:p>
            <w:pPr>
              <w:ind w:left="20"/>
              <w:spacing w:after="0"/>
              <w:rPr>
                <w:sz w:val="20"/>
                <w:szCs w:val="20"/>
                <w:color w:val="auto"/>
              </w:rPr>
            </w:pPr>
            <w:r>
              <w:rPr>
                <w:rFonts w:ascii="Arial" w:cs="Arial" w:eastAsia="Arial" w:hAnsi="Arial"/>
                <w:sz w:val="12"/>
                <w:szCs w:val="12"/>
                <w:color w:val="auto"/>
              </w:rPr>
              <w:t>11</w:t>
            </w:r>
          </w:p>
        </w:tc>
        <w:tc>
          <w:tcPr>
            <w:tcW w:w="1180" w:type="dxa"/>
            <w:vAlign w:val="bottom"/>
            <w:shd w:val="clear" w:color="auto" w:fill="F2F2F2"/>
          </w:tcPr>
          <w:p>
            <w:pPr>
              <w:jc w:val="right"/>
              <w:ind w:right="48"/>
              <w:spacing w:after="0"/>
              <w:rPr>
                <w:sz w:val="20"/>
                <w:szCs w:val="20"/>
                <w:color w:val="auto"/>
              </w:rPr>
            </w:pPr>
            <w:r>
              <w:rPr>
                <w:rFonts w:ascii="Arial" w:cs="Arial" w:eastAsia="Arial" w:hAnsi="Arial"/>
                <w:sz w:val="14"/>
                <w:szCs w:val="14"/>
                <w:color w:val="auto"/>
              </w:rPr>
              <w:t>$10,732,708</w:t>
            </w:r>
          </w:p>
        </w:tc>
        <w:tc>
          <w:tcPr>
            <w:tcW w:w="96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$131.06</w:t>
            </w:r>
          </w:p>
        </w:tc>
        <w:tc>
          <w:tcPr>
            <w:tcW w:w="100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$102.07</w:t>
            </w:r>
          </w:p>
        </w:tc>
        <w:tc>
          <w:tcPr>
            <w:tcW w:w="760" w:type="dxa"/>
            <w:vAlign w:val="bottom"/>
            <w:shd w:val="clear" w:color="auto" w:fill="F2F2F2"/>
          </w:tcPr>
          <w:p>
            <w:pPr>
              <w:jc w:val="right"/>
              <w:ind w:right="8"/>
              <w:spacing w:after="0"/>
              <w:rPr>
                <w:sz w:val="20"/>
                <w:szCs w:val="20"/>
                <w:color w:val="auto"/>
              </w:rPr>
            </w:pPr>
            <w:r>
              <w:rPr>
                <w:rFonts w:ascii="Arial" w:cs="Arial" w:eastAsia="Arial" w:hAnsi="Arial"/>
                <w:sz w:val="14"/>
                <w:szCs w:val="14"/>
                <w:color w:val="auto"/>
              </w:rPr>
              <w:t>$6,194</w:t>
            </w:r>
          </w:p>
        </w:tc>
        <w:tc>
          <w:tcPr>
            <w:tcW w:w="1120" w:type="dxa"/>
            <w:vAlign w:val="bottom"/>
            <w:shd w:val="clear" w:color="auto" w:fill="F2F2F2"/>
          </w:tcPr>
          <w:p>
            <w:pPr>
              <w:jc w:val="right"/>
              <w:ind w:right="268"/>
              <w:spacing w:after="0"/>
              <w:rPr>
                <w:sz w:val="20"/>
                <w:szCs w:val="20"/>
                <w:color w:val="auto"/>
              </w:rPr>
            </w:pPr>
            <w:r>
              <w:rPr>
                <w:rFonts w:ascii="Arial" w:cs="Arial" w:eastAsia="Arial" w:hAnsi="Arial"/>
                <w:sz w:val="14"/>
                <w:szCs w:val="14"/>
                <w:color w:val="auto"/>
              </w:rPr>
              <w:t>$6.89</w:t>
            </w:r>
          </w:p>
        </w:tc>
      </w:tr>
      <w:tr>
        <w:trPr>
          <w:trHeight w:val="62"/>
        </w:trPr>
        <w:tc>
          <w:tcPr>
            <w:tcW w:w="460" w:type="dxa"/>
            <w:vAlign w:val="bottom"/>
            <w:tcBorders>
              <w:bottom w:val="single" w:sz="8" w:color="auto"/>
            </w:tcBorders>
            <w:shd w:val="clear" w:color="auto" w:fill="F2F2F2"/>
          </w:tcPr>
          <w:p>
            <w:pPr>
              <w:spacing w:after="0"/>
              <w:rPr>
                <w:sz w:val="5"/>
                <w:szCs w:val="5"/>
                <w:color w:val="auto"/>
              </w:rPr>
            </w:pPr>
          </w:p>
        </w:tc>
        <w:tc>
          <w:tcPr>
            <w:tcW w:w="1120" w:type="dxa"/>
            <w:vAlign w:val="bottom"/>
            <w:tcBorders>
              <w:bottom w:val="single" w:sz="8" w:color="auto"/>
            </w:tcBorders>
            <w:shd w:val="clear" w:color="auto" w:fill="F2F2F2"/>
          </w:tcPr>
          <w:p>
            <w:pPr>
              <w:spacing w:after="0"/>
              <w:rPr>
                <w:sz w:val="5"/>
                <w:szCs w:val="5"/>
                <w:color w:val="auto"/>
              </w:rPr>
            </w:pPr>
          </w:p>
        </w:tc>
        <w:tc>
          <w:tcPr>
            <w:tcW w:w="1160" w:type="dxa"/>
            <w:vAlign w:val="bottom"/>
            <w:tcBorders>
              <w:bottom w:val="single" w:sz="8" w:color="auto"/>
            </w:tcBorders>
            <w:shd w:val="clear" w:color="auto" w:fill="F2F2F2"/>
          </w:tcPr>
          <w:p>
            <w:pPr>
              <w:spacing w:after="0"/>
              <w:rPr>
                <w:sz w:val="5"/>
                <w:szCs w:val="5"/>
                <w:color w:val="auto"/>
              </w:rPr>
            </w:pPr>
          </w:p>
        </w:tc>
        <w:tc>
          <w:tcPr>
            <w:tcW w:w="940" w:type="dxa"/>
            <w:vAlign w:val="bottom"/>
            <w:tcBorders>
              <w:bottom w:val="single" w:sz="8" w:color="auto"/>
            </w:tcBorders>
            <w:shd w:val="clear" w:color="auto" w:fill="F2F2F2"/>
          </w:tcPr>
          <w:p>
            <w:pPr>
              <w:spacing w:after="0"/>
              <w:rPr>
                <w:sz w:val="5"/>
                <w:szCs w:val="5"/>
                <w:color w:val="auto"/>
              </w:rPr>
            </w:pPr>
          </w:p>
        </w:tc>
        <w:tc>
          <w:tcPr>
            <w:tcW w:w="380" w:type="dxa"/>
            <w:vAlign w:val="bottom"/>
            <w:tcBorders>
              <w:bottom w:val="single" w:sz="8" w:color="auto"/>
            </w:tcBorders>
            <w:shd w:val="clear" w:color="auto" w:fill="F2F2F2"/>
          </w:tcPr>
          <w:p>
            <w:pPr>
              <w:spacing w:after="0"/>
              <w:rPr>
                <w:sz w:val="5"/>
                <w:szCs w:val="5"/>
                <w:color w:val="auto"/>
              </w:rPr>
            </w:pPr>
          </w:p>
        </w:tc>
        <w:tc>
          <w:tcPr>
            <w:tcW w:w="1180" w:type="dxa"/>
            <w:vAlign w:val="bottom"/>
            <w:tcBorders>
              <w:bottom w:val="single" w:sz="8" w:color="auto"/>
            </w:tcBorders>
            <w:shd w:val="clear" w:color="auto" w:fill="F2F2F2"/>
          </w:tcPr>
          <w:p>
            <w:pPr>
              <w:spacing w:after="0"/>
              <w:rPr>
                <w:sz w:val="5"/>
                <w:szCs w:val="5"/>
                <w:color w:val="auto"/>
              </w:rPr>
            </w:pPr>
          </w:p>
        </w:tc>
        <w:tc>
          <w:tcPr>
            <w:tcW w:w="960" w:type="dxa"/>
            <w:vAlign w:val="bottom"/>
            <w:tcBorders>
              <w:bottom w:val="single" w:sz="8" w:color="auto"/>
            </w:tcBorders>
            <w:shd w:val="clear" w:color="auto" w:fill="F2F2F2"/>
          </w:tcPr>
          <w:p>
            <w:pPr>
              <w:spacing w:after="0"/>
              <w:rPr>
                <w:sz w:val="5"/>
                <w:szCs w:val="5"/>
                <w:color w:val="auto"/>
              </w:rPr>
            </w:pPr>
          </w:p>
        </w:tc>
        <w:tc>
          <w:tcPr>
            <w:tcW w:w="1000" w:type="dxa"/>
            <w:vAlign w:val="bottom"/>
            <w:tcBorders>
              <w:bottom w:val="single" w:sz="8" w:color="auto"/>
            </w:tcBorders>
            <w:shd w:val="clear" w:color="auto" w:fill="F2F2F2"/>
          </w:tcPr>
          <w:p>
            <w:pPr>
              <w:spacing w:after="0"/>
              <w:rPr>
                <w:sz w:val="5"/>
                <w:szCs w:val="5"/>
                <w:color w:val="auto"/>
              </w:rPr>
            </w:pPr>
          </w:p>
        </w:tc>
        <w:tc>
          <w:tcPr>
            <w:tcW w:w="760" w:type="dxa"/>
            <w:vAlign w:val="bottom"/>
            <w:tcBorders>
              <w:bottom w:val="single" w:sz="8" w:color="auto"/>
            </w:tcBorders>
            <w:shd w:val="clear" w:color="auto" w:fill="F2F2F2"/>
          </w:tcPr>
          <w:p>
            <w:pPr>
              <w:spacing w:after="0"/>
              <w:rPr>
                <w:sz w:val="5"/>
                <w:szCs w:val="5"/>
                <w:color w:val="auto"/>
              </w:rPr>
            </w:pPr>
          </w:p>
        </w:tc>
        <w:tc>
          <w:tcPr>
            <w:tcW w:w="1120" w:type="dxa"/>
            <w:vAlign w:val="bottom"/>
            <w:tcBorders>
              <w:bottom w:val="single" w:sz="8" w:color="auto"/>
            </w:tcBorders>
            <w:shd w:val="clear" w:color="auto" w:fill="F2F2F2"/>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-153670</wp:posOffset>
            </wp:positionV>
            <wp:extent cx="8255" cy="8890"/>
            <wp:wrapNone/>
            <wp:docPr id="2323" name="Picture 2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3"/>
                    <pic:cNvPicPr>
                      <a:picLocks noChangeAspect="1" noChangeArrowheads="1"/>
                    </pic:cNvPicPr>
                  </pic:nvPicPr>
                  <pic:blipFill>
                    <a:blip r:embed="rId23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-136525</wp:posOffset>
            </wp:positionV>
            <wp:extent cx="8255" cy="8890"/>
            <wp:wrapNone/>
            <wp:docPr id="2324" name="Picture 2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4"/>
                    <pic:cNvPicPr>
                      <a:picLocks noChangeAspect="1" noChangeArrowheads="1"/>
                    </pic:cNvPicPr>
                  </pic:nvPicPr>
                  <pic:blipFill>
                    <a:blip r:embed="rId23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-119380</wp:posOffset>
            </wp:positionV>
            <wp:extent cx="8255" cy="8890"/>
            <wp:wrapNone/>
            <wp:docPr id="2325" name="Picture 2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5"/>
                    <pic:cNvPicPr>
                      <a:picLocks noChangeAspect="1" noChangeArrowheads="1"/>
                    </pic:cNvPicPr>
                  </pic:nvPicPr>
                  <pic:blipFill>
                    <a:blip r:embed="rId23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-102235</wp:posOffset>
            </wp:positionV>
            <wp:extent cx="8255" cy="8890"/>
            <wp:wrapNone/>
            <wp:docPr id="2326" name="Picture 2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6"/>
                    <pic:cNvPicPr>
                      <a:picLocks noChangeAspect="1" noChangeArrowheads="1"/>
                    </pic:cNvPicPr>
                  </pic:nvPicPr>
                  <pic:blipFill>
                    <a:blip r:embed="rId233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-85090</wp:posOffset>
            </wp:positionV>
            <wp:extent cx="8255" cy="8890"/>
            <wp:wrapNone/>
            <wp:docPr id="2327" name="Picture 2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7"/>
                    <pic:cNvPicPr>
                      <a:picLocks noChangeAspect="1" noChangeArrowheads="1"/>
                    </pic:cNvPicPr>
                  </pic:nvPicPr>
                  <pic:blipFill>
                    <a:blip r:embed="rId233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-67945</wp:posOffset>
            </wp:positionV>
            <wp:extent cx="8255" cy="8890"/>
            <wp:wrapNone/>
            <wp:docPr id="2328" name="Picture 2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8"/>
                    <pic:cNvPicPr>
                      <a:picLocks noChangeAspect="1" noChangeArrowheads="1"/>
                    </pic:cNvPicPr>
                  </pic:nvPicPr>
                  <pic:blipFill>
                    <a:blip r:embed="rId233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-50800</wp:posOffset>
            </wp:positionV>
            <wp:extent cx="8255" cy="8255"/>
            <wp:wrapNone/>
            <wp:docPr id="2329" name="Picture 2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9"/>
                    <pic:cNvPicPr>
                      <a:picLocks noChangeAspect="1" noChangeArrowheads="1"/>
                    </pic:cNvPicPr>
                  </pic:nvPicPr>
                  <pic:blipFill>
                    <a:blip r:embed="rId23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-33655</wp:posOffset>
            </wp:positionV>
            <wp:extent cx="8255" cy="8890"/>
            <wp:wrapNone/>
            <wp:docPr id="2330" name="Picture 2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0"/>
                    <pic:cNvPicPr>
                      <a:picLocks noChangeAspect="1" noChangeArrowheads="1"/>
                    </pic:cNvPicPr>
                  </pic:nvPicPr>
                  <pic:blipFill>
                    <a:blip r:embed="rId233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-16510</wp:posOffset>
            </wp:positionV>
            <wp:extent cx="8255" cy="8890"/>
            <wp:wrapNone/>
            <wp:docPr id="2331" name="Picture 2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1"/>
                    <pic:cNvPicPr>
                      <a:picLocks noChangeAspect="1" noChangeArrowheads="1"/>
                    </pic:cNvPicPr>
                  </pic:nvPicPr>
                  <pic:blipFill>
                    <a:blip r:embed="rId233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-153670</wp:posOffset>
            </wp:positionV>
            <wp:extent cx="8890" cy="8890"/>
            <wp:wrapNone/>
            <wp:docPr id="2332" name="Picture 2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2"/>
                    <pic:cNvPicPr>
                      <a:picLocks noChangeAspect="1" noChangeArrowheads="1"/>
                    </pic:cNvPicPr>
                  </pic:nvPicPr>
                  <pic:blipFill>
                    <a:blip r:embed="rId23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-136525</wp:posOffset>
            </wp:positionV>
            <wp:extent cx="8890" cy="8890"/>
            <wp:wrapNone/>
            <wp:docPr id="2333" name="Picture 2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3"/>
                    <pic:cNvPicPr>
                      <a:picLocks noChangeAspect="1" noChangeArrowheads="1"/>
                    </pic:cNvPicPr>
                  </pic:nvPicPr>
                  <pic:blipFill>
                    <a:blip r:embed="rId23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-119380</wp:posOffset>
            </wp:positionV>
            <wp:extent cx="8890" cy="8890"/>
            <wp:wrapNone/>
            <wp:docPr id="2334" name="Picture 2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4"/>
                    <pic:cNvPicPr>
                      <a:picLocks noChangeAspect="1" noChangeArrowheads="1"/>
                    </pic:cNvPicPr>
                  </pic:nvPicPr>
                  <pic:blipFill>
                    <a:blip r:embed="rId23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-102235</wp:posOffset>
            </wp:positionV>
            <wp:extent cx="8890" cy="8890"/>
            <wp:wrapNone/>
            <wp:docPr id="2335" name="Picture 2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5"/>
                    <pic:cNvPicPr>
                      <a:picLocks noChangeAspect="1" noChangeArrowheads="1"/>
                    </pic:cNvPicPr>
                  </pic:nvPicPr>
                  <pic:blipFill>
                    <a:blip r:embed="rId23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-85090</wp:posOffset>
            </wp:positionV>
            <wp:extent cx="8890" cy="8890"/>
            <wp:wrapNone/>
            <wp:docPr id="2336" name="Picture 2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6"/>
                    <pic:cNvPicPr>
                      <a:picLocks noChangeAspect="1" noChangeArrowheads="1"/>
                    </pic:cNvPicPr>
                  </pic:nvPicPr>
                  <pic:blipFill>
                    <a:blip r:embed="rId23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-67945</wp:posOffset>
            </wp:positionV>
            <wp:extent cx="8890" cy="8890"/>
            <wp:wrapNone/>
            <wp:docPr id="2337" name="Picture 2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7"/>
                    <pic:cNvPicPr>
                      <a:picLocks noChangeAspect="1" noChangeArrowheads="1"/>
                    </pic:cNvPicPr>
                  </pic:nvPicPr>
                  <pic:blipFill>
                    <a:blip r:embed="rId23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-50800</wp:posOffset>
            </wp:positionV>
            <wp:extent cx="8890" cy="8255"/>
            <wp:wrapNone/>
            <wp:docPr id="2338" name="Picture 2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8"/>
                    <pic:cNvPicPr>
                      <a:picLocks noChangeAspect="1" noChangeArrowheads="1"/>
                    </pic:cNvPicPr>
                  </pic:nvPicPr>
                  <pic:blipFill>
                    <a:blip r:embed="rId23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-33655</wp:posOffset>
            </wp:positionV>
            <wp:extent cx="8890" cy="8890"/>
            <wp:wrapNone/>
            <wp:docPr id="2339" name="Picture 2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9"/>
                    <pic:cNvPicPr>
                      <a:picLocks noChangeAspect="1" noChangeArrowheads="1"/>
                    </pic:cNvPicPr>
                  </pic:nvPicPr>
                  <pic:blipFill>
                    <a:blip r:embed="rId23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-16510</wp:posOffset>
            </wp:positionV>
            <wp:extent cx="8890" cy="8890"/>
            <wp:wrapNone/>
            <wp:docPr id="2340" name="Picture 2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0"/>
                    <pic:cNvPicPr>
                      <a:picLocks noChangeAspect="1" noChangeArrowheads="1"/>
                    </pic:cNvPicPr>
                  </pic:nvPicPr>
                  <pic:blipFill>
                    <a:blip r:embed="rId23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-325120</wp:posOffset>
            </wp:positionV>
            <wp:extent cx="8255" cy="8890"/>
            <wp:wrapNone/>
            <wp:docPr id="2341" name="Picture 2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1"/>
                    <pic:cNvPicPr>
                      <a:picLocks noChangeAspect="1" noChangeArrowheads="1"/>
                    </pic:cNvPicPr>
                  </pic:nvPicPr>
                  <pic:blipFill>
                    <a:blip r:embed="rId23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-307975</wp:posOffset>
            </wp:positionV>
            <wp:extent cx="8255" cy="8890"/>
            <wp:wrapNone/>
            <wp:docPr id="2342" name="Picture 2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2"/>
                    <pic:cNvPicPr>
                      <a:picLocks noChangeAspect="1" noChangeArrowheads="1"/>
                    </pic:cNvPicPr>
                  </pic:nvPicPr>
                  <pic:blipFill>
                    <a:blip r:embed="rId234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-290830</wp:posOffset>
            </wp:positionV>
            <wp:extent cx="8255" cy="8890"/>
            <wp:wrapNone/>
            <wp:docPr id="2343" name="Picture 2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3"/>
                    <pic:cNvPicPr>
                      <a:picLocks noChangeAspect="1" noChangeArrowheads="1"/>
                    </pic:cNvPicPr>
                  </pic:nvPicPr>
                  <pic:blipFill>
                    <a:blip r:embed="rId235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-273685</wp:posOffset>
            </wp:positionV>
            <wp:extent cx="8255" cy="8890"/>
            <wp:wrapNone/>
            <wp:docPr id="2344" name="Picture 2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4"/>
                    <pic:cNvPicPr>
                      <a:picLocks noChangeAspect="1" noChangeArrowheads="1"/>
                    </pic:cNvPicPr>
                  </pic:nvPicPr>
                  <pic:blipFill>
                    <a:blip r:embed="rId235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-256540</wp:posOffset>
            </wp:positionV>
            <wp:extent cx="8255" cy="8255"/>
            <wp:wrapNone/>
            <wp:docPr id="2345" name="Picture 2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5"/>
                    <pic:cNvPicPr>
                      <a:picLocks noChangeAspect="1" noChangeArrowheads="1"/>
                    </pic:cNvPicPr>
                  </pic:nvPicPr>
                  <pic:blipFill>
                    <a:blip r:embed="rId23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-239395</wp:posOffset>
            </wp:positionV>
            <wp:extent cx="8255" cy="8890"/>
            <wp:wrapNone/>
            <wp:docPr id="2346" name="Picture 2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6"/>
                    <pic:cNvPicPr>
                      <a:picLocks noChangeAspect="1" noChangeArrowheads="1"/>
                    </pic:cNvPicPr>
                  </pic:nvPicPr>
                  <pic:blipFill>
                    <a:blip r:embed="rId23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-222250</wp:posOffset>
            </wp:positionV>
            <wp:extent cx="8255" cy="8890"/>
            <wp:wrapNone/>
            <wp:docPr id="2347" name="Picture 2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7"/>
                    <pic:cNvPicPr>
                      <a:picLocks noChangeAspect="1" noChangeArrowheads="1"/>
                    </pic:cNvPicPr>
                  </pic:nvPicPr>
                  <pic:blipFill>
                    <a:blip r:embed="rId235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-205105</wp:posOffset>
            </wp:positionV>
            <wp:extent cx="8255" cy="8890"/>
            <wp:wrapNone/>
            <wp:docPr id="2348" name="Picture 2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8"/>
                    <pic:cNvPicPr>
                      <a:picLocks noChangeAspect="1" noChangeArrowheads="1"/>
                    </pic:cNvPicPr>
                  </pic:nvPicPr>
                  <pic:blipFill>
                    <a:blip r:embed="rId235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-187960</wp:posOffset>
            </wp:positionV>
            <wp:extent cx="8255" cy="25400"/>
            <wp:wrapNone/>
            <wp:docPr id="2349" name="Picture 2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9"/>
                    <pic:cNvPicPr>
                      <a:picLocks noChangeAspect="1" noChangeArrowheads="1"/>
                    </pic:cNvPicPr>
                  </pic:nvPicPr>
                  <pic:blipFill>
                    <a:blip r:embed="rId2356">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-325120</wp:posOffset>
            </wp:positionV>
            <wp:extent cx="8890" cy="8890"/>
            <wp:wrapNone/>
            <wp:docPr id="2350" name="Picture 2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0"/>
                    <pic:cNvPicPr>
                      <a:picLocks noChangeAspect="1" noChangeArrowheads="1"/>
                    </pic:cNvPicPr>
                  </pic:nvPicPr>
                  <pic:blipFill>
                    <a:blip r:embed="rId23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-307975</wp:posOffset>
            </wp:positionV>
            <wp:extent cx="8890" cy="8890"/>
            <wp:wrapNone/>
            <wp:docPr id="2351" name="Picture 2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1"/>
                    <pic:cNvPicPr>
                      <a:picLocks noChangeAspect="1" noChangeArrowheads="1"/>
                    </pic:cNvPicPr>
                  </pic:nvPicPr>
                  <pic:blipFill>
                    <a:blip r:embed="rId23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-290830</wp:posOffset>
            </wp:positionV>
            <wp:extent cx="8890" cy="8890"/>
            <wp:wrapNone/>
            <wp:docPr id="2352" name="Picture 2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2"/>
                    <pic:cNvPicPr>
                      <a:picLocks noChangeAspect="1" noChangeArrowheads="1"/>
                    </pic:cNvPicPr>
                  </pic:nvPicPr>
                  <pic:blipFill>
                    <a:blip r:embed="rId23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-273685</wp:posOffset>
            </wp:positionV>
            <wp:extent cx="8890" cy="8890"/>
            <wp:wrapNone/>
            <wp:docPr id="2353" name="Picture 2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3"/>
                    <pic:cNvPicPr>
                      <a:picLocks noChangeAspect="1" noChangeArrowheads="1"/>
                    </pic:cNvPicPr>
                  </pic:nvPicPr>
                  <pic:blipFill>
                    <a:blip r:embed="rId23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-256540</wp:posOffset>
            </wp:positionV>
            <wp:extent cx="8890" cy="8255"/>
            <wp:wrapNone/>
            <wp:docPr id="2354" name="Picture 2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4"/>
                    <pic:cNvPicPr>
                      <a:picLocks noChangeAspect="1" noChangeArrowheads="1"/>
                    </pic:cNvPicPr>
                  </pic:nvPicPr>
                  <pic:blipFill>
                    <a:blip r:embed="rId23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-239395</wp:posOffset>
            </wp:positionV>
            <wp:extent cx="8890" cy="8890"/>
            <wp:wrapNone/>
            <wp:docPr id="2355" name="Picture 2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5"/>
                    <pic:cNvPicPr>
                      <a:picLocks noChangeAspect="1" noChangeArrowheads="1"/>
                    </pic:cNvPicPr>
                  </pic:nvPicPr>
                  <pic:blipFill>
                    <a:blip r:embed="rId23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-222250</wp:posOffset>
            </wp:positionV>
            <wp:extent cx="8890" cy="8890"/>
            <wp:wrapNone/>
            <wp:docPr id="2356" name="Picture 2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6"/>
                    <pic:cNvPicPr>
                      <a:picLocks noChangeAspect="1" noChangeArrowheads="1"/>
                    </pic:cNvPicPr>
                  </pic:nvPicPr>
                  <pic:blipFill>
                    <a:blip r:embed="rId23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-205105</wp:posOffset>
            </wp:positionV>
            <wp:extent cx="8890" cy="8890"/>
            <wp:wrapNone/>
            <wp:docPr id="2357" name="Picture 2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7"/>
                    <pic:cNvPicPr>
                      <a:picLocks noChangeAspect="1" noChangeArrowheads="1"/>
                    </pic:cNvPicPr>
                  </pic:nvPicPr>
                  <pic:blipFill>
                    <a:blip r:embed="rId23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-187960</wp:posOffset>
            </wp:positionV>
            <wp:extent cx="8890" cy="25400"/>
            <wp:wrapNone/>
            <wp:docPr id="2358" name="Picture 2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8"/>
                    <pic:cNvPicPr>
                      <a:picLocks noChangeAspect="1" noChangeArrowheads="1"/>
                    </pic:cNvPicPr>
                  </pic:nvPicPr>
                  <pic:blipFill>
                    <a:blip r:embed="rId2365">
                      <a:extLst>
                        <a:ext uri="{28A0092B-C50C-407E-A947-70E740481C1C}"/>
                      </a:extLst>
                    </a:blip>
                    <a:srcRect/>
                    <a:stretch>
                      <a:fillRect/>
                    </a:stretch>
                  </pic:blipFill>
                  <pic:spPr bwMode="auto">
                    <a:xfrm>
                      <a:off x="0" y="0"/>
                      <a:ext cx="8890" cy="2540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-496570</wp:posOffset>
            </wp:positionV>
            <wp:extent cx="8255" cy="8890"/>
            <wp:wrapNone/>
            <wp:docPr id="2359" name="Picture 2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9"/>
                    <pic:cNvPicPr>
                      <a:picLocks noChangeAspect="1" noChangeArrowheads="1"/>
                    </pic:cNvPicPr>
                  </pic:nvPicPr>
                  <pic:blipFill>
                    <a:blip r:embed="rId236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-479425</wp:posOffset>
            </wp:positionV>
            <wp:extent cx="8255" cy="8255"/>
            <wp:wrapNone/>
            <wp:docPr id="2360" name="Picture 2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0"/>
                    <pic:cNvPicPr>
                      <a:picLocks noChangeAspect="1" noChangeArrowheads="1"/>
                    </pic:cNvPicPr>
                  </pic:nvPicPr>
                  <pic:blipFill>
                    <a:blip r:embed="rId23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-462280</wp:posOffset>
            </wp:positionV>
            <wp:extent cx="8255" cy="8255"/>
            <wp:wrapNone/>
            <wp:docPr id="2361" name="Picture 2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1"/>
                    <pic:cNvPicPr>
                      <a:picLocks noChangeAspect="1" noChangeArrowheads="1"/>
                    </pic:cNvPicPr>
                  </pic:nvPicPr>
                  <pic:blipFill>
                    <a:blip r:embed="rId23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-445135</wp:posOffset>
            </wp:positionV>
            <wp:extent cx="8255" cy="8255"/>
            <wp:wrapNone/>
            <wp:docPr id="2362" name="Picture 2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2"/>
                    <pic:cNvPicPr>
                      <a:picLocks noChangeAspect="1" noChangeArrowheads="1"/>
                    </pic:cNvPicPr>
                  </pic:nvPicPr>
                  <pic:blipFill>
                    <a:blip r:embed="rId23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-427990</wp:posOffset>
            </wp:positionV>
            <wp:extent cx="8255" cy="8890"/>
            <wp:wrapNone/>
            <wp:docPr id="2363" name="Picture 2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3"/>
                    <pic:cNvPicPr>
                      <a:picLocks noChangeAspect="1" noChangeArrowheads="1"/>
                    </pic:cNvPicPr>
                  </pic:nvPicPr>
                  <pic:blipFill>
                    <a:blip r:embed="rId237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-410845</wp:posOffset>
            </wp:positionV>
            <wp:extent cx="8255" cy="8890"/>
            <wp:wrapNone/>
            <wp:docPr id="2364" name="Picture 2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4"/>
                    <pic:cNvPicPr>
                      <a:picLocks noChangeAspect="1" noChangeArrowheads="1"/>
                    </pic:cNvPicPr>
                  </pic:nvPicPr>
                  <pic:blipFill>
                    <a:blip r:embed="rId237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-393700</wp:posOffset>
            </wp:positionV>
            <wp:extent cx="8255" cy="8255"/>
            <wp:wrapNone/>
            <wp:docPr id="2365" name="Picture 2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5"/>
                    <pic:cNvPicPr>
                      <a:picLocks noChangeAspect="1" noChangeArrowheads="1"/>
                    </pic:cNvPicPr>
                  </pic:nvPicPr>
                  <pic:blipFill>
                    <a:blip r:embed="rId23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-376555</wp:posOffset>
            </wp:positionV>
            <wp:extent cx="8255" cy="8255"/>
            <wp:wrapNone/>
            <wp:docPr id="2366" name="Picture 2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6"/>
                    <pic:cNvPicPr>
                      <a:picLocks noChangeAspect="1" noChangeArrowheads="1"/>
                    </pic:cNvPicPr>
                  </pic:nvPicPr>
                  <pic:blipFill>
                    <a:blip r:embed="rId23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-359410</wp:posOffset>
            </wp:positionV>
            <wp:extent cx="8255" cy="25400"/>
            <wp:wrapNone/>
            <wp:docPr id="2367" name="Picture 2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7"/>
                    <pic:cNvPicPr>
                      <a:picLocks noChangeAspect="1" noChangeArrowheads="1"/>
                    </pic:cNvPicPr>
                  </pic:nvPicPr>
                  <pic:blipFill>
                    <a:blip r:embed="rId2374">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-496570</wp:posOffset>
            </wp:positionV>
            <wp:extent cx="8890" cy="8890"/>
            <wp:wrapNone/>
            <wp:docPr id="2368" name="Picture 2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8"/>
                    <pic:cNvPicPr>
                      <a:picLocks noChangeAspect="1" noChangeArrowheads="1"/>
                    </pic:cNvPicPr>
                  </pic:nvPicPr>
                  <pic:blipFill>
                    <a:blip r:embed="rId23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-479425</wp:posOffset>
            </wp:positionV>
            <wp:extent cx="8890" cy="8255"/>
            <wp:wrapNone/>
            <wp:docPr id="2369" name="Picture 2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9"/>
                    <pic:cNvPicPr>
                      <a:picLocks noChangeAspect="1" noChangeArrowheads="1"/>
                    </pic:cNvPicPr>
                  </pic:nvPicPr>
                  <pic:blipFill>
                    <a:blip r:embed="rId23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-462280</wp:posOffset>
            </wp:positionV>
            <wp:extent cx="8890" cy="8255"/>
            <wp:wrapNone/>
            <wp:docPr id="2370" name="Picture 2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0"/>
                    <pic:cNvPicPr>
                      <a:picLocks noChangeAspect="1" noChangeArrowheads="1"/>
                    </pic:cNvPicPr>
                  </pic:nvPicPr>
                  <pic:blipFill>
                    <a:blip r:embed="rId23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-445135</wp:posOffset>
            </wp:positionV>
            <wp:extent cx="8890" cy="8255"/>
            <wp:wrapNone/>
            <wp:docPr id="2371" name="Picture 2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1"/>
                    <pic:cNvPicPr>
                      <a:picLocks noChangeAspect="1" noChangeArrowheads="1"/>
                    </pic:cNvPicPr>
                  </pic:nvPicPr>
                  <pic:blipFill>
                    <a:blip r:embed="rId23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-427990</wp:posOffset>
            </wp:positionV>
            <wp:extent cx="8890" cy="8890"/>
            <wp:wrapNone/>
            <wp:docPr id="2372" name="Picture 2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2"/>
                    <pic:cNvPicPr>
                      <a:picLocks noChangeAspect="1" noChangeArrowheads="1"/>
                    </pic:cNvPicPr>
                  </pic:nvPicPr>
                  <pic:blipFill>
                    <a:blip r:embed="rId23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-410845</wp:posOffset>
            </wp:positionV>
            <wp:extent cx="8890" cy="8890"/>
            <wp:wrapNone/>
            <wp:docPr id="2373" name="Picture 2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3"/>
                    <pic:cNvPicPr>
                      <a:picLocks noChangeAspect="1" noChangeArrowheads="1"/>
                    </pic:cNvPicPr>
                  </pic:nvPicPr>
                  <pic:blipFill>
                    <a:blip r:embed="rId23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-393700</wp:posOffset>
            </wp:positionV>
            <wp:extent cx="8890" cy="8255"/>
            <wp:wrapNone/>
            <wp:docPr id="2374" name="Picture 2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4"/>
                    <pic:cNvPicPr>
                      <a:picLocks noChangeAspect="1" noChangeArrowheads="1"/>
                    </pic:cNvPicPr>
                  </pic:nvPicPr>
                  <pic:blipFill>
                    <a:blip r:embed="rId23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-376555</wp:posOffset>
            </wp:positionV>
            <wp:extent cx="8890" cy="8255"/>
            <wp:wrapNone/>
            <wp:docPr id="2375" name="Picture 2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5"/>
                    <pic:cNvPicPr>
                      <a:picLocks noChangeAspect="1" noChangeArrowheads="1"/>
                    </pic:cNvPicPr>
                  </pic:nvPicPr>
                  <pic:blipFill>
                    <a:blip r:embed="rId23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-359410</wp:posOffset>
            </wp:positionV>
            <wp:extent cx="8890" cy="25400"/>
            <wp:wrapNone/>
            <wp:docPr id="2376" name="Picture 2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6"/>
                    <pic:cNvPicPr>
                      <a:picLocks noChangeAspect="1" noChangeArrowheads="1"/>
                    </pic:cNvPicPr>
                  </pic:nvPicPr>
                  <pic:blipFill>
                    <a:blip r:embed="rId2383">
                      <a:extLst>
                        <a:ext uri="{28A0092B-C50C-407E-A947-70E740481C1C}"/>
                      </a:extLst>
                    </a:blip>
                    <a:srcRect/>
                    <a:stretch>
                      <a:fillRect/>
                    </a:stretch>
                  </pic:blipFill>
                  <pic:spPr bwMode="auto">
                    <a:xfrm>
                      <a:off x="0" y="0"/>
                      <a:ext cx="8890" cy="2540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-753745</wp:posOffset>
            </wp:positionV>
            <wp:extent cx="8255" cy="8890"/>
            <wp:wrapNone/>
            <wp:docPr id="2377" name="Picture 2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7"/>
                    <pic:cNvPicPr>
                      <a:picLocks noChangeAspect="1" noChangeArrowheads="1"/>
                    </pic:cNvPicPr>
                  </pic:nvPicPr>
                  <pic:blipFill>
                    <a:blip r:embed="rId238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-736600</wp:posOffset>
            </wp:positionV>
            <wp:extent cx="8255" cy="8255"/>
            <wp:wrapNone/>
            <wp:docPr id="2378" name="Picture 2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8"/>
                    <pic:cNvPicPr>
                      <a:picLocks noChangeAspect="1" noChangeArrowheads="1"/>
                    </pic:cNvPicPr>
                  </pic:nvPicPr>
                  <pic:blipFill>
                    <a:blip r:embed="rId23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-719455</wp:posOffset>
            </wp:positionV>
            <wp:extent cx="8255" cy="8255"/>
            <wp:wrapNone/>
            <wp:docPr id="2379" name="Picture 2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9"/>
                    <pic:cNvPicPr>
                      <a:picLocks noChangeAspect="1" noChangeArrowheads="1"/>
                    </pic:cNvPicPr>
                  </pic:nvPicPr>
                  <pic:blipFill>
                    <a:blip r:embed="rId23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-702310</wp:posOffset>
            </wp:positionV>
            <wp:extent cx="8255" cy="8255"/>
            <wp:wrapNone/>
            <wp:docPr id="2380" name="Picture 2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0"/>
                    <pic:cNvPicPr>
                      <a:picLocks noChangeAspect="1" noChangeArrowheads="1"/>
                    </pic:cNvPicPr>
                  </pic:nvPicPr>
                  <pic:blipFill>
                    <a:blip r:embed="rId23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-685165</wp:posOffset>
            </wp:positionV>
            <wp:extent cx="8255" cy="8890"/>
            <wp:wrapNone/>
            <wp:docPr id="2381" name="Picture 2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1"/>
                    <pic:cNvPicPr>
                      <a:picLocks noChangeAspect="1" noChangeArrowheads="1"/>
                    </pic:cNvPicPr>
                  </pic:nvPicPr>
                  <pic:blipFill>
                    <a:blip r:embed="rId238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-668020</wp:posOffset>
            </wp:positionV>
            <wp:extent cx="8255" cy="8890"/>
            <wp:wrapNone/>
            <wp:docPr id="2382" name="Picture 2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2"/>
                    <pic:cNvPicPr>
                      <a:picLocks noChangeAspect="1" noChangeArrowheads="1"/>
                    </pic:cNvPicPr>
                  </pic:nvPicPr>
                  <pic:blipFill>
                    <a:blip r:embed="rId238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-650875</wp:posOffset>
            </wp:positionV>
            <wp:extent cx="8255" cy="8255"/>
            <wp:wrapNone/>
            <wp:docPr id="2383" name="Picture 2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3"/>
                    <pic:cNvPicPr>
                      <a:picLocks noChangeAspect="1" noChangeArrowheads="1"/>
                    </pic:cNvPicPr>
                  </pic:nvPicPr>
                  <pic:blipFill>
                    <a:blip r:embed="rId23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-633730</wp:posOffset>
            </wp:positionV>
            <wp:extent cx="8255" cy="8255"/>
            <wp:wrapNone/>
            <wp:docPr id="2384" name="Picture 2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4"/>
                    <pic:cNvPicPr>
                      <a:picLocks noChangeAspect="1" noChangeArrowheads="1"/>
                    </pic:cNvPicPr>
                  </pic:nvPicPr>
                  <pic:blipFill>
                    <a:blip r:embed="rId23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-616585</wp:posOffset>
            </wp:positionV>
            <wp:extent cx="8255" cy="8255"/>
            <wp:wrapNone/>
            <wp:docPr id="2385" name="Picture 2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5"/>
                    <pic:cNvPicPr>
                      <a:picLocks noChangeAspect="1" noChangeArrowheads="1"/>
                    </pic:cNvPicPr>
                  </pic:nvPicPr>
                  <pic:blipFill>
                    <a:blip r:embed="rId23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-599440</wp:posOffset>
            </wp:positionV>
            <wp:extent cx="8255" cy="8890"/>
            <wp:wrapNone/>
            <wp:docPr id="2386" name="Picture 2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6"/>
                    <pic:cNvPicPr>
                      <a:picLocks noChangeAspect="1" noChangeArrowheads="1"/>
                    </pic:cNvPicPr>
                  </pic:nvPicPr>
                  <pic:blipFill>
                    <a:blip r:embed="rId239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-582295</wp:posOffset>
            </wp:positionV>
            <wp:extent cx="8255" cy="8890"/>
            <wp:wrapNone/>
            <wp:docPr id="2387" name="Picture 2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7"/>
                    <pic:cNvPicPr>
                      <a:picLocks noChangeAspect="1" noChangeArrowheads="1"/>
                    </pic:cNvPicPr>
                  </pic:nvPicPr>
                  <pic:blipFill>
                    <a:blip r:embed="rId239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-565150</wp:posOffset>
            </wp:positionV>
            <wp:extent cx="8255" cy="8255"/>
            <wp:wrapNone/>
            <wp:docPr id="2388" name="Picture 2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8"/>
                    <pic:cNvPicPr>
                      <a:picLocks noChangeAspect="1" noChangeArrowheads="1"/>
                    </pic:cNvPicPr>
                  </pic:nvPicPr>
                  <pic:blipFill>
                    <a:blip r:embed="rId23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-548005</wp:posOffset>
            </wp:positionV>
            <wp:extent cx="8255" cy="8255"/>
            <wp:wrapNone/>
            <wp:docPr id="2389" name="Picture 2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9"/>
                    <pic:cNvPicPr>
                      <a:picLocks noChangeAspect="1" noChangeArrowheads="1"/>
                    </pic:cNvPicPr>
                  </pic:nvPicPr>
                  <pic:blipFill>
                    <a:blip r:embed="rId23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-530860</wp:posOffset>
            </wp:positionV>
            <wp:extent cx="8255" cy="25400"/>
            <wp:wrapNone/>
            <wp:docPr id="2390" name="Picture 2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0"/>
                    <pic:cNvPicPr>
                      <a:picLocks noChangeAspect="1" noChangeArrowheads="1"/>
                    </pic:cNvPicPr>
                  </pic:nvPicPr>
                  <pic:blipFill>
                    <a:blip r:embed="rId2397">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-753745</wp:posOffset>
            </wp:positionV>
            <wp:extent cx="8890" cy="8890"/>
            <wp:wrapNone/>
            <wp:docPr id="2391" name="Picture 2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1"/>
                    <pic:cNvPicPr>
                      <a:picLocks noChangeAspect="1" noChangeArrowheads="1"/>
                    </pic:cNvPicPr>
                  </pic:nvPicPr>
                  <pic:blipFill>
                    <a:blip r:embed="rId23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-736600</wp:posOffset>
            </wp:positionV>
            <wp:extent cx="8890" cy="8255"/>
            <wp:wrapNone/>
            <wp:docPr id="2392" name="Picture 2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2"/>
                    <pic:cNvPicPr>
                      <a:picLocks noChangeAspect="1" noChangeArrowheads="1"/>
                    </pic:cNvPicPr>
                  </pic:nvPicPr>
                  <pic:blipFill>
                    <a:blip r:embed="rId23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-719455</wp:posOffset>
            </wp:positionV>
            <wp:extent cx="8890" cy="8255"/>
            <wp:wrapNone/>
            <wp:docPr id="2393" name="Picture 2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3"/>
                    <pic:cNvPicPr>
                      <a:picLocks noChangeAspect="1" noChangeArrowheads="1"/>
                    </pic:cNvPicPr>
                  </pic:nvPicPr>
                  <pic:blipFill>
                    <a:blip r:embed="rId24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-702310</wp:posOffset>
            </wp:positionV>
            <wp:extent cx="8890" cy="8255"/>
            <wp:wrapNone/>
            <wp:docPr id="2394" name="Picture 2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4"/>
                    <pic:cNvPicPr>
                      <a:picLocks noChangeAspect="1" noChangeArrowheads="1"/>
                    </pic:cNvPicPr>
                  </pic:nvPicPr>
                  <pic:blipFill>
                    <a:blip r:embed="rId24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-685165</wp:posOffset>
            </wp:positionV>
            <wp:extent cx="8890" cy="8890"/>
            <wp:wrapNone/>
            <wp:docPr id="2395" name="Picture 2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5"/>
                    <pic:cNvPicPr>
                      <a:picLocks noChangeAspect="1" noChangeArrowheads="1"/>
                    </pic:cNvPicPr>
                  </pic:nvPicPr>
                  <pic:blipFill>
                    <a:blip r:embed="rId24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-668020</wp:posOffset>
            </wp:positionV>
            <wp:extent cx="8890" cy="8890"/>
            <wp:wrapNone/>
            <wp:docPr id="2396" name="Picture 2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6"/>
                    <pic:cNvPicPr>
                      <a:picLocks noChangeAspect="1" noChangeArrowheads="1"/>
                    </pic:cNvPicPr>
                  </pic:nvPicPr>
                  <pic:blipFill>
                    <a:blip r:embed="rId24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-650875</wp:posOffset>
            </wp:positionV>
            <wp:extent cx="8890" cy="8255"/>
            <wp:wrapNone/>
            <wp:docPr id="2397" name="Picture 2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7"/>
                    <pic:cNvPicPr>
                      <a:picLocks noChangeAspect="1" noChangeArrowheads="1"/>
                    </pic:cNvPicPr>
                  </pic:nvPicPr>
                  <pic:blipFill>
                    <a:blip r:embed="rId24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-633730</wp:posOffset>
            </wp:positionV>
            <wp:extent cx="8890" cy="8255"/>
            <wp:wrapNone/>
            <wp:docPr id="2398" name="Picture 2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8"/>
                    <pic:cNvPicPr>
                      <a:picLocks noChangeAspect="1" noChangeArrowheads="1"/>
                    </pic:cNvPicPr>
                  </pic:nvPicPr>
                  <pic:blipFill>
                    <a:blip r:embed="rId24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-616585</wp:posOffset>
            </wp:positionV>
            <wp:extent cx="8890" cy="8255"/>
            <wp:wrapNone/>
            <wp:docPr id="2399" name="Picture 2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9"/>
                    <pic:cNvPicPr>
                      <a:picLocks noChangeAspect="1" noChangeArrowheads="1"/>
                    </pic:cNvPicPr>
                  </pic:nvPicPr>
                  <pic:blipFill>
                    <a:blip r:embed="rId24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-599440</wp:posOffset>
            </wp:positionV>
            <wp:extent cx="8890" cy="8890"/>
            <wp:wrapNone/>
            <wp:docPr id="2400" name="Picture 2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0"/>
                    <pic:cNvPicPr>
                      <a:picLocks noChangeAspect="1" noChangeArrowheads="1"/>
                    </pic:cNvPicPr>
                  </pic:nvPicPr>
                  <pic:blipFill>
                    <a:blip r:embed="rId24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-582295</wp:posOffset>
            </wp:positionV>
            <wp:extent cx="8890" cy="8890"/>
            <wp:wrapNone/>
            <wp:docPr id="2401" name="Picture 2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1"/>
                    <pic:cNvPicPr>
                      <a:picLocks noChangeAspect="1" noChangeArrowheads="1"/>
                    </pic:cNvPicPr>
                  </pic:nvPicPr>
                  <pic:blipFill>
                    <a:blip r:embed="rId24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-565150</wp:posOffset>
            </wp:positionV>
            <wp:extent cx="8890" cy="8255"/>
            <wp:wrapNone/>
            <wp:docPr id="2402" name="Picture 2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2"/>
                    <pic:cNvPicPr>
                      <a:picLocks noChangeAspect="1" noChangeArrowheads="1"/>
                    </pic:cNvPicPr>
                  </pic:nvPicPr>
                  <pic:blipFill>
                    <a:blip r:embed="rId24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-548005</wp:posOffset>
            </wp:positionV>
            <wp:extent cx="8890" cy="8255"/>
            <wp:wrapNone/>
            <wp:docPr id="2403" name="Picture 2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3"/>
                    <pic:cNvPicPr>
                      <a:picLocks noChangeAspect="1" noChangeArrowheads="1"/>
                    </pic:cNvPicPr>
                  </pic:nvPicPr>
                  <pic:blipFill>
                    <a:blip r:embed="rId24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-530860</wp:posOffset>
            </wp:positionV>
            <wp:extent cx="8890" cy="25400"/>
            <wp:wrapNone/>
            <wp:docPr id="2404" name="Picture 2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4"/>
                    <pic:cNvPicPr>
                      <a:picLocks noChangeAspect="1" noChangeArrowheads="1"/>
                    </pic:cNvPicPr>
                  </pic:nvPicPr>
                  <pic:blipFill>
                    <a:blip r:embed="rId2411">
                      <a:extLst>
                        <a:ext uri="{28A0092B-C50C-407E-A947-70E740481C1C}"/>
                      </a:extLst>
                    </a:blip>
                    <a:srcRect/>
                    <a:stretch>
                      <a:fillRect/>
                    </a:stretch>
                  </pic:blipFill>
                  <pic:spPr bwMode="auto">
                    <a:xfrm>
                      <a:off x="0" y="0"/>
                      <a:ext cx="8890" cy="2540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-1019175</wp:posOffset>
            </wp:positionV>
            <wp:extent cx="8255" cy="8255"/>
            <wp:wrapNone/>
            <wp:docPr id="2405" name="Picture 2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5"/>
                    <pic:cNvPicPr>
                      <a:picLocks noChangeAspect="1" noChangeArrowheads="1"/>
                    </pic:cNvPicPr>
                  </pic:nvPicPr>
                  <pic:blipFill>
                    <a:blip r:embed="rId24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-1002030</wp:posOffset>
            </wp:positionV>
            <wp:extent cx="8255" cy="8255"/>
            <wp:wrapNone/>
            <wp:docPr id="2406" name="Picture 2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6"/>
                    <pic:cNvPicPr>
                      <a:picLocks noChangeAspect="1" noChangeArrowheads="1"/>
                    </pic:cNvPicPr>
                  </pic:nvPicPr>
                  <pic:blipFill>
                    <a:blip r:embed="rId24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-984885</wp:posOffset>
            </wp:positionV>
            <wp:extent cx="8255" cy="8255"/>
            <wp:wrapNone/>
            <wp:docPr id="2407" name="Picture 2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7"/>
                    <pic:cNvPicPr>
                      <a:picLocks noChangeAspect="1" noChangeArrowheads="1"/>
                    </pic:cNvPicPr>
                  </pic:nvPicPr>
                  <pic:blipFill>
                    <a:blip r:embed="rId24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-967740</wp:posOffset>
            </wp:positionV>
            <wp:extent cx="8255" cy="8890"/>
            <wp:wrapNone/>
            <wp:docPr id="2408" name="Picture 2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8"/>
                    <pic:cNvPicPr>
                      <a:picLocks noChangeAspect="1" noChangeArrowheads="1"/>
                    </pic:cNvPicPr>
                  </pic:nvPicPr>
                  <pic:blipFill>
                    <a:blip r:embed="rId241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-950595</wp:posOffset>
            </wp:positionV>
            <wp:extent cx="8255" cy="8255"/>
            <wp:wrapNone/>
            <wp:docPr id="2409" name="Picture 2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9"/>
                    <pic:cNvPicPr>
                      <a:picLocks noChangeAspect="1" noChangeArrowheads="1"/>
                    </pic:cNvPicPr>
                  </pic:nvPicPr>
                  <pic:blipFill>
                    <a:blip r:embed="rId24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-933450</wp:posOffset>
            </wp:positionV>
            <wp:extent cx="8255" cy="8255"/>
            <wp:wrapNone/>
            <wp:docPr id="2410" name="Picture 2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0"/>
                    <pic:cNvPicPr>
                      <a:picLocks noChangeAspect="1" noChangeArrowheads="1"/>
                    </pic:cNvPicPr>
                  </pic:nvPicPr>
                  <pic:blipFill>
                    <a:blip r:embed="rId24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-916305</wp:posOffset>
            </wp:positionV>
            <wp:extent cx="8255" cy="8255"/>
            <wp:wrapNone/>
            <wp:docPr id="2411" name="Picture 2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1"/>
                    <pic:cNvPicPr>
                      <a:picLocks noChangeAspect="1" noChangeArrowheads="1"/>
                    </pic:cNvPicPr>
                  </pic:nvPicPr>
                  <pic:blipFill>
                    <a:blip r:embed="rId24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-899795</wp:posOffset>
            </wp:positionV>
            <wp:extent cx="8255" cy="8890"/>
            <wp:wrapNone/>
            <wp:docPr id="2412" name="Picture 2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2"/>
                    <pic:cNvPicPr>
                      <a:picLocks noChangeAspect="1" noChangeArrowheads="1"/>
                    </pic:cNvPicPr>
                  </pic:nvPicPr>
                  <pic:blipFill>
                    <a:blip r:embed="rId241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-882015</wp:posOffset>
            </wp:positionV>
            <wp:extent cx="8255" cy="8890"/>
            <wp:wrapNone/>
            <wp:docPr id="2413" name="Picture 2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3"/>
                    <pic:cNvPicPr>
                      <a:picLocks noChangeAspect="1" noChangeArrowheads="1"/>
                    </pic:cNvPicPr>
                  </pic:nvPicPr>
                  <pic:blipFill>
                    <a:blip r:embed="rId24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-864870</wp:posOffset>
            </wp:positionV>
            <wp:extent cx="8255" cy="8255"/>
            <wp:wrapNone/>
            <wp:docPr id="2414" name="Picture 2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4"/>
                    <pic:cNvPicPr>
                      <a:picLocks noChangeAspect="1" noChangeArrowheads="1"/>
                    </pic:cNvPicPr>
                  </pic:nvPicPr>
                  <pic:blipFill>
                    <a:blip r:embed="rId24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-847725</wp:posOffset>
            </wp:positionV>
            <wp:extent cx="8255" cy="8255"/>
            <wp:wrapNone/>
            <wp:docPr id="2415" name="Picture 2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5"/>
                    <pic:cNvPicPr>
                      <a:picLocks noChangeAspect="1" noChangeArrowheads="1"/>
                    </pic:cNvPicPr>
                  </pic:nvPicPr>
                  <pic:blipFill>
                    <a:blip r:embed="rId24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-830580</wp:posOffset>
            </wp:positionV>
            <wp:extent cx="8255" cy="8255"/>
            <wp:wrapNone/>
            <wp:docPr id="2416" name="Picture 2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6"/>
                    <pic:cNvPicPr>
                      <a:picLocks noChangeAspect="1" noChangeArrowheads="1"/>
                    </pic:cNvPicPr>
                  </pic:nvPicPr>
                  <pic:blipFill>
                    <a:blip r:embed="rId24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-814070</wp:posOffset>
            </wp:positionV>
            <wp:extent cx="8255" cy="8890"/>
            <wp:wrapNone/>
            <wp:docPr id="2417" name="Picture 2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7"/>
                    <pic:cNvPicPr>
                      <a:picLocks noChangeAspect="1" noChangeArrowheads="1"/>
                    </pic:cNvPicPr>
                  </pic:nvPicPr>
                  <pic:blipFill>
                    <a:blip r:embed="rId24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-796290</wp:posOffset>
            </wp:positionV>
            <wp:extent cx="8255" cy="8890"/>
            <wp:wrapNone/>
            <wp:docPr id="2418" name="Picture 2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8"/>
                    <pic:cNvPicPr>
                      <a:picLocks noChangeAspect="1" noChangeArrowheads="1"/>
                    </pic:cNvPicPr>
                  </pic:nvPicPr>
                  <pic:blipFill>
                    <a:blip r:embed="rId242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-779145</wp:posOffset>
            </wp:positionV>
            <wp:extent cx="8255" cy="17145"/>
            <wp:wrapNone/>
            <wp:docPr id="2419" name="Picture 2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9"/>
                    <pic:cNvPicPr>
                      <a:picLocks noChangeAspect="1" noChangeArrowheads="1"/>
                    </pic:cNvPicPr>
                  </pic:nvPicPr>
                  <pic:blipFill>
                    <a:blip r:embed="rId2426">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-1019175</wp:posOffset>
            </wp:positionV>
            <wp:extent cx="8890" cy="8255"/>
            <wp:wrapNone/>
            <wp:docPr id="2420" name="Picture 2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0"/>
                    <pic:cNvPicPr>
                      <a:picLocks noChangeAspect="1" noChangeArrowheads="1"/>
                    </pic:cNvPicPr>
                  </pic:nvPicPr>
                  <pic:blipFill>
                    <a:blip r:embed="rId24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-1002030</wp:posOffset>
            </wp:positionV>
            <wp:extent cx="8890" cy="8255"/>
            <wp:wrapNone/>
            <wp:docPr id="2421" name="Picture 2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1"/>
                    <pic:cNvPicPr>
                      <a:picLocks noChangeAspect="1" noChangeArrowheads="1"/>
                    </pic:cNvPicPr>
                  </pic:nvPicPr>
                  <pic:blipFill>
                    <a:blip r:embed="rId24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-984885</wp:posOffset>
            </wp:positionV>
            <wp:extent cx="8890" cy="8255"/>
            <wp:wrapNone/>
            <wp:docPr id="2422" name="Picture 2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2"/>
                    <pic:cNvPicPr>
                      <a:picLocks noChangeAspect="1" noChangeArrowheads="1"/>
                    </pic:cNvPicPr>
                  </pic:nvPicPr>
                  <pic:blipFill>
                    <a:blip r:embed="rId24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-967740</wp:posOffset>
            </wp:positionV>
            <wp:extent cx="8890" cy="8890"/>
            <wp:wrapNone/>
            <wp:docPr id="2423" name="Picture 2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3"/>
                    <pic:cNvPicPr>
                      <a:picLocks noChangeAspect="1" noChangeArrowheads="1"/>
                    </pic:cNvPicPr>
                  </pic:nvPicPr>
                  <pic:blipFill>
                    <a:blip r:embed="rId24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-950595</wp:posOffset>
            </wp:positionV>
            <wp:extent cx="8890" cy="8255"/>
            <wp:wrapNone/>
            <wp:docPr id="2424" name="Picture 2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4"/>
                    <pic:cNvPicPr>
                      <a:picLocks noChangeAspect="1" noChangeArrowheads="1"/>
                    </pic:cNvPicPr>
                  </pic:nvPicPr>
                  <pic:blipFill>
                    <a:blip r:embed="rId24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-933450</wp:posOffset>
            </wp:positionV>
            <wp:extent cx="8890" cy="8255"/>
            <wp:wrapNone/>
            <wp:docPr id="2425" name="Picture 2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5"/>
                    <pic:cNvPicPr>
                      <a:picLocks noChangeAspect="1" noChangeArrowheads="1"/>
                    </pic:cNvPicPr>
                  </pic:nvPicPr>
                  <pic:blipFill>
                    <a:blip r:embed="rId24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-916305</wp:posOffset>
            </wp:positionV>
            <wp:extent cx="8890" cy="8255"/>
            <wp:wrapNone/>
            <wp:docPr id="2426" name="Picture 2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6"/>
                    <pic:cNvPicPr>
                      <a:picLocks noChangeAspect="1" noChangeArrowheads="1"/>
                    </pic:cNvPicPr>
                  </pic:nvPicPr>
                  <pic:blipFill>
                    <a:blip r:embed="rId24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-899795</wp:posOffset>
            </wp:positionV>
            <wp:extent cx="8890" cy="8890"/>
            <wp:wrapNone/>
            <wp:docPr id="2427" name="Picture 2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7"/>
                    <pic:cNvPicPr>
                      <a:picLocks noChangeAspect="1" noChangeArrowheads="1"/>
                    </pic:cNvPicPr>
                  </pic:nvPicPr>
                  <pic:blipFill>
                    <a:blip r:embed="rId24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-882015</wp:posOffset>
            </wp:positionV>
            <wp:extent cx="8890" cy="8890"/>
            <wp:wrapNone/>
            <wp:docPr id="2428" name="Picture 2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8"/>
                    <pic:cNvPicPr>
                      <a:picLocks noChangeAspect="1" noChangeArrowheads="1"/>
                    </pic:cNvPicPr>
                  </pic:nvPicPr>
                  <pic:blipFill>
                    <a:blip r:embed="rId24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-864870</wp:posOffset>
            </wp:positionV>
            <wp:extent cx="8890" cy="8255"/>
            <wp:wrapNone/>
            <wp:docPr id="2429" name="Picture 2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9"/>
                    <pic:cNvPicPr>
                      <a:picLocks noChangeAspect="1" noChangeArrowheads="1"/>
                    </pic:cNvPicPr>
                  </pic:nvPicPr>
                  <pic:blipFill>
                    <a:blip r:embed="rId24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-847725</wp:posOffset>
            </wp:positionV>
            <wp:extent cx="8890" cy="8255"/>
            <wp:wrapNone/>
            <wp:docPr id="2430" name="Picture 2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0"/>
                    <pic:cNvPicPr>
                      <a:picLocks noChangeAspect="1" noChangeArrowheads="1"/>
                    </pic:cNvPicPr>
                  </pic:nvPicPr>
                  <pic:blipFill>
                    <a:blip r:embed="rId24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-830580</wp:posOffset>
            </wp:positionV>
            <wp:extent cx="8890" cy="8255"/>
            <wp:wrapNone/>
            <wp:docPr id="2431" name="Picture 2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1"/>
                    <pic:cNvPicPr>
                      <a:picLocks noChangeAspect="1" noChangeArrowheads="1"/>
                    </pic:cNvPicPr>
                  </pic:nvPicPr>
                  <pic:blipFill>
                    <a:blip r:embed="rId24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-814070</wp:posOffset>
            </wp:positionV>
            <wp:extent cx="8890" cy="8890"/>
            <wp:wrapNone/>
            <wp:docPr id="2432" name="Picture 2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2"/>
                    <pic:cNvPicPr>
                      <a:picLocks noChangeAspect="1" noChangeArrowheads="1"/>
                    </pic:cNvPicPr>
                  </pic:nvPicPr>
                  <pic:blipFill>
                    <a:blip r:embed="rId24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-796290</wp:posOffset>
            </wp:positionV>
            <wp:extent cx="8890" cy="8890"/>
            <wp:wrapNone/>
            <wp:docPr id="2433" name="Picture 2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3"/>
                    <pic:cNvPicPr>
                      <a:picLocks noChangeAspect="1" noChangeArrowheads="1"/>
                    </pic:cNvPicPr>
                  </pic:nvPicPr>
                  <pic:blipFill>
                    <a:blip r:embed="rId24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-779145</wp:posOffset>
            </wp:positionV>
            <wp:extent cx="8890" cy="17145"/>
            <wp:wrapNone/>
            <wp:docPr id="2434" name="Picture 2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4"/>
                    <pic:cNvPicPr>
                      <a:picLocks noChangeAspect="1" noChangeArrowheads="1"/>
                    </pic:cNvPicPr>
                  </pic:nvPicPr>
                  <pic:blipFill>
                    <a:blip r:embed="rId2441">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-1722120</wp:posOffset>
            </wp:positionV>
            <wp:extent cx="8255" cy="8890"/>
            <wp:wrapNone/>
            <wp:docPr id="2435" name="Picture 2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5"/>
                    <pic:cNvPicPr>
                      <a:picLocks noChangeAspect="1" noChangeArrowheads="1"/>
                    </pic:cNvPicPr>
                  </pic:nvPicPr>
                  <pic:blipFill>
                    <a:blip r:embed="rId244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-1704975</wp:posOffset>
            </wp:positionV>
            <wp:extent cx="8255" cy="8890"/>
            <wp:wrapNone/>
            <wp:docPr id="2436" name="Picture 2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6"/>
                    <pic:cNvPicPr>
                      <a:picLocks noChangeAspect="1" noChangeArrowheads="1"/>
                    </pic:cNvPicPr>
                  </pic:nvPicPr>
                  <pic:blipFill>
                    <a:blip r:embed="rId244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-1687830</wp:posOffset>
            </wp:positionV>
            <wp:extent cx="8255" cy="8255"/>
            <wp:wrapNone/>
            <wp:docPr id="2437" name="Picture 2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7"/>
                    <pic:cNvPicPr>
                      <a:picLocks noChangeAspect="1" noChangeArrowheads="1"/>
                    </pic:cNvPicPr>
                  </pic:nvPicPr>
                  <pic:blipFill>
                    <a:blip r:embed="rId24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-1670685</wp:posOffset>
            </wp:positionV>
            <wp:extent cx="8255" cy="8255"/>
            <wp:wrapNone/>
            <wp:docPr id="2438" name="Picture 2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8"/>
                    <pic:cNvPicPr>
                      <a:picLocks noChangeAspect="1" noChangeArrowheads="1"/>
                    </pic:cNvPicPr>
                  </pic:nvPicPr>
                  <pic:blipFill>
                    <a:blip r:embed="rId24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-1653540</wp:posOffset>
            </wp:positionV>
            <wp:extent cx="8255" cy="8255"/>
            <wp:wrapNone/>
            <wp:docPr id="2439" name="Picture 2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9"/>
                    <pic:cNvPicPr>
                      <a:picLocks noChangeAspect="1" noChangeArrowheads="1"/>
                    </pic:cNvPicPr>
                  </pic:nvPicPr>
                  <pic:blipFill>
                    <a:blip r:embed="rId24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-1636395</wp:posOffset>
            </wp:positionV>
            <wp:extent cx="8255" cy="8890"/>
            <wp:wrapNone/>
            <wp:docPr id="2440" name="Picture 2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0"/>
                    <pic:cNvPicPr>
                      <a:picLocks noChangeAspect="1" noChangeArrowheads="1"/>
                    </pic:cNvPicPr>
                  </pic:nvPicPr>
                  <pic:blipFill>
                    <a:blip r:embed="rId244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-1619250</wp:posOffset>
            </wp:positionV>
            <wp:extent cx="8255" cy="8255"/>
            <wp:wrapNone/>
            <wp:docPr id="2441" name="Picture 2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1"/>
                    <pic:cNvPicPr>
                      <a:picLocks noChangeAspect="1" noChangeArrowheads="1"/>
                    </pic:cNvPicPr>
                  </pic:nvPicPr>
                  <pic:blipFill>
                    <a:blip r:embed="rId24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-1602105</wp:posOffset>
            </wp:positionV>
            <wp:extent cx="8255" cy="8255"/>
            <wp:wrapNone/>
            <wp:docPr id="2442" name="Picture 2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2"/>
                    <pic:cNvPicPr>
                      <a:picLocks noChangeAspect="1" noChangeArrowheads="1"/>
                    </pic:cNvPicPr>
                  </pic:nvPicPr>
                  <pic:blipFill>
                    <a:blip r:embed="rId24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-1584960</wp:posOffset>
            </wp:positionV>
            <wp:extent cx="8255" cy="8255"/>
            <wp:wrapNone/>
            <wp:docPr id="2443" name="Picture 2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3"/>
                    <pic:cNvPicPr>
                      <a:picLocks noChangeAspect="1" noChangeArrowheads="1"/>
                    </pic:cNvPicPr>
                  </pic:nvPicPr>
                  <pic:blipFill>
                    <a:blip r:embed="rId24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-1567815</wp:posOffset>
            </wp:positionV>
            <wp:extent cx="8255" cy="8890"/>
            <wp:wrapNone/>
            <wp:docPr id="2444" name="Picture 2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4"/>
                    <pic:cNvPicPr>
                      <a:picLocks noChangeAspect="1" noChangeArrowheads="1"/>
                    </pic:cNvPicPr>
                  </pic:nvPicPr>
                  <pic:blipFill>
                    <a:blip r:embed="rId245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-1550670</wp:posOffset>
            </wp:positionV>
            <wp:extent cx="8255" cy="8890"/>
            <wp:wrapNone/>
            <wp:docPr id="2445" name="Picture 2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5"/>
                    <pic:cNvPicPr>
                      <a:picLocks noChangeAspect="1" noChangeArrowheads="1"/>
                    </pic:cNvPicPr>
                  </pic:nvPicPr>
                  <pic:blipFill>
                    <a:blip r:embed="rId245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-1533525</wp:posOffset>
            </wp:positionV>
            <wp:extent cx="8255" cy="8255"/>
            <wp:wrapNone/>
            <wp:docPr id="2446" name="Picture 2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6"/>
                    <pic:cNvPicPr>
                      <a:picLocks noChangeAspect="1" noChangeArrowheads="1"/>
                    </pic:cNvPicPr>
                  </pic:nvPicPr>
                  <pic:blipFill>
                    <a:blip r:embed="rId24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-1516380</wp:posOffset>
            </wp:positionV>
            <wp:extent cx="8255" cy="8255"/>
            <wp:wrapNone/>
            <wp:docPr id="2447" name="Picture 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7"/>
                    <pic:cNvPicPr>
                      <a:picLocks noChangeAspect="1" noChangeArrowheads="1"/>
                    </pic:cNvPicPr>
                  </pic:nvPicPr>
                  <pic:blipFill>
                    <a:blip r:embed="rId24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-1499235</wp:posOffset>
            </wp:positionV>
            <wp:extent cx="8255" cy="8255"/>
            <wp:wrapNone/>
            <wp:docPr id="2448" name="Picture 2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8"/>
                    <pic:cNvPicPr>
                      <a:picLocks noChangeAspect="1" noChangeArrowheads="1"/>
                    </pic:cNvPicPr>
                  </pic:nvPicPr>
                  <pic:blipFill>
                    <a:blip r:embed="rId24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-1482090</wp:posOffset>
            </wp:positionV>
            <wp:extent cx="8255" cy="8890"/>
            <wp:wrapNone/>
            <wp:docPr id="2449" name="Picture 2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9"/>
                    <pic:cNvPicPr>
                      <a:picLocks noChangeAspect="1" noChangeArrowheads="1"/>
                    </pic:cNvPicPr>
                  </pic:nvPicPr>
                  <pic:blipFill>
                    <a:blip r:embed="rId245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-1464945</wp:posOffset>
            </wp:positionV>
            <wp:extent cx="8255" cy="8890"/>
            <wp:wrapNone/>
            <wp:docPr id="2450" name="Picture 2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0"/>
                    <pic:cNvPicPr>
                      <a:picLocks noChangeAspect="1" noChangeArrowheads="1"/>
                    </pic:cNvPicPr>
                  </pic:nvPicPr>
                  <pic:blipFill>
                    <a:blip r:embed="rId245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-1447800</wp:posOffset>
            </wp:positionV>
            <wp:extent cx="8255" cy="8255"/>
            <wp:wrapNone/>
            <wp:docPr id="2451" name="Picture 2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1"/>
                    <pic:cNvPicPr>
                      <a:picLocks noChangeAspect="1" noChangeArrowheads="1"/>
                    </pic:cNvPicPr>
                  </pic:nvPicPr>
                  <pic:blipFill>
                    <a:blip r:embed="rId24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-1430655</wp:posOffset>
            </wp:positionV>
            <wp:extent cx="8255" cy="8255"/>
            <wp:wrapNone/>
            <wp:docPr id="2452" name="Picture 2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2"/>
                    <pic:cNvPicPr>
                      <a:picLocks noChangeAspect="1" noChangeArrowheads="1"/>
                    </pic:cNvPicPr>
                  </pic:nvPicPr>
                  <pic:blipFill>
                    <a:blip r:embed="rId24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-1413510</wp:posOffset>
            </wp:positionV>
            <wp:extent cx="8255" cy="8255"/>
            <wp:wrapNone/>
            <wp:docPr id="2453" name="Picture 2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3"/>
                    <pic:cNvPicPr>
                      <a:picLocks noChangeAspect="1" noChangeArrowheads="1"/>
                    </pic:cNvPicPr>
                  </pic:nvPicPr>
                  <pic:blipFill>
                    <a:blip r:embed="rId24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-1396365</wp:posOffset>
            </wp:positionV>
            <wp:extent cx="8255" cy="8890"/>
            <wp:wrapNone/>
            <wp:docPr id="2454" name="Picture 2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4"/>
                    <pic:cNvPicPr>
                      <a:picLocks noChangeAspect="1" noChangeArrowheads="1"/>
                    </pic:cNvPicPr>
                  </pic:nvPicPr>
                  <pic:blipFill>
                    <a:blip r:embed="rId246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-1379220</wp:posOffset>
            </wp:positionV>
            <wp:extent cx="8255" cy="8890"/>
            <wp:wrapNone/>
            <wp:docPr id="2455" name="Picture 2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5"/>
                    <pic:cNvPicPr>
                      <a:picLocks noChangeAspect="1" noChangeArrowheads="1"/>
                    </pic:cNvPicPr>
                  </pic:nvPicPr>
                  <pic:blipFill>
                    <a:blip r:embed="rId246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-1362075</wp:posOffset>
            </wp:positionV>
            <wp:extent cx="8255" cy="8255"/>
            <wp:wrapNone/>
            <wp:docPr id="2456" name="Picture 2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6"/>
                    <pic:cNvPicPr>
                      <a:picLocks noChangeAspect="1" noChangeArrowheads="1"/>
                    </pic:cNvPicPr>
                  </pic:nvPicPr>
                  <pic:blipFill>
                    <a:blip r:embed="rId24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-1344930</wp:posOffset>
            </wp:positionV>
            <wp:extent cx="8255" cy="8255"/>
            <wp:wrapNone/>
            <wp:docPr id="2457" name="Picture 2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7"/>
                    <pic:cNvPicPr>
                      <a:picLocks noChangeAspect="1" noChangeArrowheads="1"/>
                    </pic:cNvPicPr>
                  </pic:nvPicPr>
                  <pic:blipFill>
                    <a:blip r:embed="rId24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-1327785</wp:posOffset>
            </wp:positionV>
            <wp:extent cx="8255" cy="8255"/>
            <wp:wrapNone/>
            <wp:docPr id="2458" name="Picture 2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8"/>
                    <pic:cNvPicPr>
                      <a:picLocks noChangeAspect="1" noChangeArrowheads="1"/>
                    </pic:cNvPicPr>
                  </pic:nvPicPr>
                  <pic:blipFill>
                    <a:blip r:embed="rId24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-1310640</wp:posOffset>
            </wp:positionV>
            <wp:extent cx="8255" cy="8890"/>
            <wp:wrapNone/>
            <wp:docPr id="2459" name="Picture 2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9"/>
                    <pic:cNvPicPr>
                      <a:picLocks noChangeAspect="1" noChangeArrowheads="1"/>
                    </pic:cNvPicPr>
                  </pic:nvPicPr>
                  <pic:blipFill>
                    <a:blip r:embed="rId246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-1293495</wp:posOffset>
            </wp:positionV>
            <wp:extent cx="8255" cy="8890"/>
            <wp:wrapNone/>
            <wp:docPr id="2460" name="Picture 2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0"/>
                    <pic:cNvPicPr>
                      <a:picLocks noChangeAspect="1" noChangeArrowheads="1"/>
                    </pic:cNvPicPr>
                  </pic:nvPicPr>
                  <pic:blipFill>
                    <a:blip r:embed="rId246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-1276350</wp:posOffset>
            </wp:positionV>
            <wp:extent cx="8255" cy="8255"/>
            <wp:wrapNone/>
            <wp:docPr id="2461" name="Picture 2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1"/>
                    <pic:cNvPicPr>
                      <a:picLocks noChangeAspect="1" noChangeArrowheads="1"/>
                    </pic:cNvPicPr>
                  </pic:nvPicPr>
                  <pic:blipFill>
                    <a:blip r:embed="rId24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-1259205</wp:posOffset>
            </wp:positionV>
            <wp:extent cx="8255" cy="8255"/>
            <wp:wrapNone/>
            <wp:docPr id="2462" name="Picture 2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2"/>
                    <pic:cNvPicPr>
                      <a:picLocks noChangeAspect="1" noChangeArrowheads="1"/>
                    </pic:cNvPicPr>
                  </pic:nvPicPr>
                  <pic:blipFill>
                    <a:blip r:embed="rId24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-1242060</wp:posOffset>
            </wp:positionV>
            <wp:extent cx="8255" cy="8255"/>
            <wp:wrapNone/>
            <wp:docPr id="2463" name="Picture 2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3"/>
                    <pic:cNvPicPr>
                      <a:picLocks noChangeAspect="1" noChangeArrowheads="1"/>
                    </pic:cNvPicPr>
                  </pic:nvPicPr>
                  <pic:blipFill>
                    <a:blip r:embed="rId24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-1224915</wp:posOffset>
            </wp:positionV>
            <wp:extent cx="8255" cy="8890"/>
            <wp:wrapNone/>
            <wp:docPr id="2464" name="Picture 2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4"/>
                    <pic:cNvPicPr>
                      <a:picLocks noChangeAspect="1" noChangeArrowheads="1"/>
                    </pic:cNvPicPr>
                  </pic:nvPicPr>
                  <pic:blipFill>
                    <a:blip r:embed="rId247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-1207770</wp:posOffset>
            </wp:positionV>
            <wp:extent cx="8255" cy="8890"/>
            <wp:wrapNone/>
            <wp:docPr id="2465" name="Picture 2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5"/>
                    <pic:cNvPicPr>
                      <a:picLocks noChangeAspect="1" noChangeArrowheads="1"/>
                    </pic:cNvPicPr>
                  </pic:nvPicPr>
                  <pic:blipFill>
                    <a:blip r:embed="rId247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-1190625</wp:posOffset>
            </wp:positionV>
            <wp:extent cx="8255" cy="8255"/>
            <wp:wrapNone/>
            <wp:docPr id="2466" name="Picture 2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6"/>
                    <pic:cNvPicPr>
                      <a:picLocks noChangeAspect="1" noChangeArrowheads="1"/>
                    </pic:cNvPicPr>
                  </pic:nvPicPr>
                  <pic:blipFill>
                    <a:blip r:embed="rId24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-1173480</wp:posOffset>
            </wp:positionV>
            <wp:extent cx="8255" cy="8255"/>
            <wp:wrapNone/>
            <wp:docPr id="2467" name="Picture 2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7"/>
                    <pic:cNvPicPr>
                      <a:picLocks noChangeAspect="1" noChangeArrowheads="1"/>
                    </pic:cNvPicPr>
                  </pic:nvPicPr>
                  <pic:blipFill>
                    <a:blip r:embed="rId24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-1156335</wp:posOffset>
            </wp:positionV>
            <wp:extent cx="8255" cy="8255"/>
            <wp:wrapNone/>
            <wp:docPr id="2468" name="Picture 2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8"/>
                    <pic:cNvPicPr>
                      <a:picLocks noChangeAspect="1" noChangeArrowheads="1"/>
                    </pic:cNvPicPr>
                  </pic:nvPicPr>
                  <pic:blipFill>
                    <a:blip r:embed="rId24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-1139190</wp:posOffset>
            </wp:positionV>
            <wp:extent cx="8255" cy="8890"/>
            <wp:wrapNone/>
            <wp:docPr id="2469" name="Picture 2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9"/>
                    <pic:cNvPicPr>
                      <a:picLocks noChangeAspect="1" noChangeArrowheads="1"/>
                    </pic:cNvPicPr>
                  </pic:nvPicPr>
                  <pic:blipFill>
                    <a:blip r:embed="rId247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-1122045</wp:posOffset>
            </wp:positionV>
            <wp:extent cx="8255" cy="8890"/>
            <wp:wrapNone/>
            <wp:docPr id="2470" name="Picture 2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0"/>
                    <pic:cNvPicPr>
                      <a:picLocks noChangeAspect="1" noChangeArrowheads="1"/>
                    </pic:cNvPicPr>
                  </pic:nvPicPr>
                  <pic:blipFill>
                    <a:blip r:embed="rId247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-1104900</wp:posOffset>
            </wp:positionV>
            <wp:extent cx="8255" cy="8255"/>
            <wp:wrapNone/>
            <wp:docPr id="2471" name="Picture 2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1"/>
                    <pic:cNvPicPr>
                      <a:picLocks noChangeAspect="1" noChangeArrowheads="1"/>
                    </pic:cNvPicPr>
                  </pic:nvPicPr>
                  <pic:blipFill>
                    <a:blip r:embed="rId24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-1087755</wp:posOffset>
            </wp:positionV>
            <wp:extent cx="8255" cy="8255"/>
            <wp:wrapNone/>
            <wp:docPr id="2472" name="Picture 2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2"/>
                    <pic:cNvPicPr>
                      <a:picLocks noChangeAspect="1" noChangeArrowheads="1"/>
                    </pic:cNvPicPr>
                  </pic:nvPicPr>
                  <pic:blipFill>
                    <a:blip r:embed="rId24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-1070610</wp:posOffset>
            </wp:positionV>
            <wp:extent cx="8255" cy="8255"/>
            <wp:wrapNone/>
            <wp:docPr id="2473" name="Picture 2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3"/>
                    <pic:cNvPicPr>
                      <a:picLocks noChangeAspect="1" noChangeArrowheads="1"/>
                    </pic:cNvPicPr>
                  </pic:nvPicPr>
                  <pic:blipFill>
                    <a:blip r:embed="rId24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-1053465</wp:posOffset>
            </wp:positionV>
            <wp:extent cx="8255" cy="8890"/>
            <wp:wrapNone/>
            <wp:docPr id="2474" name="Picture 2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4"/>
                    <pic:cNvPicPr>
                      <a:picLocks noChangeAspect="1" noChangeArrowheads="1"/>
                    </pic:cNvPicPr>
                  </pic:nvPicPr>
                  <pic:blipFill>
                    <a:blip r:embed="rId248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-1036320</wp:posOffset>
            </wp:positionV>
            <wp:extent cx="8255" cy="8890"/>
            <wp:wrapNone/>
            <wp:docPr id="2475" name="Picture 2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5"/>
                    <pic:cNvPicPr>
                      <a:picLocks noChangeAspect="1" noChangeArrowheads="1"/>
                    </pic:cNvPicPr>
                  </pic:nvPicPr>
                  <pic:blipFill>
                    <a:blip r:embed="rId248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-1722120</wp:posOffset>
            </wp:positionV>
            <wp:extent cx="8890" cy="8890"/>
            <wp:wrapNone/>
            <wp:docPr id="2476" name="Picture 2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6"/>
                    <pic:cNvPicPr>
                      <a:picLocks noChangeAspect="1" noChangeArrowheads="1"/>
                    </pic:cNvPicPr>
                  </pic:nvPicPr>
                  <pic:blipFill>
                    <a:blip r:embed="rId24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-1704975</wp:posOffset>
            </wp:positionV>
            <wp:extent cx="8890" cy="8890"/>
            <wp:wrapNone/>
            <wp:docPr id="2477" name="Picture 2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7"/>
                    <pic:cNvPicPr>
                      <a:picLocks noChangeAspect="1" noChangeArrowheads="1"/>
                    </pic:cNvPicPr>
                  </pic:nvPicPr>
                  <pic:blipFill>
                    <a:blip r:embed="rId24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-1687830</wp:posOffset>
            </wp:positionV>
            <wp:extent cx="8890" cy="8255"/>
            <wp:wrapNone/>
            <wp:docPr id="2478" name="Picture 2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8"/>
                    <pic:cNvPicPr>
                      <a:picLocks noChangeAspect="1" noChangeArrowheads="1"/>
                    </pic:cNvPicPr>
                  </pic:nvPicPr>
                  <pic:blipFill>
                    <a:blip r:embed="rId24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-1670685</wp:posOffset>
            </wp:positionV>
            <wp:extent cx="8890" cy="8255"/>
            <wp:wrapNone/>
            <wp:docPr id="2479" name="Picture 2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9"/>
                    <pic:cNvPicPr>
                      <a:picLocks noChangeAspect="1" noChangeArrowheads="1"/>
                    </pic:cNvPicPr>
                  </pic:nvPicPr>
                  <pic:blipFill>
                    <a:blip r:embed="rId24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-1653540</wp:posOffset>
            </wp:positionV>
            <wp:extent cx="8890" cy="8255"/>
            <wp:wrapNone/>
            <wp:docPr id="2480" name="Picture 2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0"/>
                    <pic:cNvPicPr>
                      <a:picLocks noChangeAspect="1" noChangeArrowheads="1"/>
                    </pic:cNvPicPr>
                  </pic:nvPicPr>
                  <pic:blipFill>
                    <a:blip r:embed="rId24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-1636395</wp:posOffset>
            </wp:positionV>
            <wp:extent cx="8890" cy="8890"/>
            <wp:wrapNone/>
            <wp:docPr id="2481" name="Picture 2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1"/>
                    <pic:cNvPicPr>
                      <a:picLocks noChangeAspect="1" noChangeArrowheads="1"/>
                    </pic:cNvPicPr>
                  </pic:nvPicPr>
                  <pic:blipFill>
                    <a:blip r:embed="rId24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-1619250</wp:posOffset>
            </wp:positionV>
            <wp:extent cx="8890" cy="8255"/>
            <wp:wrapNone/>
            <wp:docPr id="2482" name="Picture 2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2"/>
                    <pic:cNvPicPr>
                      <a:picLocks noChangeAspect="1" noChangeArrowheads="1"/>
                    </pic:cNvPicPr>
                  </pic:nvPicPr>
                  <pic:blipFill>
                    <a:blip r:embed="rId24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-1602105</wp:posOffset>
            </wp:positionV>
            <wp:extent cx="8890" cy="8255"/>
            <wp:wrapNone/>
            <wp:docPr id="2483" name="Picture 2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3"/>
                    <pic:cNvPicPr>
                      <a:picLocks noChangeAspect="1" noChangeArrowheads="1"/>
                    </pic:cNvPicPr>
                  </pic:nvPicPr>
                  <pic:blipFill>
                    <a:blip r:embed="rId24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-1584960</wp:posOffset>
            </wp:positionV>
            <wp:extent cx="8890" cy="8255"/>
            <wp:wrapNone/>
            <wp:docPr id="2484" name="Picture 2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4"/>
                    <pic:cNvPicPr>
                      <a:picLocks noChangeAspect="1" noChangeArrowheads="1"/>
                    </pic:cNvPicPr>
                  </pic:nvPicPr>
                  <pic:blipFill>
                    <a:blip r:embed="rId24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-1567815</wp:posOffset>
            </wp:positionV>
            <wp:extent cx="8890" cy="8890"/>
            <wp:wrapNone/>
            <wp:docPr id="2485" name="Picture 2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5"/>
                    <pic:cNvPicPr>
                      <a:picLocks noChangeAspect="1" noChangeArrowheads="1"/>
                    </pic:cNvPicPr>
                  </pic:nvPicPr>
                  <pic:blipFill>
                    <a:blip r:embed="rId24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-1550670</wp:posOffset>
            </wp:positionV>
            <wp:extent cx="8890" cy="8890"/>
            <wp:wrapNone/>
            <wp:docPr id="2486" name="Picture 2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6"/>
                    <pic:cNvPicPr>
                      <a:picLocks noChangeAspect="1" noChangeArrowheads="1"/>
                    </pic:cNvPicPr>
                  </pic:nvPicPr>
                  <pic:blipFill>
                    <a:blip r:embed="rId24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-1533525</wp:posOffset>
            </wp:positionV>
            <wp:extent cx="8890" cy="8255"/>
            <wp:wrapNone/>
            <wp:docPr id="2487" name="Picture 2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7"/>
                    <pic:cNvPicPr>
                      <a:picLocks noChangeAspect="1" noChangeArrowheads="1"/>
                    </pic:cNvPicPr>
                  </pic:nvPicPr>
                  <pic:blipFill>
                    <a:blip r:embed="rId24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-1516380</wp:posOffset>
            </wp:positionV>
            <wp:extent cx="8890" cy="8255"/>
            <wp:wrapNone/>
            <wp:docPr id="2488" name="Picture 2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8"/>
                    <pic:cNvPicPr>
                      <a:picLocks noChangeAspect="1" noChangeArrowheads="1"/>
                    </pic:cNvPicPr>
                  </pic:nvPicPr>
                  <pic:blipFill>
                    <a:blip r:embed="rId24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-1499235</wp:posOffset>
            </wp:positionV>
            <wp:extent cx="8890" cy="8255"/>
            <wp:wrapNone/>
            <wp:docPr id="2489" name="Picture 2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9"/>
                    <pic:cNvPicPr>
                      <a:picLocks noChangeAspect="1" noChangeArrowheads="1"/>
                    </pic:cNvPicPr>
                  </pic:nvPicPr>
                  <pic:blipFill>
                    <a:blip r:embed="rId24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-1482090</wp:posOffset>
            </wp:positionV>
            <wp:extent cx="8890" cy="8890"/>
            <wp:wrapNone/>
            <wp:docPr id="2490" name="Picture 2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0"/>
                    <pic:cNvPicPr>
                      <a:picLocks noChangeAspect="1" noChangeArrowheads="1"/>
                    </pic:cNvPicPr>
                  </pic:nvPicPr>
                  <pic:blipFill>
                    <a:blip r:embed="rId24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-1464945</wp:posOffset>
            </wp:positionV>
            <wp:extent cx="8890" cy="8890"/>
            <wp:wrapNone/>
            <wp:docPr id="2491" name="Picture 2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1"/>
                    <pic:cNvPicPr>
                      <a:picLocks noChangeAspect="1" noChangeArrowheads="1"/>
                    </pic:cNvPicPr>
                  </pic:nvPicPr>
                  <pic:blipFill>
                    <a:blip r:embed="rId24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-1447800</wp:posOffset>
            </wp:positionV>
            <wp:extent cx="8890" cy="8255"/>
            <wp:wrapNone/>
            <wp:docPr id="2492" name="Picture 2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2"/>
                    <pic:cNvPicPr>
                      <a:picLocks noChangeAspect="1" noChangeArrowheads="1"/>
                    </pic:cNvPicPr>
                  </pic:nvPicPr>
                  <pic:blipFill>
                    <a:blip r:embed="rId24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-1430655</wp:posOffset>
            </wp:positionV>
            <wp:extent cx="8890" cy="8255"/>
            <wp:wrapNone/>
            <wp:docPr id="2493" name="Picture 2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3"/>
                    <pic:cNvPicPr>
                      <a:picLocks noChangeAspect="1" noChangeArrowheads="1"/>
                    </pic:cNvPicPr>
                  </pic:nvPicPr>
                  <pic:blipFill>
                    <a:blip r:embed="rId25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-1413510</wp:posOffset>
            </wp:positionV>
            <wp:extent cx="8890" cy="8255"/>
            <wp:wrapNone/>
            <wp:docPr id="2494" name="Picture 2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4"/>
                    <pic:cNvPicPr>
                      <a:picLocks noChangeAspect="1" noChangeArrowheads="1"/>
                    </pic:cNvPicPr>
                  </pic:nvPicPr>
                  <pic:blipFill>
                    <a:blip r:embed="rId25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-1396365</wp:posOffset>
            </wp:positionV>
            <wp:extent cx="8890" cy="8890"/>
            <wp:wrapNone/>
            <wp:docPr id="2495" name="Picture 2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5"/>
                    <pic:cNvPicPr>
                      <a:picLocks noChangeAspect="1" noChangeArrowheads="1"/>
                    </pic:cNvPicPr>
                  </pic:nvPicPr>
                  <pic:blipFill>
                    <a:blip r:embed="rId25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-1379220</wp:posOffset>
            </wp:positionV>
            <wp:extent cx="8890" cy="8890"/>
            <wp:wrapNone/>
            <wp:docPr id="2496" name="Picture 2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6"/>
                    <pic:cNvPicPr>
                      <a:picLocks noChangeAspect="1" noChangeArrowheads="1"/>
                    </pic:cNvPicPr>
                  </pic:nvPicPr>
                  <pic:blipFill>
                    <a:blip r:embed="rId25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-1362075</wp:posOffset>
            </wp:positionV>
            <wp:extent cx="8890" cy="8255"/>
            <wp:wrapNone/>
            <wp:docPr id="2497" name="Picture 2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7"/>
                    <pic:cNvPicPr>
                      <a:picLocks noChangeAspect="1" noChangeArrowheads="1"/>
                    </pic:cNvPicPr>
                  </pic:nvPicPr>
                  <pic:blipFill>
                    <a:blip r:embed="rId25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-1344930</wp:posOffset>
            </wp:positionV>
            <wp:extent cx="8890" cy="8255"/>
            <wp:wrapNone/>
            <wp:docPr id="2498" name="Picture 2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8"/>
                    <pic:cNvPicPr>
                      <a:picLocks noChangeAspect="1" noChangeArrowheads="1"/>
                    </pic:cNvPicPr>
                  </pic:nvPicPr>
                  <pic:blipFill>
                    <a:blip r:embed="rId25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-1327785</wp:posOffset>
            </wp:positionV>
            <wp:extent cx="8890" cy="8255"/>
            <wp:wrapNone/>
            <wp:docPr id="2499" name="Picture 2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9"/>
                    <pic:cNvPicPr>
                      <a:picLocks noChangeAspect="1" noChangeArrowheads="1"/>
                    </pic:cNvPicPr>
                  </pic:nvPicPr>
                  <pic:blipFill>
                    <a:blip r:embed="rId25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-1310640</wp:posOffset>
            </wp:positionV>
            <wp:extent cx="8890" cy="8890"/>
            <wp:wrapNone/>
            <wp:docPr id="2500" name="Picture 2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0"/>
                    <pic:cNvPicPr>
                      <a:picLocks noChangeAspect="1" noChangeArrowheads="1"/>
                    </pic:cNvPicPr>
                  </pic:nvPicPr>
                  <pic:blipFill>
                    <a:blip r:embed="rId25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-1293495</wp:posOffset>
            </wp:positionV>
            <wp:extent cx="8890" cy="8890"/>
            <wp:wrapNone/>
            <wp:docPr id="2501" name="Picture 2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1"/>
                    <pic:cNvPicPr>
                      <a:picLocks noChangeAspect="1" noChangeArrowheads="1"/>
                    </pic:cNvPicPr>
                  </pic:nvPicPr>
                  <pic:blipFill>
                    <a:blip r:embed="rId25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-1276350</wp:posOffset>
            </wp:positionV>
            <wp:extent cx="8890" cy="8255"/>
            <wp:wrapNone/>
            <wp:docPr id="2502" name="Picture 2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2"/>
                    <pic:cNvPicPr>
                      <a:picLocks noChangeAspect="1" noChangeArrowheads="1"/>
                    </pic:cNvPicPr>
                  </pic:nvPicPr>
                  <pic:blipFill>
                    <a:blip r:embed="rId25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-1259205</wp:posOffset>
            </wp:positionV>
            <wp:extent cx="8890" cy="8255"/>
            <wp:wrapNone/>
            <wp:docPr id="2503" name="Picture 2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3"/>
                    <pic:cNvPicPr>
                      <a:picLocks noChangeAspect="1" noChangeArrowheads="1"/>
                    </pic:cNvPicPr>
                  </pic:nvPicPr>
                  <pic:blipFill>
                    <a:blip r:embed="rId25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-1242060</wp:posOffset>
            </wp:positionV>
            <wp:extent cx="8890" cy="8255"/>
            <wp:wrapNone/>
            <wp:docPr id="2504" name="Picture 2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4"/>
                    <pic:cNvPicPr>
                      <a:picLocks noChangeAspect="1" noChangeArrowheads="1"/>
                    </pic:cNvPicPr>
                  </pic:nvPicPr>
                  <pic:blipFill>
                    <a:blip r:embed="rId25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-1224915</wp:posOffset>
            </wp:positionV>
            <wp:extent cx="8890" cy="8890"/>
            <wp:wrapNone/>
            <wp:docPr id="2505" name="Picture 2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5"/>
                    <pic:cNvPicPr>
                      <a:picLocks noChangeAspect="1" noChangeArrowheads="1"/>
                    </pic:cNvPicPr>
                  </pic:nvPicPr>
                  <pic:blipFill>
                    <a:blip r:embed="rId25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-1207770</wp:posOffset>
            </wp:positionV>
            <wp:extent cx="8890" cy="8890"/>
            <wp:wrapNone/>
            <wp:docPr id="2506" name="Picture 2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6"/>
                    <pic:cNvPicPr>
                      <a:picLocks noChangeAspect="1" noChangeArrowheads="1"/>
                    </pic:cNvPicPr>
                  </pic:nvPicPr>
                  <pic:blipFill>
                    <a:blip r:embed="rId25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-1190625</wp:posOffset>
            </wp:positionV>
            <wp:extent cx="8890" cy="8255"/>
            <wp:wrapNone/>
            <wp:docPr id="2507" name="Picture 2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7"/>
                    <pic:cNvPicPr>
                      <a:picLocks noChangeAspect="1" noChangeArrowheads="1"/>
                    </pic:cNvPicPr>
                  </pic:nvPicPr>
                  <pic:blipFill>
                    <a:blip r:embed="rId25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-1173480</wp:posOffset>
            </wp:positionV>
            <wp:extent cx="8890" cy="8255"/>
            <wp:wrapNone/>
            <wp:docPr id="2508" name="Picture 2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8"/>
                    <pic:cNvPicPr>
                      <a:picLocks noChangeAspect="1" noChangeArrowheads="1"/>
                    </pic:cNvPicPr>
                  </pic:nvPicPr>
                  <pic:blipFill>
                    <a:blip r:embed="rId25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-1156335</wp:posOffset>
            </wp:positionV>
            <wp:extent cx="8890" cy="8255"/>
            <wp:wrapNone/>
            <wp:docPr id="2509" name="Picture 2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9"/>
                    <pic:cNvPicPr>
                      <a:picLocks noChangeAspect="1" noChangeArrowheads="1"/>
                    </pic:cNvPicPr>
                  </pic:nvPicPr>
                  <pic:blipFill>
                    <a:blip r:embed="rId25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-1139190</wp:posOffset>
            </wp:positionV>
            <wp:extent cx="8890" cy="8890"/>
            <wp:wrapNone/>
            <wp:docPr id="2510" name="Picture 2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0"/>
                    <pic:cNvPicPr>
                      <a:picLocks noChangeAspect="1" noChangeArrowheads="1"/>
                    </pic:cNvPicPr>
                  </pic:nvPicPr>
                  <pic:blipFill>
                    <a:blip r:embed="rId25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-1122045</wp:posOffset>
            </wp:positionV>
            <wp:extent cx="8890" cy="8890"/>
            <wp:wrapNone/>
            <wp:docPr id="2511" name="Picture 2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1"/>
                    <pic:cNvPicPr>
                      <a:picLocks noChangeAspect="1" noChangeArrowheads="1"/>
                    </pic:cNvPicPr>
                  </pic:nvPicPr>
                  <pic:blipFill>
                    <a:blip r:embed="rId25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-1104900</wp:posOffset>
            </wp:positionV>
            <wp:extent cx="8890" cy="8255"/>
            <wp:wrapNone/>
            <wp:docPr id="2512" name="Picture 2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2"/>
                    <pic:cNvPicPr>
                      <a:picLocks noChangeAspect="1" noChangeArrowheads="1"/>
                    </pic:cNvPicPr>
                  </pic:nvPicPr>
                  <pic:blipFill>
                    <a:blip r:embed="rId25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-1087755</wp:posOffset>
            </wp:positionV>
            <wp:extent cx="8890" cy="8255"/>
            <wp:wrapNone/>
            <wp:docPr id="2513" name="Picture 2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3"/>
                    <pic:cNvPicPr>
                      <a:picLocks noChangeAspect="1" noChangeArrowheads="1"/>
                    </pic:cNvPicPr>
                  </pic:nvPicPr>
                  <pic:blipFill>
                    <a:blip r:embed="rId25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-1070610</wp:posOffset>
            </wp:positionV>
            <wp:extent cx="8890" cy="8255"/>
            <wp:wrapNone/>
            <wp:docPr id="2514" name="Picture 2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4"/>
                    <pic:cNvPicPr>
                      <a:picLocks noChangeAspect="1" noChangeArrowheads="1"/>
                    </pic:cNvPicPr>
                  </pic:nvPicPr>
                  <pic:blipFill>
                    <a:blip r:embed="rId25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-1053465</wp:posOffset>
            </wp:positionV>
            <wp:extent cx="8890" cy="8890"/>
            <wp:wrapNone/>
            <wp:docPr id="2515" name="Picture 2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5"/>
                    <pic:cNvPicPr>
                      <a:picLocks noChangeAspect="1" noChangeArrowheads="1"/>
                    </pic:cNvPicPr>
                  </pic:nvPicPr>
                  <pic:blipFill>
                    <a:blip r:embed="rId25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-1036320</wp:posOffset>
            </wp:positionV>
            <wp:extent cx="8890" cy="8890"/>
            <wp:wrapNone/>
            <wp:docPr id="2516" name="Picture 2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6"/>
                    <pic:cNvPicPr>
                      <a:picLocks noChangeAspect="1" noChangeArrowheads="1"/>
                    </pic:cNvPicPr>
                  </pic:nvPicPr>
                  <pic:blipFill>
                    <a:blip r:embed="rId25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-1962150</wp:posOffset>
            </wp:positionV>
            <wp:extent cx="8255" cy="8890"/>
            <wp:wrapNone/>
            <wp:docPr id="2517" name="Picture 2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7"/>
                    <pic:cNvPicPr>
                      <a:picLocks noChangeAspect="1" noChangeArrowheads="1"/>
                    </pic:cNvPicPr>
                  </pic:nvPicPr>
                  <pic:blipFill>
                    <a:blip r:embed="rId25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-1945005</wp:posOffset>
            </wp:positionV>
            <wp:extent cx="8255" cy="8255"/>
            <wp:wrapNone/>
            <wp:docPr id="2518" name="Picture 2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8"/>
                    <pic:cNvPicPr>
                      <a:picLocks noChangeAspect="1" noChangeArrowheads="1"/>
                    </pic:cNvPicPr>
                  </pic:nvPicPr>
                  <pic:blipFill>
                    <a:blip r:embed="rId25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-1927860</wp:posOffset>
            </wp:positionV>
            <wp:extent cx="8255" cy="8255"/>
            <wp:wrapNone/>
            <wp:docPr id="2519" name="Picture 2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9"/>
                    <pic:cNvPicPr>
                      <a:picLocks noChangeAspect="1" noChangeArrowheads="1"/>
                    </pic:cNvPicPr>
                  </pic:nvPicPr>
                  <pic:blipFill>
                    <a:blip r:embed="rId25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-1910715</wp:posOffset>
            </wp:positionV>
            <wp:extent cx="8255" cy="8255"/>
            <wp:wrapNone/>
            <wp:docPr id="2520" name="Picture 2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0"/>
                    <pic:cNvPicPr>
                      <a:picLocks noChangeAspect="1" noChangeArrowheads="1"/>
                    </pic:cNvPicPr>
                  </pic:nvPicPr>
                  <pic:blipFill>
                    <a:blip r:embed="rId25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-1893570</wp:posOffset>
            </wp:positionV>
            <wp:extent cx="8255" cy="8890"/>
            <wp:wrapNone/>
            <wp:docPr id="2521" name="Picture 2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1"/>
                    <pic:cNvPicPr>
                      <a:picLocks noChangeAspect="1" noChangeArrowheads="1"/>
                    </pic:cNvPicPr>
                  </pic:nvPicPr>
                  <pic:blipFill>
                    <a:blip r:embed="rId252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-1876425</wp:posOffset>
            </wp:positionV>
            <wp:extent cx="8255" cy="8890"/>
            <wp:wrapNone/>
            <wp:docPr id="2522" name="Picture 2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2"/>
                    <pic:cNvPicPr>
                      <a:picLocks noChangeAspect="1" noChangeArrowheads="1"/>
                    </pic:cNvPicPr>
                  </pic:nvPicPr>
                  <pic:blipFill>
                    <a:blip r:embed="rId252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-1859280</wp:posOffset>
            </wp:positionV>
            <wp:extent cx="8255" cy="8255"/>
            <wp:wrapNone/>
            <wp:docPr id="2523" name="Picture 2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3"/>
                    <pic:cNvPicPr>
                      <a:picLocks noChangeAspect="1" noChangeArrowheads="1"/>
                    </pic:cNvPicPr>
                  </pic:nvPicPr>
                  <pic:blipFill>
                    <a:blip r:embed="rId25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-1842135</wp:posOffset>
            </wp:positionV>
            <wp:extent cx="8255" cy="8255"/>
            <wp:wrapNone/>
            <wp:docPr id="2524" name="Picture 2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4"/>
                    <pic:cNvPicPr>
                      <a:picLocks noChangeAspect="1" noChangeArrowheads="1"/>
                    </pic:cNvPicPr>
                  </pic:nvPicPr>
                  <pic:blipFill>
                    <a:blip r:embed="rId25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-1824990</wp:posOffset>
            </wp:positionV>
            <wp:extent cx="8255" cy="8255"/>
            <wp:wrapNone/>
            <wp:docPr id="2525" name="Picture 2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5"/>
                    <pic:cNvPicPr>
                      <a:picLocks noChangeAspect="1" noChangeArrowheads="1"/>
                    </pic:cNvPicPr>
                  </pic:nvPicPr>
                  <pic:blipFill>
                    <a:blip r:embed="rId25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-1807845</wp:posOffset>
            </wp:positionV>
            <wp:extent cx="8255" cy="8890"/>
            <wp:wrapNone/>
            <wp:docPr id="2526" name="Picture 2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6"/>
                    <pic:cNvPicPr>
                      <a:picLocks noChangeAspect="1" noChangeArrowheads="1"/>
                    </pic:cNvPicPr>
                  </pic:nvPicPr>
                  <pic:blipFill>
                    <a:blip r:embed="rId253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-1790700</wp:posOffset>
            </wp:positionV>
            <wp:extent cx="8255" cy="8890"/>
            <wp:wrapNone/>
            <wp:docPr id="2527" name="Picture 2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7"/>
                    <pic:cNvPicPr>
                      <a:picLocks noChangeAspect="1" noChangeArrowheads="1"/>
                    </pic:cNvPicPr>
                  </pic:nvPicPr>
                  <pic:blipFill>
                    <a:blip r:embed="rId253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-1773555</wp:posOffset>
            </wp:positionV>
            <wp:extent cx="8255" cy="8255"/>
            <wp:wrapNone/>
            <wp:docPr id="2528" name="Picture 2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8"/>
                    <pic:cNvPicPr>
                      <a:picLocks noChangeAspect="1" noChangeArrowheads="1"/>
                    </pic:cNvPicPr>
                  </pic:nvPicPr>
                  <pic:blipFill>
                    <a:blip r:embed="rId25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-1756410</wp:posOffset>
            </wp:positionV>
            <wp:extent cx="8255" cy="8255"/>
            <wp:wrapNone/>
            <wp:docPr id="2529" name="Picture 2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9"/>
                    <pic:cNvPicPr>
                      <a:picLocks noChangeAspect="1" noChangeArrowheads="1"/>
                    </pic:cNvPicPr>
                  </pic:nvPicPr>
                  <pic:blipFill>
                    <a:blip r:embed="rId25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-1739265</wp:posOffset>
            </wp:positionV>
            <wp:extent cx="8255" cy="8255"/>
            <wp:wrapNone/>
            <wp:docPr id="2530" name="Picture 2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0"/>
                    <pic:cNvPicPr>
                      <a:picLocks noChangeAspect="1" noChangeArrowheads="1"/>
                    </pic:cNvPicPr>
                  </pic:nvPicPr>
                  <pic:blipFill>
                    <a:blip r:embed="rId25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-1962150</wp:posOffset>
            </wp:positionV>
            <wp:extent cx="8890" cy="8890"/>
            <wp:wrapNone/>
            <wp:docPr id="2531" name="Picture 2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1"/>
                    <pic:cNvPicPr>
                      <a:picLocks noChangeAspect="1" noChangeArrowheads="1"/>
                    </pic:cNvPicPr>
                  </pic:nvPicPr>
                  <pic:blipFill>
                    <a:blip r:embed="rId25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-1945005</wp:posOffset>
            </wp:positionV>
            <wp:extent cx="8890" cy="8255"/>
            <wp:wrapNone/>
            <wp:docPr id="2532" name="Picture 2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2"/>
                    <pic:cNvPicPr>
                      <a:picLocks noChangeAspect="1" noChangeArrowheads="1"/>
                    </pic:cNvPicPr>
                  </pic:nvPicPr>
                  <pic:blipFill>
                    <a:blip r:embed="rId25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-1927860</wp:posOffset>
            </wp:positionV>
            <wp:extent cx="8890" cy="8255"/>
            <wp:wrapNone/>
            <wp:docPr id="2533" name="Picture 2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3"/>
                    <pic:cNvPicPr>
                      <a:picLocks noChangeAspect="1" noChangeArrowheads="1"/>
                    </pic:cNvPicPr>
                  </pic:nvPicPr>
                  <pic:blipFill>
                    <a:blip r:embed="rId25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-1910715</wp:posOffset>
            </wp:positionV>
            <wp:extent cx="8890" cy="8255"/>
            <wp:wrapNone/>
            <wp:docPr id="2534" name="Picture 2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4"/>
                    <pic:cNvPicPr>
                      <a:picLocks noChangeAspect="1" noChangeArrowheads="1"/>
                    </pic:cNvPicPr>
                  </pic:nvPicPr>
                  <pic:blipFill>
                    <a:blip r:embed="rId25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-1893570</wp:posOffset>
            </wp:positionV>
            <wp:extent cx="8890" cy="8890"/>
            <wp:wrapNone/>
            <wp:docPr id="2535" name="Picture 2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5"/>
                    <pic:cNvPicPr>
                      <a:picLocks noChangeAspect="1" noChangeArrowheads="1"/>
                    </pic:cNvPicPr>
                  </pic:nvPicPr>
                  <pic:blipFill>
                    <a:blip r:embed="rId25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-1876425</wp:posOffset>
            </wp:positionV>
            <wp:extent cx="8890" cy="8890"/>
            <wp:wrapNone/>
            <wp:docPr id="2536" name="Picture 2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6"/>
                    <pic:cNvPicPr>
                      <a:picLocks noChangeAspect="1" noChangeArrowheads="1"/>
                    </pic:cNvPicPr>
                  </pic:nvPicPr>
                  <pic:blipFill>
                    <a:blip r:embed="rId25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-1859280</wp:posOffset>
            </wp:positionV>
            <wp:extent cx="8890" cy="8255"/>
            <wp:wrapNone/>
            <wp:docPr id="2537" name="Picture 2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7"/>
                    <pic:cNvPicPr>
                      <a:picLocks noChangeAspect="1" noChangeArrowheads="1"/>
                    </pic:cNvPicPr>
                  </pic:nvPicPr>
                  <pic:blipFill>
                    <a:blip r:embed="rId25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-1842135</wp:posOffset>
            </wp:positionV>
            <wp:extent cx="8890" cy="8255"/>
            <wp:wrapNone/>
            <wp:docPr id="2538" name="Picture 2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8"/>
                    <pic:cNvPicPr>
                      <a:picLocks noChangeAspect="1" noChangeArrowheads="1"/>
                    </pic:cNvPicPr>
                  </pic:nvPicPr>
                  <pic:blipFill>
                    <a:blip r:embed="rId25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-1824990</wp:posOffset>
            </wp:positionV>
            <wp:extent cx="8890" cy="8255"/>
            <wp:wrapNone/>
            <wp:docPr id="2539" name="Picture 2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9"/>
                    <pic:cNvPicPr>
                      <a:picLocks noChangeAspect="1" noChangeArrowheads="1"/>
                    </pic:cNvPicPr>
                  </pic:nvPicPr>
                  <pic:blipFill>
                    <a:blip r:embed="rId25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-1807845</wp:posOffset>
            </wp:positionV>
            <wp:extent cx="8890" cy="8890"/>
            <wp:wrapNone/>
            <wp:docPr id="2540" name="Picture 2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0"/>
                    <pic:cNvPicPr>
                      <a:picLocks noChangeAspect="1" noChangeArrowheads="1"/>
                    </pic:cNvPicPr>
                  </pic:nvPicPr>
                  <pic:blipFill>
                    <a:blip r:embed="rId25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-1790700</wp:posOffset>
            </wp:positionV>
            <wp:extent cx="8890" cy="8890"/>
            <wp:wrapNone/>
            <wp:docPr id="2541" name="Picture 2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1"/>
                    <pic:cNvPicPr>
                      <a:picLocks noChangeAspect="1" noChangeArrowheads="1"/>
                    </pic:cNvPicPr>
                  </pic:nvPicPr>
                  <pic:blipFill>
                    <a:blip r:embed="rId25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-1773555</wp:posOffset>
            </wp:positionV>
            <wp:extent cx="8890" cy="8255"/>
            <wp:wrapNone/>
            <wp:docPr id="2542" name="Picture 2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2"/>
                    <pic:cNvPicPr>
                      <a:picLocks noChangeAspect="1" noChangeArrowheads="1"/>
                    </pic:cNvPicPr>
                  </pic:nvPicPr>
                  <pic:blipFill>
                    <a:blip r:embed="rId25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-1756410</wp:posOffset>
            </wp:positionV>
            <wp:extent cx="8890" cy="8255"/>
            <wp:wrapNone/>
            <wp:docPr id="2543" name="Picture 2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3"/>
                    <pic:cNvPicPr>
                      <a:picLocks noChangeAspect="1" noChangeArrowheads="1"/>
                    </pic:cNvPicPr>
                  </pic:nvPicPr>
                  <pic:blipFill>
                    <a:blip r:embed="rId25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-1739265</wp:posOffset>
            </wp:positionV>
            <wp:extent cx="8890" cy="8255"/>
            <wp:wrapNone/>
            <wp:docPr id="2544" name="Picture 2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4"/>
                    <pic:cNvPicPr>
                      <a:picLocks noChangeAspect="1" noChangeArrowheads="1"/>
                    </pic:cNvPicPr>
                  </pic:nvPicPr>
                  <pic:blipFill>
                    <a:blip r:embed="rId2551">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pacing w:after="0" w:line="119" w:lineRule="exact"/>
        <w:rPr>
          <w:sz w:val="20"/>
          <w:szCs w:val="20"/>
          <w:color w:val="auto"/>
        </w:rPr>
      </w:pPr>
    </w:p>
    <w:p>
      <w:pPr>
        <w:jc w:val="both"/>
        <w:ind w:left="180" w:right="80" w:hanging="172"/>
        <w:spacing w:after="0" w:line="234" w:lineRule="auto"/>
        <w:tabs>
          <w:tab w:leader="none" w:pos="174" w:val="left"/>
        </w:tabs>
        <w:numPr>
          <w:ilvl w:val="0"/>
          <w:numId w:val="176"/>
        </w:numPr>
        <w:rPr>
          <w:rFonts w:ascii="Arial" w:cs="Arial" w:eastAsia="Arial" w:hAnsi="Arial"/>
          <w:sz w:val="19"/>
          <w:szCs w:val="19"/>
          <w:color w:val="auto"/>
          <w:vertAlign w:val="superscript"/>
        </w:rPr>
      </w:pPr>
      <w:r>
        <w:rPr>
          <w:rFonts w:ascii="Arial" w:cs="Arial" w:eastAsia="Arial" w:hAnsi="Arial"/>
          <w:sz w:val="14"/>
          <w:szCs w:val="14"/>
          <w:color w:val="auto"/>
        </w:rPr>
        <w:t>Calculations for the PEO Compensation Actually Paid (CAP) and for Average Non-PEO NEO CAP do not reflect the actual amount of compensation earned by or paid to our NEOs. The amounts are based on valuation assumptions required by the SEC under Item 402(v) of Regulation S-K. The value realized from unvested awards, if any, will be determined when the awards fully vest and settle.</w:t>
      </w:r>
    </w:p>
    <w:p>
      <w:pPr>
        <w:sectPr>
          <w:pgSz w:w="11900" w:h="16838" w:orient="portrait"/>
          <w:cols w:equalWidth="0" w:num="1">
            <w:col w:w="11220"/>
          </w:cols>
          <w:pgMar w:left="320" w:top="949" w:right="35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103505</wp:posOffset>
            </wp:positionV>
            <wp:extent cx="7157720" cy="42545"/>
            <wp:wrapNone/>
            <wp:docPr id="2545" name="Picture 2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5"/>
                    <pic:cNvPicPr>
                      <a:picLocks noChangeAspect="1" noChangeArrowheads="1"/>
                    </pic:cNvPicPr>
                  </pic:nvPicPr>
                  <pic:blipFill>
                    <a:blip r:embed="rId25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49" w:right="359" w:bottom="1440" w:gutter="0" w:footer="0" w:header="0"/>
          <w:type w:val="continuous"/>
        </w:sectPr>
      </w:pPr>
    </w:p>
    <w:bookmarkStart w:id="78" w:name="page79"/>
    <w:bookmarkEnd w:id="78"/>
    <w:p>
      <w:pPr>
        <w:ind w:left="160" w:hanging="152"/>
        <w:spacing w:after="0"/>
        <w:tabs>
          <w:tab w:leader="none" w:pos="160" w:val="left"/>
        </w:tabs>
        <w:numPr>
          <w:ilvl w:val="0"/>
          <w:numId w:val="177"/>
        </w:numPr>
        <w:rPr>
          <w:rFonts w:ascii="Arial" w:cs="Arial" w:eastAsia="Arial" w:hAnsi="Arial"/>
          <w:sz w:val="19"/>
          <w:szCs w:val="19"/>
          <w:color w:val="auto"/>
          <w:vertAlign w:val="superscript"/>
        </w:rPr>
      </w:pPr>
      <w:r>
        <w:rPr>
          <w:rFonts w:ascii="Arial" w:cs="Arial" w:eastAsia="Arial" w:hAnsi="Arial"/>
          <w:sz w:val="14"/>
          <w:szCs w:val="14"/>
          <w:color w:val="auto"/>
        </w:rPr>
        <w:t>The PEO Summary Compensation Table (SCT) to compensation actually paid reconciliation is summarized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48260</wp:posOffset>
            </wp:positionV>
            <wp:extent cx="5648960" cy="8255"/>
            <wp:wrapNone/>
            <wp:docPr id="2546" name="Picture 2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6"/>
                    <pic:cNvPicPr>
                      <a:picLocks noChangeAspect="1" noChangeArrowheads="1"/>
                    </pic:cNvPicPr>
                  </pic:nvPicPr>
                  <pic:blipFill>
                    <a:blip r:embed="rId2553">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87" w:lineRule="exact"/>
        <w:rPr>
          <w:sz w:val="20"/>
          <w:szCs w:val="20"/>
          <w:color w:val="auto"/>
        </w:rPr>
      </w:pPr>
    </w:p>
    <w:tbl>
      <w:tblPr>
        <w:tblLayout w:type="fixed"/>
        <w:tblInd w:w="160" w:type="dxa"/>
        <w:tblCellMar>
          <w:top w:w="0" w:type="dxa"/>
          <w:left w:w="0" w:type="dxa"/>
          <w:bottom w:w="0" w:type="dxa"/>
          <w:right w:w="0" w:type="dxa"/>
        </w:tblCellMar>
      </w:tblPr>
      <w:tr>
        <w:trPr>
          <w:trHeight w:val="175"/>
        </w:trPr>
        <w:tc>
          <w:tcPr>
            <w:tcW w:w="4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Change in</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Change in</w:t>
            </w:r>
          </w:p>
        </w:tc>
        <w:tc>
          <w:tcPr>
            <w:tcW w:w="10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62"/>
        </w:trPr>
        <w:tc>
          <w:tcPr>
            <w:tcW w:w="44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SCT Total</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SCT Change</w:t>
            </w: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Value: Equity</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Value:</w:t>
            </w:r>
          </w:p>
        </w:tc>
        <w:tc>
          <w:tcPr>
            <w:tcW w:w="106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rPr>
              <w:t>Compensation</w:t>
            </w:r>
          </w:p>
        </w:tc>
      </w:tr>
      <w:tr>
        <w:trPr>
          <w:trHeight w:val="175"/>
        </w:trPr>
        <w:tc>
          <w:tcPr>
            <w:tcW w:w="44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Compensation</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in Pension</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Pension</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SCT Equity</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Granted in</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Unvested</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Final Value:</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rPr>
              <w:t>Actually Paid to</w:t>
            </w:r>
          </w:p>
        </w:tc>
      </w:tr>
      <w:tr>
        <w:trPr>
          <w:trHeight w:val="196"/>
        </w:trPr>
        <w:tc>
          <w:tcPr>
            <w:tcW w:w="440" w:type="dxa"/>
            <w:vAlign w:val="bottom"/>
          </w:tcPr>
          <w:p>
            <w:pPr>
              <w:ind w:left="20"/>
              <w:spacing w:after="0"/>
              <w:rPr>
                <w:sz w:val="20"/>
                <w:szCs w:val="20"/>
                <w:color w:val="auto"/>
              </w:rPr>
            </w:pPr>
            <w:r>
              <w:rPr>
                <w:rFonts w:ascii="Arial" w:cs="Arial" w:eastAsia="Arial" w:hAnsi="Arial"/>
                <w:sz w:val="14"/>
                <w:szCs w:val="14"/>
                <w:b w:val="1"/>
                <w:bCs w:val="1"/>
                <w:color w:val="auto"/>
              </w:rPr>
              <w:t>Year</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for PEO</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Value</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Service Cost</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Value</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Current Year</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Equity</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Vested Equity</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rPr>
              <w:t>PEO</w:t>
            </w:r>
          </w:p>
        </w:tc>
      </w:tr>
      <w:tr>
        <w:trPr>
          <w:trHeight w:val="250"/>
        </w:trPr>
        <w:tc>
          <w:tcPr>
            <w:tcW w:w="44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4"/>
                <w:szCs w:val="14"/>
                <w:i w:val="1"/>
                <w:iCs w:val="1"/>
                <w:color w:val="D52B1E"/>
              </w:rPr>
              <w:t>a</w:t>
            </w:r>
          </w:p>
        </w:tc>
        <w:tc>
          <w:tcPr>
            <w:tcW w:w="980" w:type="dxa"/>
            <w:vAlign w:val="bottom"/>
          </w:tcPr>
          <w:p>
            <w:pPr>
              <w:jc w:val="center"/>
              <w:spacing w:after="0"/>
              <w:rPr>
                <w:sz w:val="20"/>
                <w:szCs w:val="20"/>
                <w:color w:val="auto"/>
              </w:rPr>
            </w:pPr>
            <w:r>
              <w:rPr>
                <w:rFonts w:ascii="Arial" w:cs="Arial" w:eastAsia="Arial" w:hAnsi="Arial"/>
                <w:sz w:val="14"/>
                <w:szCs w:val="14"/>
                <w:i w:val="1"/>
                <w:iCs w:val="1"/>
                <w:color w:val="D52B1E"/>
              </w:rPr>
              <w:t>b</w:t>
            </w:r>
          </w:p>
        </w:tc>
        <w:tc>
          <w:tcPr>
            <w:tcW w:w="1000" w:type="dxa"/>
            <w:vAlign w:val="bottom"/>
          </w:tcPr>
          <w:p>
            <w:pPr>
              <w:jc w:val="center"/>
              <w:spacing w:after="0"/>
              <w:rPr>
                <w:sz w:val="20"/>
                <w:szCs w:val="20"/>
                <w:color w:val="auto"/>
              </w:rPr>
            </w:pPr>
            <w:r>
              <w:rPr>
                <w:rFonts w:ascii="Arial" w:cs="Arial" w:eastAsia="Arial" w:hAnsi="Arial"/>
                <w:sz w:val="14"/>
                <w:szCs w:val="14"/>
                <w:i w:val="1"/>
                <w:iCs w:val="1"/>
                <w:color w:val="D52B1E"/>
                <w:w w:val="85"/>
              </w:rPr>
              <w:t>c</w:t>
            </w:r>
          </w:p>
        </w:tc>
        <w:tc>
          <w:tcPr>
            <w:tcW w:w="980" w:type="dxa"/>
            <w:vAlign w:val="bottom"/>
          </w:tcPr>
          <w:p>
            <w:pPr>
              <w:jc w:val="center"/>
              <w:spacing w:after="0"/>
              <w:rPr>
                <w:sz w:val="20"/>
                <w:szCs w:val="20"/>
                <w:color w:val="auto"/>
              </w:rPr>
            </w:pPr>
            <w:r>
              <w:rPr>
                <w:rFonts w:ascii="Arial" w:cs="Arial" w:eastAsia="Arial" w:hAnsi="Arial"/>
                <w:sz w:val="14"/>
                <w:szCs w:val="14"/>
                <w:i w:val="1"/>
                <w:iCs w:val="1"/>
                <w:color w:val="D52B1E"/>
              </w:rPr>
              <w:t>d</w:t>
            </w:r>
          </w:p>
        </w:tc>
        <w:tc>
          <w:tcPr>
            <w:tcW w:w="1080" w:type="dxa"/>
            <w:vAlign w:val="bottom"/>
          </w:tcPr>
          <w:p>
            <w:pPr>
              <w:jc w:val="center"/>
              <w:spacing w:after="0"/>
              <w:rPr>
                <w:sz w:val="20"/>
                <w:szCs w:val="20"/>
                <w:color w:val="auto"/>
              </w:rPr>
            </w:pPr>
            <w:r>
              <w:rPr>
                <w:rFonts w:ascii="Arial" w:cs="Arial" w:eastAsia="Arial" w:hAnsi="Arial"/>
                <w:sz w:val="14"/>
                <w:szCs w:val="14"/>
                <w:i w:val="1"/>
                <w:iCs w:val="1"/>
                <w:color w:val="D52B1E"/>
              </w:rPr>
              <w:t>e</w:t>
            </w:r>
          </w:p>
        </w:tc>
        <w:tc>
          <w:tcPr>
            <w:tcW w:w="1060" w:type="dxa"/>
            <w:vAlign w:val="bottom"/>
          </w:tcPr>
          <w:p>
            <w:pPr>
              <w:jc w:val="center"/>
              <w:spacing w:after="0"/>
              <w:rPr>
                <w:sz w:val="20"/>
                <w:szCs w:val="20"/>
                <w:color w:val="auto"/>
              </w:rPr>
            </w:pPr>
            <w:r>
              <w:rPr>
                <w:rFonts w:ascii="Arial" w:cs="Arial" w:eastAsia="Arial" w:hAnsi="Arial"/>
                <w:sz w:val="14"/>
                <w:szCs w:val="14"/>
                <w:i w:val="1"/>
                <w:iCs w:val="1"/>
                <w:color w:val="D52B1E"/>
              </w:rPr>
              <w:t>f</w:t>
            </w:r>
          </w:p>
        </w:tc>
        <w:tc>
          <w:tcPr>
            <w:tcW w:w="1060" w:type="dxa"/>
            <w:vAlign w:val="bottom"/>
          </w:tcPr>
          <w:p>
            <w:pPr>
              <w:jc w:val="center"/>
              <w:spacing w:after="0"/>
              <w:rPr>
                <w:sz w:val="20"/>
                <w:szCs w:val="20"/>
                <w:color w:val="auto"/>
              </w:rPr>
            </w:pPr>
            <w:r>
              <w:rPr>
                <w:rFonts w:ascii="Arial" w:cs="Arial" w:eastAsia="Arial" w:hAnsi="Arial"/>
                <w:sz w:val="14"/>
                <w:szCs w:val="14"/>
                <w:i w:val="1"/>
                <w:iCs w:val="1"/>
                <w:color w:val="D52B1E"/>
              </w:rPr>
              <w:t>g</w:t>
            </w:r>
          </w:p>
        </w:tc>
        <w:tc>
          <w:tcPr>
            <w:tcW w:w="1160" w:type="dxa"/>
            <w:vAlign w:val="bottom"/>
          </w:tcPr>
          <w:p>
            <w:pPr>
              <w:jc w:val="center"/>
              <w:spacing w:after="0"/>
              <w:rPr>
                <w:sz w:val="20"/>
                <w:szCs w:val="20"/>
                <w:color w:val="auto"/>
              </w:rPr>
            </w:pPr>
            <w:r>
              <w:rPr>
                <w:rFonts w:ascii="Arial" w:cs="Arial" w:eastAsia="Arial" w:hAnsi="Arial"/>
                <w:sz w:val="14"/>
                <w:szCs w:val="14"/>
                <w:i w:val="1"/>
                <w:iCs w:val="1"/>
                <w:color w:val="D52B1E"/>
              </w:rPr>
              <w:t>a-b+c-d+e+f+g</w:t>
            </w:r>
          </w:p>
        </w:tc>
      </w:tr>
      <w:tr>
        <w:trPr>
          <w:trHeight w:val="22"/>
        </w:trPr>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15"/>
        </w:trPr>
        <w:tc>
          <w:tcPr>
            <w:tcW w:w="440" w:type="dxa"/>
            <w:vAlign w:val="bottom"/>
          </w:tcPr>
          <w:p>
            <w:pPr>
              <w:ind w:left="20"/>
              <w:spacing w:after="0"/>
              <w:rPr>
                <w:sz w:val="20"/>
                <w:szCs w:val="20"/>
                <w:color w:val="auto"/>
              </w:rPr>
            </w:pPr>
            <w:r>
              <w:rPr>
                <w:rFonts w:ascii="Arial" w:cs="Arial" w:eastAsia="Arial" w:hAnsi="Arial"/>
                <w:sz w:val="14"/>
                <w:szCs w:val="14"/>
                <w:color w:val="auto"/>
              </w:rPr>
              <w:t>2024</w:t>
            </w:r>
          </w:p>
        </w:tc>
        <w:tc>
          <w:tcPr>
            <w:tcW w:w="1140" w:type="dxa"/>
            <w:vAlign w:val="bottom"/>
          </w:tcPr>
          <w:p>
            <w:pPr>
              <w:jc w:val="center"/>
              <w:spacing w:after="0"/>
              <w:rPr>
                <w:sz w:val="20"/>
                <w:szCs w:val="20"/>
                <w:color w:val="auto"/>
              </w:rPr>
            </w:pPr>
            <w:r>
              <w:rPr>
                <w:rFonts w:ascii="Arial" w:cs="Arial" w:eastAsia="Arial" w:hAnsi="Arial"/>
                <w:sz w:val="14"/>
                <w:szCs w:val="14"/>
                <w:color w:val="auto"/>
              </w:rPr>
              <w:t>$29,242,926</w:t>
            </w:r>
          </w:p>
        </w:tc>
        <w:tc>
          <w:tcPr>
            <w:tcW w:w="980" w:type="dxa"/>
            <w:vAlign w:val="bottom"/>
          </w:tcPr>
          <w:p>
            <w:pPr>
              <w:jc w:val="center"/>
              <w:spacing w:after="0"/>
              <w:rPr>
                <w:sz w:val="20"/>
                <w:szCs w:val="20"/>
                <w:color w:val="auto"/>
              </w:rPr>
            </w:pPr>
            <w:r>
              <w:rPr>
                <w:rFonts w:ascii="Arial" w:cs="Arial" w:eastAsia="Arial" w:hAnsi="Arial"/>
                <w:sz w:val="14"/>
                <w:szCs w:val="14"/>
                <w:color w:val="auto"/>
              </w:rPr>
              <w:t>$1,746,483</w:t>
            </w:r>
          </w:p>
        </w:tc>
        <w:tc>
          <w:tcPr>
            <w:tcW w:w="1000" w:type="dxa"/>
            <w:vAlign w:val="bottom"/>
          </w:tcPr>
          <w:p>
            <w:pPr>
              <w:jc w:val="center"/>
              <w:spacing w:after="0"/>
              <w:rPr>
                <w:sz w:val="20"/>
                <w:szCs w:val="20"/>
                <w:color w:val="auto"/>
              </w:rPr>
            </w:pPr>
            <w:r>
              <w:rPr>
                <w:rFonts w:ascii="Arial" w:cs="Arial" w:eastAsia="Arial" w:hAnsi="Arial"/>
                <w:sz w:val="14"/>
                <w:szCs w:val="14"/>
                <w:color w:val="auto"/>
              </w:rPr>
              <w:t>$523,751</w:t>
            </w:r>
          </w:p>
        </w:tc>
        <w:tc>
          <w:tcPr>
            <w:tcW w:w="980" w:type="dxa"/>
            <w:vAlign w:val="bottom"/>
          </w:tcPr>
          <w:p>
            <w:pPr>
              <w:jc w:val="center"/>
              <w:spacing w:after="0"/>
              <w:rPr>
                <w:sz w:val="20"/>
                <w:szCs w:val="20"/>
                <w:color w:val="auto"/>
              </w:rPr>
            </w:pPr>
            <w:r>
              <w:rPr>
                <w:rFonts w:ascii="Arial" w:cs="Arial" w:eastAsia="Arial" w:hAnsi="Arial"/>
                <w:sz w:val="14"/>
                <w:szCs w:val="14"/>
                <w:color w:val="auto"/>
              </w:rPr>
              <w:t>$19,749,324</w:t>
            </w:r>
          </w:p>
        </w:tc>
        <w:tc>
          <w:tcPr>
            <w:tcW w:w="1080" w:type="dxa"/>
            <w:vAlign w:val="bottom"/>
          </w:tcPr>
          <w:p>
            <w:pPr>
              <w:jc w:val="center"/>
              <w:spacing w:after="0"/>
              <w:rPr>
                <w:sz w:val="20"/>
                <w:szCs w:val="20"/>
                <w:color w:val="auto"/>
              </w:rPr>
            </w:pPr>
            <w:r>
              <w:rPr>
                <w:rFonts w:ascii="Arial" w:cs="Arial" w:eastAsia="Arial" w:hAnsi="Arial"/>
                <w:sz w:val="14"/>
                <w:szCs w:val="14"/>
                <w:color w:val="auto"/>
              </w:rPr>
              <w:t>$(32,793,300)</w:t>
            </w:r>
          </w:p>
        </w:tc>
        <w:tc>
          <w:tcPr>
            <w:tcW w:w="1060" w:type="dxa"/>
            <w:vAlign w:val="bottom"/>
          </w:tcPr>
          <w:p>
            <w:pPr>
              <w:jc w:val="center"/>
              <w:spacing w:after="0"/>
              <w:rPr>
                <w:sz w:val="20"/>
                <w:szCs w:val="20"/>
                <w:color w:val="auto"/>
              </w:rPr>
            </w:pPr>
            <w:r>
              <w:rPr>
                <w:rFonts w:ascii="Arial" w:cs="Arial" w:eastAsia="Arial" w:hAnsi="Arial"/>
                <w:sz w:val="14"/>
                <w:szCs w:val="14"/>
                <w:color w:val="auto"/>
              </w:rPr>
              <w:t>$(16,377,494)</w:t>
            </w:r>
          </w:p>
        </w:tc>
        <w:tc>
          <w:tcPr>
            <w:tcW w:w="1060" w:type="dxa"/>
            <w:vAlign w:val="bottom"/>
          </w:tcPr>
          <w:p>
            <w:pPr>
              <w:jc w:val="center"/>
              <w:spacing w:after="0"/>
              <w:rPr>
                <w:sz w:val="20"/>
                <w:szCs w:val="20"/>
                <w:color w:val="auto"/>
              </w:rPr>
            </w:pPr>
            <w:r>
              <w:rPr>
                <w:rFonts w:ascii="Arial" w:cs="Arial" w:eastAsia="Arial" w:hAnsi="Arial"/>
                <w:sz w:val="14"/>
                <w:szCs w:val="14"/>
                <w:color w:val="auto"/>
              </w:rPr>
              <w:t>$121,483,439</w:t>
            </w:r>
          </w:p>
        </w:tc>
        <w:tc>
          <w:tcPr>
            <w:tcW w:w="1160" w:type="dxa"/>
            <w:vAlign w:val="bottom"/>
          </w:tcPr>
          <w:p>
            <w:pPr>
              <w:jc w:val="center"/>
              <w:spacing w:after="0"/>
              <w:rPr>
                <w:sz w:val="20"/>
                <w:szCs w:val="20"/>
                <w:color w:val="auto"/>
              </w:rPr>
            </w:pPr>
            <w:r>
              <w:rPr>
                <w:rFonts w:ascii="Arial" w:cs="Arial" w:eastAsia="Arial" w:hAnsi="Arial"/>
                <w:sz w:val="14"/>
                <w:szCs w:val="14"/>
                <w:color w:val="auto"/>
              </w:rPr>
              <w:t>$80,583,515</w:t>
            </w:r>
          </w:p>
        </w:tc>
      </w:tr>
      <w:tr>
        <w:trPr>
          <w:trHeight w:val="257"/>
        </w:trPr>
        <w:tc>
          <w:tcPr>
            <w:tcW w:w="440" w:type="dxa"/>
            <w:vAlign w:val="bottom"/>
          </w:tcPr>
          <w:p>
            <w:pPr>
              <w:ind w:left="20"/>
              <w:spacing w:after="0"/>
              <w:rPr>
                <w:sz w:val="20"/>
                <w:szCs w:val="20"/>
                <w:color w:val="auto"/>
              </w:rPr>
            </w:pPr>
            <w:r>
              <w:rPr>
                <w:rFonts w:ascii="Arial" w:cs="Arial" w:eastAsia="Arial" w:hAnsi="Arial"/>
                <w:sz w:val="14"/>
                <w:szCs w:val="14"/>
                <w:color w:val="auto"/>
              </w:rPr>
              <w:t>2023</w:t>
            </w:r>
          </w:p>
        </w:tc>
        <w:tc>
          <w:tcPr>
            <w:tcW w:w="1140" w:type="dxa"/>
            <w:vAlign w:val="bottom"/>
          </w:tcPr>
          <w:p>
            <w:pPr>
              <w:jc w:val="center"/>
              <w:spacing w:after="0"/>
              <w:rPr>
                <w:sz w:val="20"/>
                <w:szCs w:val="20"/>
                <w:color w:val="auto"/>
              </w:rPr>
            </w:pPr>
            <w:r>
              <w:rPr>
                <w:rFonts w:ascii="Arial" w:cs="Arial" w:eastAsia="Arial" w:hAnsi="Arial"/>
                <w:sz w:val="14"/>
                <w:szCs w:val="14"/>
                <w:color w:val="auto"/>
              </w:rPr>
              <w:t>$26,565,732</w:t>
            </w:r>
          </w:p>
        </w:tc>
        <w:tc>
          <w:tcPr>
            <w:tcW w:w="980" w:type="dxa"/>
            <w:vAlign w:val="bottom"/>
          </w:tcPr>
          <w:p>
            <w:pPr>
              <w:jc w:val="center"/>
              <w:spacing w:after="0"/>
              <w:rPr>
                <w:sz w:val="20"/>
                <w:szCs w:val="20"/>
                <w:color w:val="auto"/>
              </w:rPr>
            </w:pPr>
            <w:r>
              <w:rPr>
                <w:rFonts w:ascii="Arial" w:cs="Arial" w:eastAsia="Arial" w:hAnsi="Arial"/>
                <w:sz w:val="14"/>
                <w:szCs w:val="14"/>
                <w:color w:val="auto"/>
              </w:rPr>
              <w:t>$1,439,822</w:t>
            </w:r>
          </w:p>
        </w:tc>
        <w:tc>
          <w:tcPr>
            <w:tcW w:w="1000" w:type="dxa"/>
            <w:vAlign w:val="bottom"/>
          </w:tcPr>
          <w:p>
            <w:pPr>
              <w:jc w:val="center"/>
              <w:spacing w:after="0"/>
              <w:rPr>
                <w:sz w:val="20"/>
                <w:szCs w:val="20"/>
                <w:color w:val="auto"/>
              </w:rPr>
            </w:pPr>
            <w:r>
              <w:rPr>
                <w:rFonts w:ascii="Arial" w:cs="Arial" w:eastAsia="Arial" w:hAnsi="Arial"/>
                <w:sz w:val="14"/>
                <w:szCs w:val="14"/>
                <w:color w:val="auto"/>
              </w:rPr>
              <w:t>$491,959</w:t>
            </w:r>
          </w:p>
        </w:tc>
        <w:tc>
          <w:tcPr>
            <w:tcW w:w="980" w:type="dxa"/>
            <w:vAlign w:val="bottom"/>
          </w:tcPr>
          <w:p>
            <w:pPr>
              <w:jc w:val="center"/>
              <w:spacing w:after="0"/>
              <w:rPr>
                <w:sz w:val="20"/>
                <w:szCs w:val="20"/>
                <w:color w:val="auto"/>
              </w:rPr>
            </w:pPr>
            <w:r>
              <w:rPr>
                <w:rFonts w:ascii="Arial" w:cs="Arial" w:eastAsia="Arial" w:hAnsi="Arial"/>
                <w:sz w:val="14"/>
                <w:szCs w:val="14"/>
                <w:color w:val="auto"/>
              </w:rPr>
              <w:t>$18,840,250</w:t>
            </w:r>
          </w:p>
        </w:tc>
        <w:tc>
          <w:tcPr>
            <w:tcW w:w="1080" w:type="dxa"/>
            <w:vAlign w:val="bottom"/>
          </w:tcPr>
          <w:p>
            <w:pPr>
              <w:jc w:val="center"/>
              <w:spacing w:after="0"/>
              <w:rPr>
                <w:sz w:val="20"/>
                <w:szCs w:val="20"/>
                <w:color w:val="auto"/>
              </w:rPr>
            </w:pPr>
            <w:r>
              <w:rPr>
                <w:rFonts w:ascii="Arial" w:cs="Arial" w:eastAsia="Arial" w:hAnsi="Arial"/>
                <w:sz w:val="14"/>
                <w:szCs w:val="14"/>
                <w:color w:val="auto"/>
              </w:rPr>
              <w:t>$20,443,264</w:t>
            </w:r>
          </w:p>
        </w:tc>
        <w:tc>
          <w:tcPr>
            <w:tcW w:w="1060" w:type="dxa"/>
            <w:vAlign w:val="bottom"/>
          </w:tcPr>
          <w:p>
            <w:pPr>
              <w:jc w:val="center"/>
              <w:spacing w:after="0"/>
              <w:rPr>
                <w:sz w:val="20"/>
                <w:szCs w:val="20"/>
                <w:color w:val="auto"/>
              </w:rPr>
            </w:pPr>
            <w:r>
              <w:rPr>
                <w:rFonts w:ascii="Arial" w:cs="Arial" w:eastAsia="Arial" w:hAnsi="Arial"/>
                <w:sz w:val="14"/>
                <w:szCs w:val="14"/>
                <w:color w:val="auto"/>
              </w:rPr>
              <w:t>$36,659,046</w:t>
            </w:r>
          </w:p>
        </w:tc>
        <w:tc>
          <w:tcPr>
            <w:tcW w:w="1060" w:type="dxa"/>
            <w:vAlign w:val="bottom"/>
          </w:tcPr>
          <w:p>
            <w:pPr>
              <w:jc w:val="center"/>
              <w:spacing w:after="0"/>
              <w:rPr>
                <w:sz w:val="20"/>
                <w:szCs w:val="20"/>
                <w:color w:val="auto"/>
              </w:rPr>
            </w:pPr>
            <w:r>
              <w:rPr>
                <w:rFonts w:ascii="Arial" w:cs="Arial" w:eastAsia="Arial" w:hAnsi="Arial"/>
                <w:sz w:val="14"/>
                <w:szCs w:val="14"/>
                <w:color w:val="auto"/>
              </w:rPr>
              <w:t>$56,985,351</w:t>
            </w:r>
          </w:p>
        </w:tc>
        <w:tc>
          <w:tcPr>
            <w:tcW w:w="1160" w:type="dxa"/>
            <w:vAlign w:val="bottom"/>
          </w:tcPr>
          <w:p>
            <w:pPr>
              <w:jc w:val="center"/>
              <w:spacing w:after="0"/>
              <w:rPr>
                <w:sz w:val="20"/>
                <w:szCs w:val="20"/>
                <w:color w:val="auto"/>
              </w:rPr>
            </w:pPr>
            <w:r>
              <w:rPr>
                <w:rFonts w:ascii="Arial" w:cs="Arial" w:eastAsia="Arial" w:hAnsi="Arial"/>
                <w:sz w:val="14"/>
                <w:szCs w:val="14"/>
                <w:color w:val="auto"/>
              </w:rPr>
              <w:t>$120,865,280</w:t>
            </w:r>
          </w:p>
        </w:tc>
      </w:tr>
      <w:tr>
        <w:trPr>
          <w:trHeight w:val="22"/>
        </w:trPr>
        <w:tc>
          <w:tcPr>
            <w:tcW w:w="4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37"/>
        </w:trPr>
        <w:tc>
          <w:tcPr>
            <w:tcW w:w="44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4"/>
                <w:szCs w:val="14"/>
                <w:color w:val="auto"/>
              </w:rPr>
              <w:t>2022</w:t>
            </w:r>
          </w:p>
        </w:tc>
        <w:tc>
          <w:tcPr>
            <w:tcW w:w="114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$21,398,135</w:t>
            </w:r>
          </w:p>
        </w:tc>
        <w:tc>
          <w:tcPr>
            <w:tcW w:w="98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w w:val="99"/>
              </w:rPr>
              <w:t>—</w:t>
            </w:r>
          </w:p>
        </w:tc>
        <w:tc>
          <w:tcPr>
            <w:tcW w:w="10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$623,346</w:t>
            </w:r>
          </w:p>
        </w:tc>
        <w:tc>
          <w:tcPr>
            <w:tcW w:w="98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$16,981,250</w:t>
            </w:r>
          </w:p>
        </w:tc>
        <w:tc>
          <w:tcPr>
            <w:tcW w:w="108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$10,443,998</w:t>
            </w:r>
          </w:p>
        </w:tc>
        <w:tc>
          <w:tcPr>
            <w:tcW w:w="106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$(2,718,134)</w:t>
            </w:r>
          </w:p>
        </w:tc>
        <w:tc>
          <w:tcPr>
            <w:tcW w:w="106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$51,322,610</w:t>
            </w:r>
          </w:p>
        </w:tc>
        <w:tc>
          <w:tcPr>
            <w:tcW w:w="116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$64,088,705</w:t>
            </w:r>
          </w:p>
        </w:tc>
      </w:tr>
      <w:tr>
        <w:trPr>
          <w:trHeight w:val="235"/>
        </w:trPr>
        <w:tc>
          <w:tcPr>
            <w:tcW w:w="440" w:type="dxa"/>
            <w:vAlign w:val="bottom"/>
          </w:tcPr>
          <w:p>
            <w:pPr>
              <w:ind w:left="20"/>
              <w:spacing w:after="0"/>
              <w:rPr>
                <w:sz w:val="20"/>
                <w:szCs w:val="20"/>
                <w:color w:val="auto"/>
              </w:rPr>
            </w:pPr>
            <w:r>
              <w:rPr>
                <w:rFonts w:ascii="Arial" w:cs="Arial" w:eastAsia="Arial" w:hAnsi="Arial"/>
                <w:sz w:val="14"/>
                <w:szCs w:val="14"/>
                <w:color w:val="auto"/>
              </w:rPr>
              <w:t>2021</w:t>
            </w:r>
          </w:p>
        </w:tc>
        <w:tc>
          <w:tcPr>
            <w:tcW w:w="1140" w:type="dxa"/>
            <w:vAlign w:val="bottom"/>
          </w:tcPr>
          <w:p>
            <w:pPr>
              <w:jc w:val="center"/>
              <w:spacing w:after="0"/>
              <w:rPr>
                <w:sz w:val="20"/>
                <w:szCs w:val="20"/>
                <w:color w:val="auto"/>
              </w:rPr>
            </w:pPr>
            <w:r>
              <w:rPr>
                <w:rFonts w:ascii="Arial" w:cs="Arial" w:eastAsia="Arial" w:hAnsi="Arial"/>
                <w:sz w:val="14"/>
                <w:szCs w:val="14"/>
                <w:color w:val="auto"/>
              </w:rPr>
              <w:t>$21,509,985</w:t>
            </w:r>
          </w:p>
        </w:tc>
        <w:tc>
          <w:tcPr>
            <w:tcW w:w="980" w:type="dxa"/>
            <w:vAlign w:val="bottom"/>
          </w:tcPr>
          <w:p>
            <w:pPr>
              <w:jc w:val="center"/>
              <w:spacing w:after="0"/>
              <w:rPr>
                <w:sz w:val="20"/>
                <w:szCs w:val="20"/>
                <w:color w:val="auto"/>
              </w:rPr>
            </w:pPr>
            <w:r>
              <w:rPr>
                <w:rFonts w:ascii="Arial" w:cs="Arial" w:eastAsia="Arial" w:hAnsi="Arial"/>
                <w:sz w:val="14"/>
                <w:szCs w:val="14"/>
                <w:color w:val="auto"/>
              </w:rPr>
              <w:t>$2,442,235</w:t>
            </w:r>
          </w:p>
        </w:tc>
        <w:tc>
          <w:tcPr>
            <w:tcW w:w="1000" w:type="dxa"/>
            <w:vAlign w:val="bottom"/>
          </w:tcPr>
          <w:p>
            <w:pPr>
              <w:jc w:val="center"/>
              <w:spacing w:after="0"/>
              <w:rPr>
                <w:sz w:val="20"/>
                <w:szCs w:val="20"/>
                <w:color w:val="auto"/>
              </w:rPr>
            </w:pPr>
            <w:r>
              <w:rPr>
                <w:rFonts w:ascii="Arial" w:cs="Arial" w:eastAsia="Arial" w:hAnsi="Arial"/>
                <w:sz w:val="14"/>
                <w:szCs w:val="14"/>
                <w:color w:val="auto"/>
              </w:rPr>
              <w:t>$680,872</w:t>
            </w:r>
          </w:p>
        </w:tc>
        <w:tc>
          <w:tcPr>
            <w:tcW w:w="980" w:type="dxa"/>
            <w:vAlign w:val="bottom"/>
          </w:tcPr>
          <w:p>
            <w:pPr>
              <w:jc w:val="center"/>
              <w:spacing w:after="0"/>
              <w:rPr>
                <w:sz w:val="20"/>
                <w:szCs w:val="20"/>
                <w:color w:val="auto"/>
              </w:rPr>
            </w:pPr>
            <w:r>
              <w:rPr>
                <w:rFonts w:ascii="Arial" w:cs="Arial" w:eastAsia="Arial" w:hAnsi="Arial"/>
                <w:sz w:val="14"/>
                <w:szCs w:val="14"/>
                <w:color w:val="auto"/>
              </w:rPr>
              <w:t>$14,966,000</w:t>
            </w:r>
          </w:p>
        </w:tc>
        <w:tc>
          <w:tcPr>
            <w:tcW w:w="1080" w:type="dxa"/>
            <w:vAlign w:val="bottom"/>
          </w:tcPr>
          <w:p>
            <w:pPr>
              <w:jc w:val="center"/>
              <w:spacing w:after="0"/>
              <w:rPr>
                <w:sz w:val="20"/>
                <w:szCs w:val="20"/>
                <w:color w:val="auto"/>
              </w:rPr>
            </w:pPr>
            <w:r>
              <w:rPr>
                <w:rFonts w:ascii="Arial" w:cs="Arial" w:eastAsia="Arial" w:hAnsi="Arial"/>
                <w:sz w:val="14"/>
                <w:szCs w:val="14"/>
                <w:color w:val="auto"/>
              </w:rPr>
              <w:t>$3,627,520</w:t>
            </w:r>
          </w:p>
        </w:tc>
        <w:tc>
          <w:tcPr>
            <w:tcW w:w="1060" w:type="dxa"/>
            <w:vAlign w:val="bottom"/>
          </w:tcPr>
          <w:p>
            <w:pPr>
              <w:jc w:val="center"/>
              <w:spacing w:after="0"/>
              <w:rPr>
                <w:sz w:val="20"/>
                <w:szCs w:val="20"/>
                <w:color w:val="auto"/>
              </w:rPr>
            </w:pPr>
            <w:r>
              <w:rPr>
                <w:rFonts w:ascii="Arial" w:cs="Arial" w:eastAsia="Arial" w:hAnsi="Arial"/>
                <w:sz w:val="14"/>
                <w:szCs w:val="14"/>
                <w:color w:val="auto"/>
              </w:rPr>
              <w:t>$17,758,456</w:t>
            </w:r>
          </w:p>
        </w:tc>
        <w:tc>
          <w:tcPr>
            <w:tcW w:w="1060" w:type="dxa"/>
            <w:vAlign w:val="bottom"/>
          </w:tcPr>
          <w:p>
            <w:pPr>
              <w:jc w:val="center"/>
              <w:spacing w:after="0"/>
              <w:rPr>
                <w:sz w:val="20"/>
                <w:szCs w:val="20"/>
                <w:color w:val="auto"/>
              </w:rPr>
            </w:pPr>
            <w:r>
              <w:rPr>
                <w:rFonts w:ascii="Arial" w:cs="Arial" w:eastAsia="Arial" w:hAnsi="Arial"/>
                <w:sz w:val="14"/>
                <w:szCs w:val="14"/>
                <w:color w:val="auto"/>
              </w:rPr>
              <w:t>$49,536,518</w:t>
            </w:r>
          </w:p>
        </w:tc>
        <w:tc>
          <w:tcPr>
            <w:tcW w:w="1160" w:type="dxa"/>
            <w:vAlign w:val="bottom"/>
          </w:tcPr>
          <w:p>
            <w:pPr>
              <w:jc w:val="center"/>
              <w:spacing w:after="0"/>
              <w:rPr>
                <w:sz w:val="20"/>
                <w:szCs w:val="20"/>
                <w:color w:val="auto"/>
              </w:rPr>
            </w:pPr>
            <w:r>
              <w:rPr>
                <w:rFonts w:ascii="Arial" w:cs="Arial" w:eastAsia="Arial" w:hAnsi="Arial"/>
                <w:sz w:val="14"/>
                <w:szCs w:val="14"/>
                <w:color w:val="auto"/>
              </w:rPr>
              <w:t>$75,705,116</w:t>
            </w:r>
          </w:p>
        </w:tc>
      </w:tr>
      <w:tr>
        <w:trPr>
          <w:trHeight w:val="22"/>
        </w:trPr>
        <w:tc>
          <w:tcPr>
            <w:tcW w:w="4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36"/>
        </w:trPr>
        <w:tc>
          <w:tcPr>
            <w:tcW w:w="44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4"/>
                <w:szCs w:val="14"/>
                <w:color w:val="auto"/>
              </w:rPr>
              <w:t>2020</w:t>
            </w:r>
          </w:p>
        </w:tc>
        <w:tc>
          <w:tcPr>
            <w:tcW w:w="114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$23,708,629</w:t>
            </w:r>
          </w:p>
        </w:tc>
        <w:tc>
          <w:tcPr>
            <w:tcW w:w="98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$5,883,924</w:t>
            </w:r>
          </w:p>
        </w:tc>
        <w:tc>
          <w:tcPr>
            <w:tcW w:w="10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$660,302</w:t>
            </w:r>
          </w:p>
        </w:tc>
        <w:tc>
          <w:tcPr>
            <w:tcW w:w="98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$13,587,500</w:t>
            </w:r>
          </w:p>
        </w:tc>
        <w:tc>
          <w:tcPr>
            <w:tcW w:w="108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$4,409,485</w:t>
            </w:r>
          </w:p>
        </w:tc>
        <w:tc>
          <w:tcPr>
            <w:tcW w:w="106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$(7,739,531)</w:t>
            </w:r>
          </w:p>
        </w:tc>
        <w:tc>
          <w:tcPr>
            <w:tcW w:w="106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$49,686,370</w:t>
            </w:r>
          </w:p>
        </w:tc>
        <w:tc>
          <w:tcPr>
            <w:tcW w:w="116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$51,253,831</w:t>
            </w:r>
          </w:p>
        </w:tc>
      </w:tr>
      <w:tr>
        <w:trPr>
          <w:trHeight w:val="20"/>
        </w:trPr>
        <w:tc>
          <w:tcPr>
            <w:tcW w:w="4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r>
    </w:tbl>
    <w:p>
      <w:pPr>
        <w:spacing w:after="0" w:line="126" w:lineRule="exact"/>
        <w:rPr>
          <w:sz w:val="20"/>
          <w:szCs w:val="20"/>
          <w:color w:val="auto"/>
        </w:rPr>
      </w:pPr>
    </w:p>
    <w:p>
      <w:pPr>
        <w:ind w:left="180" w:right="60" w:hanging="172"/>
        <w:spacing w:after="0" w:line="300" w:lineRule="auto"/>
        <w:tabs>
          <w:tab w:leader="none" w:pos="174" w:val="left"/>
        </w:tabs>
        <w:numPr>
          <w:ilvl w:val="0"/>
          <w:numId w:val="178"/>
        </w:numPr>
        <w:rPr>
          <w:rFonts w:ascii="Arial" w:cs="Arial" w:eastAsia="Arial" w:hAnsi="Arial"/>
          <w:sz w:val="9"/>
          <w:szCs w:val="9"/>
          <w:color w:val="auto"/>
        </w:rPr>
      </w:pPr>
      <w:r>
        <w:rPr>
          <w:rFonts w:ascii="Arial" w:cs="Arial" w:eastAsia="Arial" w:hAnsi="Arial"/>
          <w:sz w:val="14"/>
          <w:szCs w:val="14"/>
          <w:color w:val="auto"/>
        </w:rPr>
        <w:t>When calculating the CAP amounts, the fair value or change in fair value, as applicable, of the equity awards included in such calculations was computed in accordance with FASB ASC Topic 718. The assumptions used to calculate the fair values did not materially differ from what was used at the time of grant.</w:t>
      </w:r>
    </w:p>
    <w:p>
      <w:pPr>
        <w:ind w:left="160" w:hanging="152"/>
        <w:spacing w:after="0" w:line="211" w:lineRule="auto"/>
        <w:tabs>
          <w:tab w:leader="none" w:pos="160" w:val="left"/>
        </w:tabs>
        <w:numPr>
          <w:ilvl w:val="0"/>
          <w:numId w:val="179"/>
        </w:numPr>
        <w:rPr>
          <w:rFonts w:ascii="Arial" w:cs="Arial" w:eastAsia="Arial" w:hAnsi="Arial"/>
          <w:sz w:val="19"/>
          <w:szCs w:val="19"/>
          <w:color w:val="auto"/>
          <w:vertAlign w:val="superscript"/>
        </w:rPr>
      </w:pPr>
      <w:r>
        <w:rPr>
          <w:rFonts w:ascii="Arial" w:cs="Arial" w:eastAsia="Arial" w:hAnsi="Arial"/>
          <w:sz w:val="14"/>
          <w:szCs w:val="14"/>
          <w:color w:val="auto"/>
        </w:rPr>
        <w:t>The Non-PEO NEO Summary Compensation Table (SCT) to compensation actually paid reconciliation is summarized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48260</wp:posOffset>
            </wp:positionV>
            <wp:extent cx="5648960" cy="8255"/>
            <wp:wrapNone/>
            <wp:docPr id="2547" name="Picture 2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7"/>
                    <pic:cNvPicPr>
                      <a:picLocks noChangeAspect="1" noChangeArrowheads="1"/>
                    </pic:cNvPicPr>
                  </pic:nvPicPr>
                  <pic:blipFill>
                    <a:blip r:embed="rId2554">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87" w:lineRule="exact"/>
        <w:rPr>
          <w:sz w:val="20"/>
          <w:szCs w:val="20"/>
          <w:color w:val="auto"/>
        </w:rPr>
      </w:pPr>
    </w:p>
    <w:tbl>
      <w:tblPr>
        <w:tblLayout w:type="fixed"/>
        <w:tblInd w:w="160" w:type="dxa"/>
        <w:tblCellMar>
          <w:top w:w="0" w:type="dxa"/>
          <w:left w:w="0" w:type="dxa"/>
          <w:bottom w:w="0" w:type="dxa"/>
          <w:right w:w="0" w:type="dxa"/>
        </w:tblCellMar>
      </w:tblPr>
      <w:tr>
        <w:trPr>
          <w:trHeight w:val="176"/>
        </w:trPr>
        <w:tc>
          <w:tcPr>
            <w:tcW w:w="44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Average SCT</w:t>
            </w:r>
          </w:p>
        </w:tc>
        <w:tc>
          <w:tcPr>
            <w:tcW w:w="1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c>
          <w:tcPr>
            <w:tcW w:w="10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62"/>
        </w:trPr>
        <w:tc>
          <w:tcPr>
            <w:tcW w:w="44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5"/>
              </w:rPr>
              <w:t>Total</w:t>
            </w:r>
          </w:p>
        </w:tc>
        <w:tc>
          <w:tcPr>
            <w:tcW w:w="1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Change in</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Change in</w:t>
            </w:r>
          </w:p>
        </w:tc>
        <w:tc>
          <w:tcPr>
            <w:tcW w:w="106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r>
      <w:tr>
        <w:trPr>
          <w:trHeight w:val="176"/>
        </w:trPr>
        <w:tc>
          <w:tcPr>
            <w:tcW w:w="44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Compensation</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Average SCT</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c>
          <w:tcPr>
            <w:tcW w:w="102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Value: Equity</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Value:</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Average Final</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rPr>
              <w:t>Compensation</w:t>
            </w:r>
          </w:p>
        </w:tc>
      </w:tr>
      <w:tr>
        <w:trPr>
          <w:trHeight w:val="176"/>
        </w:trPr>
        <w:tc>
          <w:tcPr>
            <w:tcW w:w="44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for Non-PEO</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Change in</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Pension</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Average SCT</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Granted in</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Unvested</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Value: Vested</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rPr>
              <w:t>Actually Paid to</w:t>
            </w:r>
          </w:p>
        </w:tc>
      </w:tr>
      <w:tr>
        <w:trPr>
          <w:trHeight w:val="196"/>
        </w:trPr>
        <w:tc>
          <w:tcPr>
            <w:tcW w:w="440" w:type="dxa"/>
            <w:vAlign w:val="bottom"/>
          </w:tcPr>
          <w:p>
            <w:pPr>
              <w:ind w:left="20"/>
              <w:spacing w:after="0"/>
              <w:rPr>
                <w:sz w:val="20"/>
                <w:szCs w:val="20"/>
                <w:color w:val="auto"/>
              </w:rPr>
            </w:pPr>
            <w:r>
              <w:rPr>
                <w:rFonts w:ascii="Arial" w:cs="Arial" w:eastAsia="Arial" w:hAnsi="Arial"/>
                <w:sz w:val="14"/>
                <w:szCs w:val="14"/>
                <w:b w:val="1"/>
                <w:bCs w:val="1"/>
                <w:color w:val="auto"/>
              </w:rPr>
              <w:t>Year</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NEOs</w:t>
            </w:r>
          </w:p>
        </w:tc>
        <w:tc>
          <w:tcPr>
            <w:tcW w:w="2020" w:type="dxa"/>
            <w:vAlign w:val="bottom"/>
            <w:gridSpan w:val="2"/>
          </w:tcPr>
          <w:p>
            <w:pPr>
              <w:ind w:left="40"/>
              <w:spacing w:after="0"/>
              <w:rPr>
                <w:sz w:val="20"/>
                <w:szCs w:val="20"/>
                <w:color w:val="auto"/>
              </w:rPr>
            </w:pPr>
            <w:r>
              <w:rPr>
                <w:rFonts w:ascii="Arial" w:cs="Arial" w:eastAsia="Arial" w:hAnsi="Arial"/>
                <w:sz w:val="14"/>
                <w:szCs w:val="14"/>
                <w:b w:val="1"/>
                <w:bCs w:val="1"/>
                <w:color w:val="auto"/>
              </w:rPr>
              <w:t>Pension Value Service Cost</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Equity Value</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Current Year</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Equity</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Equity</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rPr>
              <w:t>Non-PEO NEOs</w:t>
            </w:r>
          </w:p>
        </w:tc>
      </w:tr>
      <w:tr>
        <w:trPr>
          <w:trHeight w:val="251"/>
        </w:trPr>
        <w:tc>
          <w:tcPr>
            <w:tcW w:w="44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4"/>
                <w:szCs w:val="14"/>
                <w:i w:val="1"/>
                <w:iCs w:val="1"/>
                <w:color w:val="D52B1E"/>
              </w:rPr>
              <w:t>a</w:t>
            </w:r>
          </w:p>
        </w:tc>
        <w:tc>
          <w:tcPr>
            <w:tcW w:w="1100" w:type="dxa"/>
            <w:vAlign w:val="bottom"/>
          </w:tcPr>
          <w:p>
            <w:pPr>
              <w:jc w:val="center"/>
              <w:spacing w:after="0"/>
              <w:rPr>
                <w:sz w:val="20"/>
                <w:szCs w:val="20"/>
                <w:color w:val="auto"/>
              </w:rPr>
            </w:pPr>
            <w:r>
              <w:rPr>
                <w:rFonts w:ascii="Arial" w:cs="Arial" w:eastAsia="Arial" w:hAnsi="Arial"/>
                <w:sz w:val="14"/>
                <w:szCs w:val="14"/>
                <w:i w:val="1"/>
                <w:iCs w:val="1"/>
                <w:color w:val="D52B1E"/>
              </w:rPr>
              <w:t>b</w:t>
            </w:r>
          </w:p>
        </w:tc>
        <w:tc>
          <w:tcPr>
            <w:tcW w:w="920" w:type="dxa"/>
            <w:vAlign w:val="bottom"/>
          </w:tcPr>
          <w:p>
            <w:pPr>
              <w:jc w:val="center"/>
              <w:spacing w:after="0"/>
              <w:rPr>
                <w:sz w:val="20"/>
                <w:szCs w:val="20"/>
                <w:color w:val="auto"/>
              </w:rPr>
            </w:pPr>
            <w:r>
              <w:rPr>
                <w:rFonts w:ascii="Arial" w:cs="Arial" w:eastAsia="Arial" w:hAnsi="Arial"/>
                <w:sz w:val="14"/>
                <w:szCs w:val="14"/>
                <w:i w:val="1"/>
                <w:iCs w:val="1"/>
                <w:color w:val="D52B1E"/>
              </w:rPr>
              <w:t>c</w:t>
            </w:r>
          </w:p>
        </w:tc>
        <w:tc>
          <w:tcPr>
            <w:tcW w:w="1020" w:type="dxa"/>
            <w:vAlign w:val="bottom"/>
          </w:tcPr>
          <w:p>
            <w:pPr>
              <w:jc w:val="center"/>
              <w:spacing w:after="0"/>
              <w:rPr>
                <w:sz w:val="20"/>
                <w:szCs w:val="20"/>
                <w:color w:val="auto"/>
              </w:rPr>
            </w:pPr>
            <w:r>
              <w:rPr>
                <w:rFonts w:ascii="Arial" w:cs="Arial" w:eastAsia="Arial" w:hAnsi="Arial"/>
                <w:sz w:val="14"/>
                <w:szCs w:val="14"/>
                <w:i w:val="1"/>
                <w:iCs w:val="1"/>
                <w:color w:val="D52B1E"/>
              </w:rPr>
              <w:t>d</w:t>
            </w:r>
          </w:p>
        </w:tc>
        <w:tc>
          <w:tcPr>
            <w:tcW w:w="1080" w:type="dxa"/>
            <w:vAlign w:val="bottom"/>
          </w:tcPr>
          <w:p>
            <w:pPr>
              <w:jc w:val="center"/>
              <w:spacing w:after="0"/>
              <w:rPr>
                <w:sz w:val="20"/>
                <w:szCs w:val="20"/>
                <w:color w:val="auto"/>
              </w:rPr>
            </w:pPr>
            <w:r>
              <w:rPr>
                <w:rFonts w:ascii="Arial" w:cs="Arial" w:eastAsia="Arial" w:hAnsi="Arial"/>
                <w:sz w:val="14"/>
                <w:szCs w:val="14"/>
                <w:i w:val="1"/>
                <w:iCs w:val="1"/>
                <w:color w:val="D52B1E"/>
              </w:rPr>
              <w:t>e</w:t>
            </w:r>
          </w:p>
        </w:tc>
        <w:tc>
          <w:tcPr>
            <w:tcW w:w="1000" w:type="dxa"/>
            <w:vAlign w:val="bottom"/>
          </w:tcPr>
          <w:p>
            <w:pPr>
              <w:jc w:val="center"/>
              <w:spacing w:after="0"/>
              <w:rPr>
                <w:sz w:val="20"/>
                <w:szCs w:val="20"/>
                <w:color w:val="auto"/>
              </w:rPr>
            </w:pPr>
            <w:r>
              <w:rPr>
                <w:rFonts w:ascii="Arial" w:cs="Arial" w:eastAsia="Arial" w:hAnsi="Arial"/>
                <w:sz w:val="14"/>
                <w:szCs w:val="14"/>
                <w:i w:val="1"/>
                <w:iCs w:val="1"/>
                <w:color w:val="D52B1E"/>
              </w:rPr>
              <w:t>f</w:t>
            </w:r>
          </w:p>
        </w:tc>
        <w:tc>
          <w:tcPr>
            <w:tcW w:w="1060" w:type="dxa"/>
            <w:vAlign w:val="bottom"/>
          </w:tcPr>
          <w:p>
            <w:pPr>
              <w:jc w:val="center"/>
              <w:spacing w:after="0"/>
              <w:rPr>
                <w:sz w:val="20"/>
                <w:szCs w:val="20"/>
                <w:color w:val="auto"/>
              </w:rPr>
            </w:pPr>
            <w:r>
              <w:rPr>
                <w:rFonts w:ascii="Arial" w:cs="Arial" w:eastAsia="Arial" w:hAnsi="Arial"/>
                <w:sz w:val="14"/>
                <w:szCs w:val="14"/>
                <w:i w:val="1"/>
                <w:iCs w:val="1"/>
                <w:color w:val="D52B1E"/>
              </w:rPr>
              <w:t>g</w:t>
            </w:r>
          </w:p>
        </w:tc>
        <w:tc>
          <w:tcPr>
            <w:tcW w:w="1160" w:type="dxa"/>
            <w:vAlign w:val="bottom"/>
          </w:tcPr>
          <w:p>
            <w:pPr>
              <w:jc w:val="center"/>
              <w:spacing w:after="0"/>
              <w:rPr>
                <w:sz w:val="20"/>
                <w:szCs w:val="20"/>
                <w:color w:val="auto"/>
              </w:rPr>
            </w:pPr>
            <w:r>
              <w:rPr>
                <w:rFonts w:ascii="Arial" w:cs="Arial" w:eastAsia="Arial" w:hAnsi="Arial"/>
                <w:sz w:val="14"/>
                <w:szCs w:val="14"/>
                <w:i w:val="1"/>
                <w:iCs w:val="1"/>
                <w:color w:val="D52B1E"/>
              </w:rPr>
              <w:t>a-b+c-d+e+f+g</w:t>
            </w:r>
          </w:p>
        </w:tc>
      </w:tr>
      <w:tr>
        <w:trPr>
          <w:trHeight w:val="22"/>
        </w:trPr>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15"/>
        </w:trPr>
        <w:tc>
          <w:tcPr>
            <w:tcW w:w="440" w:type="dxa"/>
            <w:vAlign w:val="bottom"/>
          </w:tcPr>
          <w:p>
            <w:pPr>
              <w:ind w:left="20"/>
              <w:spacing w:after="0"/>
              <w:rPr>
                <w:sz w:val="20"/>
                <w:szCs w:val="20"/>
                <w:color w:val="auto"/>
              </w:rPr>
            </w:pPr>
            <w:r>
              <w:rPr>
                <w:rFonts w:ascii="Arial" w:cs="Arial" w:eastAsia="Arial" w:hAnsi="Arial"/>
                <w:sz w:val="14"/>
                <w:szCs w:val="14"/>
                <w:color w:val="auto"/>
              </w:rPr>
              <w:t>2024</w:t>
            </w:r>
          </w:p>
        </w:tc>
        <w:tc>
          <w:tcPr>
            <w:tcW w:w="1120" w:type="dxa"/>
            <w:vAlign w:val="bottom"/>
          </w:tcPr>
          <w:p>
            <w:pPr>
              <w:jc w:val="center"/>
              <w:spacing w:after="0"/>
              <w:rPr>
                <w:sz w:val="20"/>
                <w:szCs w:val="20"/>
                <w:color w:val="auto"/>
              </w:rPr>
            </w:pPr>
            <w:r>
              <w:rPr>
                <w:rFonts w:ascii="Arial" w:cs="Arial" w:eastAsia="Arial" w:hAnsi="Arial"/>
                <w:sz w:val="14"/>
                <w:szCs w:val="14"/>
                <w:color w:val="auto"/>
              </w:rPr>
              <w:t>$6,090,259</w:t>
            </w:r>
          </w:p>
        </w:tc>
        <w:tc>
          <w:tcPr>
            <w:tcW w:w="1100" w:type="dxa"/>
            <w:vAlign w:val="bottom"/>
          </w:tcPr>
          <w:p>
            <w:pPr>
              <w:jc w:val="center"/>
              <w:spacing w:after="0"/>
              <w:rPr>
                <w:sz w:val="20"/>
                <w:szCs w:val="20"/>
                <w:color w:val="auto"/>
              </w:rPr>
            </w:pPr>
            <w:r>
              <w:rPr>
                <w:rFonts w:ascii="Arial" w:cs="Arial" w:eastAsia="Arial" w:hAnsi="Arial"/>
                <w:sz w:val="14"/>
                <w:szCs w:val="14"/>
                <w:color w:val="auto"/>
              </w:rPr>
              <w:t>$215,381</w:t>
            </w:r>
          </w:p>
        </w:tc>
        <w:tc>
          <w:tcPr>
            <w:tcW w:w="920" w:type="dxa"/>
            <w:vAlign w:val="bottom"/>
          </w:tcPr>
          <w:p>
            <w:pPr>
              <w:jc w:val="center"/>
              <w:spacing w:after="0"/>
              <w:rPr>
                <w:sz w:val="20"/>
                <w:szCs w:val="20"/>
                <w:color w:val="auto"/>
              </w:rPr>
            </w:pPr>
            <w:r>
              <w:rPr>
                <w:rFonts w:ascii="Arial" w:cs="Arial" w:eastAsia="Arial" w:hAnsi="Arial"/>
                <w:sz w:val="14"/>
                <w:szCs w:val="14"/>
                <w:color w:val="auto"/>
              </w:rPr>
              <w:t>$159,259</w:t>
            </w:r>
          </w:p>
        </w:tc>
        <w:tc>
          <w:tcPr>
            <w:tcW w:w="1020" w:type="dxa"/>
            <w:vAlign w:val="bottom"/>
          </w:tcPr>
          <w:p>
            <w:pPr>
              <w:jc w:val="center"/>
              <w:spacing w:after="0"/>
              <w:rPr>
                <w:sz w:val="20"/>
                <w:szCs w:val="20"/>
                <w:color w:val="auto"/>
              </w:rPr>
            </w:pPr>
            <w:r>
              <w:rPr>
                <w:rFonts w:ascii="Arial" w:cs="Arial" w:eastAsia="Arial" w:hAnsi="Arial"/>
                <w:sz w:val="14"/>
                <w:szCs w:val="14"/>
                <w:color w:val="auto"/>
              </w:rPr>
              <w:t>$3,378,006</w:t>
            </w: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$(6,930,869)</w:t>
            </w:r>
          </w:p>
        </w:tc>
        <w:tc>
          <w:tcPr>
            <w:tcW w:w="1000" w:type="dxa"/>
            <w:vAlign w:val="bottom"/>
          </w:tcPr>
          <w:p>
            <w:pPr>
              <w:jc w:val="center"/>
              <w:spacing w:after="0"/>
              <w:rPr>
                <w:sz w:val="20"/>
                <w:szCs w:val="20"/>
                <w:color w:val="auto"/>
              </w:rPr>
            </w:pPr>
            <w:r>
              <w:rPr>
                <w:rFonts w:ascii="Arial" w:cs="Arial" w:eastAsia="Arial" w:hAnsi="Arial"/>
                <w:sz w:val="14"/>
                <w:szCs w:val="14"/>
                <w:color w:val="auto"/>
              </w:rPr>
              <w:t>$(7,775,892)</w:t>
            </w:r>
          </w:p>
        </w:tc>
        <w:tc>
          <w:tcPr>
            <w:tcW w:w="1060" w:type="dxa"/>
            <w:vAlign w:val="bottom"/>
          </w:tcPr>
          <w:p>
            <w:pPr>
              <w:jc w:val="center"/>
              <w:spacing w:after="0"/>
              <w:rPr>
                <w:sz w:val="20"/>
                <w:szCs w:val="20"/>
                <w:color w:val="auto"/>
              </w:rPr>
            </w:pPr>
            <w:r>
              <w:rPr>
                <w:rFonts w:ascii="Arial" w:cs="Arial" w:eastAsia="Arial" w:hAnsi="Arial"/>
                <w:sz w:val="14"/>
                <w:szCs w:val="14"/>
                <w:color w:val="auto"/>
              </w:rPr>
              <w:t>$11,121,538</w:t>
            </w:r>
          </w:p>
        </w:tc>
        <w:tc>
          <w:tcPr>
            <w:tcW w:w="1160" w:type="dxa"/>
            <w:vAlign w:val="bottom"/>
          </w:tcPr>
          <w:p>
            <w:pPr>
              <w:jc w:val="center"/>
              <w:spacing w:after="0"/>
              <w:rPr>
                <w:sz w:val="20"/>
                <w:szCs w:val="20"/>
                <w:color w:val="auto"/>
              </w:rPr>
            </w:pPr>
            <w:r>
              <w:rPr>
                <w:rFonts w:ascii="Arial" w:cs="Arial" w:eastAsia="Arial" w:hAnsi="Arial"/>
                <w:sz w:val="14"/>
                <w:szCs w:val="14"/>
                <w:color w:val="auto"/>
              </w:rPr>
              <w:t>$(929,092)</w:t>
            </w:r>
          </w:p>
        </w:tc>
      </w:tr>
      <w:tr>
        <w:trPr>
          <w:trHeight w:val="256"/>
        </w:trPr>
        <w:tc>
          <w:tcPr>
            <w:tcW w:w="440" w:type="dxa"/>
            <w:vAlign w:val="bottom"/>
          </w:tcPr>
          <w:p>
            <w:pPr>
              <w:ind w:left="20"/>
              <w:spacing w:after="0"/>
              <w:rPr>
                <w:sz w:val="20"/>
                <w:szCs w:val="20"/>
                <w:color w:val="auto"/>
              </w:rPr>
            </w:pPr>
            <w:r>
              <w:rPr>
                <w:rFonts w:ascii="Arial" w:cs="Arial" w:eastAsia="Arial" w:hAnsi="Arial"/>
                <w:sz w:val="14"/>
                <w:szCs w:val="14"/>
                <w:color w:val="auto"/>
              </w:rPr>
              <w:t>2023</w:t>
            </w:r>
          </w:p>
        </w:tc>
        <w:tc>
          <w:tcPr>
            <w:tcW w:w="1120" w:type="dxa"/>
            <w:vAlign w:val="bottom"/>
          </w:tcPr>
          <w:p>
            <w:pPr>
              <w:jc w:val="center"/>
              <w:spacing w:after="0"/>
              <w:rPr>
                <w:sz w:val="20"/>
                <w:szCs w:val="20"/>
                <w:color w:val="auto"/>
              </w:rPr>
            </w:pPr>
            <w:r>
              <w:rPr>
                <w:rFonts w:ascii="Arial" w:cs="Arial" w:eastAsia="Arial" w:hAnsi="Arial"/>
                <w:sz w:val="14"/>
                <w:szCs w:val="14"/>
                <w:color w:val="auto"/>
              </w:rPr>
              <w:t>$7,836,611</w:t>
            </w:r>
          </w:p>
        </w:tc>
        <w:tc>
          <w:tcPr>
            <w:tcW w:w="1100" w:type="dxa"/>
            <w:vAlign w:val="bottom"/>
          </w:tcPr>
          <w:p>
            <w:pPr>
              <w:jc w:val="center"/>
              <w:spacing w:after="0"/>
              <w:rPr>
                <w:sz w:val="20"/>
                <w:szCs w:val="20"/>
                <w:color w:val="auto"/>
              </w:rPr>
            </w:pPr>
            <w:r>
              <w:rPr>
                <w:rFonts w:ascii="Arial" w:cs="Arial" w:eastAsia="Arial" w:hAnsi="Arial"/>
                <w:sz w:val="14"/>
                <w:szCs w:val="14"/>
                <w:color w:val="auto"/>
              </w:rPr>
              <w:t>$455,154</w:t>
            </w:r>
          </w:p>
        </w:tc>
        <w:tc>
          <w:tcPr>
            <w:tcW w:w="920" w:type="dxa"/>
            <w:vAlign w:val="bottom"/>
          </w:tcPr>
          <w:p>
            <w:pPr>
              <w:jc w:val="center"/>
              <w:spacing w:after="0"/>
              <w:rPr>
                <w:sz w:val="20"/>
                <w:szCs w:val="20"/>
                <w:color w:val="auto"/>
              </w:rPr>
            </w:pPr>
            <w:r>
              <w:rPr>
                <w:rFonts w:ascii="Arial" w:cs="Arial" w:eastAsia="Arial" w:hAnsi="Arial"/>
                <w:sz w:val="14"/>
                <w:szCs w:val="14"/>
                <w:color w:val="auto"/>
              </w:rPr>
              <w:t>$159,626</w:t>
            </w:r>
          </w:p>
        </w:tc>
        <w:tc>
          <w:tcPr>
            <w:tcW w:w="1020" w:type="dxa"/>
            <w:vAlign w:val="bottom"/>
          </w:tcPr>
          <w:p>
            <w:pPr>
              <w:jc w:val="center"/>
              <w:spacing w:after="0"/>
              <w:rPr>
                <w:sz w:val="20"/>
                <w:szCs w:val="20"/>
                <w:color w:val="auto"/>
              </w:rPr>
            </w:pPr>
            <w:r>
              <w:rPr>
                <w:rFonts w:ascii="Arial" w:cs="Arial" w:eastAsia="Arial" w:hAnsi="Arial"/>
                <w:sz w:val="14"/>
                <w:szCs w:val="14"/>
                <w:color w:val="auto"/>
              </w:rPr>
              <w:t>$4,387,275</w:t>
            </w:r>
          </w:p>
        </w:tc>
        <w:tc>
          <w:tcPr>
            <w:tcW w:w="1080" w:type="dxa"/>
            <w:vAlign w:val="bottom"/>
          </w:tcPr>
          <w:p>
            <w:pPr>
              <w:jc w:val="right"/>
              <w:ind w:right="128"/>
              <w:spacing w:after="0"/>
              <w:rPr>
                <w:sz w:val="20"/>
                <w:szCs w:val="20"/>
                <w:color w:val="auto"/>
              </w:rPr>
            </w:pPr>
            <w:r>
              <w:rPr>
                <w:rFonts w:ascii="Arial" w:cs="Arial" w:eastAsia="Arial" w:hAnsi="Arial"/>
                <w:sz w:val="14"/>
                <w:szCs w:val="14"/>
                <w:color w:val="auto"/>
              </w:rPr>
              <w:t>$5,693,252</w:t>
            </w:r>
          </w:p>
        </w:tc>
        <w:tc>
          <w:tcPr>
            <w:tcW w:w="1000" w:type="dxa"/>
            <w:vAlign w:val="bottom"/>
          </w:tcPr>
          <w:p>
            <w:pPr>
              <w:jc w:val="center"/>
              <w:spacing w:after="0"/>
              <w:rPr>
                <w:sz w:val="20"/>
                <w:szCs w:val="20"/>
                <w:color w:val="auto"/>
              </w:rPr>
            </w:pPr>
            <w:r>
              <w:rPr>
                <w:rFonts w:ascii="Arial" w:cs="Arial" w:eastAsia="Arial" w:hAnsi="Arial"/>
                <w:sz w:val="14"/>
                <w:szCs w:val="14"/>
                <w:color w:val="auto"/>
              </w:rPr>
              <w:t>$9,514,261</w:t>
            </w:r>
          </w:p>
        </w:tc>
        <w:tc>
          <w:tcPr>
            <w:tcW w:w="1060" w:type="dxa"/>
            <w:vAlign w:val="bottom"/>
          </w:tcPr>
          <w:p>
            <w:pPr>
              <w:jc w:val="center"/>
              <w:spacing w:after="0"/>
              <w:rPr>
                <w:sz w:val="20"/>
                <w:szCs w:val="20"/>
                <w:color w:val="auto"/>
              </w:rPr>
            </w:pPr>
            <w:r>
              <w:rPr>
                <w:rFonts w:ascii="Arial" w:cs="Arial" w:eastAsia="Arial" w:hAnsi="Arial"/>
                <w:sz w:val="14"/>
                <w:szCs w:val="14"/>
                <w:color w:val="auto"/>
              </w:rPr>
              <w:t>$8,888,576</w:t>
            </w:r>
          </w:p>
        </w:tc>
        <w:tc>
          <w:tcPr>
            <w:tcW w:w="1160" w:type="dxa"/>
            <w:vAlign w:val="bottom"/>
          </w:tcPr>
          <w:p>
            <w:pPr>
              <w:jc w:val="center"/>
              <w:spacing w:after="0"/>
              <w:rPr>
                <w:sz w:val="20"/>
                <w:szCs w:val="20"/>
                <w:color w:val="auto"/>
              </w:rPr>
            </w:pPr>
            <w:r>
              <w:rPr>
                <w:rFonts w:ascii="Arial" w:cs="Arial" w:eastAsia="Arial" w:hAnsi="Arial"/>
                <w:sz w:val="14"/>
                <w:szCs w:val="14"/>
                <w:color w:val="auto"/>
              </w:rPr>
              <w:t>$27,249,897</w:t>
            </w:r>
          </w:p>
        </w:tc>
      </w:tr>
      <w:tr>
        <w:trPr>
          <w:trHeight w:val="22"/>
        </w:trPr>
        <w:tc>
          <w:tcPr>
            <w:tcW w:w="4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37"/>
        </w:trPr>
        <w:tc>
          <w:tcPr>
            <w:tcW w:w="44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4"/>
                <w:szCs w:val="14"/>
                <w:color w:val="auto"/>
              </w:rPr>
              <w:t>2022</w:t>
            </w:r>
          </w:p>
        </w:tc>
        <w:tc>
          <w:tcPr>
            <w:tcW w:w="112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$5,769,810</w:t>
            </w:r>
          </w:p>
        </w:tc>
        <w:tc>
          <w:tcPr>
            <w:tcW w:w="11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$93,171</w:t>
            </w:r>
          </w:p>
        </w:tc>
        <w:tc>
          <w:tcPr>
            <w:tcW w:w="92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$185,293</w:t>
            </w:r>
          </w:p>
        </w:tc>
        <w:tc>
          <w:tcPr>
            <w:tcW w:w="102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$3,553,000</w:t>
            </w:r>
          </w:p>
        </w:tc>
        <w:tc>
          <w:tcPr>
            <w:tcW w:w="1080" w:type="dxa"/>
            <w:vAlign w:val="bottom"/>
            <w:tcBorders>
              <w:bottom w:val="single" w:sz="8" w:color="F2F2F2"/>
            </w:tcBorders>
            <w:shd w:val="clear" w:color="auto" w:fill="F2F2F2"/>
          </w:tcPr>
          <w:p>
            <w:pPr>
              <w:jc w:val="right"/>
              <w:ind w:right="128"/>
              <w:spacing w:after="0"/>
              <w:rPr>
                <w:sz w:val="20"/>
                <w:szCs w:val="20"/>
                <w:color w:val="auto"/>
              </w:rPr>
            </w:pPr>
            <w:r>
              <w:rPr>
                <w:rFonts w:ascii="Arial" w:cs="Arial" w:eastAsia="Arial" w:hAnsi="Arial"/>
                <w:sz w:val="14"/>
                <w:szCs w:val="14"/>
                <w:color w:val="auto"/>
              </w:rPr>
              <w:t>$2,494,818</w:t>
            </w:r>
          </w:p>
        </w:tc>
        <w:tc>
          <w:tcPr>
            <w:tcW w:w="10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$1,188,603</w:t>
            </w:r>
          </w:p>
        </w:tc>
        <w:tc>
          <w:tcPr>
            <w:tcW w:w="106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$7,900,916</w:t>
            </w:r>
          </w:p>
        </w:tc>
        <w:tc>
          <w:tcPr>
            <w:tcW w:w="116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$13,893,269</w:t>
            </w:r>
          </w:p>
        </w:tc>
      </w:tr>
      <w:tr>
        <w:trPr>
          <w:trHeight w:val="235"/>
        </w:trPr>
        <w:tc>
          <w:tcPr>
            <w:tcW w:w="440" w:type="dxa"/>
            <w:vAlign w:val="bottom"/>
          </w:tcPr>
          <w:p>
            <w:pPr>
              <w:ind w:left="20"/>
              <w:spacing w:after="0"/>
              <w:rPr>
                <w:sz w:val="20"/>
                <w:szCs w:val="20"/>
                <w:color w:val="auto"/>
              </w:rPr>
            </w:pPr>
            <w:r>
              <w:rPr>
                <w:rFonts w:ascii="Arial" w:cs="Arial" w:eastAsia="Arial" w:hAnsi="Arial"/>
                <w:sz w:val="14"/>
                <w:szCs w:val="14"/>
                <w:color w:val="auto"/>
              </w:rPr>
              <w:t>2021</w:t>
            </w:r>
          </w:p>
        </w:tc>
        <w:tc>
          <w:tcPr>
            <w:tcW w:w="1120" w:type="dxa"/>
            <w:vAlign w:val="bottom"/>
          </w:tcPr>
          <w:p>
            <w:pPr>
              <w:jc w:val="center"/>
              <w:spacing w:after="0"/>
              <w:rPr>
                <w:sz w:val="20"/>
                <w:szCs w:val="20"/>
                <w:color w:val="auto"/>
              </w:rPr>
            </w:pPr>
            <w:r>
              <w:rPr>
                <w:rFonts w:ascii="Arial" w:cs="Arial" w:eastAsia="Arial" w:hAnsi="Arial"/>
                <w:sz w:val="14"/>
                <w:szCs w:val="14"/>
                <w:color w:val="auto"/>
              </w:rPr>
              <w:t>$4,730,690</w:t>
            </w:r>
          </w:p>
        </w:tc>
        <w:tc>
          <w:tcPr>
            <w:tcW w:w="1100" w:type="dxa"/>
            <w:vAlign w:val="bottom"/>
          </w:tcPr>
          <w:p>
            <w:pPr>
              <w:jc w:val="center"/>
              <w:spacing w:after="0"/>
              <w:rPr>
                <w:sz w:val="20"/>
                <w:szCs w:val="20"/>
                <w:color w:val="auto"/>
              </w:rPr>
            </w:pPr>
            <w:r>
              <w:rPr>
                <w:rFonts w:ascii="Arial" w:cs="Arial" w:eastAsia="Arial" w:hAnsi="Arial"/>
                <w:sz w:val="14"/>
                <w:szCs w:val="14"/>
                <w:color w:val="auto"/>
              </w:rPr>
              <w:t>$159,911</w:t>
            </w:r>
          </w:p>
        </w:tc>
        <w:tc>
          <w:tcPr>
            <w:tcW w:w="920" w:type="dxa"/>
            <w:vAlign w:val="bottom"/>
          </w:tcPr>
          <w:p>
            <w:pPr>
              <w:jc w:val="center"/>
              <w:spacing w:after="0"/>
              <w:rPr>
                <w:sz w:val="20"/>
                <w:szCs w:val="20"/>
                <w:color w:val="auto"/>
              </w:rPr>
            </w:pPr>
            <w:r>
              <w:rPr>
                <w:rFonts w:ascii="Arial" w:cs="Arial" w:eastAsia="Arial" w:hAnsi="Arial"/>
                <w:sz w:val="14"/>
                <w:szCs w:val="14"/>
                <w:color w:val="auto"/>
              </w:rPr>
              <w:t>$135,445</w:t>
            </w:r>
          </w:p>
        </w:tc>
        <w:tc>
          <w:tcPr>
            <w:tcW w:w="1020" w:type="dxa"/>
            <w:vAlign w:val="bottom"/>
          </w:tcPr>
          <w:p>
            <w:pPr>
              <w:jc w:val="center"/>
              <w:spacing w:after="0"/>
              <w:rPr>
                <w:sz w:val="20"/>
                <w:szCs w:val="20"/>
                <w:color w:val="auto"/>
              </w:rPr>
            </w:pPr>
            <w:r>
              <w:rPr>
                <w:rFonts w:ascii="Arial" w:cs="Arial" w:eastAsia="Arial" w:hAnsi="Arial"/>
                <w:sz w:val="14"/>
                <w:szCs w:val="14"/>
                <w:color w:val="auto"/>
                <w:w w:val="99"/>
              </w:rPr>
              <w:t>$3,115,360</w:t>
            </w:r>
          </w:p>
        </w:tc>
        <w:tc>
          <w:tcPr>
            <w:tcW w:w="1080" w:type="dxa"/>
            <w:vAlign w:val="bottom"/>
          </w:tcPr>
          <w:p>
            <w:pPr>
              <w:jc w:val="right"/>
              <w:ind w:right="128"/>
              <w:spacing w:after="0"/>
              <w:rPr>
                <w:sz w:val="20"/>
                <w:szCs w:val="20"/>
                <w:color w:val="auto"/>
              </w:rPr>
            </w:pPr>
            <w:r>
              <w:rPr>
                <w:rFonts w:ascii="Arial" w:cs="Arial" w:eastAsia="Arial" w:hAnsi="Arial"/>
                <w:sz w:val="14"/>
                <w:szCs w:val="14"/>
                <w:color w:val="auto"/>
              </w:rPr>
              <w:t>$1,276,786</w:t>
            </w:r>
          </w:p>
        </w:tc>
        <w:tc>
          <w:tcPr>
            <w:tcW w:w="1000" w:type="dxa"/>
            <w:vAlign w:val="bottom"/>
          </w:tcPr>
          <w:p>
            <w:pPr>
              <w:jc w:val="center"/>
              <w:spacing w:after="0"/>
              <w:rPr>
                <w:sz w:val="20"/>
                <w:szCs w:val="20"/>
                <w:color w:val="auto"/>
              </w:rPr>
            </w:pPr>
            <w:r>
              <w:rPr>
                <w:rFonts w:ascii="Arial" w:cs="Arial" w:eastAsia="Arial" w:hAnsi="Arial"/>
                <w:sz w:val="14"/>
                <w:szCs w:val="14"/>
                <w:color w:val="auto"/>
              </w:rPr>
              <w:t>$861,413</w:t>
            </w:r>
          </w:p>
        </w:tc>
        <w:tc>
          <w:tcPr>
            <w:tcW w:w="1060" w:type="dxa"/>
            <w:vAlign w:val="bottom"/>
          </w:tcPr>
          <w:p>
            <w:pPr>
              <w:jc w:val="center"/>
              <w:spacing w:after="0"/>
              <w:rPr>
                <w:sz w:val="20"/>
                <w:szCs w:val="20"/>
                <w:color w:val="auto"/>
              </w:rPr>
            </w:pPr>
            <w:r>
              <w:rPr>
                <w:rFonts w:ascii="Arial" w:cs="Arial" w:eastAsia="Arial" w:hAnsi="Arial"/>
                <w:sz w:val="14"/>
                <w:szCs w:val="14"/>
                <w:color w:val="auto"/>
              </w:rPr>
              <w:t>$834,482</w:t>
            </w:r>
          </w:p>
        </w:tc>
        <w:tc>
          <w:tcPr>
            <w:tcW w:w="1160" w:type="dxa"/>
            <w:vAlign w:val="bottom"/>
          </w:tcPr>
          <w:p>
            <w:pPr>
              <w:jc w:val="center"/>
              <w:spacing w:after="0"/>
              <w:rPr>
                <w:sz w:val="20"/>
                <w:szCs w:val="20"/>
                <w:color w:val="auto"/>
              </w:rPr>
            </w:pPr>
            <w:r>
              <w:rPr>
                <w:rFonts w:ascii="Arial" w:cs="Arial" w:eastAsia="Arial" w:hAnsi="Arial"/>
                <w:sz w:val="14"/>
                <w:szCs w:val="14"/>
                <w:color w:val="auto"/>
              </w:rPr>
              <w:t>$4,563,545</w:t>
            </w:r>
          </w:p>
        </w:tc>
      </w:tr>
      <w:tr>
        <w:trPr>
          <w:trHeight w:val="22"/>
        </w:trPr>
        <w:tc>
          <w:tcPr>
            <w:tcW w:w="4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36"/>
        </w:trPr>
        <w:tc>
          <w:tcPr>
            <w:tcW w:w="44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4"/>
                <w:szCs w:val="14"/>
                <w:color w:val="auto"/>
              </w:rPr>
              <w:t>2020</w:t>
            </w:r>
          </w:p>
        </w:tc>
        <w:tc>
          <w:tcPr>
            <w:tcW w:w="112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$6,787,934</w:t>
            </w:r>
          </w:p>
        </w:tc>
        <w:tc>
          <w:tcPr>
            <w:tcW w:w="11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$1,448,154</w:t>
            </w:r>
          </w:p>
        </w:tc>
        <w:tc>
          <w:tcPr>
            <w:tcW w:w="92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$187,254</w:t>
            </w:r>
          </w:p>
        </w:tc>
        <w:tc>
          <w:tcPr>
            <w:tcW w:w="102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$3,665,898</w:t>
            </w:r>
          </w:p>
        </w:tc>
        <w:tc>
          <w:tcPr>
            <w:tcW w:w="1080" w:type="dxa"/>
            <w:vAlign w:val="bottom"/>
            <w:tcBorders>
              <w:bottom w:val="single" w:sz="8" w:color="F2F2F2"/>
            </w:tcBorders>
            <w:shd w:val="clear" w:color="auto" w:fill="F2F2F2"/>
          </w:tcPr>
          <w:p>
            <w:pPr>
              <w:jc w:val="right"/>
              <w:ind w:right="128"/>
              <w:spacing w:after="0"/>
              <w:rPr>
                <w:sz w:val="20"/>
                <w:szCs w:val="20"/>
                <w:color w:val="auto"/>
              </w:rPr>
            </w:pPr>
            <w:r>
              <w:rPr>
                <w:rFonts w:ascii="Arial" w:cs="Arial" w:eastAsia="Arial" w:hAnsi="Arial"/>
                <w:sz w:val="14"/>
                <w:szCs w:val="14"/>
                <w:color w:val="auto"/>
              </w:rPr>
              <w:t>$2,289,092</w:t>
            </w:r>
          </w:p>
        </w:tc>
        <w:tc>
          <w:tcPr>
            <w:tcW w:w="10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$(505,850)</w:t>
            </w:r>
          </w:p>
        </w:tc>
        <w:tc>
          <w:tcPr>
            <w:tcW w:w="106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$7,088,331</w:t>
            </w:r>
          </w:p>
        </w:tc>
        <w:tc>
          <w:tcPr>
            <w:tcW w:w="116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$10,732,708</w:t>
            </w:r>
          </w:p>
        </w:tc>
      </w:tr>
      <w:tr>
        <w:trPr>
          <w:trHeight w:val="20"/>
        </w:trPr>
        <w:tc>
          <w:tcPr>
            <w:tcW w:w="4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r>
    </w:tbl>
    <w:p>
      <w:pPr>
        <w:spacing w:after="0" w:line="139" w:lineRule="exact"/>
        <w:rPr>
          <w:sz w:val="20"/>
          <w:szCs w:val="20"/>
          <w:color w:val="auto"/>
        </w:rPr>
      </w:pPr>
    </w:p>
    <w:p>
      <w:pPr>
        <w:ind w:left="180" w:right="60" w:hanging="172"/>
        <w:spacing w:after="0"/>
        <w:tabs>
          <w:tab w:leader="none" w:pos="174" w:val="left"/>
        </w:tabs>
        <w:numPr>
          <w:ilvl w:val="0"/>
          <w:numId w:val="180"/>
        </w:numPr>
        <w:rPr>
          <w:rFonts w:ascii="Arial" w:cs="Arial" w:eastAsia="Arial" w:hAnsi="Arial"/>
          <w:sz w:val="19"/>
          <w:szCs w:val="19"/>
          <w:color w:val="auto"/>
          <w:vertAlign w:val="superscript"/>
        </w:rPr>
      </w:pPr>
      <w:r>
        <w:rPr>
          <w:rFonts w:ascii="Arial" w:cs="Arial" w:eastAsia="Arial" w:hAnsi="Arial"/>
          <w:sz w:val="14"/>
          <w:szCs w:val="14"/>
          <w:color w:val="auto"/>
        </w:rPr>
        <w:t>The company’s TSR and the company’s peer group TSR in these columns is calculated based on a fixed investment of $100 at the applicable measurement point on the same cumulative basis as is used in Item 201(e) of Regulation S-K. The peer group used for calculating Peer Group Total Shareholder Return for each applicable fiscal year is the same peer group that was used by the company for benchmarking compensation, setting the growth goals for the performance award and for determining relative total shareholder return performance for the relative value award.</w:t>
      </w:r>
    </w:p>
    <w:p>
      <w:pPr>
        <w:spacing w:after="0" w:line="41" w:lineRule="exact"/>
        <w:rPr>
          <w:sz w:val="20"/>
          <w:szCs w:val="20"/>
          <w:color w:val="auto"/>
        </w:rPr>
      </w:pPr>
    </w:p>
    <w:p>
      <w:pPr>
        <w:ind w:left="180" w:right="140" w:hanging="172"/>
        <w:spacing w:after="0" w:line="222" w:lineRule="auto"/>
        <w:tabs>
          <w:tab w:leader="none" w:pos="174" w:val="left"/>
        </w:tabs>
        <w:numPr>
          <w:ilvl w:val="0"/>
          <w:numId w:val="181"/>
        </w:numPr>
        <w:rPr>
          <w:rFonts w:ascii="Arial" w:cs="Arial" w:eastAsia="Arial" w:hAnsi="Arial"/>
          <w:sz w:val="19"/>
          <w:szCs w:val="19"/>
          <w:color w:val="auto"/>
          <w:vertAlign w:val="superscript"/>
        </w:rPr>
      </w:pPr>
      <w:r>
        <w:rPr>
          <w:rFonts w:ascii="Arial" w:cs="Arial" w:eastAsia="Arial" w:hAnsi="Arial"/>
          <w:sz w:val="14"/>
          <w:szCs w:val="14"/>
          <w:color w:val="auto"/>
        </w:rPr>
        <w:t xml:space="preserve">For pay versus performance analysis, adjusted non-GAAP EPS is consistent with the adjusted non-GAAP EPS values for performance awards in </w:t>
      </w:r>
      <w:r>
        <w:rPr>
          <w:rFonts w:ascii="Arial" w:cs="Arial" w:eastAsia="Arial" w:hAnsi="Arial"/>
          <w:sz w:val="14"/>
          <w:szCs w:val="14"/>
          <w:u w:val="single" w:color="auto"/>
          <w:color w:val="0000FF"/>
        </w:rPr>
        <w:t>Appendix A, “Summary of</w:t>
      </w:r>
      <w:r>
        <w:rPr>
          <w:rFonts w:ascii="Arial" w:cs="Arial" w:eastAsia="Arial" w:hAnsi="Arial"/>
          <w:sz w:val="14"/>
          <w:szCs w:val="14"/>
          <w:color w:val="auto"/>
        </w:rPr>
        <w:t xml:space="preserve"> </w:t>
      </w:r>
      <w:r>
        <w:rPr>
          <w:rFonts w:ascii="Arial" w:cs="Arial" w:eastAsia="Arial" w:hAnsi="Arial"/>
          <w:sz w:val="14"/>
          <w:szCs w:val="14"/>
          <w:u w:val="single" w:color="auto"/>
          <w:color w:val="0000FF"/>
        </w:rPr>
        <w:t>Adjustments Related to the Annual Cash Bonus and Performance Award</w:t>
      </w:r>
      <w:r>
        <w:rPr>
          <w:rFonts w:ascii="Arial" w:cs="Arial" w:eastAsia="Arial" w:hAnsi="Arial"/>
          <w:sz w:val="14"/>
          <w:szCs w:val="14"/>
          <w:color w:val="000000"/>
        </w:rPr>
        <w:t>.”</w:t>
      </w:r>
    </w:p>
    <w:p>
      <w:pPr>
        <w:spacing w:after="0" w:line="40" w:lineRule="exact"/>
        <w:rPr>
          <w:sz w:val="20"/>
          <w:szCs w:val="20"/>
          <w:color w:val="auto"/>
        </w:rPr>
      </w:pPr>
    </w:p>
    <w:p>
      <w:pPr>
        <w:ind w:left="180" w:right="40" w:hanging="172"/>
        <w:spacing w:after="0" w:line="283" w:lineRule="auto"/>
        <w:tabs>
          <w:tab w:leader="none" w:pos="174" w:val="left"/>
        </w:tabs>
        <w:numPr>
          <w:ilvl w:val="0"/>
          <w:numId w:val="182"/>
        </w:numPr>
        <w:rPr>
          <w:rFonts w:ascii="Arial" w:cs="Arial" w:eastAsia="Arial" w:hAnsi="Arial"/>
          <w:sz w:val="9"/>
          <w:szCs w:val="9"/>
          <w:color w:val="auto"/>
        </w:rPr>
      </w:pPr>
      <w:r>
        <w:rPr>
          <w:rFonts w:ascii="Arial" w:cs="Arial" w:eastAsia="Arial" w:hAnsi="Arial"/>
          <w:sz w:val="14"/>
          <w:szCs w:val="14"/>
          <w:color w:val="auto"/>
        </w:rPr>
        <w:t>The average CAP for 2024 comprised compensation for Mr. Montarce, Dr. Skovronsky, Ms. Hakim, Mr. Van Naarden, Mr. Brooks, and Ms. Ashkenazi. Mr. Montarce assumed the CFO role on September 9, 2024, following Ms. Ashkenazi’s exit from the company on July 30, 2024. Mr. Brooks took on the expanded role of interim Chief Financial Officer from July 15, 2024 through September 8, 2024, following Ms. Ashkenazi’s exit and preceding Mr. Montarce’s effective date in the CFO role.</w:t>
      </w:r>
    </w:p>
    <w:p>
      <w:pPr>
        <w:ind w:left="160" w:hanging="152"/>
        <w:spacing w:after="0" w:line="221" w:lineRule="auto"/>
        <w:tabs>
          <w:tab w:leader="none" w:pos="160" w:val="left"/>
        </w:tabs>
        <w:numPr>
          <w:ilvl w:val="0"/>
          <w:numId w:val="183"/>
        </w:numPr>
        <w:rPr>
          <w:rFonts w:ascii="Arial" w:cs="Arial" w:eastAsia="Arial" w:hAnsi="Arial"/>
          <w:sz w:val="19"/>
          <w:szCs w:val="19"/>
          <w:color w:val="auto"/>
          <w:vertAlign w:val="superscript"/>
        </w:rPr>
      </w:pPr>
      <w:r>
        <w:rPr>
          <w:rFonts w:ascii="Arial" w:cs="Arial" w:eastAsia="Arial" w:hAnsi="Arial"/>
          <w:sz w:val="14"/>
          <w:szCs w:val="14"/>
          <w:color w:val="auto"/>
        </w:rPr>
        <w:t>The average CAP for 2023 comprised compensation for Ms. Ashkenazi, Dr. Skovronsky, Ms. Hakim, and Mr. Van Naarden.</w:t>
      </w:r>
    </w:p>
    <w:p>
      <w:pPr>
        <w:spacing w:after="0" w:line="39" w:lineRule="exact"/>
        <w:rPr>
          <w:rFonts w:ascii="Arial" w:cs="Arial" w:eastAsia="Arial" w:hAnsi="Arial"/>
          <w:sz w:val="19"/>
          <w:szCs w:val="19"/>
          <w:color w:val="auto"/>
          <w:vertAlign w:val="superscript"/>
        </w:rPr>
      </w:pPr>
    </w:p>
    <w:p>
      <w:pPr>
        <w:spacing w:after="0"/>
        <w:rPr>
          <w:rFonts w:ascii="Arial" w:cs="Arial" w:eastAsia="Arial" w:hAnsi="Arial"/>
          <w:sz w:val="19"/>
          <w:szCs w:val="19"/>
          <w:color w:val="auto"/>
          <w:vertAlign w:val="superscript"/>
        </w:rPr>
      </w:pPr>
      <w:r>
        <w:rPr>
          <w:rFonts w:ascii="Arial" w:cs="Arial" w:eastAsia="Arial" w:hAnsi="Arial"/>
          <w:sz w:val="9"/>
          <w:szCs w:val="9"/>
          <w:color w:val="auto"/>
        </w:rPr>
        <w:t xml:space="preserve">9  </w:t>
      </w:r>
      <w:r>
        <w:rPr>
          <w:rFonts w:ascii="Arial" w:cs="Arial" w:eastAsia="Arial" w:hAnsi="Arial"/>
          <w:sz w:val="14"/>
          <w:szCs w:val="14"/>
          <w:color w:val="auto"/>
        </w:rPr>
        <w:t>The average CAP for 2022 comprised compensation for Ms. Ashkenazi, Dr. Skovronsky, Ms. Hakim, and Mr. Jonsson.</w:t>
      </w:r>
    </w:p>
    <w:p>
      <w:pPr>
        <w:spacing w:after="0" w:line="55" w:lineRule="exact"/>
        <w:rPr>
          <w:sz w:val="20"/>
          <w:szCs w:val="20"/>
          <w:color w:val="auto"/>
        </w:rPr>
      </w:pPr>
    </w:p>
    <w:p>
      <w:pPr>
        <w:ind w:left="180" w:hanging="172"/>
        <w:spacing w:after="0" w:line="272" w:lineRule="auto"/>
        <w:tabs>
          <w:tab w:leader="none" w:pos="226" w:val="left"/>
        </w:tabs>
        <w:numPr>
          <w:ilvl w:val="0"/>
          <w:numId w:val="184"/>
        </w:numPr>
        <w:rPr>
          <w:rFonts w:ascii="Arial" w:cs="Arial" w:eastAsia="Arial" w:hAnsi="Arial"/>
          <w:sz w:val="9"/>
          <w:szCs w:val="9"/>
          <w:color w:val="auto"/>
        </w:rPr>
      </w:pPr>
      <w:r>
        <w:rPr>
          <w:rFonts w:ascii="Arial" w:cs="Arial" w:eastAsia="Arial" w:hAnsi="Arial"/>
          <w:sz w:val="14"/>
          <w:szCs w:val="14"/>
          <w:color w:val="auto"/>
        </w:rPr>
        <w:t>The average CAP for 2021 comprised compensation for Ms. Ashkenazi, Dr. Skovronsky, Mr. Van Naarden, Mr. Rau, and Mr. Smiley. Ms. Ashkenazi succeeded Mr. Smiley as CFO on February 9, 2021 when Mr. Smiley resigned his position.</w:t>
      </w:r>
    </w:p>
    <w:p>
      <w:pPr>
        <w:ind w:left="200" w:hanging="192"/>
        <w:spacing w:after="0" w:line="193" w:lineRule="auto"/>
        <w:tabs>
          <w:tab w:leader="none" w:pos="200" w:val="left"/>
        </w:tabs>
        <w:numPr>
          <w:ilvl w:val="0"/>
          <w:numId w:val="184"/>
        </w:numPr>
        <w:rPr>
          <w:rFonts w:ascii="Arial" w:cs="Arial" w:eastAsia="Arial" w:hAnsi="Arial"/>
          <w:sz w:val="19"/>
          <w:szCs w:val="19"/>
          <w:color w:val="auto"/>
          <w:vertAlign w:val="superscript"/>
        </w:rPr>
      </w:pPr>
      <w:r>
        <w:rPr>
          <w:rFonts w:ascii="Arial" w:cs="Arial" w:eastAsia="Arial" w:hAnsi="Arial"/>
          <w:sz w:val="14"/>
          <w:szCs w:val="14"/>
          <w:color w:val="auto"/>
        </w:rPr>
        <w:t>The average CAP for 2020 comprised compensation for Mr. Smiley, Dr. Skovronsky, Ms. Hakim, and Mr. Zulueta.</w:t>
      </w:r>
    </w:p>
    <w:p>
      <w:pPr>
        <w:spacing w:after="0" w:line="187" w:lineRule="exact"/>
        <w:rPr>
          <w:sz w:val="20"/>
          <w:szCs w:val="20"/>
          <w:color w:val="auto"/>
        </w:rPr>
      </w:pPr>
    </w:p>
    <w:p>
      <w:pPr>
        <w:spacing w:after="0"/>
        <w:rPr>
          <w:sz w:val="20"/>
          <w:szCs w:val="20"/>
          <w:color w:val="auto"/>
        </w:rPr>
      </w:pPr>
      <w:r>
        <w:rPr>
          <w:rFonts w:ascii="Arial" w:cs="Arial" w:eastAsia="Arial" w:hAnsi="Arial"/>
          <w:sz w:val="25"/>
          <w:szCs w:val="25"/>
          <w:b w:val="1"/>
          <w:bCs w:val="1"/>
          <w:color w:val="00A1DE"/>
        </w:rPr>
        <w:t>Most Important Measures</w:t>
      </w:r>
    </w:p>
    <w:p>
      <w:pPr>
        <w:spacing w:after="0" w:line="69" w:lineRule="exact"/>
        <w:rPr>
          <w:sz w:val="20"/>
          <w:szCs w:val="20"/>
          <w:color w:val="auto"/>
        </w:rPr>
      </w:pPr>
    </w:p>
    <w:p>
      <w:pPr>
        <w:jc w:val="center"/>
        <w:ind w:right="2160"/>
        <w:spacing w:after="0"/>
        <w:rPr>
          <w:sz w:val="20"/>
          <w:szCs w:val="20"/>
          <w:color w:val="auto"/>
        </w:rPr>
      </w:pPr>
      <w:r>
        <w:rPr>
          <w:rFonts w:ascii="Arial" w:cs="Arial" w:eastAsia="Arial" w:hAnsi="Arial"/>
          <w:sz w:val="17"/>
          <w:szCs w:val="17"/>
          <w:color w:val="auto"/>
        </w:rPr>
        <w:t>The most important measures used for 2024 were present in our long-term incentive and annual bonus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1727835</wp:posOffset>
            </wp:positionH>
            <wp:positionV relativeFrom="paragraph">
              <wp:posOffset>144780</wp:posOffset>
            </wp:positionV>
            <wp:extent cx="2305685" cy="8255"/>
            <wp:wrapNone/>
            <wp:docPr id="2548" name="Picture 2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8"/>
                    <pic:cNvPicPr>
                      <a:picLocks noChangeAspect="1" noChangeArrowheads="1"/>
                    </pic:cNvPicPr>
                  </pic:nvPicPr>
                  <pic:blipFill>
                    <a:blip r:embed="rId2555">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230" w:lineRule="exact"/>
        <w:rPr>
          <w:sz w:val="20"/>
          <w:szCs w:val="20"/>
          <w:color w:val="auto"/>
        </w:rPr>
      </w:pPr>
    </w:p>
    <w:p>
      <w:pPr>
        <w:jc w:val="center"/>
        <w:ind w:right="2140"/>
        <w:spacing w:after="0"/>
        <w:rPr>
          <w:sz w:val="20"/>
          <w:szCs w:val="20"/>
          <w:color w:val="auto"/>
        </w:rPr>
      </w:pPr>
      <w:r>
        <w:rPr>
          <w:rFonts w:ascii="Arial" w:cs="Arial" w:eastAsia="Arial" w:hAnsi="Arial"/>
          <w:sz w:val="18"/>
          <w:szCs w:val="18"/>
          <w:b w:val="1"/>
          <w:bCs w:val="1"/>
          <w:color w:val="auto"/>
        </w:rPr>
        <w:t>Most Important Performance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1727835</wp:posOffset>
            </wp:positionH>
            <wp:positionV relativeFrom="paragraph">
              <wp:posOffset>34925</wp:posOffset>
            </wp:positionV>
            <wp:extent cx="2305685" cy="522605"/>
            <wp:wrapNone/>
            <wp:docPr id="2549" name="Picture 2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9"/>
                    <pic:cNvPicPr>
                      <a:picLocks noChangeAspect="1" noChangeArrowheads="1"/>
                    </pic:cNvPicPr>
                  </pic:nvPicPr>
                  <pic:blipFill>
                    <a:blip r:embed="rId2556">
                      <a:extLst>
                        <a:ext uri="{28A0092B-C50C-407E-A947-70E740481C1C}"/>
                      </a:extLst>
                    </a:blip>
                    <a:srcRect/>
                    <a:stretch>
                      <a:fillRect/>
                    </a:stretch>
                  </pic:blipFill>
                  <pic:spPr bwMode="auto">
                    <a:xfrm>
                      <a:off x="0" y="0"/>
                      <a:ext cx="2305685" cy="522605"/>
                    </a:xfrm>
                    <a:prstGeom prst="rect">
                      <a:avLst/>
                    </a:prstGeom>
                    <a:noFill/>
                  </pic:spPr>
                </pic:pic>
              </a:graphicData>
            </a:graphic>
          </wp:anchor>
        </w:drawing>
      </w:r>
    </w:p>
    <w:p>
      <w:pPr>
        <w:spacing w:after="0" w:line="54" w:lineRule="exact"/>
        <w:rPr>
          <w:sz w:val="20"/>
          <w:szCs w:val="20"/>
          <w:color w:val="auto"/>
        </w:rPr>
      </w:pPr>
    </w:p>
    <w:p>
      <w:pPr>
        <w:jc w:val="center"/>
        <w:ind w:right="2120"/>
        <w:spacing w:after="0"/>
        <w:rPr>
          <w:sz w:val="20"/>
          <w:szCs w:val="20"/>
          <w:color w:val="auto"/>
        </w:rPr>
      </w:pPr>
      <w:r>
        <w:rPr>
          <w:rFonts w:ascii="Arial" w:cs="Arial" w:eastAsia="Arial" w:hAnsi="Arial"/>
          <w:sz w:val="18"/>
          <w:szCs w:val="18"/>
          <w:color w:val="auto"/>
        </w:rPr>
        <w:t>Adjusted non-GAAP EPS</w:t>
      </w:r>
      <w:r>
        <w:rPr>
          <w:rFonts w:ascii="Arial" w:cs="Arial" w:eastAsia="Arial" w:hAnsi="Arial"/>
          <w:sz w:val="23"/>
          <w:szCs w:val="23"/>
          <w:color w:val="auto"/>
          <w:vertAlign w:val="superscript"/>
        </w:rPr>
        <w:t>1</w:t>
      </w:r>
    </w:p>
    <w:p>
      <w:pPr>
        <w:spacing w:after="0" w:line="26" w:lineRule="exact"/>
        <w:rPr>
          <w:sz w:val="20"/>
          <w:szCs w:val="20"/>
          <w:color w:val="auto"/>
        </w:rPr>
      </w:pPr>
    </w:p>
    <w:p>
      <w:pPr>
        <w:jc w:val="center"/>
        <w:ind w:right="2120"/>
        <w:spacing w:after="0"/>
        <w:rPr>
          <w:sz w:val="20"/>
          <w:szCs w:val="20"/>
          <w:color w:val="auto"/>
        </w:rPr>
      </w:pPr>
      <w:r>
        <w:rPr>
          <w:rFonts w:ascii="Arial" w:cs="Arial" w:eastAsia="Arial" w:hAnsi="Arial"/>
          <w:sz w:val="18"/>
          <w:szCs w:val="18"/>
          <w:color w:val="auto"/>
        </w:rPr>
        <w:t>Total Shareholder Return</w:t>
      </w:r>
    </w:p>
    <w:p>
      <w:pPr>
        <w:spacing w:after="0" w:line="45" w:lineRule="exact"/>
        <w:rPr>
          <w:sz w:val="20"/>
          <w:szCs w:val="20"/>
          <w:color w:val="auto"/>
        </w:rPr>
      </w:pPr>
    </w:p>
    <w:p>
      <w:pPr>
        <w:jc w:val="center"/>
        <w:ind w:right="2120"/>
        <w:spacing w:after="0"/>
        <w:rPr>
          <w:sz w:val="20"/>
          <w:szCs w:val="20"/>
          <w:color w:val="auto"/>
        </w:rPr>
      </w:pPr>
      <w:r>
        <w:rPr>
          <w:rFonts w:ascii="Arial" w:cs="Arial" w:eastAsia="Arial" w:hAnsi="Arial"/>
          <w:sz w:val="18"/>
          <w:szCs w:val="18"/>
          <w:color w:val="auto"/>
        </w:rPr>
        <w:t>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1727835</wp:posOffset>
            </wp:positionH>
            <wp:positionV relativeFrom="paragraph">
              <wp:posOffset>34925</wp:posOffset>
            </wp:positionV>
            <wp:extent cx="2305685" cy="8890"/>
            <wp:wrapNone/>
            <wp:docPr id="2550" name="Picture 2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0"/>
                    <pic:cNvPicPr>
                      <a:picLocks noChangeAspect="1" noChangeArrowheads="1"/>
                    </pic:cNvPicPr>
                  </pic:nvPicPr>
                  <pic:blipFill>
                    <a:blip r:embed="rId2557">
                      <a:extLst>
                        <a:ext uri="{28A0092B-C50C-407E-A947-70E740481C1C}"/>
                      </a:extLst>
                    </a:blip>
                    <a:srcRect/>
                    <a:stretch>
                      <a:fillRect/>
                    </a:stretch>
                  </pic:blipFill>
                  <pic:spPr bwMode="auto">
                    <a:xfrm>
                      <a:off x="0" y="0"/>
                      <a:ext cx="2305685" cy="8890"/>
                    </a:xfrm>
                    <a:prstGeom prst="rect">
                      <a:avLst/>
                    </a:prstGeom>
                    <a:noFill/>
                  </pic:spPr>
                </pic:pic>
              </a:graphicData>
            </a:graphic>
          </wp:anchor>
        </w:drawing>
      </w:r>
    </w:p>
    <w:p>
      <w:pPr>
        <w:spacing w:after="0" w:line="188" w:lineRule="exact"/>
        <w:rPr>
          <w:sz w:val="20"/>
          <w:szCs w:val="20"/>
          <w:color w:val="auto"/>
        </w:rPr>
      </w:pPr>
    </w:p>
    <w:p>
      <w:pPr>
        <w:ind w:left="180" w:right="120" w:hanging="172"/>
        <w:spacing w:after="0" w:line="231" w:lineRule="auto"/>
        <w:tabs>
          <w:tab w:leader="none" w:pos="200" w:val="left"/>
        </w:tabs>
        <w:numPr>
          <w:ilvl w:val="0"/>
          <w:numId w:val="185"/>
        </w:numPr>
        <w:rPr>
          <w:rFonts w:ascii="Arial" w:cs="Arial" w:eastAsia="Arial" w:hAnsi="Arial"/>
          <w:sz w:val="19"/>
          <w:szCs w:val="19"/>
          <w:color w:val="auto"/>
          <w:vertAlign w:val="superscript"/>
        </w:rPr>
      </w:pPr>
      <w:r>
        <w:rPr>
          <w:rFonts w:ascii="Arial" w:cs="Arial" w:eastAsia="Arial" w:hAnsi="Arial"/>
          <w:sz w:val="14"/>
          <w:szCs w:val="14"/>
          <w:color w:val="auto"/>
        </w:rPr>
        <w:t xml:space="preserve">For pay versus performance analysis, adjusted non-GAAP EPS is consistent with the adjusted non-GAAP EPS values for performance awards in </w:t>
      </w:r>
      <w:r>
        <w:rPr>
          <w:rFonts w:ascii="Arial" w:cs="Arial" w:eastAsia="Arial" w:hAnsi="Arial"/>
          <w:sz w:val="14"/>
          <w:szCs w:val="14"/>
          <w:u w:val="single" w:color="auto"/>
          <w:color w:val="0000FF"/>
        </w:rPr>
        <w:t>Appendix A, “Summary of</w:t>
      </w:r>
      <w:r>
        <w:rPr>
          <w:rFonts w:ascii="Arial" w:cs="Arial" w:eastAsia="Arial" w:hAnsi="Arial"/>
          <w:sz w:val="14"/>
          <w:szCs w:val="14"/>
          <w:color w:val="auto"/>
        </w:rPr>
        <w:t xml:space="preserve"> </w:t>
      </w:r>
      <w:r>
        <w:rPr>
          <w:rFonts w:ascii="Arial" w:cs="Arial" w:eastAsia="Arial" w:hAnsi="Arial"/>
          <w:sz w:val="14"/>
          <w:szCs w:val="14"/>
          <w:u w:val="single" w:color="auto"/>
          <w:color w:val="0000FF"/>
        </w:rPr>
        <w:t>Adjustments Related to the Annual Cash Bonus and Performance Award.</w:t>
      </w:r>
      <w:r>
        <w:rPr>
          <w:rFonts w:ascii="Arial" w:cs="Arial" w:eastAsia="Arial" w:hAnsi="Arial"/>
          <w:sz w:val="14"/>
          <w:szCs w:val="14"/>
          <w:color w:val="000000"/>
        </w:rPr>
        <w:t>”</w:t>
      </w:r>
    </w:p>
    <w:p>
      <w:pPr>
        <w:spacing w:after="0" w:line="119" w:lineRule="exact"/>
        <w:rPr>
          <w:sz w:val="20"/>
          <w:szCs w:val="20"/>
          <w:color w:val="auto"/>
        </w:rPr>
      </w:pPr>
    </w:p>
    <w:p>
      <w:pPr>
        <w:spacing w:after="0"/>
        <w:rPr>
          <w:sz w:val="20"/>
          <w:szCs w:val="20"/>
          <w:color w:val="auto"/>
        </w:rPr>
      </w:pPr>
      <w:r>
        <w:rPr>
          <w:rFonts w:ascii="Arial" w:cs="Arial" w:eastAsia="Arial" w:hAnsi="Arial"/>
          <w:sz w:val="25"/>
          <w:szCs w:val="25"/>
          <w:b w:val="1"/>
          <w:bCs w:val="1"/>
          <w:color w:val="00A1DE"/>
        </w:rPr>
        <w:t>Pay versus Total Shareholder Return</w:t>
      </w:r>
    </w:p>
    <w:p>
      <w:pPr>
        <w:spacing w:after="0" w:line="83" w:lineRule="exact"/>
        <w:rPr>
          <w:sz w:val="20"/>
          <w:szCs w:val="20"/>
          <w:color w:val="auto"/>
        </w:rPr>
      </w:pPr>
    </w:p>
    <w:p>
      <w:pPr>
        <w:jc w:val="both"/>
        <w:ind w:right="200"/>
        <w:spacing w:after="0" w:line="268" w:lineRule="auto"/>
        <w:rPr>
          <w:sz w:val="20"/>
          <w:szCs w:val="20"/>
          <w:color w:val="auto"/>
        </w:rPr>
      </w:pPr>
      <w:r>
        <w:rPr>
          <w:rFonts w:ascii="Arial" w:cs="Arial" w:eastAsia="Arial" w:hAnsi="Arial"/>
          <w:sz w:val="18"/>
          <w:szCs w:val="18"/>
          <w:color w:val="auto"/>
        </w:rPr>
        <w:t>Over the past five years, the company’s total shareholder return (TSR) has exceeded the peer group’s TSR. The chosen peer group is the same as the group used for benchmarking compensation and for determining relative TSR performance for the relative value award. Lilly’s relative TSR outperformance was substantially attributable to</w:t>
      </w:r>
    </w:p>
    <w:p>
      <w:pPr>
        <w:sectPr>
          <w:pgSz w:w="11900" w:h="16838" w:orient="portrait"/>
          <w:cols w:equalWidth="0" w:num="1">
            <w:col w:w="11200"/>
          </w:cols>
          <w:pgMar w:left="320" w:top="804" w:right="37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103505</wp:posOffset>
            </wp:positionV>
            <wp:extent cx="7157720" cy="42545"/>
            <wp:wrapNone/>
            <wp:docPr id="2551" name="Picture 2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1"/>
                    <pic:cNvPicPr>
                      <a:picLocks noChangeAspect="1" noChangeArrowheads="1"/>
                    </pic:cNvPicPr>
                  </pic:nvPicPr>
                  <pic:blipFill>
                    <a:blip r:embed="rId25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04" w:right="379" w:bottom="1440" w:gutter="0" w:footer="0" w:header="0"/>
          <w:type w:val="continuous"/>
        </w:sectPr>
      </w:pPr>
    </w:p>
    <w:bookmarkStart w:id="79" w:name="page80"/>
    <w:bookmarkEnd w:id="79"/>
    <w:p>
      <w:pPr>
        <w:ind w:right="1080"/>
        <w:spacing w:after="0" w:line="287" w:lineRule="auto"/>
        <w:rPr>
          <w:sz w:val="20"/>
          <w:szCs w:val="20"/>
          <w:color w:val="auto"/>
        </w:rPr>
      </w:pPr>
      <w:r>
        <w:rPr>
          <w:rFonts w:ascii="Arial" w:cs="Arial" w:eastAsia="Arial" w:hAnsi="Arial"/>
          <w:sz w:val="18"/>
          <w:szCs w:val="18"/>
          <w:color w:val="auto"/>
        </w:rPr>
        <w:t>strong developments in our product pipeline and launches of new products and indications. As reflected in the chart below, this outperformance contributed to the PEO and non-PEOs’ compensation over the five-year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5760720" cy="2854325"/>
            <wp:wrapNone/>
            <wp:docPr id="2552" name="Picture 2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2"/>
                    <pic:cNvPicPr>
                      <a:picLocks noChangeAspect="1" noChangeArrowheads="1"/>
                    </pic:cNvPicPr>
                  </pic:nvPicPr>
                  <pic:blipFill>
                    <a:blip r:embed="rId2559">
                      <a:extLst>
                        <a:ext uri="{28A0092B-C50C-407E-A947-70E740481C1C}"/>
                      </a:extLst>
                    </a:blip>
                    <a:srcRect/>
                    <a:stretch>
                      <a:fillRect/>
                    </a:stretch>
                  </pic:blipFill>
                  <pic:spPr bwMode="auto">
                    <a:xfrm>
                      <a:off x="0" y="0"/>
                      <a:ext cx="5760720" cy="2854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5"/>
          <w:szCs w:val="25"/>
          <w:b w:val="1"/>
          <w:bCs w:val="1"/>
          <w:color w:val="00A1DE"/>
        </w:rPr>
        <w:t>Pay versus Net Income</w:t>
      </w:r>
    </w:p>
    <w:p>
      <w:pPr>
        <w:spacing w:after="0" w:line="6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Lilly does not utilize GAAP or non-GAAP net income as a metric in any of its incentive programs. Generally, CAP is not heavily correlated with GAAP net income because GAAP net income includes certain items that the Committee believes are not reflective of underlying business performance. By excluding the impact of (i) amortization of intangible assets primarily associated with costs of marketed products acquired or licensed from third parties, (ii) net losses or gains on investments in equity securities, and (iii) other specified items that are not reflective of underlying business performance, the Committee believes non-GAAP net income better represents the company’s operating performance. For comparison purposes, the graph below reflects both GAAP net income and non-GAAP net income against PEO and average non-PEO NEO CAP. The 2023 GAAP and non-GAAP net income results include significantly higher acquired IPR&amp;D charges compared to prior years. While immediately expensed for accounting purposes, the company views investments in acquired IPR&amp;D as important contributions to its pipeline of product candidates, which is a key driver of the company’s future performance. For additional information on non-GAAP financial metrics, see </w:t>
      </w:r>
      <w:r>
        <w:rPr>
          <w:rFonts w:ascii="Arial" w:cs="Arial" w:eastAsia="Arial" w:hAnsi="Arial"/>
          <w:sz w:val="18"/>
          <w:szCs w:val="18"/>
          <w:u w:val="single" w:color="auto"/>
          <w:color w:val="0000FF"/>
        </w:rPr>
        <w:t>Appendix A, “Summary of Adjustments Related to the Annual Cash Bonus and Performance</w:t>
      </w:r>
      <w:r>
        <w:rPr>
          <w:rFonts w:ascii="Arial" w:cs="Arial" w:eastAsia="Arial" w:hAnsi="Arial"/>
          <w:sz w:val="18"/>
          <w:szCs w:val="18"/>
          <w:color w:val="auto"/>
        </w:rPr>
        <w:t xml:space="preserve"> </w:t>
      </w:r>
      <w:r>
        <w:rPr>
          <w:rFonts w:ascii="Arial" w:cs="Arial" w:eastAsia="Arial" w:hAnsi="Arial"/>
          <w:sz w:val="18"/>
          <w:szCs w:val="18"/>
          <w:u w:val="single" w:color="auto"/>
          <w:color w:val="0000FF"/>
        </w:rPr>
        <w:t>Award</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5760720" cy="2503170"/>
            <wp:wrapNone/>
            <wp:docPr id="2553" name="Picture 2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3"/>
                    <pic:cNvPicPr>
                      <a:picLocks noChangeAspect="1" noChangeArrowheads="1"/>
                    </pic:cNvPicPr>
                  </pic:nvPicPr>
                  <pic:blipFill>
                    <a:blip r:embed="rId2560">
                      <a:extLst>
                        <a:ext uri="{28A0092B-C50C-407E-A947-70E740481C1C}"/>
                      </a:extLst>
                    </a:blip>
                    <a:srcRect/>
                    <a:stretch>
                      <a:fillRect/>
                    </a:stretch>
                  </pic:blipFill>
                  <pic:spPr bwMode="auto">
                    <a:xfrm>
                      <a:off x="0" y="0"/>
                      <a:ext cx="5760720" cy="2503170"/>
                    </a:xfrm>
                    <a:prstGeom prst="rect">
                      <a:avLst/>
                    </a:prstGeom>
                    <a:noFill/>
                  </pic:spPr>
                </pic:pic>
              </a:graphicData>
            </a:graphic>
          </wp:anchor>
        </w:drawing>
      </w:r>
    </w:p>
    <w:p>
      <w:pPr>
        <w:sectPr>
          <w:pgSz w:w="11900" w:h="16838" w:orient="portrait"/>
          <w:cols w:equalWidth="0" w:num="1">
            <w:col w:w="11160"/>
          </w:cols>
          <w:pgMar w:left="320" w:top="769"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103505</wp:posOffset>
            </wp:positionV>
            <wp:extent cx="7157720" cy="42545"/>
            <wp:wrapNone/>
            <wp:docPr id="2554" name="Picture 2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4"/>
                    <pic:cNvPicPr>
                      <a:picLocks noChangeAspect="1" noChangeArrowheads="1"/>
                    </pic:cNvPicPr>
                  </pic:nvPicPr>
                  <pic:blipFill>
                    <a:blip r:embed="rId25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769" w:right="419" w:bottom="1440" w:gutter="0" w:footer="0" w:header="0"/>
          <w:type w:val="continuous"/>
        </w:sectPr>
      </w:pPr>
    </w:p>
    <w:bookmarkStart w:id="80" w:name="page81"/>
    <w:bookmarkEnd w:id="80"/>
    <w:p>
      <w:pPr>
        <w:ind w:left="180" w:right="80" w:hanging="172"/>
        <w:spacing w:after="0" w:line="305" w:lineRule="auto"/>
        <w:tabs>
          <w:tab w:leader="none" w:pos="114" w:val="left"/>
        </w:tabs>
        <w:numPr>
          <w:ilvl w:val="0"/>
          <w:numId w:val="186"/>
        </w:numPr>
        <w:rPr>
          <w:rFonts w:ascii="Arial" w:cs="Arial" w:eastAsia="Arial" w:hAnsi="Arial"/>
          <w:sz w:val="14"/>
          <w:szCs w:val="14"/>
          <w:color w:val="auto"/>
        </w:rPr>
      </w:pPr>
      <w:r>
        <w:rPr>
          <w:rFonts w:ascii="Arial" w:cs="Arial" w:eastAsia="Arial" w:hAnsi="Arial"/>
          <w:sz w:val="14"/>
          <w:szCs w:val="14"/>
          <w:color w:val="auto"/>
        </w:rPr>
        <w:t>GAAP net income and non-GAAP net income are discrete outcomes. GAAP net income and non-GAAP net income figures shown in the graphic above both include acquired IPR&amp;D charges, net of taxes, as follows: $680.3 million in 2020, $785.5 million in 2021, $813.2 million in 2022, $3.70 billion in 2023, and $3.18 billion in 2024.</w:t>
      </w:r>
    </w:p>
    <w:p>
      <w:pPr>
        <w:spacing w:after="0" w:line="89" w:lineRule="exact"/>
        <w:rPr>
          <w:sz w:val="20"/>
          <w:szCs w:val="20"/>
          <w:color w:val="auto"/>
        </w:rPr>
      </w:pPr>
    </w:p>
    <w:p>
      <w:pPr>
        <w:spacing w:after="0"/>
        <w:rPr>
          <w:sz w:val="20"/>
          <w:szCs w:val="20"/>
          <w:color w:val="auto"/>
        </w:rPr>
      </w:pPr>
      <w:r>
        <w:rPr>
          <w:rFonts w:ascii="Arial" w:cs="Arial" w:eastAsia="Arial" w:hAnsi="Arial"/>
          <w:sz w:val="25"/>
          <w:szCs w:val="25"/>
          <w:b w:val="1"/>
          <w:bCs w:val="1"/>
          <w:color w:val="00A1DE"/>
        </w:rPr>
        <w:t>Pay versus Adjusted Non-GAAP EPS</w:t>
      </w:r>
    </w:p>
    <w:p>
      <w:pPr>
        <w:spacing w:after="0" w:line="69"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 xml:space="preserve">Lilly has chosen adjusted non-GAAP EPS as its most important company selected measure (CSM). Lilly leverages annual non-GAAP EPS derived from the board-approved business plan to set targets for the Lilly bonus. Additionally, Lilly used a non-GAAP EPS derived from the median external analyst anticipated two-year non-GAAP EPS growth for our peer group to set our growth goal for our performance award. While these two approaches differ in performance period duration and source of performance comparison, significant sustained profitability growth can contribute to higher total CAP as seen in the graphic below. For additional information on non-GAAP financial metrics, see </w:t>
      </w:r>
      <w:r>
        <w:rPr>
          <w:rFonts w:ascii="Arial" w:cs="Arial" w:eastAsia="Arial" w:hAnsi="Arial"/>
          <w:sz w:val="18"/>
          <w:szCs w:val="18"/>
          <w:u w:val="single" w:color="auto"/>
          <w:color w:val="0000FF"/>
        </w:rPr>
        <w:t>Appendix A, “Summary of Adjustments Related to the Annual Cash Bonus and Performance Award</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5760720" cy="2606040"/>
            <wp:wrapNone/>
            <wp:docPr id="2555" name="Picture 2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5"/>
                    <pic:cNvPicPr>
                      <a:picLocks noChangeAspect="1" noChangeArrowheads="1"/>
                    </pic:cNvPicPr>
                  </pic:nvPicPr>
                  <pic:blipFill>
                    <a:blip r:embed="rId2562">
                      <a:extLst>
                        <a:ext uri="{28A0092B-C50C-407E-A947-70E740481C1C}"/>
                      </a:extLst>
                    </a:blip>
                    <a:srcRect/>
                    <a:stretch>
                      <a:fillRect/>
                    </a:stretch>
                  </pic:blipFill>
                  <pic:spPr bwMode="auto">
                    <a:xfrm>
                      <a:off x="0" y="0"/>
                      <a:ext cx="5760720" cy="2606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60" w:hanging="252"/>
        <w:spacing w:after="0"/>
        <w:tabs>
          <w:tab w:leader="none" w:pos="260" w:val="left"/>
        </w:tabs>
        <w:numPr>
          <w:ilvl w:val="0"/>
          <w:numId w:val="187"/>
        </w:numPr>
        <w:rPr>
          <w:rFonts w:ascii="Arial" w:cs="Arial" w:eastAsia="Arial" w:hAnsi="Arial"/>
          <w:sz w:val="14"/>
          <w:szCs w:val="14"/>
          <w:color w:val="auto"/>
        </w:rPr>
      </w:pPr>
      <w:r>
        <w:rPr>
          <w:rFonts w:ascii="Arial" w:cs="Arial" w:eastAsia="Arial" w:hAnsi="Arial"/>
          <w:sz w:val="14"/>
          <w:szCs w:val="14"/>
          <w:color w:val="auto"/>
        </w:rPr>
        <w:t>Adjusted non-GAAP EPS data points are discrete outcomes.</w:t>
      </w:r>
    </w:p>
    <w:p>
      <w:pPr>
        <w:spacing w:after="0" w:line="148" w:lineRule="exact"/>
        <w:rPr>
          <w:sz w:val="20"/>
          <w:szCs w:val="20"/>
          <w:color w:val="auto"/>
        </w:rPr>
      </w:pPr>
    </w:p>
    <w:p>
      <w:pPr>
        <w:spacing w:after="0"/>
        <w:rPr>
          <w:sz w:val="20"/>
          <w:szCs w:val="20"/>
          <w:color w:val="auto"/>
        </w:rPr>
      </w:pPr>
      <w:r>
        <w:rPr>
          <w:rFonts w:ascii="Arial" w:cs="Arial" w:eastAsia="Arial" w:hAnsi="Arial"/>
          <w:sz w:val="25"/>
          <w:szCs w:val="25"/>
          <w:b w:val="1"/>
          <w:bCs w:val="1"/>
          <w:color w:val="00A1DE"/>
        </w:rPr>
        <w:t>Pay versus Revenue</w:t>
      </w:r>
    </w:p>
    <w:p>
      <w:pPr>
        <w:spacing w:after="0" w:line="8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Lilly strives to make breakthrough medicines available to patients around the globe. Given a growing portfolio of new medicines, we motivate our entire workforce to reach as many patients as possible. The combination of a strong product portfolio and effective patient delivery yields higher sales volume and, generally, higher revenue. As such, revenue is one of our most important measures to ensure we are continuously growing the number of patients we serve. Generally, our revenue over the preceding five-year period aligns with the growth in PEO and average non-PEO CAP.</w:t>
      </w:r>
    </w:p>
    <w:p>
      <w:pPr>
        <w:spacing w:after="0" w:line="200" w:lineRule="exact"/>
        <w:rPr>
          <w:sz w:val="20"/>
          <w:szCs w:val="20"/>
          <w:color w:val="auto"/>
        </w:rPr>
      </w:pPr>
    </w:p>
    <w:p>
      <w:pPr>
        <w:spacing w:after="0" w:line="322"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88900</wp:posOffset>
            </wp:positionV>
            <wp:extent cx="7157720" cy="42545"/>
            <wp:wrapNone/>
            <wp:docPr id="2556" name="Picture 2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6"/>
                    <pic:cNvPicPr>
                      <a:picLocks noChangeAspect="1" noChangeArrowheads="1"/>
                    </pic:cNvPicPr>
                  </pic:nvPicPr>
                  <pic:blipFill>
                    <a:blip r:embed="rId25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78" w:right="399" w:bottom="1440" w:gutter="0" w:footer="0" w:header="0"/>
        </w:sectPr>
      </w:pPr>
    </w:p>
    <w:bookmarkStart w:id="81" w:name="page82"/>
    <w:bookmarkEnd w:id="8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5760720" cy="2528570"/>
            <wp:wrapNone/>
            <wp:docPr id="2557" name="Picture 2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7"/>
                    <pic:cNvPicPr>
                      <a:picLocks noChangeAspect="1" noChangeArrowheads="1"/>
                    </pic:cNvPicPr>
                  </pic:nvPicPr>
                  <pic:blipFill>
                    <a:blip r:embed="rId2564">
                      <a:clrChange>
                        <a:clrFrom>
                          <a:srgbClr val="FFFFFF"/>
                        </a:clrFrom>
                        <a:clrTo>
                          <a:srgbClr val="FFFFFF">
                            <a:alpha val="0"/>
                          </a:srgbClr>
                        </a:clrTo>
                      </a:clrChange>
                      <a:extLst>
                        <a:ext uri="{28A0092B-C50C-407E-A947-70E740481C1C}"/>
                      </a:extLst>
                    </a:blip>
                    <a:srcRect/>
                    <a:stretch>
                      <a:fillRect/>
                    </a:stretch>
                  </pic:blipFill>
                  <pic:spPr bwMode="auto">
                    <a:xfrm>
                      <a:off x="0" y="0"/>
                      <a:ext cx="5760720" cy="2528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220" w:hanging="212"/>
        <w:spacing w:after="0"/>
        <w:tabs>
          <w:tab w:leader="none" w:pos="220" w:val="left"/>
        </w:tabs>
        <w:numPr>
          <w:ilvl w:val="0"/>
          <w:numId w:val="188"/>
        </w:numPr>
        <w:rPr>
          <w:rFonts w:ascii="Arial" w:cs="Arial" w:eastAsia="Arial" w:hAnsi="Arial"/>
          <w:sz w:val="14"/>
          <w:szCs w:val="14"/>
          <w:color w:val="auto"/>
        </w:rPr>
      </w:pPr>
      <w:r>
        <w:rPr>
          <w:rFonts w:ascii="Arial" w:cs="Arial" w:eastAsia="Arial" w:hAnsi="Arial"/>
          <w:sz w:val="14"/>
          <w:szCs w:val="14"/>
          <w:color w:val="auto"/>
        </w:rPr>
        <w:t>Revenue data points are discrete outcomes.</w:t>
      </w:r>
    </w:p>
    <w:p>
      <w:pPr>
        <w:spacing w:after="0" w:line="148" w:lineRule="exact"/>
        <w:rPr>
          <w:sz w:val="20"/>
          <w:szCs w:val="20"/>
          <w:color w:val="auto"/>
        </w:rPr>
      </w:pPr>
    </w:p>
    <w:p>
      <w:pPr>
        <w:spacing w:after="0"/>
        <w:rPr>
          <w:sz w:val="20"/>
          <w:szCs w:val="20"/>
          <w:color w:val="auto"/>
        </w:rPr>
      </w:pPr>
      <w:r>
        <w:rPr>
          <w:rFonts w:ascii="Arial" w:cs="Arial" w:eastAsia="Arial" w:hAnsi="Arial"/>
          <w:sz w:val="25"/>
          <w:szCs w:val="25"/>
          <w:b w:val="1"/>
          <w:bCs w:val="1"/>
          <w:color w:val="00A1DE"/>
        </w:rPr>
        <w:t>Pay versus Performance: Conclusions</w:t>
      </w:r>
    </w:p>
    <w:p>
      <w:pPr>
        <w:spacing w:after="0" w:line="83" w:lineRule="exact"/>
        <w:rPr>
          <w:sz w:val="20"/>
          <w:szCs w:val="20"/>
          <w:color w:val="auto"/>
        </w:rPr>
      </w:pPr>
    </w:p>
    <w:p>
      <w:pPr>
        <w:jc w:val="both"/>
        <w:ind w:right="60"/>
        <w:spacing w:after="0" w:line="262" w:lineRule="auto"/>
        <w:rPr>
          <w:sz w:val="20"/>
          <w:szCs w:val="20"/>
          <w:color w:val="auto"/>
        </w:rPr>
      </w:pPr>
      <w:r>
        <w:rPr>
          <w:rFonts w:ascii="Arial" w:cs="Arial" w:eastAsia="Arial" w:hAnsi="Arial"/>
          <w:sz w:val="18"/>
          <w:szCs w:val="18"/>
          <w:color w:val="auto"/>
        </w:rPr>
        <w:t>The Committee believes in pay for performance and has structured the Lilly compensation programs to reward leaders when the company is delivering strong results. Lilly has had strong cumulative TSR, EPS and revenue growth over the immediately preceding five-year period. As a result of this strong performance, shareholders have been rewarded with significant total stock returns, and leadership has been rewarded with above target payouts from their incentive compensation programs.</w:t>
      </w:r>
    </w:p>
    <w:p>
      <w:pPr>
        <w:spacing w:after="0" w:line="317" w:lineRule="exact"/>
        <w:rPr>
          <w:sz w:val="20"/>
          <w:szCs w:val="20"/>
          <w:color w:val="auto"/>
        </w:rPr>
      </w:pPr>
    </w:p>
    <w:p>
      <w:pPr>
        <w:spacing w:after="0"/>
        <w:rPr>
          <w:sz w:val="20"/>
          <w:szCs w:val="20"/>
          <w:color w:val="auto"/>
        </w:rPr>
      </w:pPr>
      <w:r>
        <w:rPr>
          <w:rFonts w:ascii="Arial" w:cs="Arial" w:eastAsia="Arial" w:hAnsi="Arial"/>
          <w:sz w:val="52"/>
          <w:szCs w:val="52"/>
          <w:b w:val="1"/>
          <w:bCs w:val="1"/>
          <w:color w:val="auto"/>
        </w:rPr>
        <w:t>Audit Matters</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32"/>
          <w:szCs w:val="32"/>
          <w:b w:val="1"/>
          <w:bCs w:val="1"/>
          <w:color w:val="D52B1E"/>
        </w:rPr>
        <w:t>Item 3. Ratification of the Appointment of the Independent Auditor</w:t>
      </w:r>
    </w:p>
    <w:p>
      <w:pPr>
        <w:spacing w:after="0" w:line="191" w:lineRule="exact"/>
        <w:rPr>
          <w:sz w:val="20"/>
          <w:szCs w:val="20"/>
          <w:color w:val="auto"/>
        </w:rPr>
      </w:pPr>
    </w:p>
    <w:p>
      <w:pPr>
        <w:spacing w:after="0"/>
        <w:rPr>
          <w:sz w:val="20"/>
          <w:szCs w:val="20"/>
          <w:color w:val="auto"/>
        </w:rPr>
      </w:pPr>
      <w:r>
        <w:rPr>
          <w:rFonts w:ascii="Arial" w:cs="Arial" w:eastAsia="Arial" w:hAnsi="Arial"/>
          <w:sz w:val="25"/>
          <w:szCs w:val="25"/>
          <w:b w:val="1"/>
          <w:bCs w:val="1"/>
          <w:color w:val="00A1DE"/>
        </w:rPr>
        <w:t>Audit Committee Oversight of the Independent Auditor</w:t>
      </w:r>
    </w:p>
    <w:p>
      <w:pPr>
        <w:spacing w:after="0" w:line="6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The Audit Committee is responsible for the appointment, compensation, retention, and oversight of the independent auditor and oversees the process for reviewing and evaluating the lead audit partner. Further information regarding the Audit Committee’s oversight of the independent auditor can be found in the Audit Committee charter, available online at </w:t>
      </w:r>
      <w:r>
        <w:rPr>
          <w:rFonts w:ascii="Arial" w:cs="Arial" w:eastAsia="Arial" w:hAnsi="Arial"/>
          <w:sz w:val="18"/>
          <w:szCs w:val="18"/>
          <w:color w:val="D52B1E"/>
        </w:rPr>
        <w:t>lilly.com/leadership/governance</w:t>
      </w:r>
      <w:r>
        <w:rPr>
          <w:rFonts w:ascii="Arial" w:cs="Arial" w:eastAsia="Arial" w:hAnsi="Arial"/>
          <w:sz w:val="18"/>
          <w:szCs w:val="18"/>
          <w:color w:val="auto"/>
        </w:rPr>
        <w:t>.</w:t>
      </w:r>
    </w:p>
    <w:p>
      <w:pPr>
        <w:spacing w:after="0" w:line="120" w:lineRule="exact"/>
        <w:rPr>
          <w:sz w:val="20"/>
          <w:szCs w:val="20"/>
          <w:color w:val="auto"/>
        </w:rPr>
      </w:pPr>
    </w:p>
    <w:p>
      <w:pPr>
        <w:ind w:right="480"/>
        <w:spacing w:after="0" w:line="239" w:lineRule="auto"/>
        <w:rPr>
          <w:sz w:val="20"/>
          <w:szCs w:val="20"/>
          <w:color w:val="auto"/>
        </w:rPr>
      </w:pPr>
      <w:r>
        <w:rPr>
          <w:rFonts w:ascii="Arial" w:cs="Arial" w:eastAsia="Arial" w:hAnsi="Arial"/>
          <w:sz w:val="22"/>
          <w:szCs w:val="22"/>
          <w:b w:val="1"/>
          <w:bCs w:val="1"/>
          <w:color w:val="auto"/>
        </w:rPr>
        <w:t xml:space="preserve">Evaluation Process: </w:t>
      </w:r>
      <w:r>
        <w:rPr>
          <w:rFonts w:ascii="Arial" w:cs="Arial" w:eastAsia="Arial" w:hAnsi="Arial"/>
          <w:sz w:val="17"/>
          <w:szCs w:val="17"/>
          <w:color w:val="auto"/>
        </w:rPr>
        <w:t>In connection with the decision regarding whether to reappoint the independent auditor each year (subject to</w:t>
      </w:r>
      <w:r>
        <w:rPr>
          <w:rFonts w:ascii="Arial" w:cs="Arial" w:eastAsia="Arial" w:hAnsi="Arial"/>
          <w:sz w:val="22"/>
          <w:szCs w:val="22"/>
          <w:b w:val="1"/>
          <w:bCs w:val="1"/>
          <w:color w:val="auto"/>
        </w:rPr>
        <w:t xml:space="preserve"> </w:t>
      </w:r>
      <w:r>
        <w:rPr>
          <w:rFonts w:ascii="Arial" w:cs="Arial" w:eastAsia="Arial" w:hAnsi="Arial"/>
          <w:sz w:val="17"/>
          <w:szCs w:val="17"/>
          <w:color w:val="auto"/>
        </w:rPr>
        <w:t>shareholder ratification), the Audit Committee assesses the independent auditor’s performance. This assessment includes:</w:t>
      </w:r>
    </w:p>
    <w:p>
      <w:pPr>
        <w:spacing w:after="0" w:line="32" w:lineRule="exact"/>
        <w:rPr>
          <w:sz w:val="20"/>
          <w:szCs w:val="20"/>
          <w:color w:val="auto"/>
        </w:rPr>
      </w:pPr>
    </w:p>
    <w:p>
      <w:pPr>
        <w:ind w:left="640" w:hanging="308"/>
        <w:spacing w:after="0"/>
        <w:tabs>
          <w:tab w:leader="none" w:pos="64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the independent auditor’s qualifications and experience;</w:t>
      </w:r>
    </w:p>
    <w:p>
      <w:pPr>
        <w:spacing w:after="0" w:line="63" w:lineRule="exact"/>
        <w:rPr>
          <w:rFonts w:ascii="Arial" w:cs="Arial" w:eastAsia="Arial" w:hAnsi="Arial"/>
          <w:sz w:val="18"/>
          <w:szCs w:val="18"/>
          <w:color w:val="auto"/>
        </w:rPr>
      </w:pPr>
    </w:p>
    <w:p>
      <w:pPr>
        <w:ind w:left="640" w:hanging="308"/>
        <w:spacing w:after="0"/>
        <w:tabs>
          <w:tab w:leader="none" w:pos="64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the communication and interactions with the auditor over the course of the year;</w:t>
      </w:r>
    </w:p>
    <w:p>
      <w:pPr>
        <w:spacing w:after="0" w:line="63" w:lineRule="exact"/>
        <w:rPr>
          <w:rFonts w:ascii="Arial" w:cs="Arial" w:eastAsia="Arial" w:hAnsi="Arial"/>
          <w:sz w:val="18"/>
          <w:szCs w:val="18"/>
          <w:color w:val="auto"/>
        </w:rPr>
      </w:pPr>
    </w:p>
    <w:p>
      <w:pPr>
        <w:ind w:left="640" w:hanging="308"/>
        <w:spacing w:after="0"/>
        <w:tabs>
          <w:tab w:leader="none" w:pos="64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the auditor’s independence, objectivity, and professional skepticism; and</w:t>
      </w:r>
    </w:p>
    <w:p>
      <w:pPr>
        <w:spacing w:after="0" w:line="63" w:lineRule="exact"/>
        <w:rPr>
          <w:rFonts w:ascii="Arial" w:cs="Arial" w:eastAsia="Arial" w:hAnsi="Arial"/>
          <w:sz w:val="18"/>
          <w:szCs w:val="18"/>
          <w:color w:val="auto"/>
        </w:rPr>
      </w:pPr>
    </w:p>
    <w:p>
      <w:pPr>
        <w:ind w:left="640" w:hanging="308"/>
        <w:spacing w:after="0"/>
        <w:tabs>
          <w:tab w:leader="none" w:pos="64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the independent auditor’s tenure.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These criteria are assessed against an internal and an external scorecard and are discussed with management during a private session.</w:t>
      </w:r>
    </w:p>
    <w:p>
      <w:pPr>
        <w:spacing w:after="0" w:line="171"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Based on the Audit Committee’s assessment of Ernst &amp; Young LLP’s (EY) performance during 2024, the Audit Committee believes that the continued retention of EY to serve as the company's independent auditor is in the</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88900</wp:posOffset>
            </wp:positionV>
            <wp:extent cx="7157720" cy="42545"/>
            <wp:wrapNone/>
            <wp:docPr id="2558" name="Picture 2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8"/>
                    <pic:cNvPicPr>
                      <a:picLocks noChangeAspect="1" noChangeArrowheads="1"/>
                    </pic:cNvPicPr>
                  </pic:nvPicPr>
                  <pic:blipFill>
                    <a:blip r:embed="rId25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2" w:name="page83"/>
    <w:bookmarkEnd w:id="82"/>
    <w:p>
      <w:pPr>
        <w:spacing w:after="0"/>
        <w:rPr>
          <w:sz w:val="20"/>
          <w:szCs w:val="20"/>
          <w:color w:val="auto"/>
        </w:rPr>
      </w:pPr>
      <w:r>
        <w:rPr>
          <w:rFonts w:ascii="Arial" w:cs="Arial" w:eastAsia="Arial" w:hAnsi="Arial"/>
          <w:sz w:val="18"/>
          <w:szCs w:val="18"/>
          <w:color w:val="auto"/>
        </w:rPr>
        <w:t>best interests of the company and its shareholders and has therefore reappointed EY as the company’s independent auditor for 2025.</w:t>
      </w:r>
    </w:p>
    <w:p>
      <w:pPr>
        <w:spacing w:after="0" w:line="229" w:lineRule="exact"/>
        <w:rPr>
          <w:sz w:val="20"/>
          <w:szCs w:val="20"/>
          <w:color w:val="auto"/>
        </w:rPr>
      </w:pPr>
    </w:p>
    <w:p>
      <w:pPr>
        <w:ind w:right="400"/>
        <w:spacing w:after="0" w:line="233" w:lineRule="auto"/>
        <w:rPr>
          <w:sz w:val="20"/>
          <w:szCs w:val="20"/>
          <w:color w:val="auto"/>
        </w:rPr>
      </w:pPr>
      <w:r>
        <w:rPr>
          <w:rFonts w:ascii="Arial" w:cs="Arial" w:eastAsia="Arial" w:hAnsi="Arial"/>
          <w:sz w:val="22"/>
          <w:szCs w:val="22"/>
          <w:b w:val="1"/>
          <w:bCs w:val="1"/>
          <w:color w:val="auto"/>
        </w:rPr>
        <w:t xml:space="preserve">Benefits of Longer Tenure: </w:t>
      </w:r>
      <w:r>
        <w:rPr>
          <w:rFonts w:ascii="Arial" w:cs="Arial" w:eastAsia="Arial" w:hAnsi="Arial"/>
          <w:sz w:val="17"/>
          <w:szCs w:val="17"/>
          <w:color w:val="auto"/>
        </w:rPr>
        <w:t>EY has served as the independent auditor for the company since 1940. There are several benefits of</w:t>
      </w:r>
      <w:r>
        <w:rPr>
          <w:rFonts w:ascii="Arial" w:cs="Arial" w:eastAsia="Arial" w:hAnsi="Arial"/>
          <w:sz w:val="22"/>
          <w:szCs w:val="22"/>
          <w:b w:val="1"/>
          <w:bCs w:val="1"/>
          <w:color w:val="auto"/>
        </w:rPr>
        <w:t xml:space="preserve"> </w:t>
      </w:r>
      <w:r>
        <w:rPr>
          <w:rFonts w:ascii="Arial" w:cs="Arial" w:eastAsia="Arial" w:hAnsi="Arial"/>
          <w:sz w:val="17"/>
          <w:szCs w:val="17"/>
          <w:color w:val="auto"/>
        </w:rPr>
        <w:t>retaining a longer-tenured independent auditor, including:</w:t>
      </w:r>
    </w:p>
    <w:p>
      <w:pPr>
        <w:spacing w:after="0" w:line="189" w:lineRule="exact"/>
        <w:rPr>
          <w:sz w:val="20"/>
          <w:szCs w:val="20"/>
          <w:color w:val="auto"/>
        </w:rPr>
      </w:pPr>
    </w:p>
    <w:p>
      <w:pPr>
        <w:ind w:left="400" w:right="520" w:hanging="327"/>
        <w:spacing w:after="0" w:line="267" w:lineRule="auto"/>
        <w:tabs>
          <w:tab w:leader="none" w:pos="393" w:val="left"/>
        </w:tabs>
        <w:numPr>
          <w:ilvl w:val="0"/>
          <w:numId w:val="190"/>
        </w:numPr>
        <w:rPr>
          <w:rFonts w:ascii="Wingdings" w:cs="Wingdings" w:eastAsia="Wingdings" w:hAnsi="Wingdings"/>
          <w:sz w:val="18"/>
          <w:szCs w:val="18"/>
          <w:b w:val="1"/>
          <w:bCs w:val="1"/>
          <w:color w:val="494949"/>
        </w:rPr>
      </w:pPr>
      <w:r>
        <w:rPr>
          <w:rFonts w:ascii="Arial" w:cs="Arial" w:eastAsia="Arial" w:hAnsi="Arial"/>
          <w:sz w:val="20"/>
          <w:szCs w:val="20"/>
          <w:b w:val="1"/>
          <w:bCs w:val="1"/>
          <w:color w:val="D52B1E"/>
        </w:rPr>
        <w:t xml:space="preserve">Qualifications and experience </w:t>
      </w:r>
      <w:r>
        <w:rPr>
          <w:rFonts w:ascii="Arial" w:cs="Arial" w:eastAsia="Arial" w:hAnsi="Arial"/>
          <w:sz w:val="17"/>
          <w:szCs w:val="17"/>
          <w:color w:val="000000"/>
        </w:rPr>
        <w:t>- institutional knowledge and expertise regarding the company’s global operations, accounting</w:t>
      </w:r>
      <w:r>
        <w:rPr>
          <w:rFonts w:ascii="Arial" w:cs="Arial" w:eastAsia="Arial" w:hAnsi="Arial"/>
          <w:sz w:val="20"/>
          <w:szCs w:val="20"/>
          <w:b w:val="1"/>
          <w:bCs w:val="1"/>
          <w:color w:val="D52B1E"/>
        </w:rPr>
        <w:t xml:space="preserve"> </w:t>
      </w:r>
      <w:r>
        <w:rPr>
          <w:rFonts w:ascii="Arial" w:cs="Arial" w:eastAsia="Arial" w:hAnsi="Arial"/>
          <w:sz w:val="17"/>
          <w:szCs w:val="17"/>
          <w:color w:val="000000"/>
        </w:rPr>
        <w:t>policies and practices, and internal controls over financial reporting.</w:t>
      </w:r>
    </w:p>
    <w:p>
      <w:pPr>
        <w:spacing w:after="0" w:line="163" w:lineRule="exact"/>
        <w:rPr>
          <w:rFonts w:ascii="Wingdings" w:cs="Wingdings" w:eastAsia="Wingdings" w:hAnsi="Wingdings"/>
          <w:sz w:val="18"/>
          <w:szCs w:val="18"/>
          <w:b w:val="1"/>
          <w:bCs w:val="1"/>
          <w:color w:val="494949"/>
        </w:rPr>
      </w:pPr>
    </w:p>
    <w:p>
      <w:pPr>
        <w:ind w:left="400" w:right="760" w:hanging="327"/>
        <w:spacing w:after="0" w:line="253" w:lineRule="auto"/>
        <w:tabs>
          <w:tab w:leader="none" w:pos="393" w:val="left"/>
        </w:tabs>
        <w:numPr>
          <w:ilvl w:val="0"/>
          <w:numId w:val="190"/>
        </w:numPr>
        <w:rPr>
          <w:rFonts w:ascii="Wingdings" w:cs="Wingdings" w:eastAsia="Wingdings" w:hAnsi="Wingdings"/>
          <w:sz w:val="18"/>
          <w:szCs w:val="18"/>
          <w:b w:val="1"/>
          <w:bCs w:val="1"/>
          <w:color w:val="494949"/>
        </w:rPr>
      </w:pPr>
      <w:r>
        <w:rPr>
          <w:rFonts w:ascii="Arial" w:cs="Arial" w:eastAsia="Arial" w:hAnsi="Arial"/>
          <w:sz w:val="20"/>
          <w:szCs w:val="20"/>
          <w:b w:val="1"/>
          <w:bCs w:val="1"/>
          <w:color w:val="D52B1E"/>
        </w:rPr>
        <w:t xml:space="preserve">Competitive fees </w:t>
      </w:r>
      <w:r>
        <w:rPr>
          <w:rFonts w:ascii="Arial" w:cs="Arial" w:eastAsia="Arial" w:hAnsi="Arial"/>
          <w:sz w:val="17"/>
          <w:szCs w:val="17"/>
          <w:color w:val="000000"/>
        </w:rPr>
        <w:t>- audit and other fees are competitive with peer companies because of familiarity with the company and its</w:t>
      </w:r>
      <w:r>
        <w:rPr>
          <w:rFonts w:ascii="Arial" w:cs="Arial" w:eastAsia="Arial" w:hAnsi="Arial"/>
          <w:sz w:val="20"/>
          <w:szCs w:val="20"/>
          <w:b w:val="1"/>
          <w:bCs w:val="1"/>
          <w:color w:val="D52B1E"/>
        </w:rPr>
        <w:t xml:space="preserve"> </w:t>
      </w:r>
      <w:r>
        <w:rPr>
          <w:rFonts w:ascii="Arial" w:cs="Arial" w:eastAsia="Arial" w:hAnsi="Arial"/>
          <w:sz w:val="17"/>
          <w:szCs w:val="17"/>
          <w:color w:val="000000"/>
        </w:rPr>
        <w:t>operations.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Independence Controls</w:t>
      </w:r>
    </w:p>
    <w:p>
      <w:pPr>
        <w:spacing w:after="0" w:line="224" w:lineRule="exact"/>
        <w:rPr>
          <w:sz w:val="20"/>
          <w:szCs w:val="20"/>
          <w:color w:val="auto"/>
        </w:rPr>
      </w:pPr>
    </w:p>
    <w:p>
      <w:pPr>
        <w:ind w:left="400" w:right="100" w:hanging="327"/>
        <w:spacing w:after="0" w:line="278" w:lineRule="auto"/>
        <w:tabs>
          <w:tab w:leader="none" w:pos="393" w:val="left"/>
        </w:tabs>
        <w:numPr>
          <w:ilvl w:val="0"/>
          <w:numId w:val="191"/>
        </w:numPr>
        <w:rPr>
          <w:rFonts w:ascii="Wingdings" w:cs="Wingdings" w:eastAsia="Wingdings" w:hAnsi="Wingdings"/>
          <w:sz w:val="18"/>
          <w:szCs w:val="18"/>
          <w:b w:val="1"/>
          <w:bCs w:val="1"/>
          <w:color w:val="494949"/>
        </w:rPr>
      </w:pPr>
      <w:r>
        <w:rPr>
          <w:rFonts w:ascii="Arial" w:cs="Arial" w:eastAsia="Arial" w:hAnsi="Arial"/>
          <w:sz w:val="20"/>
          <w:szCs w:val="20"/>
          <w:b w:val="1"/>
          <w:bCs w:val="1"/>
          <w:color w:val="D52B1E"/>
        </w:rPr>
        <w:t xml:space="preserve">EY’s internal independence assessment </w:t>
      </w:r>
      <w:r>
        <w:rPr>
          <w:rFonts w:ascii="Arial" w:cs="Arial" w:eastAsia="Arial" w:hAnsi="Arial"/>
          <w:sz w:val="17"/>
          <w:szCs w:val="17"/>
          <w:color w:val="000000"/>
        </w:rPr>
        <w:t>- EY conducts periodic internal reviews of its audit and other work, assesses the</w:t>
      </w:r>
      <w:r>
        <w:rPr>
          <w:rFonts w:ascii="Arial" w:cs="Arial" w:eastAsia="Arial" w:hAnsi="Arial"/>
          <w:sz w:val="20"/>
          <w:szCs w:val="20"/>
          <w:b w:val="1"/>
          <w:bCs w:val="1"/>
          <w:color w:val="D52B1E"/>
        </w:rPr>
        <w:t xml:space="preserve"> </w:t>
      </w:r>
      <w:r>
        <w:rPr>
          <w:rFonts w:ascii="Arial" w:cs="Arial" w:eastAsia="Arial" w:hAnsi="Arial"/>
          <w:sz w:val="17"/>
          <w:szCs w:val="17"/>
          <w:color w:val="000000"/>
        </w:rPr>
        <w:t>adequacy of partners and other personnel working on the Company’s account and rotates the lead assurance engagement partner, the global coordinating partner, and other partners on the engagement consistent with independence requirements.</w:t>
      </w:r>
    </w:p>
    <w:p>
      <w:pPr>
        <w:spacing w:after="0" w:line="158" w:lineRule="exact"/>
        <w:rPr>
          <w:rFonts w:ascii="Wingdings" w:cs="Wingdings" w:eastAsia="Wingdings" w:hAnsi="Wingdings"/>
          <w:sz w:val="18"/>
          <w:szCs w:val="18"/>
          <w:b w:val="1"/>
          <w:bCs w:val="1"/>
          <w:color w:val="494949"/>
        </w:rPr>
      </w:pPr>
    </w:p>
    <w:p>
      <w:pPr>
        <w:ind w:left="400" w:right="460" w:hanging="327"/>
        <w:spacing w:after="0" w:line="267" w:lineRule="auto"/>
        <w:tabs>
          <w:tab w:leader="none" w:pos="393" w:val="left"/>
        </w:tabs>
        <w:numPr>
          <w:ilvl w:val="0"/>
          <w:numId w:val="191"/>
        </w:numPr>
        <w:rPr>
          <w:rFonts w:ascii="Wingdings" w:cs="Wingdings" w:eastAsia="Wingdings" w:hAnsi="Wingdings"/>
          <w:sz w:val="18"/>
          <w:szCs w:val="18"/>
          <w:b w:val="1"/>
          <w:bCs w:val="1"/>
          <w:color w:val="494949"/>
        </w:rPr>
      </w:pPr>
      <w:r>
        <w:rPr>
          <w:rFonts w:ascii="Arial" w:cs="Arial" w:eastAsia="Arial" w:hAnsi="Arial"/>
          <w:sz w:val="20"/>
          <w:szCs w:val="20"/>
          <w:b w:val="1"/>
          <w:bCs w:val="1"/>
          <w:color w:val="D52B1E"/>
        </w:rPr>
        <w:t xml:space="preserve">Limits on non-audit services </w:t>
      </w:r>
      <w:r>
        <w:rPr>
          <w:rFonts w:ascii="Arial" w:cs="Arial" w:eastAsia="Arial" w:hAnsi="Arial"/>
          <w:sz w:val="17"/>
          <w:szCs w:val="17"/>
          <w:color w:val="000000"/>
        </w:rPr>
        <w:t>- The Audit Committee pre-approves audit and permissible non-audit services provided by EY in</w:t>
      </w:r>
      <w:r>
        <w:rPr>
          <w:rFonts w:ascii="Arial" w:cs="Arial" w:eastAsia="Arial" w:hAnsi="Arial"/>
          <w:sz w:val="20"/>
          <w:szCs w:val="20"/>
          <w:b w:val="1"/>
          <w:bCs w:val="1"/>
          <w:color w:val="D52B1E"/>
        </w:rPr>
        <w:t xml:space="preserve"> </w:t>
      </w:r>
      <w:r>
        <w:rPr>
          <w:rFonts w:ascii="Arial" w:cs="Arial" w:eastAsia="Arial" w:hAnsi="Arial"/>
          <w:sz w:val="17"/>
          <w:szCs w:val="17"/>
          <w:color w:val="000000"/>
        </w:rPr>
        <w:t>accordance with its pre-approval policy (described below).</w:t>
      </w:r>
    </w:p>
    <w:p>
      <w:pPr>
        <w:spacing w:after="0" w:line="172" w:lineRule="exact"/>
        <w:rPr>
          <w:sz w:val="20"/>
          <w:szCs w:val="20"/>
          <w:color w:val="auto"/>
        </w:rPr>
      </w:pPr>
    </w:p>
    <w:p>
      <w:pPr>
        <w:ind w:right="420"/>
        <w:spacing w:after="0" w:line="243" w:lineRule="auto"/>
        <w:rPr>
          <w:sz w:val="20"/>
          <w:szCs w:val="20"/>
          <w:color w:val="auto"/>
        </w:rPr>
      </w:pPr>
      <w:r>
        <w:rPr>
          <w:rFonts w:ascii="Arial" w:cs="Arial" w:eastAsia="Arial" w:hAnsi="Arial"/>
          <w:sz w:val="22"/>
          <w:szCs w:val="22"/>
          <w:b w:val="1"/>
          <w:bCs w:val="1"/>
          <w:color w:val="auto"/>
        </w:rPr>
        <w:t xml:space="preserve">Audit Committee Oversight: </w:t>
      </w:r>
      <w:r>
        <w:rPr>
          <w:rFonts w:ascii="Arial" w:cs="Arial" w:eastAsia="Arial" w:hAnsi="Arial"/>
          <w:sz w:val="17"/>
          <w:szCs w:val="17"/>
          <w:color w:val="auto"/>
        </w:rPr>
        <w:t>Oversight includes regular private sessions with EY, discussions on the scope of audit, an annual</w:t>
      </w:r>
      <w:r>
        <w:rPr>
          <w:rFonts w:ascii="Arial" w:cs="Arial" w:eastAsia="Arial" w:hAnsi="Arial"/>
          <w:sz w:val="22"/>
          <w:szCs w:val="22"/>
          <w:b w:val="1"/>
          <w:bCs w:val="1"/>
          <w:color w:val="auto"/>
        </w:rPr>
        <w:t xml:space="preserve"> </w:t>
      </w:r>
      <w:r>
        <w:rPr>
          <w:rFonts w:ascii="Arial" w:cs="Arial" w:eastAsia="Arial" w:hAnsi="Arial"/>
          <w:sz w:val="17"/>
          <w:szCs w:val="17"/>
          <w:color w:val="auto"/>
        </w:rPr>
        <w:t>evaluation (described above) when determining whether to reengage EY and rotation of lead assurance engagement partner and global coordinating partner.</w:t>
      </w:r>
    </w:p>
    <w:p>
      <w:pPr>
        <w:spacing w:after="0" w:line="136"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Representatives of EY are expected to participate in the Annual Meeting and will be available to respond to questions. Those representatives will have the opportunity to make a statement if they wish to do 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5760720" cy="591820"/>
            <wp:wrapNone/>
            <wp:docPr id="2559" name="Picture 2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9"/>
                    <pic:cNvPicPr>
                      <a:picLocks noChangeAspect="1" noChangeArrowheads="1"/>
                    </pic:cNvPicPr>
                  </pic:nvPicPr>
                  <pic:blipFill>
                    <a:blip r:embed="rId2566">
                      <a:extLst>
                        <a:ext uri="{28A0092B-C50C-407E-A947-70E740481C1C}"/>
                      </a:extLst>
                    </a:blip>
                    <a:srcRect/>
                    <a:stretch>
                      <a:fillRect/>
                    </a:stretch>
                  </pic:blipFill>
                  <pic:spPr bwMode="auto">
                    <a:xfrm>
                      <a:off x="0" y="0"/>
                      <a:ext cx="5760720" cy="591820"/>
                    </a:xfrm>
                    <a:prstGeom prst="rect">
                      <a:avLst/>
                    </a:prstGeom>
                    <a:noFill/>
                  </pic:spPr>
                </pic:pic>
              </a:graphicData>
            </a:graphic>
          </wp:anchor>
        </w:drawing>
      </w:r>
    </w:p>
    <w:p>
      <w:pPr>
        <w:spacing w:after="0" w:line="209" w:lineRule="exact"/>
        <w:rPr>
          <w:sz w:val="20"/>
          <w:szCs w:val="20"/>
          <w:color w:val="auto"/>
        </w:rPr>
      </w:pPr>
    </w:p>
    <w:p>
      <w:pPr>
        <w:ind w:left="1020"/>
        <w:spacing w:after="0"/>
        <w:rPr>
          <w:sz w:val="20"/>
          <w:szCs w:val="20"/>
          <w:color w:val="auto"/>
        </w:rPr>
      </w:pPr>
      <w:r>
        <w:rPr>
          <w:rFonts w:ascii="Arial" w:cs="Arial" w:eastAsia="Arial" w:hAnsi="Arial"/>
          <w:sz w:val="20"/>
          <w:szCs w:val="20"/>
          <w:b w:val="1"/>
          <w:bCs w:val="1"/>
          <w:color w:val="D52B1E"/>
        </w:rPr>
        <w:t>RECOMMENDATION FOR</w:t>
      </w:r>
    </w:p>
    <w:p>
      <w:pPr>
        <w:spacing w:after="0" w:line="172"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The board recommends that you vote </w:t>
      </w:r>
      <w:r>
        <w:rPr>
          <w:rFonts w:ascii="Arial" w:cs="Arial" w:eastAsia="Arial" w:hAnsi="Arial"/>
          <w:sz w:val="18"/>
          <w:szCs w:val="18"/>
          <w:b w:val="1"/>
          <w:bCs w:val="1"/>
          <w:color w:val="auto"/>
        </w:rPr>
        <w:t>FOR</w:t>
      </w:r>
      <w:r>
        <w:rPr>
          <w:rFonts w:ascii="Arial" w:cs="Arial" w:eastAsia="Arial" w:hAnsi="Arial"/>
          <w:sz w:val="18"/>
          <w:szCs w:val="18"/>
          <w:color w:val="auto"/>
        </w:rPr>
        <w:t xml:space="preserve"> ratifying the appointment of EY as the independent auditor for 2025.</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25"/>
          <w:szCs w:val="25"/>
          <w:b w:val="1"/>
          <w:bCs w:val="1"/>
          <w:color w:val="00A1DE"/>
        </w:rPr>
        <w:t>Audit Committee Report</w:t>
      </w:r>
    </w:p>
    <w:p>
      <w:pPr>
        <w:spacing w:after="0" w:line="69"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The Audit Committee reviews the company’s financial reporting process on behalf of the board. Management has the primary responsibility for the financial statements and the reporting process, including the systems of internal controls and disclosure controls. In this context, the Audit Committee has met and held discussions with management and the independent auditor. Management represented to the Audit Committee that the company’s consolidated financial statements for the year ended December 31, 2024, were prepared in accordance with GAAP, and the Audit Committee has reviewed and discussed the audited financial statements and related disclosures with management and the independent auditor, including a review of the significant management judgments underlying the financial statements and disclosures.</w:t>
      </w:r>
    </w:p>
    <w:p>
      <w:pPr>
        <w:spacing w:after="0" w:line="114"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The independent auditor reports directly to the Audit Committee, which has sole authority to appoint and to replace the independent auditor (subject to shareholder ratification).</w:t>
      </w:r>
    </w:p>
    <w:p>
      <w:pPr>
        <w:spacing w:after="0" w:line="99"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The Audit Committee has discussed with the independent auditor the matters required to be discussed with the Audit Committee by the standards of the Public Company Accounting Oversight Board (PCAOB), the SEC, and the NYSE, including the quality, not just the acceptability, of the accounting principles, the reasonableness of significant judgments, and the clarity of the disclosures in the financial statements. In addition, the Audit Committee has received the written disclosures and the letter from the independent auditor required by applicable PCAOB rules regarding communications with the Audit Committee concerning independence and has discussed with the independent auditor the auditor’s independence from the company and its management. In concluding that the auditor is independent, the Audit Committee determined, among other things, that the non-audit services provided by EY (as described below) were compatible with its independence. Consistent with the requirements of the Sarbanes-Oxley Act of 2002 (the Sarbanes-Oxley Act), the Audit Committee has adopted policies to ensure the independence of the independent auditor, such as prior committee approval of non-audit services and required audit partner rotation.</w:t>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2560" name="Picture 2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0"/>
                    <pic:cNvPicPr>
                      <a:picLocks noChangeAspect="1" noChangeArrowheads="1"/>
                    </pic:cNvPicPr>
                  </pic:nvPicPr>
                  <pic:blipFill>
                    <a:blip r:embed="rId25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83" w:name="page84"/>
    <w:bookmarkEnd w:id="83"/>
    <w:p>
      <w:pPr>
        <w:spacing w:after="0" w:line="259" w:lineRule="auto"/>
        <w:rPr>
          <w:sz w:val="20"/>
          <w:szCs w:val="20"/>
          <w:color w:val="auto"/>
        </w:rPr>
      </w:pPr>
      <w:r>
        <w:rPr>
          <w:rFonts w:ascii="Arial" w:cs="Arial" w:eastAsia="Arial" w:hAnsi="Arial"/>
          <w:sz w:val="18"/>
          <w:szCs w:val="18"/>
          <w:color w:val="auto"/>
        </w:rPr>
        <w:t>The Audit Committee discussed with the company’s internal and independent auditors the overall scope and plans for their respective audits, including internal control testing under Section 404 of the Sarbanes-Oxley Act. The Audit Committee periodically meets with the internal and independent auditors, with and without management present, and in private sessions with members of senior management (such as the chief financial officer and the chief accounting officer) to discuss the results of their examinations, their evaluations of the company’s internal controls, and the overall quality of the company’s financial reporting. The Audit Committee also periodically meets in executive session.</w:t>
      </w:r>
    </w:p>
    <w:p>
      <w:pPr>
        <w:spacing w:after="0" w:line="125"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In reliance on the reviews and discussions referred to above, the Audit Committee recommended to the board (and the board subsequently approved the recommendation) that the audited consolidated financial statements be included in the company’s Annual Report on Form 10-K for the year ended December 31, 2024, for filing with the SEC. The Audit Committee has also appointed EY as the company’s independent auditor, subject to shareholder ratification, for 2025.</w:t>
      </w:r>
    </w:p>
    <w:p>
      <w:pPr>
        <w:spacing w:after="0" w:line="12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Audit Committee</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Jamere Jackson, Chair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Ralph Alvarez</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Jon Moeller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Gabrielle Sulzberger</w:t>
      </w:r>
    </w:p>
    <w:p>
      <w:pPr>
        <w:spacing w:after="0" w:line="147" w:lineRule="exact"/>
        <w:rPr>
          <w:sz w:val="20"/>
          <w:szCs w:val="20"/>
          <w:color w:val="auto"/>
        </w:rPr>
      </w:pPr>
    </w:p>
    <w:p>
      <w:pPr>
        <w:spacing w:after="0"/>
        <w:rPr>
          <w:sz w:val="20"/>
          <w:szCs w:val="20"/>
          <w:color w:val="auto"/>
        </w:rPr>
      </w:pPr>
      <w:r>
        <w:rPr>
          <w:rFonts w:ascii="Arial" w:cs="Arial" w:eastAsia="Arial" w:hAnsi="Arial"/>
          <w:sz w:val="25"/>
          <w:szCs w:val="25"/>
          <w:b w:val="1"/>
          <w:bCs w:val="1"/>
          <w:color w:val="00A1DE"/>
        </w:rPr>
        <w:t>Services Performed by the Independent Auditor</w:t>
      </w:r>
    </w:p>
    <w:p>
      <w:pPr>
        <w:spacing w:after="0" w:line="69" w:lineRule="exact"/>
        <w:rPr>
          <w:sz w:val="20"/>
          <w:szCs w:val="20"/>
          <w:color w:val="auto"/>
        </w:rPr>
      </w:pPr>
    </w:p>
    <w:p>
      <w:pPr>
        <w:ind w:right="660"/>
        <w:spacing w:after="0" w:line="287" w:lineRule="auto"/>
        <w:rPr>
          <w:sz w:val="20"/>
          <w:szCs w:val="20"/>
          <w:color w:val="auto"/>
        </w:rPr>
      </w:pPr>
      <w:r>
        <w:rPr>
          <w:rFonts w:ascii="Arial" w:cs="Arial" w:eastAsia="Arial" w:hAnsi="Arial"/>
          <w:sz w:val="18"/>
          <w:szCs w:val="18"/>
          <w:color w:val="auto"/>
        </w:rPr>
        <w:t>The Audit Committee pre-approves all services performed by the independent auditor, in part to assess whether the provision of such services might impair the auditor’s independence. The Audit Committee’s policy and procedures are as follows:</w:t>
      </w:r>
    </w:p>
    <w:p>
      <w:pPr>
        <w:spacing w:after="0" w:line="157" w:lineRule="exact"/>
        <w:rPr>
          <w:sz w:val="20"/>
          <w:szCs w:val="20"/>
          <w:color w:val="auto"/>
        </w:rPr>
      </w:pPr>
    </w:p>
    <w:p>
      <w:pPr>
        <w:ind w:left="340" w:right="160" w:hanging="170"/>
        <w:spacing w:after="0" w:line="249" w:lineRule="auto"/>
        <w:tabs>
          <w:tab w:leader="none" w:pos="329" w:val="left"/>
        </w:tabs>
        <w:numPr>
          <w:ilvl w:val="0"/>
          <w:numId w:val="192"/>
        </w:numPr>
        <w:rPr>
          <w:rFonts w:ascii="Arial" w:cs="Arial" w:eastAsia="Arial" w:hAnsi="Arial"/>
          <w:sz w:val="16"/>
          <w:szCs w:val="16"/>
          <w:b w:val="1"/>
          <w:bCs w:val="1"/>
          <w:color w:val="auto"/>
        </w:rPr>
      </w:pPr>
      <w:r>
        <w:rPr>
          <w:rFonts w:ascii="Arial" w:cs="Arial" w:eastAsia="Arial" w:hAnsi="Arial"/>
          <w:sz w:val="22"/>
          <w:szCs w:val="22"/>
          <w:b w:val="1"/>
          <w:bCs w:val="1"/>
          <w:color w:val="auto"/>
        </w:rPr>
        <w:t xml:space="preserve">Audit services: </w:t>
      </w:r>
      <w:r>
        <w:rPr>
          <w:rFonts w:ascii="Arial" w:cs="Arial" w:eastAsia="Arial" w:hAnsi="Arial"/>
          <w:sz w:val="17"/>
          <w:szCs w:val="17"/>
          <w:color w:val="auto"/>
        </w:rPr>
        <w:t>The Audit Committee approves the annual audit services engagement and, if necessary, any changes in terms,</w:t>
      </w:r>
      <w:r>
        <w:rPr>
          <w:rFonts w:ascii="Arial" w:cs="Arial" w:eastAsia="Arial" w:hAnsi="Arial"/>
          <w:sz w:val="22"/>
          <w:szCs w:val="22"/>
          <w:b w:val="1"/>
          <w:bCs w:val="1"/>
          <w:color w:val="auto"/>
        </w:rPr>
        <w:t xml:space="preserve"> </w:t>
      </w:r>
      <w:r>
        <w:rPr>
          <w:rFonts w:ascii="Arial" w:cs="Arial" w:eastAsia="Arial" w:hAnsi="Arial"/>
          <w:sz w:val="17"/>
          <w:szCs w:val="17"/>
          <w:color w:val="auto"/>
        </w:rPr>
        <w:t>conditions, and fees resulting from changes in audit scope, company structure, or other matters. Audit services include internal controls attestation work under Section 404 of the Sarbanes-Oxley Act. The Audit Committee may also pre-approve other audit services, which are those services that only the independent auditor reasonably can provide.</w:t>
      </w:r>
    </w:p>
    <w:p>
      <w:pPr>
        <w:spacing w:after="0" w:line="189" w:lineRule="exact"/>
        <w:rPr>
          <w:rFonts w:ascii="Arial" w:cs="Arial" w:eastAsia="Arial" w:hAnsi="Arial"/>
          <w:sz w:val="16"/>
          <w:szCs w:val="16"/>
          <w:b w:val="1"/>
          <w:bCs w:val="1"/>
          <w:color w:val="auto"/>
        </w:rPr>
      </w:pPr>
    </w:p>
    <w:p>
      <w:pPr>
        <w:jc w:val="both"/>
        <w:ind w:left="340" w:right="160" w:hanging="170"/>
        <w:spacing w:after="0" w:line="281" w:lineRule="auto"/>
        <w:tabs>
          <w:tab w:leader="none" w:pos="329" w:val="left"/>
        </w:tabs>
        <w:numPr>
          <w:ilvl w:val="0"/>
          <w:numId w:val="192"/>
        </w:numPr>
        <w:rPr>
          <w:rFonts w:ascii="Arial" w:cs="Arial" w:eastAsia="Arial" w:hAnsi="Arial"/>
          <w:sz w:val="16"/>
          <w:szCs w:val="16"/>
          <w:b w:val="1"/>
          <w:bCs w:val="1"/>
          <w:color w:val="auto"/>
        </w:rPr>
      </w:pPr>
      <w:r>
        <w:rPr>
          <w:rFonts w:ascii="Arial" w:cs="Arial" w:eastAsia="Arial" w:hAnsi="Arial"/>
          <w:sz w:val="22"/>
          <w:szCs w:val="22"/>
          <w:b w:val="1"/>
          <w:bCs w:val="1"/>
          <w:color w:val="auto"/>
        </w:rPr>
        <w:t xml:space="preserve">Audit-related services: </w:t>
      </w:r>
      <w:r>
        <w:rPr>
          <w:rFonts w:ascii="Arial" w:cs="Arial" w:eastAsia="Arial" w:hAnsi="Arial"/>
          <w:sz w:val="17"/>
          <w:szCs w:val="17"/>
          <w:color w:val="auto"/>
        </w:rPr>
        <w:t>Audit-related services are assurance and related services that are reasonably related to the performance</w:t>
      </w:r>
      <w:r>
        <w:rPr>
          <w:rFonts w:ascii="Arial" w:cs="Arial" w:eastAsia="Arial" w:hAnsi="Arial"/>
          <w:sz w:val="22"/>
          <w:szCs w:val="22"/>
          <w:b w:val="1"/>
          <w:bCs w:val="1"/>
          <w:color w:val="auto"/>
        </w:rPr>
        <w:t xml:space="preserve"> </w:t>
      </w:r>
      <w:r>
        <w:rPr>
          <w:rFonts w:ascii="Arial" w:cs="Arial" w:eastAsia="Arial" w:hAnsi="Arial"/>
          <w:sz w:val="17"/>
          <w:szCs w:val="17"/>
          <w:color w:val="auto"/>
        </w:rPr>
        <w:t>of the audit or reviews of the financial statements, and that are traditionally performed by the independent auditor. The Audit Committee believes that the provision of these services does not impair the independence of the auditor.</w:t>
      </w:r>
    </w:p>
    <w:p>
      <w:pPr>
        <w:spacing w:after="0" w:line="164" w:lineRule="exact"/>
        <w:rPr>
          <w:rFonts w:ascii="Arial" w:cs="Arial" w:eastAsia="Arial" w:hAnsi="Arial"/>
          <w:sz w:val="16"/>
          <w:szCs w:val="16"/>
          <w:b w:val="1"/>
          <w:bCs w:val="1"/>
          <w:color w:val="auto"/>
        </w:rPr>
      </w:pPr>
    </w:p>
    <w:p>
      <w:pPr>
        <w:ind w:left="340" w:right="60" w:hanging="170"/>
        <w:spacing w:after="0" w:line="292" w:lineRule="auto"/>
        <w:tabs>
          <w:tab w:leader="none" w:pos="329" w:val="left"/>
        </w:tabs>
        <w:numPr>
          <w:ilvl w:val="0"/>
          <w:numId w:val="192"/>
        </w:numPr>
        <w:rPr>
          <w:rFonts w:ascii="Arial" w:cs="Arial" w:eastAsia="Arial" w:hAnsi="Arial"/>
          <w:sz w:val="16"/>
          <w:szCs w:val="16"/>
          <w:b w:val="1"/>
          <w:bCs w:val="1"/>
          <w:color w:val="auto"/>
        </w:rPr>
      </w:pPr>
      <w:r>
        <w:rPr>
          <w:rFonts w:ascii="Arial" w:cs="Arial" w:eastAsia="Arial" w:hAnsi="Arial"/>
          <w:sz w:val="22"/>
          <w:szCs w:val="22"/>
          <w:b w:val="1"/>
          <w:bCs w:val="1"/>
          <w:color w:val="auto"/>
        </w:rPr>
        <w:t xml:space="preserve">Tax services: </w:t>
      </w:r>
      <w:r>
        <w:rPr>
          <w:rFonts w:ascii="Arial" w:cs="Arial" w:eastAsia="Arial" w:hAnsi="Arial"/>
          <w:sz w:val="17"/>
          <w:szCs w:val="17"/>
          <w:color w:val="auto"/>
        </w:rPr>
        <w:t>The Audit Committee believes that, in appropriate cases, the independent auditor can provide tax compliance services,</w:t>
      </w:r>
      <w:r>
        <w:rPr>
          <w:rFonts w:ascii="Arial" w:cs="Arial" w:eastAsia="Arial" w:hAnsi="Arial"/>
          <w:sz w:val="22"/>
          <w:szCs w:val="22"/>
          <w:b w:val="1"/>
          <w:bCs w:val="1"/>
          <w:color w:val="auto"/>
        </w:rPr>
        <w:t xml:space="preserve"> </w:t>
      </w:r>
      <w:r>
        <w:rPr>
          <w:rFonts w:ascii="Arial" w:cs="Arial" w:eastAsia="Arial" w:hAnsi="Arial"/>
          <w:sz w:val="17"/>
          <w:szCs w:val="17"/>
          <w:color w:val="auto"/>
        </w:rPr>
        <w:t>tax planning, and tax advice without impairing the auditor’s independence.</w:t>
      </w:r>
    </w:p>
    <w:p>
      <w:pPr>
        <w:spacing w:after="0" w:line="142" w:lineRule="exact"/>
        <w:rPr>
          <w:rFonts w:ascii="Arial" w:cs="Arial" w:eastAsia="Arial" w:hAnsi="Arial"/>
          <w:sz w:val="16"/>
          <w:szCs w:val="16"/>
          <w:b w:val="1"/>
          <w:bCs w:val="1"/>
          <w:color w:val="auto"/>
        </w:rPr>
      </w:pPr>
    </w:p>
    <w:p>
      <w:pPr>
        <w:ind w:left="340" w:right="300" w:hanging="170"/>
        <w:spacing w:after="0" w:line="243" w:lineRule="auto"/>
        <w:tabs>
          <w:tab w:leader="none" w:pos="329" w:val="left"/>
        </w:tabs>
        <w:numPr>
          <w:ilvl w:val="0"/>
          <w:numId w:val="192"/>
        </w:numPr>
        <w:rPr>
          <w:rFonts w:ascii="Arial" w:cs="Arial" w:eastAsia="Arial" w:hAnsi="Arial"/>
          <w:sz w:val="16"/>
          <w:szCs w:val="16"/>
          <w:b w:val="1"/>
          <w:bCs w:val="1"/>
          <w:color w:val="auto"/>
        </w:rPr>
      </w:pPr>
      <w:r>
        <w:rPr>
          <w:rFonts w:ascii="Arial" w:cs="Arial" w:eastAsia="Arial" w:hAnsi="Arial"/>
          <w:sz w:val="22"/>
          <w:szCs w:val="22"/>
          <w:b w:val="1"/>
          <w:bCs w:val="1"/>
          <w:color w:val="auto"/>
        </w:rPr>
        <w:t xml:space="preserve">Other services: </w:t>
      </w:r>
      <w:r>
        <w:rPr>
          <w:rFonts w:ascii="Arial" w:cs="Arial" w:eastAsia="Arial" w:hAnsi="Arial"/>
          <w:sz w:val="17"/>
          <w:szCs w:val="17"/>
          <w:color w:val="auto"/>
        </w:rPr>
        <w:t>The Audit Committee may approve other services to be provided by the independent auditor if (i) the services are</w:t>
      </w:r>
      <w:r>
        <w:rPr>
          <w:rFonts w:ascii="Arial" w:cs="Arial" w:eastAsia="Arial" w:hAnsi="Arial"/>
          <w:sz w:val="22"/>
          <w:szCs w:val="22"/>
          <w:b w:val="1"/>
          <w:bCs w:val="1"/>
          <w:color w:val="auto"/>
        </w:rPr>
        <w:t xml:space="preserve"> </w:t>
      </w:r>
      <w:r>
        <w:rPr>
          <w:rFonts w:ascii="Arial" w:cs="Arial" w:eastAsia="Arial" w:hAnsi="Arial"/>
          <w:sz w:val="17"/>
          <w:szCs w:val="17"/>
          <w:color w:val="auto"/>
        </w:rPr>
        <w:t>permissible under SEC and PCAOB rules, (ii) the Audit Committee believes the provision of the services would not impair the independence of the auditor, and (iii) management believes that the auditor is the best choice to provide the services.</w:t>
      </w:r>
    </w:p>
    <w:p>
      <w:pPr>
        <w:spacing w:after="0" w:line="194" w:lineRule="exact"/>
        <w:rPr>
          <w:sz w:val="20"/>
          <w:szCs w:val="20"/>
          <w:color w:val="auto"/>
        </w:rPr>
      </w:pPr>
    </w:p>
    <w:p>
      <w:pPr>
        <w:spacing w:after="0" w:line="269" w:lineRule="auto"/>
        <w:rPr>
          <w:sz w:val="20"/>
          <w:szCs w:val="20"/>
          <w:color w:val="auto"/>
        </w:rPr>
      </w:pPr>
      <w:r>
        <w:rPr>
          <w:rFonts w:ascii="Arial" w:cs="Arial" w:eastAsia="Arial" w:hAnsi="Arial"/>
          <w:sz w:val="22"/>
          <w:szCs w:val="22"/>
          <w:b w:val="1"/>
          <w:bCs w:val="1"/>
          <w:color w:val="auto"/>
        </w:rPr>
        <w:t xml:space="preserve">Pre-approval process: </w:t>
      </w:r>
      <w:r>
        <w:rPr>
          <w:rFonts w:ascii="Arial" w:cs="Arial" w:eastAsia="Arial" w:hAnsi="Arial"/>
          <w:sz w:val="17"/>
          <w:szCs w:val="17"/>
          <w:color w:val="auto"/>
        </w:rPr>
        <w:t>At the beginning of each audit year, management requests pre-approval from the Audit Committee of the</w:t>
      </w:r>
      <w:r>
        <w:rPr>
          <w:rFonts w:ascii="Arial" w:cs="Arial" w:eastAsia="Arial" w:hAnsi="Arial"/>
          <w:sz w:val="22"/>
          <w:szCs w:val="22"/>
          <w:b w:val="1"/>
          <w:bCs w:val="1"/>
          <w:color w:val="auto"/>
        </w:rPr>
        <w:t xml:space="preserve"> </w:t>
      </w:r>
      <w:r>
        <w:rPr>
          <w:rFonts w:ascii="Arial" w:cs="Arial" w:eastAsia="Arial" w:hAnsi="Arial"/>
          <w:sz w:val="17"/>
          <w:szCs w:val="17"/>
          <w:color w:val="auto"/>
        </w:rPr>
        <w:t>annual audit, statutory audits, and quarterly reviews for the upcoming audit year as well as any other services known at that time. Management will also present at that time an estimate of all fees for the upcoming audit year and known services. As specific engagements are identified thereafter that were not initially approved, they are brought forward to the Audit Committee for approval. To the extent approvals are required between regularly scheduled Audit Committee meetings, pre-approval authority is delegated to the committee chair.</w:t>
      </w:r>
    </w:p>
    <w:p>
      <w:pPr>
        <w:spacing w:after="0" w:line="6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For each engagement, management provides the Audit Committee with information about the services and fees, sufficiently detailed to allow the committee to make an informed judgment about the nature and scope of the services and the potential for the services to impair the independence of the auditor.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After the end of the audit year, management provides the committee with a summary of the actual fees incurred for the completed audit year.</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2561" name="Picture 2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1"/>
                    <pic:cNvPicPr>
                      <a:picLocks noChangeAspect="1" noChangeArrowheads="1"/>
                    </pic:cNvPicPr>
                  </pic:nvPicPr>
                  <pic:blipFill>
                    <a:blip r:embed="rId25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4" w:name="page85"/>
    <w:bookmarkEnd w:id="84"/>
    <w:p>
      <w:pPr>
        <w:spacing w:after="0"/>
        <w:rPr>
          <w:sz w:val="20"/>
          <w:szCs w:val="20"/>
          <w:color w:val="auto"/>
        </w:rPr>
      </w:pPr>
      <w:r>
        <w:rPr>
          <w:rFonts w:ascii="Arial" w:cs="Arial" w:eastAsia="Arial" w:hAnsi="Arial"/>
          <w:sz w:val="25"/>
          <w:szCs w:val="25"/>
          <w:b w:val="1"/>
          <w:bCs w:val="1"/>
          <w:color w:val="00A1DE"/>
        </w:rPr>
        <w:t>Independent Auditor Fees</w:t>
      </w:r>
    </w:p>
    <w:p>
      <w:pPr>
        <w:spacing w:after="0" w:line="69"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The following table shows the fees incurred for services rendered on a worldwide basis by EY in 2024 and 2023. All such services were pre-approved by the Audit Committee in accordance with the pre-approval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5674995" cy="8255"/>
            <wp:wrapNone/>
            <wp:docPr id="2562" name="Picture 2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2"/>
                    <pic:cNvPicPr>
                      <a:picLocks noChangeAspect="1" noChangeArrowheads="1"/>
                    </pic:cNvPicPr>
                  </pic:nvPicPr>
                  <pic:blipFill>
                    <a:blip r:embed="rId2569">
                      <a:extLst>
                        <a:ext uri="{28A0092B-C50C-407E-A947-70E740481C1C}"/>
                      </a:extLst>
                    </a:blip>
                    <a:srcRect/>
                    <a:stretch>
                      <a:fillRect/>
                    </a:stretch>
                  </pic:blipFill>
                  <pic:spPr bwMode="auto">
                    <a:xfrm>
                      <a:off x="0" y="0"/>
                      <a:ext cx="5674995" cy="8255"/>
                    </a:xfrm>
                    <a:prstGeom prst="rect">
                      <a:avLst/>
                    </a:prstGeom>
                    <a:noFill/>
                  </pic:spPr>
                </pic:pic>
              </a:graphicData>
            </a:graphic>
          </wp:anchor>
        </w:drawing>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080" w:type="dxa"/>
            <w:vAlign w:val="bottom"/>
          </w:tcPr>
          <w:p>
            <w:pPr>
              <w:spacing w:after="0"/>
              <w:rPr>
                <w:sz w:val="15"/>
                <w:szCs w:val="15"/>
                <w:color w:val="auto"/>
              </w:rPr>
            </w:pPr>
          </w:p>
        </w:tc>
        <w:tc>
          <w:tcPr>
            <w:tcW w:w="5380" w:type="dxa"/>
            <w:vAlign w:val="bottom"/>
          </w:tcPr>
          <w:p>
            <w:pPr>
              <w:spacing w:after="0"/>
              <w:rPr>
                <w:sz w:val="15"/>
                <w:szCs w:val="15"/>
                <w:color w:val="auto"/>
              </w:rPr>
            </w:pPr>
          </w:p>
        </w:tc>
        <w:tc>
          <w:tcPr>
            <w:tcW w:w="1220" w:type="dxa"/>
            <w:vAlign w:val="bottom"/>
          </w:tcPr>
          <w:p>
            <w:pPr>
              <w:jc w:val="right"/>
              <w:ind w:right="408"/>
              <w:spacing w:after="0"/>
              <w:rPr>
                <w:sz w:val="20"/>
                <w:szCs w:val="20"/>
                <w:color w:val="auto"/>
              </w:rPr>
            </w:pPr>
            <w:r>
              <w:rPr>
                <w:rFonts w:ascii="Arial" w:cs="Arial" w:eastAsia="Arial" w:hAnsi="Arial"/>
                <w:sz w:val="14"/>
                <w:szCs w:val="14"/>
                <w:b w:val="1"/>
                <w:bCs w:val="1"/>
                <w:color w:val="auto"/>
              </w:rPr>
              <w:t>2024</w:t>
            </w:r>
          </w:p>
        </w:tc>
        <w:tc>
          <w:tcPr>
            <w:tcW w:w="1260" w:type="dxa"/>
            <w:vAlign w:val="bottom"/>
          </w:tcPr>
          <w:p>
            <w:pPr>
              <w:jc w:val="right"/>
              <w:ind w:right="388"/>
              <w:spacing w:after="0"/>
              <w:rPr>
                <w:sz w:val="20"/>
                <w:szCs w:val="20"/>
                <w:color w:val="auto"/>
              </w:rPr>
            </w:pPr>
            <w:r>
              <w:rPr>
                <w:rFonts w:ascii="Arial" w:cs="Arial" w:eastAsia="Arial" w:hAnsi="Arial"/>
                <w:sz w:val="14"/>
                <w:szCs w:val="14"/>
                <w:b w:val="1"/>
                <w:bCs w:val="1"/>
                <w:color w:val="auto"/>
              </w:rPr>
              <w:t>2023</w:t>
            </w:r>
          </w:p>
        </w:tc>
      </w:tr>
      <w:tr>
        <w:trPr>
          <w:trHeight w:val="205"/>
        </w:trPr>
        <w:tc>
          <w:tcPr>
            <w:tcW w:w="1080" w:type="dxa"/>
            <w:vAlign w:val="bottom"/>
            <w:tcBorders>
              <w:bottom w:val="single" w:sz="8" w:color="auto"/>
            </w:tcBorders>
          </w:tcPr>
          <w:p>
            <w:pPr>
              <w:spacing w:after="0"/>
              <w:rPr>
                <w:sz w:val="17"/>
                <w:szCs w:val="17"/>
                <w:color w:val="auto"/>
              </w:rPr>
            </w:pPr>
          </w:p>
        </w:tc>
        <w:tc>
          <w:tcPr>
            <w:tcW w:w="5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 millions)*</w:t>
            </w:r>
          </w:p>
        </w:tc>
        <w:tc>
          <w:tcPr>
            <w:tcW w:w="12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 millions)*</w:t>
            </w:r>
          </w:p>
        </w:tc>
      </w:tr>
      <w:tr>
        <w:trPr>
          <w:trHeight w:val="193"/>
        </w:trPr>
        <w:tc>
          <w:tcPr>
            <w:tcW w:w="1080" w:type="dxa"/>
            <w:vAlign w:val="bottom"/>
            <w:shd w:val="clear" w:color="auto" w:fill="F2F2F2"/>
          </w:tcPr>
          <w:p>
            <w:pPr>
              <w:ind w:left="20"/>
              <w:spacing w:after="0"/>
              <w:rPr>
                <w:sz w:val="20"/>
                <w:szCs w:val="20"/>
                <w:color w:val="auto"/>
              </w:rPr>
            </w:pPr>
            <w:r>
              <w:rPr>
                <w:rFonts w:ascii="Arial" w:cs="Arial" w:eastAsia="Arial" w:hAnsi="Arial"/>
                <w:sz w:val="14"/>
                <w:szCs w:val="14"/>
                <w:b w:val="1"/>
                <w:bCs w:val="1"/>
                <w:color w:val="auto"/>
              </w:rPr>
              <w:t>Audit Fees</w:t>
            </w:r>
          </w:p>
        </w:tc>
        <w:tc>
          <w:tcPr>
            <w:tcW w:w="5380" w:type="dxa"/>
            <w:vAlign w:val="bottom"/>
            <w:shd w:val="clear" w:color="auto" w:fill="F2F2F2"/>
          </w:tcPr>
          <w:p>
            <w:pPr>
              <w:ind w:left="320"/>
              <w:spacing w:after="0"/>
              <w:rPr>
                <w:sz w:val="20"/>
                <w:szCs w:val="20"/>
                <w:color w:val="auto"/>
              </w:rPr>
            </w:pPr>
            <w:r>
              <w:rPr>
                <w:rFonts w:ascii="Arial" w:cs="Arial" w:eastAsia="Arial" w:hAnsi="Arial"/>
                <w:sz w:val="14"/>
                <w:szCs w:val="14"/>
                <w:color w:val="auto"/>
              </w:rPr>
              <w:t>Annual audit of consolidated and subsidiary financial statements, including</w:t>
            </w:r>
          </w:p>
        </w:tc>
        <w:tc>
          <w:tcPr>
            <w:tcW w:w="1220" w:type="dxa"/>
            <w:vAlign w:val="bottom"/>
            <w:shd w:val="clear" w:color="auto" w:fill="F2F2F2"/>
          </w:tcPr>
          <w:p>
            <w:pPr>
              <w:jc w:val="right"/>
              <w:ind w:right="368"/>
              <w:spacing w:after="0"/>
              <w:rPr>
                <w:sz w:val="20"/>
                <w:szCs w:val="20"/>
                <w:color w:val="auto"/>
              </w:rPr>
            </w:pPr>
            <w:r>
              <w:rPr>
                <w:rFonts w:ascii="Arial" w:cs="Arial" w:eastAsia="Arial" w:hAnsi="Arial"/>
                <w:sz w:val="14"/>
                <w:szCs w:val="14"/>
                <w:color w:val="auto"/>
              </w:rPr>
              <w:t>$16.1</w:t>
            </w:r>
          </w:p>
        </w:tc>
        <w:tc>
          <w:tcPr>
            <w:tcW w:w="1260" w:type="dxa"/>
            <w:vAlign w:val="bottom"/>
            <w:shd w:val="clear" w:color="auto" w:fill="F2F2F2"/>
          </w:tcPr>
          <w:p>
            <w:pPr>
              <w:jc w:val="right"/>
              <w:ind w:right="368"/>
              <w:spacing w:after="0"/>
              <w:rPr>
                <w:sz w:val="20"/>
                <w:szCs w:val="20"/>
                <w:color w:val="auto"/>
              </w:rPr>
            </w:pPr>
            <w:r>
              <w:rPr>
                <w:rFonts w:ascii="Arial" w:cs="Arial" w:eastAsia="Arial" w:hAnsi="Arial"/>
                <w:sz w:val="14"/>
                <w:szCs w:val="14"/>
                <w:color w:val="auto"/>
              </w:rPr>
              <w:t>$15.2</w:t>
            </w:r>
          </w:p>
        </w:tc>
      </w:tr>
      <w:tr>
        <w:trPr>
          <w:trHeight w:val="192"/>
        </w:trPr>
        <w:tc>
          <w:tcPr>
            <w:tcW w:w="1080" w:type="dxa"/>
            <w:vAlign w:val="bottom"/>
            <w:tcBorders>
              <w:bottom w:val="single" w:sz="8" w:color="F2F2F2"/>
            </w:tcBorders>
            <w:shd w:val="clear" w:color="auto" w:fill="F2F2F2"/>
          </w:tcPr>
          <w:p>
            <w:pPr>
              <w:spacing w:after="0"/>
              <w:rPr>
                <w:sz w:val="16"/>
                <w:szCs w:val="16"/>
                <w:color w:val="auto"/>
              </w:rPr>
            </w:pPr>
          </w:p>
        </w:tc>
        <w:tc>
          <w:tcPr>
            <w:tcW w:w="5380" w:type="dxa"/>
            <w:vAlign w:val="bottom"/>
            <w:tcBorders>
              <w:bottom w:val="single" w:sz="8" w:color="F2F2F2"/>
            </w:tcBorders>
            <w:shd w:val="clear" w:color="auto" w:fill="F2F2F2"/>
          </w:tcPr>
          <w:p>
            <w:pPr>
              <w:ind w:left="320"/>
              <w:spacing w:after="0"/>
              <w:rPr>
                <w:sz w:val="20"/>
                <w:szCs w:val="20"/>
                <w:color w:val="auto"/>
              </w:rPr>
            </w:pPr>
            <w:r>
              <w:rPr>
                <w:rFonts w:ascii="Arial" w:cs="Arial" w:eastAsia="Arial" w:hAnsi="Arial"/>
                <w:sz w:val="14"/>
                <w:szCs w:val="14"/>
                <w:color w:val="auto"/>
              </w:rPr>
              <w:t>Sarbanes-Oxley 404 attestation, reviews of quarterly financial statements</w:t>
            </w:r>
          </w:p>
        </w:tc>
        <w:tc>
          <w:tcPr>
            <w:tcW w:w="1220" w:type="dxa"/>
            <w:vAlign w:val="bottom"/>
            <w:tcBorders>
              <w:bottom w:val="single" w:sz="8" w:color="F2F2F2"/>
            </w:tcBorders>
            <w:shd w:val="clear" w:color="auto" w:fill="F2F2F2"/>
          </w:tcPr>
          <w:p>
            <w:pPr>
              <w:spacing w:after="0"/>
              <w:rPr>
                <w:sz w:val="16"/>
                <w:szCs w:val="16"/>
                <w:color w:val="auto"/>
              </w:rPr>
            </w:pPr>
          </w:p>
        </w:tc>
        <w:tc>
          <w:tcPr>
            <w:tcW w:w="1260" w:type="dxa"/>
            <w:vAlign w:val="bottom"/>
            <w:tcBorders>
              <w:bottom w:val="single" w:sz="8" w:color="F2F2F2"/>
            </w:tcBorders>
            <w:shd w:val="clear" w:color="auto" w:fill="F2F2F2"/>
          </w:tcPr>
          <w:p>
            <w:pPr>
              <w:spacing w:after="0"/>
              <w:rPr>
                <w:sz w:val="16"/>
                <w:szCs w:val="16"/>
                <w:color w:val="auto"/>
              </w:rPr>
            </w:pPr>
          </w:p>
        </w:tc>
      </w:tr>
      <w:tr>
        <w:trPr>
          <w:trHeight w:val="193"/>
        </w:trPr>
        <w:tc>
          <w:tcPr>
            <w:tcW w:w="6460" w:type="dxa"/>
            <w:vAlign w:val="bottom"/>
            <w:gridSpan w:val="2"/>
          </w:tcPr>
          <w:p>
            <w:pPr>
              <w:ind w:left="20"/>
              <w:spacing w:after="0"/>
              <w:rPr>
                <w:sz w:val="20"/>
                <w:szCs w:val="20"/>
                <w:color w:val="auto"/>
              </w:rPr>
            </w:pPr>
            <w:r>
              <w:rPr>
                <w:rFonts w:ascii="Arial" w:cs="Arial" w:eastAsia="Arial" w:hAnsi="Arial"/>
                <w:sz w:val="14"/>
                <w:szCs w:val="14"/>
                <w:b w:val="1"/>
                <w:bCs w:val="1"/>
                <w:color w:val="auto"/>
              </w:rPr>
              <w:t xml:space="preserve">Audit-Related Fees </w:t>
            </w:r>
            <w:r>
              <w:rPr>
                <w:rFonts w:ascii="Arial" w:cs="Arial" w:eastAsia="Arial" w:hAnsi="Arial"/>
                <w:sz w:val="14"/>
                <w:szCs w:val="14"/>
                <w:color w:val="auto"/>
              </w:rPr>
              <w:t>Primarily related to assurance and related services reasonably related to the</w:t>
            </w:r>
          </w:p>
        </w:tc>
        <w:tc>
          <w:tcPr>
            <w:tcW w:w="1220" w:type="dxa"/>
            <w:vAlign w:val="bottom"/>
          </w:tcPr>
          <w:p>
            <w:pPr>
              <w:jc w:val="right"/>
              <w:ind w:right="368"/>
              <w:spacing w:after="0"/>
              <w:rPr>
                <w:sz w:val="20"/>
                <w:szCs w:val="20"/>
                <w:color w:val="auto"/>
              </w:rPr>
            </w:pPr>
            <w:r>
              <w:rPr>
                <w:rFonts w:ascii="Arial" w:cs="Arial" w:eastAsia="Arial" w:hAnsi="Arial"/>
                <w:sz w:val="14"/>
                <w:szCs w:val="14"/>
                <w:color w:val="auto"/>
              </w:rPr>
              <w:t>$1.3</w:t>
            </w:r>
          </w:p>
        </w:tc>
        <w:tc>
          <w:tcPr>
            <w:tcW w:w="1260" w:type="dxa"/>
            <w:vAlign w:val="bottom"/>
          </w:tcPr>
          <w:p>
            <w:pPr>
              <w:jc w:val="right"/>
              <w:ind w:right="368"/>
              <w:spacing w:after="0"/>
              <w:rPr>
                <w:sz w:val="20"/>
                <w:szCs w:val="20"/>
                <w:color w:val="auto"/>
              </w:rPr>
            </w:pPr>
            <w:r>
              <w:rPr>
                <w:rFonts w:ascii="Arial" w:cs="Arial" w:eastAsia="Arial" w:hAnsi="Arial"/>
                <w:sz w:val="14"/>
                <w:szCs w:val="14"/>
                <w:color w:val="auto"/>
              </w:rPr>
              <w:t>$1.1</w:t>
            </w:r>
          </w:p>
        </w:tc>
      </w:tr>
      <w:tr>
        <w:trPr>
          <w:trHeight w:val="175"/>
        </w:trPr>
        <w:tc>
          <w:tcPr>
            <w:tcW w:w="1080" w:type="dxa"/>
            <w:vAlign w:val="bottom"/>
          </w:tcPr>
          <w:p>
            <w:pPr>
              <w:spacing w:after="0"/>
              <w:rPr>
                <w:sz w:val="15"/>
                <w:szCs w:val="15"/>
                <w:color w:val="auto"/>
              </w:rPr>
            </w:pPr>
          </w:p>
        </w:tc>
        <w:tc>
          <w:tcPr>
            <w:tcW w:w="5380" w:type="dxa"/>
            <w:vAlign w:val="bottom"/>
          </w:tcPr>
          <w:p>
            <w:pPr>
              <w:ind w:left="320"/>
              <w:spacing w:after="0"/>
              <w:rPr>
                <w:sz w:val="20"/>
                <w:szCs w:val="20"/>
                <w:color w:val="auto"/>
              </w:rPr>
            </w:pPr>
            <w:r>
              <w:rPr>
                <w:rFonts w:ascii="Arial" w:cs="Arial" w:eastAsia="Arial" w:hAnsi="Arial"/>
                <w:sz w:val="14"/>
                <w:szCs w:val="14"/>
                <w:color w:val="auto"/>
              </w:rPr>
              <w:t>performance of the audit or reviews of the financial statements primarily</w:t>
            </w:r>
          </w:p>
        </w:tc>
        <w:tc>
          <w:tcPr>
            <w:tcW w:w="122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6"/>
        </w:trPr>
        <w:tc>
          <w:tcPr>
            <w:tcW w:w="1080" w:type="dxa"/>
            <w:vAlign w:val="bottom"/>
          </w:tcPr>
          <w:p>
            <w:pPr>
              <w:spacing w:after="0"/>
              <w:rPr>
                <w:sz w:val="15"/>
                <w:szCs w:val="15"/>
                <w:color w:val="auto"/>
              </w:rPr>
            </w:pPr>
          </w:p>
        </w:tc>
        <w:tc>
          <w:tcPr>
            <w:tcW w:w="5380" w:type="dxa"/>
            <w:vAlign w:val="bottom"/>
          </w:tcPr>
          <w:p>
            <w:pPr>
              <w:ind w:left="320"/>
              <w:spacing w:after="0"/>
              <w:rPr>
                <w:sz w:val="20"/>
                <w:szCs w:val="20"/>
                <w:color w:val="auto"/>
              </w:rPr>
            </w:pPr>
            <w:r>
              <w:rPr>
                <w:rFonts w:ascii="Arial" w:cs="Arial" w:eastAsia="Arial" w:hAnsi="Arial"/>
                <w:sz w:val="14"/>
                <w:szCs w:val="14"/>
                <w:color w:val="auto"/>
              </w:rPr>
              <w:t>related to employee benefit plan and other ancillary audits, and due diligence</w:t>
            </w:r>
          </w:p>
        </w:tc>
        <w:tc>
          <w:tcPr>
            <w:tcW w:w="122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94"/>
        </w:trPr>
        <w:tc>
          <w:tcPr>
            <w:tcW w:w="1080" w:type="dxa"/>
            <w:vAlign w:val="bottom"/>
          </w:tcPr>
          <w:p>
            <w:pPr>
              <w:spacing w:after="0"/>
              <w:rPr>
                <w:sz w:val="16"/>
                <w:szCs w:val="16"/>
                <w:color w:val="auto"/>
              </w:rPr>
            </w:pPr>
          </w:p>
        </w:tc>
        <w:tc>
          <w:tcPr>
            <w:tcW w:w="5380" w:type="dxa"/>
            <w:vAlign w:val="bottom"/>
          </w:tcPr>
          <w:p>
            <w:pPr>
              <w:ind w:left="320"/>
              <w:spacing w:after="0"/>
              <w:rPr>
                <w:sz w:val="20"/>
                <w:szCs w:val="20"/>
                <w:color w:val="auto"/>
              </w:rPr>
            </w:pPr>
            <w:r>
              <w:rPr>
                <w:rFonts w:ascii="Arial" w:cs="Arial" w:eastAsia="Arial" w:hAnsi="Arial"/>
                <w:sz w:val="14"/>
                <w:szCs w:val="14"/>
                <w:color w:val="auto"/>
              </w:rPr>
              <w:t>services on potential acquisitions</w:t>
            </w:r>
          </w:p>
        </w:tc>
        <w:tc>
          <w:tcPr>
            <w:tcW w:w="12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97"/>
        </w:trPr>
        <w:tc>
          <w:tcPr>
            <w:tcW w:w="1080" w:type="dxa"/>
            <w:vAlign w:val="bottom"/>
            <w:shd w:val="clear" w:color="auto" w:fill="F2F2F2"/>
          </w:tcPr>
          <w:p>
            <w:pPr>
              <w:ind w:left="20"/>
              <w:spacing w:after="0"/>
              <w:rPr>
                <w:sz w:val="20"/>
                <w:szCs w:val="20"/>
                <w:color w:val="auto"/>
              </w:rPr>
            </w:pPr>
            <w:r>
              <w:rPr>
                <w:rFonts w:ascii="Arial" w:cs="Arial" w:eastAsia="Arial" w:hAnsi="Arial"/>
                <w:sz w:val="14"/>
                <w:szCs w:val="14"/>
                <w:b w:val="1"/>
                <w:bCs w:val="1"/>
                <w:color w:val="auto"/>
              </w:rPr>
              <w:t>Tax Fees</w:t>
            </w:r>
          </w:p>
        </w:tc>
        <w:tc>
          <w:tcPr>
            <w:tcW w:w="5380" w:type="dxa"/>
            <w:vAlign w:val="bottom"/>
            <w:shd w:val="clear" w:color="auto" w:fill="F2F2F2"/>
          </w:tcPr>
          <w:p>
            <w:pPr>
              <w:ind w:left="320"/>
              <w:spacing w:after="0"/>
              <w:rPr>
                <w:sz w:val="20"/>
                <w:szCs w:val="20"/>
                <w:color w:val="auto"/>
              </w:rPr>
            </w:pPr>
            <w:r>
              <w:rPr>
                <w:rFonts w:ascii="Arial" w:cs="Arial" w:eastAsia="Arial" w:hAnsi="Arial"/>
                <w:sz w:val="14"/>
                <w:szCs w:val="14"/>
                <w:color w:val="auto"/>
              </w:rPr>
              <w:t>Tax compliance services, tax planning, tax advice</w:t>
            </w:r>
          </w:p>
        </w:tc>
        <w:tc>
          <w:tcPr>
            <w:tcW w:w="1220" w:type="dxa"/>
            <w:vAlign w:val="bottom"/>
            <w:shd w:val="clear" w:color="auto" w:fill="F2F2F2"/>
          </w:tcPr>
          <w:p>
            <w:pPr>
              <w:jc w:val="right"/>
              <w:ind w:right="368"/>
              <w:spacing w:after="0"/>
              <w:rPr>
                <w:sz w:val="20"/>
                <w:szCs w:val="20"/>
                <w:color w:val="auto"/>
              </w:rPr>
            </w:pPr>
            <w:r>
              <w:rPr>
                <w:rFonts w:ascii="Arial" w:cs="Arial" w:eastAsia="Arial" w:hAnsi="Arial"/>
                <w:sz w:val="14"/>
                <w:szCs w:val="14"/>
                <w:color w:val="auto"/>
              </w:rPr>
              <w:t>$1.2</w:t>
            </w:r>
          </w:p>
        </w:tc>
        <w:tc>
          <w:tcPr>
            <w:tcW w:w="1260" w:type="dxa"/>
            <w:vAlign w:val="bottom"/>
            <w:shd w:val="clear" w:color="auto" w:fill="F2F2F2"/>
          </w:tcPr>
          <w:p>
            <w:pPr>
              <w:jc w:val="right"/>
              <w:ind w:right="368"/>
              <w:spacing w:after="0"/>
              <w:rPr>
                <w:sz w:val="20"/>
                <w:szCs w:val="20"/>
                <w:color w:val="auto"/>
              </w:rPr>
            </w:pPr>
            <w:r>
              <w:rPr>
                <w:rFonts w:ascii="Arial" w:cs="Arial" w:eastAsia="Arial" w:hAnsi="Arial"/>
                <w:sz w:val="14"/>
                <w:szCs w:val="14"/>
                <w:color w:val="auto"/>
              </w:rPr>
              <w:t>$1.0</w:t>
            </w:r>
          </w:p>
        </w:tc>
      </w:tr>
      <w:tr>
        <w:trPr>
          <w:trHeight w:val="205"/>
        </w:trPr>
        <w:tc>
          <w:tcPr>
            <w:tcW w:w="1080" w:type="dxa"/>
            <w:vAlign w:val="bottom"/>
            <w:tcBorders>
              <w:bottom w:val="single" w:sz="8" w:color="F2F2F2"/>
            </w:tcBorders>
            <w:shd w:val="clear" w:color="auto" w:fill="F2F2F2"/>
          </w:tcPr>
          <w:p>
            <w:pPr>
              <w:spacing w:after="0"/>
              <w:rPr>
                <w:sz w:val="17"/>
                <w:szCs w:val="17"/>
                <w:color w:val="auto"/>
              </w:rPr>
            </w:pPr>
          </w:p>
        </w:tc>
        <w:tc>
          <w:tcPr>
            <w:tcW w:w="5380" w:type="dxa"/>
            <w:vAlign w:val="bottom"/>
            <w:tcBorders>
              <w:bottom w:val="single" w:sz="8" w:color="F2F2F2"/>
            </w:tcBorders>
            <w:shd w:val="clear" w:color="auto" w:fill="F2F2F2"/>
          </w:tcPr>
          <w:p>
            <w:pPr>
              <w:ind w:left="320"/>
              <w:spacing w:after="0"/>
              <w:rPr>
                <w:sz w:val="20"/>
                <w:szCs w:val="20"/>
                <w:color w:val="auto"/>
              </w:rPr>
            </w:pPr>
            <w:r>
              <w:rPr>
                <w:rFonts w:ascii="Arial" w:cs="Arial" w:eastAsia="Arial" w:hAnsi="Arial"/>
                <w:sz w:val="14"/>
                <w:szCs w:val="14"/>
                <w:color w:val="auto"/>
              </w:rPr>
              <w:t>Primarily related to consulting and compliance services</w:t>
            </w:r>
          </w:p>
        </w:tc>
        <w:tc>
          <w:tcPr>
            <w:tcW w:w="1220" w:type="dxa"/>
            <w:vAlign w:val="bottom"/>
            <w:tcBorders>
              <w:bottom w:val="single" w:sz="8" w:color="F2F2F2"/>
            </w:tcBorders>
            <w:shd w:val="clear" w:color="auto" w:fill="F2F2F2"/>
          </w:tcPr>
          <w:p>
            <w:pPr>
              <w:spacing w:after="0"/>
              <w:rPr>
                <w:sz w:val="17"/>
                <w:szCs w:val="17"/>
                <w:color w:val="auto"/>
              </w:rPr>
            </w:pPr>
          </w:p>
        </w:tc>
        <w:tc>
          <w:tcPr>
            <w:tcW w:w="1260" w:type="dxa"/>
            <w:vAlign w:val="bottom"/>
            <w:tcBorders>
              <w:bottom w:val="single" w:sz="8" w:color="F2F2F2"/>
            </w:tcBorders>
            <w:shd w:val="clear" w:color="auto" w:fill="F2F2F2"/>
          </w:tcPr>
          <w:p>
            <w:pPr>
              <w:spacing w:after="0"/>
              <w:rPr>
                <w:sz w:val="17"/>
                <w:szCs w:val="17"/>
                <w:color w:val="auto"/>
              </w:rPr>
            </w:pPr>
          </w:p>
        </w:tc>
      </w:tr>
      <w:tr>
        <w:trPr>
          <w:trHeight w:val="214"/>
        </w:trPr>
        <w:tc>
          <w:tcPr>
            <w:tcW w:w="1080" w:type="dxa"/>
            <w:vAlign w:val="bottom"/>
          </w:tcPr>
          <w:p>
            <w:pPr>
              <w:ind w:left="20"/>
              <w:spacing w:after="0"/>
              <w:rPr>
                <w:sz w:val="20"/>
                <w:szCs w:val="20"/>
                <w:color w:val="auto"/>
              </w:rPr>
            </w:pPr>
            <w:r>
              <w:rPr>
                <w:rFonts w:ascii="Arial" w:cs="Arial" w:eastAsia="Arial" w:hAnsi="Arial"/>
                <w:sz w:val="14"/>
                <w:szCs w:val="14"/>
                <w:b w:val="1"/>
                <w:bCs w:val="1"/>
                <w:color w:val="auto"/>
              </w:rPr>
              <w:t>Other</w:t>
            </w:r>
          </w:p>
        </w:tc>
        <w:tc>
          <w:tcPr>
            <w:tcW w:w="5380" w:type="dxa"/>
            <w:vAlign w:val="bottom"/>
          </w:tcPr>
          <w:p>
            <w:pPr>
              <w:ind w:left="320"/>
              <w:spacing w:after="0"/>
              <w:rPr>
                <w:sz w:val="20"/>
                <w:szCs w:val="20"/>
                <w:color w:val="auto"/>
              </w:rPr>
            </w:pPr>
            <w:r>
              <w:rPr>
                <w:rFonts w:ascii="Arial" w:cs="Arial" w:eastAsia="Arial" w:hAnsi="Arial"/>
                <w:sz w:val="14"/>
                <w:szCs w:val="14"/>
                <w:color w:val="auto"/>
              </w:rPr>
              <w:t>Advisory services related to regulatory and contractual matters</w:t>
            </w:r>
          </w:p>
        </w:tc>
        <w:tc>
          <w:tcPr>
            <w:tcW w:w="1220" w:type="dxa"/>
            <w:vAlign w:val="bottom"/>
          </w:tcPr>
          <w:p>
            <w:pPr>
              <w:jc w:val="right"/>
              <w:ind w:right="368"/>
              <w:spacing w:after="0"/>
              <w:rPr>
                <w:sz w:val="20"/>
                <w:szCs w:val="20"/>
                <w:color w:val="auto"/>
              </w:rPr>
            </w:pPr>
            <w:r>
              <w:rPr>
                <w:rFonts w:ascii="Arial" w:cs="Arial" w:eastAsia="Arial" w:hAnsi="Arial"/>
                <w:sz w:val="14"/>
                <w:szCs w:val="14"/>
                <w:color w:val="auto"/>
              </w:rPr>
              <w:t>$0.2</w:t>
            </w:r>
          </w:p>
        </w:tc>
        <w:tc>
          <w:tcPr>
            <w:tcW w:w="1260" w:type="dxa"/>
            <w:vAlign w:val="bottom"/>
          </w:tcPr>
          <w:p>
            <w:pPr>
              <w:jc w:val="right"/>
              <w:ind w:right="368"/>
              <w:spacing w:after="0"/>
              <w:rPr>
                <w:sz w:val="20"/>
                <w:szCs w:val="20"/>
                <w:color w:val="auto"/>
              </w:rPr>
            </w:pPr>
            <w:r>
              <w:rPr>
                <w:rFonts w:ascii="Arial" w:cs="Arial" w:eastAsia="Arial" w:hAnsi="Arial"/>
                <w:sz w:val="14"/>
                <w:szCs w:val="14"/>
                <w:color w:val="auto"/>
              </w:rPr>
              <w:t>$0.2</w:t>
            </w:r>
          </w:p>
        </w:tc>
      </w:tr>
      <w:tr>
        <w:trPr>
          <w:trHeight w:val="97"/>
        </w:trPr>
        <w:tc>
          <w:tcPr>
            <w:tcW w:w="1080" w:type="dxa"/>
            <w:vAlign w:val="bottom"/>
            <w:tcBorders>
              <w:bottom w:val="single" w:sz="8" w:color="auto"/>
            </w:tcBorders>
          </w:tcPr>
          <w:p>
            <w:pPr>
              <w:spacing w:after="0"/>
              <w:rPr>
                <w:sz w:val="8"/>
                <w:szCs w:val="8"/>
                <w:color w:val="auto"/>
              </w:rPr>
            </w:pPr>
          </w:p>
        </w:tc>
        <w:tc>
          <w:tcPr>
            <w:tcW w:w="538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r>
      <w:tr>
        <w:trPr>
          <w:trHeight w:val="243"/>
        </w:trPr>
        <w:tc>
          <w:tcPr>
            <w:tcW w:w="1080" w:type="dxa"/>
            <w:vAlign w:val="bottom"/>
            <w:tcBorders>
              <w:bottom w:val="single" w:sz="8" w:color="auto"/>
            </w:tcBorders>
            <w:shd w:val="clear" w:color="auto" w:fill="F2F2F2"/>
          </w:tcPr>
          <w:p>
            <w:pPr>
              <w:ind w:left="20"/>
              <w:spacing w:after="0"/>
              <w:rPr>
                <w:sz w:val="20"/>
                <w:szCs w:val="20"/>
                <w:color w:val="auto"/>
              </w:rPr>
            </w:pPr>
            <w:r>
              <w:rPr>
                <w:rFonts w:ascii="Arial" w:cs="Arial" w:eastAsia="Arial" w:hAnsi="Arial"/>
                <w:sz w:val="14"/>
                <w:szCs w:val="14"/>
                <w:b w:val="1"/>
                <w:bCs w:val="1"/>
                <w:color w:val="auto"/>
              </w:rPr>
              <w:t>Total</w:t>
            </w:r>
          </w:p>
        </w:tc>
        <w:tc>
          <w:tcPr>
            <w:tcW w:w="5380" w:type="dxa"/>
            <w:vAlign w:val="bottom"/>
            <w:tcBorders>
              <w:bottom w:val="single" w:sz="8" w:color="auto"/>
            </w:tcBorders>
            <w:shd w:val="clear" w:color="auto" w:fill="F2F2F2"/>
          </w:tcPr>
          <w:p>
            <w:pPr>
              <w:spacing w:after="0"/>
              <w:rPr>
                <w:sz w:val="21"/>
                <w:szCs w:val="21"/>
                <w:color w:val="auto"/>
              </w:rPr>
            </w:pPr>
          </w:p>
        </w:tc>
        <w:tc>
          <w:tcPr>
            <w:tcW w:w="1220" w:type="dxa"/>
            <w:vAlign w:val="bottom"/>
            <w:tcBorders>
              <w:bottom w:val="single" w:sz="8" w:color="auto"/>
            </w:tcBorders>
            <w:shd w:val="clear" w:color="auto" w:fill="F2F2F2"/>
          </w:tcPr>
          <w:p>
            <w:pPr>
              <w:jc w:val="right"/>
              <w:ind w:right="368"/>
              <w:spacing w:after="0"/>
              <w:rPr>
                <w:sz w:val="20"/>
                <w:szCs w:val="20"/>
                <w:color w:val="auto"/>
              </w:rPr>
            </w:pPr>
            <w:r>
              <w:rPr>
                <w:rFonts w:ascii="Arial" w:cs="Arial" w:eastAsia="Arial" w:hAnsi="Arial"/>
                <w:sz w:val="14"/>
                <w:szCs w:val="14"/>
                <w:color w:val="auto"/>
              </w:rPr>
              <w:t>$18.8</w:t>
            </w:r>
          </w:p>
        </w:tc>
        <w:tc>
          <w:tcPr>
            <w:tcW w:w="1260" w:type="dxa"/>
            <w:vAlign w:val="bottom"/>
            <w:tcBorders>
              <w:bottom w:val="single" w:sz="8" w:color="auto"/>
            </w:tcBorders>
            <w:shd w:val="clear" w:color="auto" w:fill="F2F2F2"/>
          </w:tcPr>
          <w:p>
            <w:pPr>
              <w:jc w:val="right"/>
              <w:ind w:right="368"/>
              <w:spacing w:after="0"/>
              <w:rPr>
                <w:sz w:val="20"/>
                <w:szCs w:val="20"/>
                <w:color w:val="auto"/>
              </w:rPr>
            </w:pPr>
            <w:r>
              <w:rPr>
                <w:rFonts w:ascii="Arial" w:cs="Arial" w:eastAsia="Arial" w:hAnsi="Arial"/>
                <w:sz w:val="14"/>
                <w:szCs w:val="14"/>
                <w:color w:val="auto"/>
              </w:rPr>
              <w:t>$17.4</w:t>
            </w:r>
          </w:p>
        </w:tc>
      </w:tr>
      <w:tr>
        <w:trPr>
          <w:trHeight w:val="370"/>
        </w:trPr>
        <w:tc>
          <w:tcPr>
            <w:tcW w:w="6460" w:type="dxa"/>
            <w:vAlign w:val="bottom"/>
            <w:gridSpan w:val="2"/>
          </w:tcPr>
          <w:p>
            <w:pPr>
              <w:spacing w:after="0"/>
              <w:rPr>
                <w:sz w:val="20"/>
                <w:szCs w:val="20"/>
                <w:color w:val="auto"/>
              </w:rPr>
            </w:pPr>
            <w:r>
              <w:rPr>
                <w:rFonts w:ascii="Arial" w:cs="Arial" w:eastAsia="Arial" w:hAnsi="Arial"/>
                <w:sz w:val="14"/>
                <w:szCs w:val="14"/>
                <w:color w:val="auto"/>
              </w:rPr>
              <w:t>* Numbers may not add due to rounding</w:t>
            </w: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pacing w:after="0" w:line="332" w:lineRule="exact"/>
        <w:rPr>
          <w:sz w:val="20"/>
          <w:szCs w:val="20"/>
          <w:color w:val="auto"/>
        </w:rPr>
      </w:pPr>
    </w:p>
    <w:p>
      <w:pPr>
        <w:spacing w:after="0"/>
        <w:rPr>
          <w:sz w:val="20"/>
          <w:szCs w:val="20"/>
          <w:color w:val="auto"/>
        </w:rPr>
      </w:pPr>
      <w:r>
        <w:rPr>
          <w:rFonts w:ascii="Arial" w:cs="Arial" w:eastAsia="Arial" w:hAnsi="Arial"/>
          <w:sz w:val="52"/>
          <w:szCs w:val="52"/>
          <w:b w:val="1"/>
          <w:bCs w:val="1"/>
          <w:color w:val="auto"/>
        </w:rPr>
        <w:t>Management Proposals</w:t>
      </w:r>
    </w:p>
    <w:p>
      <w:pPr>
        <w:spacing w:after="0" w:line="200" w:lineRule="exact"/>
        <w:rPr>
          <w:sz w:val="20"/>
          <w:szCs w:val="20"/>
          <w:color w:val="auto"/>
        </w:rPr>
      </w:pPr>
    </w:p>
    <w:p>
      <w:pPr>
        <w:spacing w:after="0" w:line="211" w:lineRule="exact"/>
        <w:rPr>
          <w:sz w:val="20"/>
          <w:szCs w:val="20"/>
          <w:color w:val="auto"/>
        </w:rPr>
      </w:pPr>
    </w:p>
    <w:p>
      <w:pPr>
        <w:ind w:right="500"/>
        <w:spacing w:after="0" w:line="273" w:lineRule="auto"/>
        <w:rPr>
          <w:sz w:val="20"/>
          <w:szCs w:val="20"/>
          <w:color w:val="auto"/>
        </w:rPr>
      </w:pPr>
      <w:r>
        <w:rPr>
          <w:rFonts w:ascii="Arial" w:cs="Arial" w:eastAsia="Arial" w:hAnsi="Arial"/>
          <w:sz w:val="32"/>
          <w:szCs w:val="32"/>
          <w:b w:val="1"/>
          <w:bCs w:val="1"/>
          <w:color w:val="D52B1E"/>
        </w:rPr>
        <w:t>Item 4. Proposal to Amend the Company’s Articles of Incorporation to Eliminate the Classified Board Structure</w:t>
      </w:r>
    </w:p>
    <w:p>
      <w:pPr>
        <w:spacing w:after="0" w:line="2"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company’s articles of incorporation provide that the board is divided into three classes, with each class elected every three years. The board, after review by its Directors and Corporate Governance Committee, has approved, and recommends that the shareholders approve, amendments to eliminate the classified board structure in order to provide for the annual election of all directors (the Declassification Amendments). From 2010 through 2012 and again from 2018 through 2024, the board submitted this management proposal to shareholders seeking approval to eliminate the company’s classified board structure; however, under the company’s articles of incorporation the proposal requires the vote of 80 percent of the outstanding shares to be approved and on each prior occasion failed to receive the required vote.</w:t>
      </w:r>
    </w:p>
    <w:p>
      <w:pPr>
        <w:spacing w:after="0" w:line="1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If approved, the Declassification Amendments would become effective following the Annual Meeting upon the company making the required filings of the Declassification Amendments with the Secretary of State of Indiana. Directors elected prior to the effectiveness of the Declassification Amendments would serve the remainder of their respective three-year terms and each director elected after the Annual Meeting would serve a one-year term, ending at the next annual meeting of shareholders. Thereafter, the company’s classified board structure would be fully eliminated starting with the 2028 annual meeting of shareholders. In the case of any vacancy on the board occurring after the Annual Meeting created by an increase in the number of directors, the vacancy would be filled through an appointment by the board, with the new director to serve a term ending at the next annual meeting of shareholders. Vacancies created by resignation, removal or death would be filled by appointment by the board of a new director to serve until the end of the term of the director being replaced. This proposal would not change the present number of directors or the board’s authority to change that number and to fill any vacancies or newly created directorships.</w:t>
      </w:r>
    </w:p>
    <w:p>
      <w:pPr>
        <w:spacing w:after="0" w:line="126" w:lineRule="exact"/>
        <w:rPr>
          <w:sz w:val="20"/>
          <w:szCs w:val="20"/>
          <w:color w:val="auto"/>
        </w:rPr>
      </w:pPr>
    </w:p>
    <w:p>
      <w:pPr>
        <w:spacing w:after="0"/>
        <w:rPr>
          <w:sz w:val="20"/>
          <w:szCs w:val="20"/>
          <w:color w:val="auto"/>
        </w:rPr>
      </w:pPr>
      <w:r>
        <w:rPr>
          <w:rFonts w:ascii="Arial" w:cs="Arial" w:eastAsia="Arial" w:hAnsi="Arial"/>
          <w:sz w:val="25"/>
          <w:szCs w:val="25"/>
          <w:b w:val="1"/>
          <w:bCs w:val="1"/>
          <w:color w:val="00A1DE"/>
        </w:rPr>
        <w:t>Background of Proposal</w:t>
      </w:r>
    </w:p>
    <w:p>
      <w:pPr>
        <w:spacing w:after="0" w:line="8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As part of its ongoing review of corporate governance matters, the board, taking into account the input of the Directors and Corporate Governance Committee, considered the advantages and disadvantages of maintaining the classified board structure. The board considered the view of certain shareholders who believe that classified boards have the effect of reducing the accountability of directors to shareholders because shareholders are unable to evaluate and consider all directors for election on an annual basis. The board gave considerable weight to the favorable votes of a strong majority of the outstanding shares for management’s proposals in prior years.</w:t>
      </w:r>
    </w:p>
    <w:p>
      <w:pPr>
        <w:spacing w:after="0" w:line="125"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The board also considered the benefits of retaining the classified board structure. A classified structure may promote shareholder value by providing continuity and stability in the management of the business and affairs of</w:t>
      </w:r>
    </w:p>
    <w:p>
      <w:pPr>
        <w:sectPr>
          <w:pgSz w:w="11900" w:h="16838" w:orient="portrait"/>
          <w:cols w:equalWidth="0" w:num="1">
            <w:col w:w="11240"/>
          </w:cols>
          <w:pgMar w:left="320" w:top="925" w:right="339" w:bottom="1440" w:gutter="0" w:footer="0" w:header="0"/>
        </w:sect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103505</wp:posOffset>
            </wp:positionV>
            <wp:extent cx="7157720" cy="42545"/>
            <wp:wrapNone/>
            <wp:docPr id="2563" name="Picture 2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3"/>
                    <pic:cNvPicPr>
                      <a:picLocks noChangeAspect="1" noChangeArrowheads="1"/>
                    </pic:cNvPicPr>
                  </pic:nvPicPr>
                  <pic:blipFill>
                    <a:blip r:embed="rId25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5" w:right="339" w:bottom="1440" w:gutter="0" w:footer="0" w:header="0"/>
          <w:type w:val="continuous"/>
        </w:sectPr>
      </w:pPr>
    </w:p>
    <w:bookmarkStart w:id="85" w:name="page86"/>
    <w:bookmarkEnd w:id="85"/>
    <w:p>
      <w:pPr>
        <w:spacing w:after="0" w:line="256" w:lineRule="auto"/>
        <w:rPr>
          <w:sz w:val="20"/>
          <w:szCs w:val="20"/>
          <w:color w:val="auto"/>
        </w:rPr>
      </w:pPr>
      <w:r>
        <w:rPr>
          <w:rFonts w:ascii="Arial" w:cs="Arial" w:eastAsia="Arial" w:hAnsi="Arial"/>
          <w:sz w:val="18"/>
          <w:szCs w:val="18"/>
          <w:color w:val="auto"/>
        </w:rPr>
        <w:t>the company, as a majority of the board always has prior experience as directors of the company. In addition, under certain circumstances, classified boards may protect shareholder value by forcing an entity seeking control of the company to initiate discussions at arm’s-length with the board of the company, because the entity cannot replace the majority of the board in a single election. The board also considered that even without a classified board (and without the supermajority voting requirements, which the board also recommends eliminating), the company would have appropriate safeguards to protect the interests of all shareholders and discourage a would-be acquirer from proceeding with a proposal that undervalues the company or is opportunistic. These include other provisions of the company’s articles of incorporation and bylaws, as well as certain provisions of Indiana corporation law.</w:t>
      </w:r>
    </w:p>
    <w:p>
      <w:pPr>
        <w:spacing w:after="0" w:line="129"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After balancing these interests, the board has decided to resubmit this proposal to eliminate the classified board structure. The affirmative vote of at least 80 percent of the outstanding shares of common stock is needed to approve this proposal. Unless such vote is received, the present classification of the board will continue.</w:t>
      </w:r>
    </w:p>
    <w:p>
      <w:pPr>
        <w:spacing w:after="0" w:line="111" w:lineRule="exact"/>
        <w:rPr>
          <w:sz w:val="20"/>
          <w:szCs w:val="20"/>
          <w:color w:val="auto"/>
        </w:rPr>
      </w:pPr>
    </w:p>
    <w:p>
      <w:pPr>
        <w:spacing w:after="0"/>
        <w:rPr>
          <w:sz w:val="20"/>
          <w:szCs w:val="20"/>
          <w:color w:val="auto"/>
        </w:rPr>
      </w:pPr>
      <w:r>
        <w:rPr>
          <w:rFonts w:ascii="Arial" w:cs="Arial" w:eastAsia="Arial" w:hAnsi="Arial"/>
          <w:sz w:val="25"/>
          <w:szCs w:val="25"/>
          <w:b w:val="1"/>
          <w:bCs w:val="1"/>
          <w:color w:val="00A1DE"/>
        </w:rPr>
        <w:t>Text of the Amendments</w:t>
      </w:r>
    </w:p>
    <w:p>
      <w:pPr>
        <w:spacing w:after="0" w:line="69"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Article 9(b) of the company’s articles of incorporation contains the provisions that will be affected if this proposal is adopted. This article, set forth in Appendix B to this proxy statement, shows the proposed changes, with deletions indicated by strikeouts and additions indicated by underlining. The board has also adopted conforming amendments to the company’s bylaws, to be effective immediately upon, and subject to, the effectiveness of the amendments to the articles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5760720" cy="728980"/>
            <wp:wrapNone/>
            <wp:docPr id="2564" name="Picture 2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4"/>
                    <pic:cNvPicPr>
                      <a:picLocks noChangeAspect="1" noChangeArrowheads="1"/>
                    </pic:cNvPicPr>
                  </pic:nvPicPr>
                  <pic:blipFill>
                    <a:blip r:embed="rId2571">
                      <a:extLst>
                        <a:ext uri="{28A0092B-C50C-407E-A947-70E740481C1C}"/>
                      </a:extLst>
                    </a:blip>
                    <a:srcRect/>
                    <a:stretch>
                      <a:fillRect/>
                    </a:stretch>
                  </pic:blipFill>
                  <pic:spPr bwMode="auto">
                    <a:xfrm>
                      <a:off x="0" y="0"/>
                      <a:ext cx="5760720" cy="728980"/>
                    </a:xfrm>
                    <a:prstGeom prst="rect">
                      <a:avLst/>
                    </a:prstGeom>
                    <a:noFill/>
                  </pic:spPr>
                </pic:pic>
              </a:graphicData>
            </a:graphic>
          </wp:anchor>
        </w:drawing>
      </w:r>
    </w:p>
    <w:p>
      <w:pPr>
        <w:spacing w:after="0" w:line="232" w:lineRule="exact"/>
        <w:rPr>
          <w:sz w:val="20"/>
          <w:szCs w:val="20"/>
          <w:color w:val="auto"/>
        </w:rPr>
      </w:pPr>
    </w:p>
    <w:p>
      <w:pPr>
        <w:ind w:left="1020"/>
        <w:spacing w:after="0"/>
        <w:rPr>
          <w:sz w:val="20"/>
          <w:szCs w:val="20"/>
          <w:color w:val="auto"/>
        </w:rPr>
      </w:pPr>
      <w:r>
        <w:rPr>
          <w:rFonts w:ascii="Arial" w:cs="Arial" w:eastAsia="Arial" w:hAnsi="Arial"/>
          <w:sz w:val="20"/>
          <w:szCs w:val="20"/>
          <w:b w:val="1"/>
          <w:bCs w:val="1"/>
          <w:color w:val="D52B1E"/>
        </w:rPr>
        <w:t>RECOMMENDATION FOR</w:t>
      </w:r>
    </w:p>
    <w:p>
      <w:pPr>
        <w:spacing w:after="0" w:line="172" w:lineRule="exact"/>
        <w:rPr>
          <w:sz w:val="20"/>
          <w:szCs w:val="20"/>
          <w:color w:val="auto"/>
        </w:rPr>
      </w:pPr>
    </w:p>
    <w:p>
      <w:pPr>
        <w:ind w:left="200" w:right="2360"/>
        <w:spacing w:after="0" w:line="296" w:lineRule="auto"/>
        <w:rPr>
          <w:sz w:val="20"/>
          <w:szCs w:val="20"/>
          <w:color w:val="auto"/>
        </w:rPr>
      </w:pPr>
      <w:r>
        <w:rPr>
          <w:rFonts w:ascii="Arial" w:cs="Arial" w:eastAsia="Arial" w:hAnsi="Arial"/>
          <w:sz w:val="18"/>
          <w:szCs w:val="18"/>
          <w:color w:val="auto"/>
        </w:rPr>
        <w:t xml:space="preserve">The board recommends that you vote </w:t>
      </w:r>
      <w:r>
        <w:rPr>
          <w:rFonts w:ascii="Arial" w:cs="Arial" w:eastAsia="Arial" w:hAnsi="Arial"/>
          <w:sz w:val="18"/>
          <w:szCs w:val="18"/>
          <w:b w:val="1"/>
          <w:bCs w:val="1"/>
          <w:color w:val="auto"/>
        </w:rPr>
        <w:t>FOR</w:t>
      </w:r>
      <w:r>
        <w:rPr>
          <w:rFonts w:ascii="Arial" w:cs="Arial" w:eastAsia="Arial" w:hAnsi="Arial"/>
          <w:sz w:val="18"/>
          <w:szCs w:val="18"/>
          <w:color w:val="auto"/>
        </w:rPr>
        <w:t xml:space="preserve"> amending the company’s articles of incorporation to eliminate the classified board structure.</w:t>
      </w:r>
    </w:p>
    <w:p>
      <w:pPr>
        <w:spacing w:after="0" w:line="200" w:lineRule="exact"/>
        <w:rPr>
          <w:sz w:val="20"/>
          <w:szCs w:val="20"/>
          <w:color w:val="auto"/>
        </w:rPr>
      </w:pPr>
    </w:p>
    <w:p>
      <w:pPr>
        <w:spacing w:after="0" w:line="393" w:lineRule="exact"/>
        <w:rPr>
          <w:sz w:val="20"/>
          <w:szCs w:val="20"/>
          <w:color w:val="auto"/>
        </w:rPr>
      </w:pPr>
    </w:p>
    <w:p>
      <w:pPr>
        <w:ind w:right="480"/>
        <w:spacing w:after="0" w:line="276" w:lineRule="auto"/>
        <w:rPr>
          <w:sz w:val="20"/>
          <w:szCs w:val="20"/>
          <w:color w:val="auto"/>
        </w:rPr>
      </w:pPr>
      <w:r>
        <w:rPr>
          <w:rFonts w:ascii="Arial" w:cs="Arial" w:eastAsia="Arial" w:hAnsi="Arial"/>
          <w:sz w:val="32"/>
          <w:szCs w:val="32"/>
          <w:b w:val="1"/>
          <w:bCs w:val="1"/>
          <w:color w:val="D52B1E"/>
        </w:rPr>
        <w:t>Item 5. Proposal to Amend the Company’s Articles of Incorporation to Eliminate Supermajority Voting Provisions</w:t>
      </w:r>
    </w:p>
    <w:p>
      <w:pPr>
        <w:spacing w:after="0" w:line="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company’s articles of incorporation provide that nearly all matters submitted to a vote of shareholders can be adopted by a majority of the votes cast. However, the company’s articles of incorporation require certain fundamental corporate actions to be approved by the holders of 80 percent of the outstanding shares of common stock. Those actions are:</w:t>
      </w:r>
    </w:p>
    <w:p>
      <w:pPr>
        <w:spacing w:after="0" w:line="9" w:lineRule="exact"/>
        <w:rPr>
          <w:sz w:val="20"/>
          <w:szCs w:val="20"/>
          <w:color w:val="auto"/>
        </w:rPr>
      </w:pPr>
    </w:p>
    <w:p>
      <w:pPr>
        <w:ind w:left="640" w:hanging="308"/>
        <w:spacing w:after="0"/>
        <w:tabs>
          <w:tab w:leader="none" w:pos="640" w:val="left"/>
        </w:tabs>
        <w:numPr>
          <w:ilvl w:val="0"/>
          <w:numId w:val="193"/>
        </w:numPr>
        <w:rPr>
          <w:rFonts w:ascii="Arial" w:cs="Arial" w:eastAsia="Arial" w:hAnsi="Arial"/>
          <w:sz w:val="16"/>
          <w:szCs w:val="16"/>
          <w:color w:val="auto"/>
        </w:rPr>
      </w:pPr>
      <w:r>
        <w:rPr>
          <w:rFonts w:ascii="Arial" w:cs="Arial" w:eastAsia="Arial" w:hAnsi="Arial"/>
          <w:sz w:val="18"/>
          <w:szCs w:val="18"/>
          <w:color w:val="auto"/>
        </w:rPr>
        <w:t>amending certain provisions of the articles of incorporation that relate to the number and terms of office of directors:</w:t>
      </w:r>
    </w:p>
    <w:p>
      <w:pPr>
        <w:spacing w:after="0" w:line="63"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  the company’s classified board structure (as described under Item 4)</w:t>
      </w:r>
    </w:p>
    <w:p>
      <w:pPr>
        <w:spacing w:after="0" w:line="63"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  a provision that the number of directors shall be specified solely by resolution of the board</w:t>
      </w:r>
    </w:p>
    <w:p>
      <w:pPr>
        <w:spacing w:after="0" w:line="63" w:lineRule="exact"/>
        <w:rPr>
          <w:rFonts w:ascii="Arial" w:cs="Arial" w:eastAsia="Arial" w:hAnsi="Arial"/>
          <w:sz w:val="16"/>
          <w:szCs w:val="16"/>
          <w:color w:val="auto"/>
        </w:rPr>
      </w:pPr>
    </w:p>
    <w:p>
      <w:pPr>
        <w:ind w:left="640" w:hanging="308"/>
        <w:spacing w:after="0"/>
        <w:tabs>
          <w:tab w:leader="none" w:pos="640" w:val="left"/>
        </w:tabs>
        <w:numPr>
          <w:ilvl w:val="0"/>
          <w:numId w:val="193"/>
        </w:numPr>
        <w:rPr>
          <w:rFonts w:ascii="Arial" w:cs="Arial" w:eastAsia="Arial" w:hAnsi="Arial"/>
          <w:sz w:val="16"/>
          <w:szCs w:val="16"/>
          <w:color w:val="auto"/>
        </w:rPr>
      </w:pPr>
      <w:r>
        <w:rPr>
          <w:rFonts w:ascii="Arial" w:cs="Arial" w:eastAsia="Arial" w:hAnsi="Arial"/>
          <w:sz w:val="18"/>
          <w:szCs w:val="18"/>
          <w:color w:val="auto"/>
        </w:rPr>
        <w:t>removing directors prior to the end of their elected term</w:t>
      </w:r>
    </w:p>
    <w:p>
      <w:pPr>
        <w:spacing w:after="0" w:line="63" w:lineRule="exact"/>
        <w:rPr>
          <w:rFonts w:ascii="Arial" w:cs="Arial" w:eastAsia="Arial" w:hAnsi="Arial"/>
          <w:sz w:val="16"/>
          <w:szCs w:val="16"/>
          <w:color w:val="auto"/>
        </w:rPr>
      </w:pPr>
    </w:p>
    <w:p>
      <w:pPr>
        <w:jc w:val="both"/>
        <w:ind w:left="660" w:right="80" w:hanging="328"/>
        <w:spacing w:after="0" w:line="268" w:lineRule="auto"/>
        <w:tabs>
          <w:tab w:leader="none" w:pos="649" w:val="left"/>
        </w:tabs>
        <w:numPr>
          <w:ilvl w:val="0"/>
          <w:numId w:val="193"/>
        </w:numPr>
        <w:rPr>
          <w:rFonts w:ascii="Arial" w:cs="Arial" w:eastAsia="Arial" w:hAnsi="Arial"/>
          <w:sz w:val="16"/>
          <w:szCs w:val="16"/>
          <w:color w:val="auto"/>
        </w:rPr>
      </w:pPr>
      <w:r>
        <w:rPr>
          <w:rFonts w:ascii="Arial" w:cs="Arial" w:eastAsia="Arial" w:hAnsi="Arial"/>
          <w:sz w:val="18"/>
          <w:szCs w:val="18"/>
          <w:color w:val="auto"/>
        </w:rPr>
        <w:t>entering into mergers, consolidations, recapitalizations, or certain other business combinations with a “related person”—a party who has acquired at least five percent of the company’s stock (other than the Endowment or a company benefit plan) — without the prior approval of such action or transaction by the directors not affiliated with such shareholder</w:t>
      </w:r>
    </w:p>
    <w:p>
      <w:pPr>
        <w:spacing w:after="0" w:line="8" w:lineRule="exact"/>
        <w:rPr>
          <w:rFonts w:ascii="Arial" w:cs="Arial" w:eastAsia="Arial" w:hAnsi="Arial"/>
          <w:sz w:val="16"/>
          <w:szCs w:val="16"/>
          <w:color w:val="auto"/>
        </w:rPr>
      </w:pPr>
    </w:p>
    <w:p>
      <w:pPr>
        <w:ind w:left="640" w:hanging="308"/>
        <w:spacing w:after="0"/>
        <w:tabs>
          <w:tab w:leader="none" w:pos="640" w:val="left"/>
        </w:tabs>
        <w:numPr>
          <w:ilvl w:val="0"/>
          <w:numId w:val="193"/>
        </w:numPr>
        <w:rPr>
          <w:rFonts w:ascii="Arial" w:cs="Arial" w:eastAsia="Arial" w:hAnsi="Arial"/>
          <w:sz w:val="16"/>
          <w:szCs w:val="16"/>
          <w:color w:val="auto"/>
        </w:rPr>
      </w:pPr>
      <w:r>
        <w:rPr>
          <w:rFonts w:ascii="Arial" w:cs="Arial" w:eastAsia="Arial" w:hAnsi="Arial"/>
          <w:sz w:val="18"/>
          <w:szCs w:val="18"/>
          <w:color w:val="auto"/>
        </w:rPr>
        <w:t>modifying or eliminating any of the above supermajority voting requirements.</w:t>
      </w:r>
    </w:p>
    <w:p>
      <w:pPr>
        <w:spacing w:after="0" w:line="6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board, after review by the Directors and Corporate Governance Committee, has approved, and recommends that the shareholders approve, amendments to eliminate the supermajority voting requirements (the Supermajority Voting Amendments). From 2010 through 2012 and again from 2018 through 2024, the board submitted this management proposal to shareholders seeking approval to eliminate these supermajority voting requirements; however, under the company’s articles of incorporation the proposal requires the vote of 80 percent of the outstanding shares to be approved and on each prior occasion failed to receive the required vote.</w:t>
      </w:r>
    </w:p>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88900</wp:posOffset>
            </wp:positionV>
            <wp:extent cx="7157720" cy="42545"/>
            <wp:wrapNone/>
            <wp:docPr id="2565" name="Picture 2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5"/>
                    <pic:cNvPicPr>
                      <a:picLocks noChangeAspect="1" noChangeArrowheads="1"/>
                    </pic:cNvPicPr>
                  </pic:nvPicPr>
                  <pic:blipFill>
                    <a:blip r:embed="rId25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86" w:name="page87"/>
    <w:bookmarkEnd w:id="86"/>
    <w:p>
      <w:pPr>
        <w:spacing w:after="0"/>
        <w:rPr>
          <w:sz w:val="20"/>
          <w:szCs w:val="20"/>
          <w:color w:val="auto"/>
        </w:rPr>
      </w:pPr>
      <w:r>
        <w:rPr>
          <w:rFonts w:ascii="Arial" w:cs="Arial" w:eastAsia="Arial" w:hAnsi="Arial"/>
          <w:sz w:val="25"/>
          <w:szCs w:val="25"/>
          <w:b w:val="1"/>
          <w:bCs w:val="1"/>
          <w:color w:val="00A1DE"/>
        </w:rPr>
        <w:t>Background of Proposal</w:t>
      </w:r>
    </w:p>
    <w:p>
      <w:pPr>
        <w:spacing w:after="0" w:line="6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As part of its ongoing review of corporate governance matters, the board, taking into account the input of the Directors and Corporate Governance Committee, considered the advantages and disadvantages of maintaining the supermajority voting requirements. The board considered the potential adverse consequences of maintaining the supermajority voting requirements. The board believes it is important to maintain shareholder confidence by demonstrating that the board is responsive and accountable to shareholders and committed to strong corporate governance. This requires the board to carefully balance sometimes competing interests. In this regard, the board gave considerable weight to the favorable votes of a strong majority of the outstanding shares for management’s proposal in the previous four years. Many shareholders believe that supermajority voting requirements impede accountability to shareholders and contribute to board and management entrenchment. The board also considered that, even without the supermajority vote (and without the classified board, which the board also recommends eliminating), the company has appropriate safeguards to protect the interests of all shareholders and to discourage a would-be acquirer from proceeding with a proposal that undervalues the company or is opportunistic and to assist the board in responding to such proposals. These include other provisions of the company’s articles of incorporation and bylaws as well as certain provisions of Indiana corporation law.</w:t>
      </w:r>
    </w:p>
    <w:p>
      <w:pPr>
        <w:spacing w:after="0" w:line="13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board also considered that under certain circumstances, supermajority voting requirements can provide benefits to the company and all its shareholders by making it more difficult for one or a few large shareholders to facilitate a takeover of the company or implement certain significant changes to the company without more widespread shareholder support.</w:t>
      </w:r>
    </w:p>
    <w:p>
      <w:pPr>
        <w:spacing w:after="0" w:line="117"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After balancing these interests, the board has decided to resubmit this proposal to eliminate the supermajority voting requirements. The affirmative vote of at least 80 percent of the outstanding shares of common stock is needed to approve this proposal. Unless such vote is received, the supermajority voting requirements will continue to be in effect.</w:t>
      </w:r>
    </w:p>
    <w:p>
      <w:pPr>
        <w:spacing w:after="0" w:line="111" w:lineRule="exact"/>
        <w:rPr>
          <w:sz w:val="20"/>
          <w:szCs w:val="20"/>
          <w:color w:val="auto"/>
        </w:rPr>
      </w:pPr>
    </w:p>
    <w:p>
      <w:pPr>
        <w:spacing w:after="0"/>
        <w:rPr>
          <w:sz w:val="20"/>
          <w:szCs w:val="20"/>
          <w:color w:val="auto"/>
        </w:rPr>
      </w:pPr>
      <w:r>
        <w:rPr>
          <w:rFonts w:ascii="Arial" w:cs="Arial" w:eastAsia="Arial" w:hAnsi="Arial"/>
          <w:sz w:val="25"/>
          <w:szCs w:val="25"/>
          <w:b w:val="1"/>
          <w:bCs w:val="1"/>
          <w:color w:val="00A1DE"/>
        </w:rPr>
        <w:t>Text of Amendments</w:t>
      </w:r>
    </w:p>
    <w:p>
      <w:pPr>
        <w:spacing w:after="0" w:line="83"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Articles 9(c), 9(d), and 13 of the company’s articles of incorporation contain the provisions that will be affected if this proposal is adopted. These articles, set forth in Appendix B to this proxy statement, show the proposed changes with deletions indicated by strikeouts and additions indicated by underlining. The board has also adopted conforming amendments to the company’s bylaws, to be effective immediately upon, and subject to, the effectiveness of the amendments to the articles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5760720" cy="728980"/>
            <wp:wrapNone/>
            <wp:docPr id="2566" name="Picture 2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6"/>
                    <pic:cNvPicPr>
                      <a:picLocks noChangeAspect="1" noChangeArrowheads="1"/>
                    </pic:cNvPicPr>
                  </pic:nvPicPr>
                  <pic:blipFill>
                    <a:blip r:embed="rId2573">
                      <a:extLst>
                        <a:ext uri="{28A0092B-C50C-407E-A947-70E740481C1C}"/>
                      </a:extLst>
                    </a:blip>
                    <a:srcRect/>
                    <a:stretch>
                      <a:fillRect/>
                    </a:stretch>
                  </pic:blipFill>
                  <pic:spPr bwMode="auto">
                    <a:xfrm>
                      <a:off x="0" y="0"/>
                      <a:ext cx="5760720" cy="728980"/>
                    </a:xfrm>
                    <a:prstGeom prst="rect">
                      <a:avLst/>
                    </a:prstGeom>
                    <a:noFill/>
                  </pic:spPr>
                </pic:pic>
              </a:graphicData>
            </a:graphic>
          </wp:anchor>
        </w:drawing>
      </w:r>
    </w:p>
    <w:p>
      <w:pPr>
        <w:spacing w:after="0" w:line="232" w:lineRule="exact"/>
        <w:rPr>
          <w:sz w:val="20"/>
          <w:szCs w:val="20"/>
          <w:color w:val="auto"/>
        </w:rPr>
      </w:pPr>
    </w:p>
    <w:p>
      <w:pPr>
        <w:ind w:left="1020"/>
        <w:spacing w:after="0"/>
        <w:rPr>
          <w:sz w:val="20"/>
          <w:szCs w:val="20"/>
          <w:color w:val="auto"/>
        </w:rPr>
      </w:pPr>
      <w:r>
        <w:rPr>
          <w:rFonts w:ascii="Arial" w:cs="Arial" w:eastAsia="Arial" w:hAnsi="Arial"/>
          <w:sz w:val="20"/>
          <w:szCs w:val="20"/>
          <w:b w:val="1"/>
          <w:bCs w:val="1"/>
          <w:color w:val="D52B1E"/>
        </w:rPr>
        <w:t>RECOMMENDATION FOR</w:t>
      </w:r>
    </w:p>
    <w:p>
      <w:pPr>
        <w:spacing w:after="0" w:line="172" w:lineRule="exact"/>
        <w:rPr>
          <w:sz w:val="20"/>
          <w:szCs w:val="20"/>
          <w:color w:val="auto"/>
        </w:rPr>
      </w:pPr>
    </w:p>
    <w:p>
      <w:pPr>
        <w:ind w:left="200" w:right="2660"/>
        <w:spacing w:after="0" w:line="296" w:lineRule="auto"/>
        <w:rPr>
          <w:sz w:val="20"/>
          <w:szCs w:val="20"/>
          <w:color w:val="auto"/>
        </w:rPr>
      </w:pPr>
      <w:r>
        <w:rPr>
          <w:rFonts w:ascii="Arial" w:cs="Arial" w:eastAsia="Arial" w:hAnsi="Arial"/>
          <w:sz w:val="18"/>
          <w:szCs w:val="18"/>
          <w:color w:val="auto"/>
        </w:rPr>
        <w:t xml:space="preserve">The board recommends that you vote </w:t>
      </w:r>
      <w:r>
        <w:rPr>
          <w:rFonts w:ascii="Arial" w:cs="Arial" w:eastAsia="Arial" w:hAnsi="Arial"/>
          <w:sz w:val="18"/>
          <w:szCs w:val="18"/>
          <w:b w:val="1"/>
          <w:bCs w:val="1"/>
          <w:color w:val="auto"/>
        </w:rPr>
        <w:t>FOR</w:t>
      </w:r>
      <w:r>
        <w:rPr>
          <w:rFonts w:ascii="Arial" w:cs="Arial" w:eastAsia="Arial" w:hAnsi="Arial"/>
          <w:sz w:val="18"/>
          <w:szCs w:val="18"/>
          <w:color w:val="auto"/>
        </w:rPr>
        <w:t xml:space="preserve"> amending the company’s articles of incorporation to eliminate supermajority voting requirements.</w:t>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52"/>
          <w:szCs w:val="52"/>
          <w:b w:val="1"/>
          <w:bCs w:val="1"/>
          <w:color w:val="auto"/>
        </w:rPr>
        <w:t>Other Information</w:t>
      </w:r>
    </w:p>
    <w:p>
      <w:pPr>
        <w:spacing w:after="0" w:line="371" w:lineRule="exact"/>
        <w:rPr>
          <w:sz w:val="20"/>
          <w:szCs w:val="20"/>
          <w:color w:val="auto"/>
        </w:rPr>
      </w:pPr>
    </w:p>
    <w:p>
      <w:pPr>
        <w:spacing w:after="0"/>
        <w:rPr>
          <w:sz w:val="20"/>
          <w:szCs w:val="20"/>
          <w:color w:val="auto"/>
        </w:rPr>
      </w:pPr>
      <w:r>
        <w:rPr>
          <w:rFonts w:ascii="Arial" w:cs="Arial" w:eastAsia="Arial" w:hAnsi="Arial"/>
          <w:sz w:val="32"/>
          <w:szCs w:val="32"/>
          <w:b w:val="1"/>
          <w:bCs w:val="1"/>
          <w:color w:val="D52B1E"/>
        </w:rPr>
        <w:t>Meeting and Voting Logistics</w:t>
      </w:r>
    </w:p>
    <w:p>
      <w:pPr>
        <w:spacing w:after="0" w:line="191" w:lineRule="exact"/>
        <w:rPr>
          <w:sz w:val="20"/>
          <w:szCs w:val="20"/>
          <w:color w:val="auto"/>
        </w:rPr>
      </w:pPr>
    </w:p>
    <w:p>
      <w:pPr>
        <w:spacing w:after="0"/>
        <w:rPr>
          <w:sz w:val="20"/>
          <w:szCs w:val="20"/>
          <w:color w:val="auto"/>
        </w:rPr>
      </w:pPr>
      <w:r>
        <w:rPr>
          <w:rFonts w:ascii="Arial" w:cs="Arial" w:eastAsia="Arial" w:hAnsi="Arial"/>
          <w:sz w:val="25"/>
          <w:szCs w:val="25"/>
          <w:b w:val="1"/>
          <w:bCs w:val="1"/>
          <w:color w:val="00A1DE"/>
        </w:rPr>
        <w:t>Quorum</w:t>
      </w:r>
    </w:p>
    <w:p>
      <w:pPr>
        <w:spacing w:after="0" w:line="61" w:lineRule="exact"/>
        <w:rPr>
          <w:sz w:val="20"/>
          <w:szCs w:val="20"/>
          <w:color w:val="auto"/>
        </w:rPr>
      </w:pPr>
    </w:p>
    <w:p>
      <w:pPr>
        <w:ind w:right="340"/>
        <w:spacing w:after="0" w:line="266" w:lineRule="auto"/>
        <w:rPr>
          <w:sz w:val="20"/>
          <w:szCs w:val="20"/>
          <w:color w:val="auto"/>
        </w:rPr>
      </w:pPr>
      <w:r>
        <w:rPr>
          <w:rFonts w:ascii="Arial" w:cs="Arial" w:eastAsia="Arial" w:hAnsi="Arial"/>
          <w:sz w:val="18"/>
          <w:szCs w:val="18"/>
          <w:color w:val="auto"/>
        </w:rPr>
        <w:t>A majority of the outstanding shares entitled to vote, present or represented by proxy, constitutes a quorum for the Annual Meeting. As of February 26, 2025, 947,989,151 shares of company common stock were issued and outstanding.</w:t>
      </w:r>
    </w:p>
    <w:p>
      <w:pPr>
        <w:spacing w:after="0" w:line="111" w:lineRule="exact"/>
        <w:rPr>
          <w:sz w:val="20"/>
          <w:szCs w:val="20"/>
          <w:color w:val="auto"/>
        </w:rPr>
      </w:pPr>
    </w:p>
    <w:p>
      <w:pPr>
        <w:spacing w:after="0"/>
        <w:rPr>
          <w:sz w:val="20"/>
          <w:szCs w:val="20"/>
          <w:color w:val="auto"/>
        </w:rPr>
      </w:pPr>
      <w:r>
        <w:rPr>
          <w:rFonts w:ascii="Arial" w:cs="Arial" w:eastAsia="Arial" w:hAnsi="Arial"/>
          <w:sz w:val="25"/>
          <w:szCs w:val="25"/>
          <w:b w:val="1"/>
          <w:bCs w:val="1"/>
          <w:color w:val="00A1DE"/>
        </w:rPr>
        <w:t>Who Can Vote</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Shareholders as of the close of business on February 26, 2025 (the record date) may vote or have their shares voted at the Annual Meeting.</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You have one vote for each share of common stock you held on the record date, including shares:</w:t>
      </w:r>
    </w:p>
    <w:p>
      <w:pPr>
        <w:spacing w:after="0" w:line="45" w:lineRule="exact"/>
        <w:rPr>
          <w:sz w:val="20"/>
          <w:szCs w:val="20"/>
          <w:color w:val="auto"/>
        </w:rPr>
      </w:pPr>
    </w:p>
    <w:p>
      <w:pPr>
        <w:ind w:left="320" w:hanging="150"/>
        <w:spacing w:after="0"/>
        <w:tabs>
          <w:tab w:leader="none" w:pos="32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held directly in your name as the shareholder of record;</w:t>
      </w:r>
    </w:p>
    <w:p>
      <w:pPr>
        <w:spacing w:after="0" w:line="63" w:lineRule="exact"/>
        <w:rPr>
          <w:rFonts w:ascii="Arial" w:cs="Arial" w:eastAsia="Arial" w:hAnsi="Arial"/>
          <w:sz w:val="18"/>
          <w:szCs w:val="18"/>
          <w:color w:val="auto"/>
        </w:rPr>
      </w:pPr>
    </w:p>
    <w:p>
      <w:pPr>
        <w:ind w:left="320" w:hanging="150"/>
        <w:spacing w:after="0"/>
        <w:tabs>
          <w:tab w:leader="none" w:pos="32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held for you in an account with a broker, bank, or other nominee; and</w:t>
      </w: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2567" name="Picture 2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7"/>
                    <pic:cNvPicPr>
                      <a:picLocks noChangeAspect="1" noChangeArrowheads="1"/>
                    </pic:cNvPicPr>
                  </pic:nvPicPr>
                  <pic:blipFill>
                    <a:blip r:embed="rId25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25" w:right="359" w:bottom="1440" w:gutter="0" w:footer="0" w:header="0"/>
        </w:sectPr>
      </w:pPr>
    </w:p>
    <w:bookmarkStart w:id="87" w:name="page88"/>
    <w:bookmarkEnd w:id="87"/>
    <w:p>
      <w:pPr>
        <w:ind w:left="180"/>
        <w:spacing w:after="0"/>
        <w:rPr>
          <w:sz w:val="20"/>
          <w:szCs w:val="20"/>
          <w:color w:val="auto"/>
        </w:rPr>
      </w:pPr>
      <w:r>
        <w:rPr>
          <w:rFonts w:ascii="Arial" w:cs="Arial" w:eastAsia="Arial" w:hAnsi="Arial"/>
          <w:sz w:val="18"/>
          <w:szCs w:val="18"/>
          <w:color w:val="auto"/>
        </w:rPr>
        <w:t>◦ attributed to your account in the company’s 401(k) Plan.</w:t>
      </w:r>
    </w:p>
    <w:p>
      <w:pPr>
        <w:spacing w:after="0" w:line="165" w:lineRule="exact"/>
        <w:rPr>
          <w:sz w:val="20"/>
          <w:szCs w:val="20"/>
          <w:color w:val="auto"/>
        </w:rPr>
      </w:pPr>
    </w:p>
    <w:p>
      <w:pPr>
        <w:spacing w:after="0"/>
        <w:rPr>
          <w:sz w:val="20"/>
          <w:szCs w:val="20"/>
          <w:color w:val="auto"/>
        </w:rPr>
      </w:pPr>
      <w:r>
        <w:rPr>
          <w:rFonts w:ascii="Arial" w:cs="Arial" w:eastAsia="Arial" w:hAnsi="Arial"/>
          <w:sz w:val="25"/>
          <w:szCs w:val="25"/>
          <w:b w:val="1"/>
          <w:bCs w:val="1"/>
          <w:color w:val="00A1DE"/>
        </w:rPr>
        <w:t>Why You May Receive Multiple Notices, Proxy Materials, or Emails</w:t>
      </w:r>
    </w:p>
    <w:p>
      <w:pPr>
        <w:spacing w:after="0" w:line="6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If you received more than one notice, full set of proxy materials, or email related to proxy materials, you hold shares in more than one account. </w:t>
      </w:r>
      <w:r>
        <w:rPr>
          <w:rFonts w:ascii="Arial" w:cs="Arial" w:eastAsia="Arial" w:hAnsi="Arial"/>
          <w:sz w:val="18"/>
          <w:szCs w:val="18"/>
          <w:b w:val="1"/>
          <w:bCs w:val="1"/>
          <w:color w:val="auto"/>
        </w:rPr>
        <w:t>You will need to cast a vote for each notice, full set of proxy materials, or email you receive.</w:t>
      </w:r>
      <w:r>
        <w:rPr>
          <w:rFonts w:ascii="Arial" w:cs="Arial" w:eastAsia="Arial" w:hAnsi="Arial"/>
          <w:sz w:val="18"/>
          <w:szCs w:val="18"/>
          <w:color w:val="auto"/>
        </w:rPr>
        <w:t xml:space="preserve"> If you do not receive a proxy card, you may have elected to receive your proxy statement electronically, in which case you should have received an email with directions on how to access this proxy statement and how to vote your shares. If you wish to request a paper copy of these materials and a proxy card, please call 1-800-579-1639 on or before April 21, 2025, to facilitate timely delivery.</w:t>
      </w:r>
    </w:p>
    <w:p>
      <w:pPr>
        <w:spacing w:after="0" w:line="120" w:lineRule="exact"/>
        <w:rPr>
          <w:sz w:val="20"/>
          <w:szCs w:val="20"/>
          <w:color w:val="auto"/>
        </w:rPr>
      </w:pPr>
    </w:p>
    <w:p>
      <w:pPr>
        <w:spacing w:after="0"/>
        <w:rPr>
          <w:sz w:val="20"/>
          <w:szCs w:val="20"/>
          <w:color w:val="auto"/>
        </w:rPr>
      </w:pPr>
      <w:r>
        <w:rPr>
          <w:rFonts w:ascii="Arial" w:cs="Arial" w:eastAsia="Arial" w:hAnsi="Arial"/>
          <w:sz w:val="25"/>
          <w:szCs w:val="25"/>
          <w:b w:val="1"/>
          <w:bCs w:val="1"/>
          <w:color w:val="00A1DE"/>
        </w:rPr>
        <w:t>Voting Choices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116205</wp:posOffset>
            </wp:positionV>
            <wp:extent cx="5777865" cy="8255"/>
            <wp:wrapNone/>
            <wp:docPr id="2568" name="Picture 2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8"/>
                    <pic:cNvPicPr>
                      <a:picLocks noChangeAspect="1" noChangeArrowheads="1"/>
                    </pic:cNvPicPr>
                  </pic:nvPicPr>
                  <pic:blipFill>
                    <a:blip r:embed="rId2575">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tbl>
      <w:tblPr>
        <w:tblLayout w:type="fixed"/>
        <w:tblInd w:w="1080" w:type="dxa"/>
        <w:tblCellMar>
          <w:top w:w="0" w:type="dxa"/>
          <w:left w:w="0" w:type="dxa"/>
          <w:bottom w:w="0" w:type="dxa"/>
          <w:right w:w="0" w:type="dxa"/>
        </w:tblCellMar>
      </w:tblPr>
      <w:tr>
        <w:trPr>
          <w:trHeight w:val="184"/>
        </w:trPr>
        <w:tc>
          <w:tcPr>
            <w:tcW w:w="25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8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Effect of</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rPr>
              <w:t>Broker</w:t>
            </w:r>
          </w:p>
        </w:tc>
        <w:tc>
          <w:tcPr>
            <w:tcW w:w="1060" w:type="dxa"/>
            <w:vAlign w:val="bottom"/>
          </w:tcPr>
          <w:p>
            <w:pPr>
              <w:jc w:val="center"/>
              <w:spacing w:after="0"/>
              <w:rPr>
                <w:sz w:val="20"/>
                <w:szCs w:val="20"/>
                <w:color w:val="auto"/>
              </w:rPr>
            </w:pPr>
            <w:r>
              <w:rPr>
                <w:rFonts w:ascii="Arial" w:cs="Arial" w:eastAsia="Arial" w:hAnsi="Arial"/>
                <w:sz w:val="16"/>
                <w:szCs w:val="16"/>
                <w:b w:val="1"/>
                <w:bCs w:val="1"/>
                <w:color w:val="auto"/>
                <w:w w:val="99"/>
              </w:rPr>
              <w:t>Effect of</w:t>
            </w:r>
          </w:p>
        </w:tc>
        <w:tc>
          <w:tcPr>
            <w:tcW w:w="0" w:type="dxa"/>
            <w:vAlign w:val="bottom"/>
          </w:tcPr>
          <w:p>
            <w:pPr>
              <w:spacing w:after="0"/>
              <w:rPr>
                <w:sz w:val="1"/>
                <w:szCs w:val="1"/>
                <w:color w:val="auto"/>
              </w:rPr>
            </w:pPr>
          </w:p>
        </w:tc>
      </w:tr>
      <w:tr>
        <w:trPr>
          <w:trHeight w:val="162"/>
        </w:trPr>
        <w:tc>
          <w:tcPr>
            <w:tcW w:w="2540" w:type="dxa"/>
            <w:vAlign w:val="bottom"/>
            <w:vMerge w:val="restart"/>
          </w:tcPr>
          <w:p>
            <w:pPr>
              <w:ind w:left="760"/>
              <w:spacing w:after="0"/>
              <w:rPr>
                <w:sz w:val="20"/>
                <w:szCs w:val="20"/>
                <w:color w:val="auto"/>
              </w:rPr>
            </w:pPr>
            <w:r>
              <w:rPr>
                <w:rFonts w:ascii="Arial" w:cs="Arial" w:eastAsia="Arial" w:hAnsi="Arial"/>
                <w:sz w:val="16"/>
                <w:szCs w:val="16"/>
                <w:b w:val="1"/>
                <w:bCs w:val="1"/>
                <w:color w:val="auto"/>
              </w:rPr>
              <w:t>Voting Matter</w:t>
            </w:r>
          </w:p>
        </w:tc>
        <w:tc>
          <w:tcPr>
            <w:tcW w:w="12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9"/>
              </w:rPr>
              <w:t>Required Vote</w:t>
            </w:r>
          </w:p>
        </w:tc>
        <w:tc>
          <w:tcPr>
            <w:tcW w:w="158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Voting Options</w:t>
            </w:r>
          </w:p>
        </w:tc>
        <w:tc>
          <w:tcPr>
            <w:tcW w:w="1280" w:type="dxa"/>
            <w:vAlign w:val="bottom"/>
            <w:vMerge w:val="continue"/>
          </w:tcPr>
          <w:p>
            <w:pPr>
              <w:spacing w:after="0"/>
              <w:rPr>
                <w:sz w:val="14"/>
                <w:szCs w:val="14"/>
                <w:color w:val="auto"/>
              </w:rPr>
            </w:pPr>
          </w:p>
        </w:tc>
        <w:tc>
          <w:tcPr>
            <w:tcW w:w="14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Discretionary</w:t>
            </w:r>
          </w:p>
        </w:tc>
        <w:tc>
          <w:tcPr>
            <w:tcW w:w="10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9"/>
              </w:rPr>
              <w:t>Broker Non-</w:t>
            </w:r>
          </w:p>
        </w:tc>
        <w:tc>
          <w:tcPr>
            <w:tcW w:w="0" w:type="dxa"/>
            <w:vAlign w:val="bottom"/>
          </w:tcPr>
          <w:p>
            <w:pPr>
              <w:spacing w:after="0"/>
              <w:rPr>
                <w:sz w:val="1"/>
                <w:szCs w:val="1"/>
                <w:color w:val="auto"/>
              </w:rPr>
            </w:pPr>
          </w:p>
        </w:tc>
      </w:tr>
      <w:tr>
        <w:trPr>
          <w:trHeight w:val="216"/>
        </w:trPr>
        <w:tc>
          <w:tcPr>
            <w:tcW w:w="2540" w:type="dxa"/>
            <w:vAlign w:val="bottom"/>
            <w:tcBorders>
              <w:bottom w:val="single" w:sz="8" w:color="666666"/>
            </w:tcBorders>
            <w:vMerge w:val="continue"/>
          </w:tcPr>
          <w:p>
            <w:pPr>
              <w:spacing w:after="0"/>
              <w:rPr>
                <w:sz w:val="18"/>
                <w:szCs w:val="18"/>
                <w:color w:val="auto"/>
              </w:rPr>
            </w:pPr>
          </w:p>
        </w:tc>
        <w:tc>
          <w:tcPr>
            <w:tcW w:w="1240" w:type="dxa"/>
            <w:vAlign w:val="bottom"/>
            <w:tcBorders>
              <w:bottom w:val="single" w:sz="8" w:color="666666"/>
            </w:tcBorders>
            <w:vMerge w:val="continue"/>
          </w:tcPr>
          <w:p>
            <w:pPr>
              <w:spacing w:after="0"/>
              <w:rPr>
                <w:sz w:val="18"/>
                <w:szCs w:val="18"/>
                <w:color w:val="auto"/>
              </w:rPr>
            </w:pPr>
          </w:p>
        </w:tc>
        <w:tc>
          <w:tcPr>
            <w:tcW w:w="1580" w:type="dxa"/>
            <w:vAlign w:val="bottom"/>
            <w:tcBorders>
              <w:bottom w:val="single" w:sz="8" w:color="666666"/>
            </w:tcBorders>
            <w:vMerge w:val="continue"/>
          </w:tcPr>
          <w:p>
            <w:pPr>
              <w:spacing w:after="0"/>
              <w:rPr>
                <w:sz w:val="18"/>
                <w:szCs w:val="18"/>
                <w:color w:val="auto"/>
              </w:rPr>
            </w:pPr>
          </w:p>
        </w:tc>
        <w:tc>
          <w:tcPr>
            <w:tcW w:w="1280" w:type="dxa"/>
            <w:vAlign w:val="bottom"/>
            <w:tcBorders>
              <w:bottom w:val="single" w:sz="8" w:color="666666"/>
            </w:tcBorders>
          </w:tcPr>
          <w:p>
            <w:pPr>
              <w:jc w:val="center"/>
              <w:spacing w:after="0"/>
              <w:rPr>
                <w:sz w:val="20"/>
                <w:szCs w:val="20"/>
                <w:color w:val="auto"/>
              </w:rPr>
            </w:pPr>
            <w:r>
              <w:rPr>
                <w:rFonts w:ascii="Arial" w:cs="Arial" w:eastAsia="Arial" w:hAnsi="Arial"/>
                <w:sz w:val="16"/>
                <w:szCs w:val="16"/>
                <w:b w:val="1"/>
                <w:bCs w:val="1"/>
                <w:color w:val="auto"/>
              </w:rPr>
              <w:t>Abstentions</w:t>
            </w:r>
          </w:p>
        </w:tc>
        <w:tc>
          <w:tcPr>
            <w:tcW w:w="1400" w:type="dxa"/>
            <w:vAlign w:val="bottom"/>
            <w:tcBorders>
              <w:bottom w:val="single" w:sz="8" w:color="666666"/>
            </w:tcBorders>
          </w:tcPr>
          <w:p>
            <w:pPr>
              <w:jc w:val="center"/>
              <w:spacing w:after="0"/>
              <w:rPr>
                <w:sz w:val="20"/>
                <w:szCs w:val="20"/>
                <w:color w:val="auto"/>
              </w:rPr>
            </w:pPr>
            <w:r>
              <w:rPr>
                <w:rFonts w:ascii="Arial" w:cs="Arial" w:eastAsia="Arial" w:hAnsi="Arial"/>
                <w:sz w:val="16"/>
                <w:szCs w:val="16"/>
                <w:b w:val="1"/>
                <w:bCs w:val="1"/>
                <w:color w:val="auto"/>
              </w:rPr>
              <w:t>Voting Allowed?</w:t>
            </w:r>
          </w:p>
        </w:tc>
        <w:tc>
          <w:tcPr>
            <w:tcW w:w="1060" w:type="dxa"/>
            <w:vAlign w:val="bottom"/>
            <w:tcBorders>
              <w:bottom w:val="single" w:sz="8" w:color="666666"/>
            </w:tcBorders>
          </w:tcPr>
          <w:p>
            <w:pPr>
              <w:jc w:val="center"/>
              <w:spacing w:after="0"/>
              <w:rPr>
                <w:sz w:val="20"/>
                <w:szCs w:val="20"/>
                <w:color w:val="auto"/>
              </w:rPr>
            </w:pPr>
            <w:r>
              <w:rPr>
                <w:rFonts w:ascii="Arial" w:cs="Arial" w:eastAsia="Arial" w:hAnsi="Arial"/>
                <w:sz w:val="16"/>
                <w:szCs w:val="16"/>
                <w:b w:val="1"/>
                <w:bCs w:val="1"/>
                <w:color w:val="auto"/>
              </w:rPr>
              <w:t>Votes</w:t>
            </w:r>
          </w:p>
        </w:tc>
        <w:tc>
          <w:tcPr>
            <w:tcW w:w="0" w:type="dxa"/>
            <w:vAlign w:val="bottom"/>
          </w:tcPr>
          <w:p>
            <w:pPr>
              <w:spacing w:after="0"/>
              <w:rPr>
                <w:sz w:val="1"/>
                <w:szCs w:val="1"/>
                <w:color w:val="auto"/>
              </w:rPr>
            </w:pPr>
          </w:p>
        </w:tc>
      </w:tr>
      <w:tr>
        <w:trPr>
          <w:trHeight w:val="155"/>
        </w:trPr>
        <w:tc>
          <w:tcPr>
            <w:tcW w:w="2540" w:type="dxa"/>
            <w:vAlign w:val="bottom"/>
            <w:shd w:val="clear" w:color="auto" w:fill="F2F2F2"/>
          </w:tcPr>
          <w:p>
            <w:pPr>
              <w:ind w:left="40"/>
              <w:spacing w:after="0" w:line="155" w:lineRule="exact"/>
              <w:rPr>
                <w:sz w:val="20"/>
                <w:szCs w:val="20"/>
                <w:color w:val="auto"/>
              </w:rPr>
            </w:pPr>
            <w:r>
              <w:rPr>
                <w:rFonts w:ascii="Arial" w:cs="Arial" w:eastAsia="Arial" w:hAnsi="Arial"/>
                <w:sz w:val="16"/>
                <w:szCs w:val="16"/>
                <w:color w:val="auto"/>
              </w:rPr>
              <w:t>Election of directors</w:t>
            </w:r>
          </w:p>
        </w:tc>
        <w:tc>
          <w:tcPr>
            <w:tcW w:w="1240" w:type="dxa"/>
            <w:vAlign w:val="bottom"/>
            <w:shd w:val="clear" w:color="auto" w:fill="F2F2F2"/>
          </w:tcPr>
          <w:p>
            <w:pPr>
              <w:jc w:val="center"/>
              <w:spacing w:after="0" w:line="155" w:lineRule="exact"/>
              <w:rPr>
                <w:sz w:val="20"/>
                <w:szCs w:val="20"/>
                <w:color w:val="auto"/>
              </w:rPr>
            </w:pPr>
            <w:r>
              <w:rPr>
                <w:rFonts w:ascii="Arial" w:cs="Arial" w:eastAsia="Arial" w:hAnsi="Arial"/>
                <w:sz w:val="16"/>
                <w:szCs w:val="16"/>
                <w:color w:val="auto"/>
              </w:rPr>
              <w:t>Majority of</w:t>
            </w:r>
          </w:p>
        </w:tc>
        <w:tc>
          <w:tcPr>
            <w:tcW w:w="1580" w:type="dxa"/>
            <w:vAlign w:val="bottom"/>
            <w:shd w:val="clear" w:color="auto" w:fill="F2F2F2"/>
          </w:tcPr>
          <w:p>
            <w:pPr>
              <w:jc w:val="center"/>
              <w:spacing w:after="0" w:line="155" w:lineRule="exact"/>
              <w:rPr>
                <w:sz w:val="20"/>
                <w:szCs w:val="20"/>
                <w:color w:val="auto"/>
              </w:rPr>
            </w:pPr>
            <w:r>
              <w:rPr>
                <w:rFonts w:ascii="Arial" w:cs="Arial" w:eastAsia="Arial" w:hAnsi="Arial"/>
                <w:sz w:val="16"/>
                <w:szCs w:val="16"/>
                <w:color w:val="auto"/>
              </w:rPr>
              <w:t>FOR, AGAINST or</w:t>
            </w:r>
          </w:p>
        </w:tc>
        <w:tc>
          <w:tcPr>
            <w:tcW w:w="1280" w:type="dxa"/>
            <w:vAlign w:val="bottom"/>
            <w:shd w:val="clear" w:color="auto" w:fill="F2F2F2"/>
          </w:tcPr>
          <w:p>
            <w:pPr>
              <w:jc w:val="center"/>
              <w:spacing w:after="0" w:line="155" w:lineRule="exact"/>
              <w:rPr>
                <w:sz w:val="20"/>
                <w:szCs w:val="20"/>
                <w:color w:val="auto"/>
              </w:rPr>
            </w:pPr>
            <w:r>
              <w:rPr>
                <w:rFonts w:ascii="Arial" w:cs="Arial" w:eastAsia="Arial" w:hAnsi="Arial"/>
                <w:sz w:val="16"/>
                <w:szCs w:val="16"/>
                <w:color w:val="auto"/>
              </w:rPr>
              <w:t>No effect - not</w:t>
            </w:r>
          </w:p>
        </w:tc>
        <w:tc>
          <w:tcPr>
            <w:tcW w:w="1400" w:type="dxa"/>
            <w:vAlign w:val="bottom"/>
            <w:shd w:val="clear" w:color="auto" w:fill="F2F2F2"/>
          </w:tcPr>
          <w:p>
            <w:pPr>
              <w:jc w:val="center"/>
              <w:spacing w:after="0" w:line="155" w:lineRule="exact"/>
              <w:rPr>
                <w:sz w:val="20"/>
                <w:szCs w:val="20"/>
                <w:color w:val="auto"/>
              </w:rPr>
            </w:pPr>
            <w:r>
              <w:rPr>
                <w:rFonts w:ascii="Arial" w:cs="Arial" w:eastAsia="Arial" w:hAnsi="Arial"/>
                <w:sz w:val="16"/>
                <w:szCs w:val="16"/>
                <w:color w:val="auto"/>
                <w:w w:val="97"/>
              </w:rPr>
              <w:t>No</w:t>
            </w:r>
          </w:p>
        </w:tc>
        <w:tc>
          <w:tcPr>
            <w:tcW w:w="1060" w:type="dxa"/>
            <w:vAlign w:val="bottom"/>
            <w:shd w:val="clear" w:color="auto" w:fill="F2F2F2"/>
          </w:tcPr>
          <w:p>
            <w:pPr>
              <w:jc w:val="center"/>
              <w:spacing w:after="0" w:line="155" w:lineRule="exact"/>
              <w:rPr>
                <w:sz w:val="20"/>
                <w:szCs w:val="20"/>
                <w:color w:val="auto"/>
              </w:rPr>
            </w:pPr>
            <w:r>
              <w:rPr>
                <w:rFonts w:ascii="Arial" w:cs="Arial" w:eastAsia="Arial" w:hAnsi="Arial"/>
                <w:sz w:val="16"/>
                <w:szCs w:val="16"/>
                <w:color w:val="auto"/>
                <w:w w:val="99"/>
              </w:rPr>
              <w:t>No effect</w:t>
            </w:r>
          </w:p>
        </w:tc>
        <w:tc>
          <w:tcPr>
            <w:tcW w:w="0" w:type="dxa"/>
            <w:vAlign w:val="bottom"/>
          </w:tcPr>
          <w:p>
            <w:pPr>
              <w:spacing w:after="0"/>
              <w:rPr>
                <w:sz w:val="1"/>
                <w:szCs w:val="1"/>
                <w:color w:val="auto"/>
              </w:rPr>
            </w:pPr>
          </w:p>
        </w:tc>
      </w:tr>
      <w:tr>
        <w:trPr>
          <w:trHeight w:val="162"/>
        </w:trPr>
        <w:tc>
          <w:tcPr>
            <w:tcW w:w="2540" w:type="dxa"/>
            <w:vAlign w:val="bottom"/>
            <w:shd w:val="clear" w:color="auto" w:fill="F2F2F2"/>
          </w:tcPr>
          <w:p>
            <w:pPr>
              <w:spacing w:after="0"/>
              <w:rPr>
                <w:sz w:val="14"/>
                <w:szCs w:val="14"/>
                <w:color w:val="auto"/>
              </w:rPr>
            </w:pPr>
          </w:p>
        </w:tc>
        <w:tc>
          <w:tcPr>
            <w:tcW w:w="1240" w:type="dxa"/>
            <w:vAlign w:val="bottom"/>
            <w:shd w:val="clear" w:color="auto" w:fill="F2F2F2"/>
          </w:tcPr>
          <w:p>
            <w:pPr>
              <w:jc w:val="center"/>
              <w:spacing w:after="0" w:line="162" w:lineRule="exact"/>
              <w:rPr>
                <w:sz w:val="20"/>
                <w:szCs w:val="20"/>
                <w:color w:val="auto"/>
              </w:rPr>
            </w:pPr>
            <w:r>
              <w:rPr>
                <w:rFonts w:ascii="Arial" w:cs="Arial" w:eastAsia="Arial" w:hAnsi="Arial"/>
                <w:sz w:val="16"/>
                <w:szCs w:val="16"/>
                <w:color w:val="auto"/>
              </w:rPr>
              <w:t>votes cast</w:t>
            </w:r>
          </w:p>
        </w:tc>
        <w:tc>
          <w:tcPr>
            <w:tcW w:w="1580" w:type="dxa"/>
            <w:vAlign w:val="bottom"/>
            <w:shd w:val="clear" w:color="auto" w:fill="F2F2F2"/>
          </w:tcPr>
          <w:p>
            <w:pPr>
              <w:jc w:val="center"/>
              <w:spacing w:after="0" w:line="162" w:lineRule="exact"/>
              <w:rPr>
                <w:sz w:val="20"/>
                <w:szCs w:val="20"/>
                <w:color w:val="auto"/>
              </w:rPr>
            </w:pPr>
            <w:r>
              <w:rPr>
                <w:rFonts w:ascii="Arial" w:cs="Arial" w:eastAsia="Arial" w:hAnsi="Arial"/>
                <w:sz w:val="16"/>
                <w:szCs w:val="16"/>
                <w:color w:val="auto"/>
                <w:w w:val="99"/>
              </w:rPr>
              <w:t>ABSTAIN (for each</w:t>
            </w:r>
          </w:p>
        </w:tc>
        <w:tc>
          <w:tcPr>
            <w:tcW w:w="1280" w:type="dxa"/>
            <w:vAlign w:val="bottom"/>
            <w:shd w:val="clear" w:color="auto" w:fill="F2F2F2"/>
          </w:tcPr>
          <w:p>
            <w:pPr>
              <w:jc w:val="center"/>
              <w:spacing w:after="0" w:line="162" w:lineRule="exact"/>
              <w:rPr>
                <w:sz w:val="20"/>
                <w:szCs w:val="20"/>
                <w:color w:val="auto"/>
              </w:rPr>
            </w:pPr>
            <w:r>
              <w:rPr>
                <w:rFonts w:ascii="Arial" w:cs="Arial" w:eastAsia="Arial" w:hAnsi="Arial"/>
                <w:sz w:val="16"/>
                <w:szCs w:val="16"/>
                <w:color w:val="auto"/>
              </w:rPr>
              <w:t>counted as a</w:t>
            </w:r>
          </w:p>
        </w:tc>
        <w:tc>
          <w:tcPr>
            <w:tcW w:w="1400" w:type="dxa"/>
            <w:vAlign w:val="bottom"/>
            <w:shd w:val="clear" w:color="auto" w:fill="F2F2F2"/>
          </w:tcPr>
          <w:p>
            <w:pPr>
              <w:spacing w:after="0"/>
              <w:rPr>
                <w:sz w:val="14"/>
                <w:szCs w:val="14"/>
                <w:color w:val="auto"/>
              </w:rPr>
            </w:pPr>
          </w:p>
        </w:tc>
        <w:tc>
          <w:tcPr>
            <w:tcW w:w="1060" w:type="dxa"/>
            <w:vAlign w:val="bottom"/>
            <w:shd w:val="clear" w:color="auto" w:fill="F2F2F2"/>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540" w:type="dxa"/>
            <w:vAlign w:val="bottom"/>
            <w:tcBorders>
              <w:bottom w:val="single" w:sz="8" w:color="F2F2F2"/>
            </w:tcBorders>
            <w:shd w:val="clear" w:color="auto" w:fill="F2F2F2"/>
          </w:tcPr>
          <w:p>
            <w:pPr>
              <w:spacing w:after="0"/>
              <w:rPr>
                <w:sz w:val="19"/>
                <w:szCs w:val="19"/>
                <w:color w:val="auto"/>
              </w:rPr>
            </w:pPr>
          </w:p>
        </w:tc>
        <w:tc>
          <w:tcPr>
            <w:tcW w:w="1240" w:type="dxa"/>
            <w:vAlign w:val="bottom"/>
            <w:tcBorders>
              <w:bottom w:val="single" w:sz="8" w:color="F2F2F2"/>
            </w:tcBorders>
            <w:shd w:val="clear" w:color="auto" w:fill="F2F2F2"/>
          </w:tcPr>
          <w:p>
            <w:pPr>
              <w:spacing w:after="0"/>
              <w:rPr>
                <w:sz w:val="19"/>
                <w:szCs w:val="19"/>
                <w:color w:val="auto"/>
              </w:rPr>
            </w:pPr>
          </w:p>
        </w:tc>
        <w:tc>
          <w:tcPr>
            <w:tcW w:w="158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rPr>
              <w:t>director nominee)</w:t>
            </w:r>
          </w:p>
        </w:tc>
        <w:tc>
          <w:tcPr>
            <w:tcW w:w="128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w w:val="99"/>
              </w:rPr>
              <w:t>“vote cast”</w:t>
            </w:r>
          </w:p>
        </w:tc>
        <w:tc>
          <w:tcPr>
            <w:tcW w:w="1400" w:type="dxa"/>
            <w:vAlign w:val="bottom"/>
            <w:tcBorders>
              <w:bottom w:val="single" w:sz="8" w:color="F2F2F2"/>
            </w:tcBorders>
            <w:shd w:val="clear" w:color="auto" w:fill="F2F2F2"/>
          </w:tcPr>
          <w:p>
            <w:pPr>
              <w:spacing w:after="0"/>
              <w:rPr>
                <w:sz w:val="19"/>
                <w:szCs w:val="19"/>
                <w:color w:val="auto"/>
              </w:rPr>
            </w:pPr>
          </w:p>
        </w:tc>
        <w:tc>
          <w:tcPr>
            <w:tcW w:w="1060" w:type="dxa"/>
            <w:vAlign w:val="bottom"/>
            <w:tcBorders>
              <w:bottom w:val="single" w:sz="8" w:color="F2F2F2"/>
            </w:tcBorders>
            <w:shd w:val="clear" w:color="auto" w:fill="F2F2F2"/>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2540" w:type="dxa"/>
            <w:vAlign w:val="bottom"/>
          </w:tcPr>
          <w:p>
            <w:pPr>
              <w:ind w:left="40"/>
              <w:spacing w:after="0" w:line="162" w:lineRule="exact"/>
              <w:rPr>
                <w:sz w:val="20"/>
                <w:szCs w:val="20"/>
                <w:color w:val="auto"/>
              </w:rPr>
            </w:pPr>
            <w:r>
              <w:rPr>
                <w:rFonts w:ascii="Arial" w:cs="Arial" w:eastAsia="Arial" w:hAnsi="Arial"/>
                <w:sz w:val="16"/>
                <w:szCs w:val="16"/>
                <w:color w:val="auto"/>
              </w:rPr>
              <w:t>Advisory vote on compensation</w:t>
            </w:r>
          </w:p>
        </w:tc>
        <w:tc>
          <w:tcPr>
            <w:tcW w:w="1240" w:type="dxa"/>
            <w:vAlign w:val="bottom"/>
          </w:tcPr>
          <w:p>
            <w:pPr>
              <w:jc w:val="center"/>
              <w:spacing w:after="0" w:line="162" w:lineRule="exact"/>
              <w:rPr>
                <w:sz w:val="20"/>
                <w:szCs w:val="20"/>
                <w:color w:val="auto"/>
              </w:rPr>
            </w:pPr>
            <w:r>
              <w:rPr>
                <w:rFonts w:ascii="Arial" w:cs="Arial" w:eastAsia="Arial" w:hAnsi="Arial"/>
                <w:sz w:val="16"/>
                <w:szCs w:val="16"/>
                <w:color w:val="auto"/>
              </w:rPr>
              <w:t>Majority of</w:t>
            </w:r>
          </w:p>
        </w:tc>
        <w:tc>
          <w:tcPr>
            <w:tcW w:w="1580" w:type="dxa"/>
            <w:vAlign w:val="bottom"/>
          </w:tcPr>
          <w:p>
            <w:pPr>
              <w:jc w:val="center"/>
              <w:spacing w:after="0" w:line="162" w:lineRule="exact"/>
              <w:rPr>
                <w:sz w:val="20"/>
                <w:szCs w:val="20"/>
                <w:color w:val="auto"/>
              </w:rPr>
            </w:pPr>
            <w:r>
              <w:rPr>
                <w:rFonts w:ascii="Arial" w:cs="Arial" w:eastAsia="Arial" w:hAnsi="Arial"/>
                <w:sz w:val="16"/>
                <w:szCs w:val="16"/>
                <w:color w:val="auto"/>
              </w:rPr>
              <w:t>FOR, AGAINST or</w:t>
            </w:r>
          </w:p>
        </w:tc>
        <w:tc>
          <w:tcPr>
            <w:tcW w:w="1280" w:type="dxa"/>
            <w:vAlign w:val="bottom"/>
          </w:tcPr>
          <w:p>
            <w:pPr>
              <w:jc w:val="center"/>
              <w:spacing w:after="0" w:line="162" w:lineRule="exact"/>
              <w:rPr>
                <w:sz w:val="20"/>
                <w:szCs w:val="20"/>
                <w:color w:val="auto"/>
              </w:rPr>
            </w:pPr>
            <w:r>
              <w:rPr>
                <w:rFonts w:ascii="Arial" w:cs="Arial" w:eastAsia="Arial" w:hAnsi="Arial"/>
                <w:sz w:val="16"/>
                <w:szCs w:val="16"/>
                <w:color w:val="auto"/>
              </w:rPr>
              <w:t>No effect - not</w:t>
            </w:r>
          </w:p>
        </w:tc>
        <w:tc>
          <w:tcPr>
            <w:tcW w:w="1400" w:type="dxa"/>
            <w:vAlign w:val="bottom"/>
          </w:tcPr>
          <w:p>
            <w:pPr>
              <w:jc w:val="center"/>
              <w:spacing w:after="0" w:line="162" w:lineRule="exact"/>
              <w:rPr>
                <w:sz w:val="20"/>
                <w:szCs w:val="20"/>
                <w:color w:val="auto"/>
              </w:rPr>
            </w:pPr>
            <w:r>
              <w:rPr>
                <w:rFonts w:ascii="Arial" w:cs="Arial" w:eastAsia="Arial" w:hAnsi="Arial"/>
                <w:sz w:val="16"/>
                <w:szCs w:val="16"/>
                <w:color w:val="auto"/>
                <w:w w:val="97"/>
              </w:rPr>
              <w:t>No</w:t>
            </w:r>
          </w:p>
        </w:tc>
        <w:tc>
          <w:tcPr>
            <w:tcW w:w="1060" w:type="dxa"/>
            <w:vAlign w:val="bottom"/>
          </w:tcPr>
          <w:p>
            <w:pPr>
              <w:jc w:val="center"/>
              <w:spacing w:after="0" w:line="162" w:lineRule="exact"/>
              <w:rPr>
                <w:sz w:val="20"/>
                <w:szCs w:val="20"/>
                <w:color w:val="auto"/>
              </w:rPr>
            </w:pPr>
            <w:r>
              <w:rPr>
                <w:rFonts w:ascii="Arial" w:cs="Arial" w:eastAsia="Arial" w:hAnsi="Arial"/>
                <w:sz w:val="16"/>
                <w:szCs w:val="16"/>
                <w:color w:val="auto"/>
                <w:w w:val="99"/>
              </w:rPr>
              <w:t>No effect</w:t>
            </w:r>
          </w:p>
        </w:tc>
        <w:tc>
          <w:tcPr>
            <w:tcW w:w="0" w:type="dxa"/>
            <w:vAlign w:val="bottom"/>
          </w:tcPr>
          <w:p>
            <w:pPr>
              <w:spacing w:after="0"/>
              <w:rPr>
                <w:sz w:val="1"/>
                <w:szCs w:val="1"/>
                <w:color w:val="auto"/>
              </w:rPr>
            </w:pPr>
          </w:p>
        </w:tc>
      </w:tr>
      <w:tr>
        <w:trPr>
          <w:trHeight w:val="162"/>
        </w:trPr>
        <w:tc>
          <w:tcPr>
            <w:tcW w:w="2540" w:type="dxa"/>
            <w:vAlign w:val="bottom"/>
          </w:tcPr>
          <w:p>
            <w:pPr>
              <w:ind w:left="40"/>
              <w:spacing w:after="0" w:line="162" w:lineRule="exact"/>
              <w:rPr>
                <w:sz w:val="20"/>
                <w:szCs w:val="20"/>
                <w:color w:val="auto"/>
              </w:rPr>
            </w:pPr>
            <w:r>
              <w:rPr>
                <w:rFonts w:ascii="Arial" w:cs="Arial" w:eastAsia="Arial" w:hAnsi="Arial"/>
                <w:sz w:val="16"/>
                <w:szCs w:val="16"/>
                <w:color w:val="auto"/>
              </w:rPr>
              <w:t>paid to named executive officers</w:t>
            </w:r>
          </w:p>
        </w:tc>
        <w:tc>
          <w:tcPr>
            <w:tcW w:w="1240" w:type="dxa"/>
            <w:vAlign w:val="bottom"/>
          </w:tcPr>
          <w:p>
            <w:pPr>
              <w:jc w:val="center"/>
              <w:spacing w:after="0" w:line="162" w:lineRule="exact"/>
              <w:rPr>
                <w:sz w:val="20"/>
                <w:szCs w:val="20"/>
                <w:color w:val="auto"/>
              </w:rPr>
            </w:pPr>
            <w:r>
              <w:rPr>
                <w:rFonts w:ascii="Arial" w:cs="Arial" w:eastAsia="Arial" w:hAnsi="Arial"/>
                <w:sz w:val="16"/>
                <w:szCs w:val="16"/>
                <w:color w:val="auto"/>
              </w:rPr>
              <w:t>votes cast</w:t>
            </w:r>
          </w:p>
        </w:tc>
        <w:tc>
          <w:tcPr>
            <w:tcW w:w="1580" w:type="dxa"/>
            <w:vAlign w:val="bottom"/>
          </w:tcPr>
          <w:p>
            <w:pPr>
              <w:jc w:val="center"/>
              <w:spacing w:after="0" w:line="162" w:lineRule="exact"/>
              <w:rPr>
                <w:sz w:val="20"/>
                <w:szCs w:val="20"/>
                <w:color w:val="auto"/>
              </w:rPr>
            </w:pPr>
            <w:r>
              <w:rPr>
                <w:rFonts w:ascii="Arial" w:cs="Arial" w:eastAsia="Arial" w:hAnsi="Arial"/>
                <w:sz w:val="16"/>
                <w:szCs w:val="16"/>
                <w:color w:val="auto"/>
                <w:w w:val="99"/>
              </w:rPr>
              <w:t>ABSTAIN</w:t>
            </w:r>
          </w:p>
        </w:tc>
        <w:tc>
          <w:tcPr>
            <w:tcW w:w="1280" w:type="dxa"/>
            <w:vAlign w:val="bottom"/>
          </w:tcPr>
          <w:p>
            <w:pPr>
              <w:jc w:val="center"/>
              <w:spacing w:after="0" w:line="162" w:lineRule="exact"/>
              <w:rPr>
                <w:sz w:val="20"/>
                <w:szCs w:val="20"/>
                <w:color w:val="auto"/>
              </w:rPr>
            </w:pPr>
            <w:r>
              <w:rPr>
                <w:rFonts w:ascii="Arial" w:cs="Arial" w:eastAsia="Arial" w:hAnsi="Arial"/>
                <w:sz w:val="16"/>
                <w:szCs w:val="16"/>
                <w:color w:val="auto"/>
              </w:rPr>
              <w:t>counted as a</w:t>
            </w:r>
          </w:p>
        </w:tc>
        <w:tc>
          <w:tcPr>
            <w:tcW w:w="1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5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w w:val="99"/>
              </w:rPr>
              <w:t>“vote cast”</w:t>
            </w:r>
          </w:p>
        </w:tc>
        <w:tc>
          <w:tcPr>
            <w:tcW w:w="1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540" w:type="dxa"/>
            <w:vAlign w:val="bottom"/>
            <w:shd w:val="clear" w:color="auto" w:fill="F2F2F2"/>
          </w:tcPr>
          <w:p>
            <w:pPr>
              <w:ind w:left="40"/>
              <w:spacing w:after="0" w:line="163" w:lineRule="exact"/>
              <w:rPr>
                <w:sz w:val="20"/>
                <w:szCs w:val="20"/>
                <w:color w:val="auto"/>
              </w:rPr>
            </w:pPr>
            <w:r>
              <w:rPr>
                <w:rFonts w:ascii="Arial" w:cs="Arial" w:eastAsia="Arial" w:hAnsi="Arial"/>
                <w:sz w:val="16"/>
                <w:szCs w:val="16"/>
                <w:color w:val="auto"/>
              </w:rPr>
              <w:t>Ratification of the appointment of</w:t>
            </w:r>
          </w:p>
        </w:tc>
        <w:tc>
          <w:tcPr>
            <w:tcW w:w="1240" w:type="dxa"/>
            <w:vAlign w:val="bottom"/>
            <w:shd w:val="clear" w:color="auto" w:fill="F2F2F2"/>
          </w:tcPr>
          <w:p>
            <w:pPr>
              <w:jc w:val="center"/>
              <w:spacing w:after="0" w:line="163" w:lineRule="exact"/>
              <w:rPr>
                <w:sz w:val="20"/>
                <w:szCs w:val="20"/>
                <w:color w:val="auto"/>
              </w:rPr>
            </w:pPr>
            <w:r>
              <w:rPr>
                <w:rFonts w:ascii="Arial" w:cs="Arial" w:eastAsia="Arial" w:hAnsi="Arial"/>
                <w:sz w:val="16"/>
                <w:szCs w:val="16"/>
                <w:color w:val="auto"/>
              </w:rPr>
              <w:t>Majority of</w:t>
            </w:r>
          </w:p>
        </w:tc>
        <w:tc>
          <w:tcPr>
            <w:tcW w:w="1580" w:type="dxa"/>
            <w:vAlign w:val="bottom"/>
            <w:shd w:val="clear" w:color="auto" w:fill="F2F2F2"/>
          </w:tcPr>
          <w:p>
            <w:pPr>
              <w:jc w:val="center"/>
              <w:spacing w:after="0" w:line="163" w:lineRule="exact"/>
              <w:rPr>
                <w:sz w:val="20"/>
                <w:szCs w:val="20"/>
                <w:color w:val="auto"/>
              </w:rPr>
            </w:pPr>
            <w:r>
              <w:rPr>
                <w:rFonts w:ascii="Arial" w:cs="Arial" w:eastAsia="Arial" w:hAnsi="Arial"/>
                <w:sz w:val="16"/>
                <w:szCs w:val="16"/>
                <w:color w:val="auto"/>
              </w:rPr>
              <w:t>FOR, AGAINST or</w:t>
            </w:r>
          </w:p>
        </w:tc>
        <w:tc>
          <w:tcPr>
            <w:tcW w:w="1280" w:type="dxa"/>
            <w:vAlign w:val="bottom"/>
            <w:shd w:val="clear" w:color="auto" w:fill="F2F2F2"/>
          </w:tcPr>
          <w:p>
            <w:pPr>
              <w:jc w:val="center"/>
              <w:spacing w:after="0" w:line="163" w:lineRule="exact"/>
              <w:rPr>
                <w:sz w:val="20"/>
                <w:szCs w:val="20"/>
                <w:color w:val="auto"/>
              </w:rPr>
            </w:pPr>
            <w:r>
              <w:rPr>
                <w:rFonts w:ascii="Arial" w:cs="Arial" w:eastAsia="Arial" w:hAnsi="Arial"/>
                <w:sz w:val="16"/>
                <w:szCs w:val="16"/>
                <w:color w:val="auto"/>
              </w:rPr>
              <w:t>No effect - not</w:t>
            </w:r>
          </w:p>
        </w:tc>
        <w:tc>
          <w:tcPr>
            <w:tcW w:w="1400" w:type="dxa"/>
            <w:vAlign w:val="bottom"/>
            <w:shd w:val="clear" w:color="auto" w:fill="F2F2F2"/>
          </w:tcPr>
          <w:p>
            <w:pPr>
              <w:jc w:val="center"/>
              <w:spacing w:after="0" w:line="163" w:lineRule="exact"/>
              <w:rPr>
                <w:sz w:val="20"/>
                <w:szCs w:val="20"/>
                <w:color w:val="auto"/>
              </w:rPr>
            </w:pPr>
            <w:r>
              <w:rPr>
                <w:rFonts w:ascii="Arial" w:cs="Arial" w:eastAsia="Arial" w:hAnsi="Arial"/>
                <w:sz w:val="16"/>
                <w:szCs w:val="16"/>
                <w:color w:val="auto"/>
                <w:w w:val="94"/>
              </w:rPr>
              <w:t>Yes</w:t>
            </w:r>
          </w:p>
        </w:tc>
        <w:tc>
          <w:tcPr>
            <w:tcW w:w="1060" w:type="dxa"/>
            <w:vAlign w:val="bottom"/>
            <w:shd w:val="clear" w:color="auto" w:fill="F2F2F2"/>
          </w:tcPr>
          <w:p>
            <w:pPr>
              <w:jc w:val="center"/>
              <w:spacing w:after="0" w:line="163" w:lineRule="exact"/>
              <w:rPr>
                <w:sz w:val="20"/>
                <w:szCs w:val="20"/>
                <w:color w:val="auto"/>
              </w:rPr>
            </w:pPr>
            <w:r>
              <w:rPr>
                <w:rFonts w:ascii="Arial" w:cs="Arial" w:eastAsia="Arial" w:hAnsi="Arial"/>
                <w:sz w:val="16"/>
                <w:szCs w:val="16"/>
                <w:color w:val="auto"/>
                <w:w w:val="96"/>
              </w:rPr>
              <w:t>Not</w:t>
            </w:r>
          </w:p>
        </w:tc>
        <w:tc>
          <w:tcPr>
            <w:tcW w:w="0" w:type="dxa"/>
            <w:vAlign w:val="bottom"/>
          </w:tcPr>
          <w:p>
            <w:pPr>
              <w:spacing w:after="0"/>
              <w:rPr>
                <w:sz w:val="1"/>
                <w:szCs w:val="1"/>
                <w:color w:val="auto"/>
              </w:rPr>
            </w:pPr>
          </w:p>
        </w:tc>
      </w:tr>
      <w:tr>
        <w:trPr>
          <w:trHeight w:val="162"/>
        </w:trPr>
        <w:tc>
          <w:tcPr>
            <w:tcW w:w="2540" w:type="dxa"/>
            <w:vAlign w:val="bottom"/>
            <w:shd w:val="clear" w:color="auto" w:fill="F2F2F2"/>
          </w:tcPr>
          <w:p>
            <w:pPr>
              <w:ind w:left="40"/>
              <w:spacing w:after="0" w:line="162" w:lineRule="exact"/>
              <w:rPr>
                <w:sz w:val="20"/>
                <w:szCs w:val="20"/>
                <w:color w:val="auto"/>
              </w:rPr>
            </w:pPr>
            <w:r>
              <w:rPr>
                <w:rFonts w:ascii="Arial" w:cs="Arial" w:eastAsia="Arial" w:hAnsi="Arial"/>
                <w:sz w:val="16"/>
                <w:szCs w:val="16"/>
                <w:color w:val="auto"/>
              </w:rPr>
              <w:t>the independent auditor</w:t>
            </w:r>
          </w:p>
        </w:tc>
        <w:tc>
          <w:tcPr>
            <w:tcW w:w="1240" w:type="dxa"/>
            <w:vAlign w:val="bottom"/>
            <w:shd w:val="clear" w:color="auto" w:fill="F2F2F2"/>
          </w:tcPr>
          <w:p>
            <w:pPr>
              <w:jc w:val="center"/>
              <w:spacing w:after="0" w:line="162" w:lineRule="exact"/>
              <w:rPr>
                <w:sz w:val="20"/>
                <w:szCs w:val="20"/>
                <w:color w:val="auto"/>
              </w:rPr>
            </w:pPr>
            <w:r>
              <w:rPr>
                <w:rFonts w:ascii="Arial" w:cs="Arial" w:eastAsia="Arial" w:hAnsi="Arial"/>
                <w:sz w:val="16"/>
                <w:szCs w:val="16"/>
                <w:color w:val="auto"/>
              </w:rPr>
              <w:t>votes cast</w:t>
            </w:r>
          </w:p>
        </w:tc>
        <w:tc>
          <w:tcPr>
            <w:tcW w:w="1580" w:type="dxa"/>
            <w:vAlign w:val="bottom"/>
            <w:shd w:val="clear" w:color="auto" w:fill="F2F2F2"/>
          </w:tcPr>
          <w:p>
            <w:pPr>
              <w:jc w:val="center"/>
              <w:spacing w:after="0" w:line="162" w:lineRule="exact"/>
              <w:rPr>
                <w:sz w:val="20"/>
                <w:szCs w:val="20"/>
                <w:color w:val="auto"/>
              </w:rPr>
            </w:pPr>
            <w:r>
              <w:rPr>
                <w:rFonts w:ascii="Arial" w:cs="Arial" w:eastAsia="Arial" w:hAnsi="Arial"/>
                <w:sz w:val="16"/>
                <w:szCs w:val="16"/>
                <w:color w:val="auto"/>
                <w:w w:val="99"/>
              </w:rPr>
              <w:t>ABSTAIN</w:t>
            </w:r>
          </w:p>
        </w:tc>
        <w:tc>
          <w:tcPr>
            <w:tcW w:w="1280" w:type="dxa"/>
            <w:vAlign w:val="bottom"/>
            <w:shd w:val="clear" w:color="auto" w:fill="F2F2F2"/>
          </w:tcPr>
          <w:p>
            <w:pPr>
              <w:jc w:val="center"/>
              <w:spacing w:after="0" w:line="162" w:lineRule="exact"/>
              <w:rPr>
                <w:sz w:val="20"/>
                <w:szCs w:val="20"/>
                <w:color w:val="auto"/>
              </w:rPr>
            </w:pPr>
            <w:r>
              <w:rPr>
                <w:rFonts w:ascii="Arial" w:cs="Arial" w:eastAsia="Arial" w:hAnsi="Arial"/>
                <w:sz w:val="16"/>
                <w:szCs w:val="16"/>
                <w:color w:val="auto"/>
              </w:rPr>
              <w:t>counted as a</w:t>
            </w:r>
          </w:p>
        </w:tc>
        <w:tc>
          <w:tcPr>
            <w:tcW w:w="1400" w:type="dxa"/>
            <w:vAlign w:val="bottom"/>
            <w:shd w:val="clear" w:color="auto" w:fill="F2F2F2"/>
          </w:tcPr>
          <w:p>
            <w:pPr>
              <w:spacing w:after="0"/>
              <w:rPr>
                <w:sz w:val="14"/>
                <w:szCs w:val="14"/>
                <w:color w:val="auto"/>
              </w:rPr>
            </w:pPr>
          </w:p>
        </w:tc>
        <w:tc>
          <w:tcPr>
            <w:tcW w:w="1060" w:type="dxa"/>
            <w:vAlign w:val="bottom"/>
            <w:shd w:val="clear" w:color="auto" w:fill="F2F2F2"/>
          </w:tcPr>
          <w:p>
            <w:pPr>
              <w:jc w:val="center"/>
              <w:spacing w:after="0" w:line="162" w:lineRule="exact"/>
              <w:rPr>
                <w:sz w:val="20"/>
                <w:szCs w:val="20"/>
                <w:color w:val="auto"/>
              </w:rPr>
            </w:pPr>
            <w:r>
              <w:rPr>
                <w:rFonts w:ascii="Arial" w:cs="Arial" w:eastAsia="Arial" w:hAnsi="Arial"/>
                <w:sz w:val="16"/>
                <w:szCs w:val="16"/>
                <w:color w:val="auto"/>
                <w:w w:val="99"/>
              </w:rPr>
              <w:t>applicable</w:t>
            </w:r>
          </w:p>
        </w:tc>
        <w:tc>
          <w:tcPr>
            <w:tcW w:w="0" w:type="dxa"/>
            <w:vAlign w:val="bottom"/>
          </w:tcPr>
          <w:p>
            <w:pPr>
              <w:spacing w:after="0"/>
              <w:rPr>
                <w:sz w:val="1"/>
                <w:szCs w:val="1"/>
                <w:color w:val="auto"/>
              </w:rPr>
            </w:pPr>
          </w:p>
        </w:tc>
      </w:tr>
      <w:tr>
        <w:trPr>
          <w:trHeight w:val="216"/>
        </w:trPr>
        <w:tc>
          <w:tcPr>
            <w:tcW w:w="2540" w:type="dxa"/>
            <w:vAlign w:val="bottom"/>
            <w:shd w:val="clear" w:color="auto" w:fill="F2F2F2"/>
          </w:tcPr>
          <w:p>
            <w:pPr>
              <w:spacing w:after="0"/>
              <w:rPr>
                <w:sz w:val="18"/>
                <w:szCs w:val="18"/>
                <w:color w:val="auto"/>
              </w:rPr>
            </w:pPr>
          </w:p>
        </w:tc>
        <w:tc>
          <w:tcPr>
            <w:tcW w:w="1240" w:type="dxa"/>
            <w:vAlign w:val="bottom"/>
            <w:shd w:val="clear" w:color="auto" w:fill="F2F2F2"/>
          </w:tcPr>
          <w:p>
            <w:pPr>
              <w:spacing w:after="0"/>
              <w:rPr>
                <w:sz w:val="18"/>
                <w:szCs w:val="18"/>
                <w:color w:val="auto"/>
              </w:rPr>
            </w:pPr>
          </w:p>
        </w:tc>
        <w:tc>
          <w:tcPr>
            <w:tcW w:w="1580" w:type="dxa"/>
            <w:vAlign w:val="bottom"/>
            <w:shd w:val="clear" w:color="auto" w:fill="F2F2F2"/>
          </w:tcPr>
          <w:p>
            <w:pPr>
              <w:spacing w:after="0"/>
              <w:rPr>
                <w:sz w:val="18"/>
                <w:szCs w:val="18"/>
                <w:color w:val="auto"/>
              </w:rPr>
            </w:pPr>
          </w:p>
        </w:tc>
        <w:tc>
          <w:tcPr>
            <w:tcW w:w="128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“vote cast”</w:t>
            </w:r>
          </w:p>
        </w:tc>
        <w:tc>
          <w:tcPr>
            <w:tcW w:w="1400" w:type="dxa"/>
            <w:vAlign w:val="bottom"/>
            <w:shd w:val="clear" w:color="auto" w:fill="F2F2F2"/>
          </w:tcPr>
          <w:p>
            <w:pPr>
              <w:spacing w:after="0"/>
              <w:rPr>
                <w:sz w:val="18"/>
                <w:szCs w:val="18"/>
                <w:color w:val="auto"/>
              </w:rPr>
            </w:pPr>
          </w:p>
        </w:tc>
        <w:tc>
          <w:tcPr>
            <w:tcW w:w="1060" w:type="dxa"/>
            <w:vAlign w:val="bottom"/>
            <w:shd w:val="clear" w:color="auto" w:fill="F2F2F2"/>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540" w:type="dxa"/>
            <w:vAlign w:val="bottom"/>
          </w:tcPr>
          <w:p>
            <w:pPr>
              <w:ind w:left="40"/>
              <w:spacing w:after="0" w:line="162" w:lineRule="exact"/>
              <w:rPr>
                <w:sz w:val="20"/>
                <w:szCs w:val="20"/>
                <w:color w:val="auto"/>
              </w:rPr>
            </w:pPr>
            <w:r>
              <w:rPr>
                <w:rFonts w:ascii="Arial" w:cs="Arial" w:eastAsia="Arial" w:hAnsi="Arial"/>
                <w:sz w:val="16"/>
                <w:szCs w:val="16"/>
                <w:color w:val="auto"/>
              </w:rPr>
              <w:t>Proposal to amend the company's</w:t>
            </w:r>
          </w:p>
        </w:tc>
        <w:tc>
          <w:tcPr>
            <w:tcW w:w="1240" w:type="dxa"/>
            <w:vAlign w:val="bottom"/>
          </w:tcPr>
          <w:p>
            <w:pPr>
              <w:jc w:val="center"/>
              <w:spacing w:after="0" w:line="162" w:lineRule="exact"/>
              <w:rPr>
                <w:sz w:val="20"/>
                <w:szCs w:val="20"/>
                <w:color w:val="auto"/>
              </w:rPr>
            </w:pPr>
            <w:r>
              <w:rPr>
                <w:rFonts w:ascii="Arial" w:cs="Arial" w:eastAsia="Arial" w:hAnsi="Arial"/>
                <w:sz w:val="16"/>
                <w:szCs w:val="16"/>
                <w:color w:val="auto"/>
              </w:rPr>
              <w:t>80% of</w:t>
            </w:r>
          </w:p>
        </w:tc>
        <w:tc>
          <w:tcPr>
            <w:tcW w:w="1580" w:type="dxa"/>
            <w:vAlign w:val="bottom"/>
          </w:tcPr>
          <w:p>
            <w:pPr>
              <w:jc w:val="center"/>
              <w:spacing w:after="0" w:line="162" w:lineRule="exact"/>
              <w:rPr>
                <w:sz w:val="20"/>
                <w:szCs w:val="20"/>
                <w:color w:val="auto"/>
              </w:rPr>
            </w:pPr>
            <w:r>
              <w:rPr>
                <w:rFonts w:ascii="Arial" w:cs="Arial" w:eastAsia="Arial" w:hAnsi="Arial"/>
                <w:sz w:val="16"/>
                <w:szCs w:val="16"/>
                <w:color w:val="auto"/>
              </w:rPr>
              <w:t>FOR, AGAINST or</w:t>
            </w:r>
          </w:p>
        </w:tc>
        <w:tc>
          <w:tcPr>
            <w:tcW w:w="1280" w:type="dxa"/>
            <w:vAlign w:val="bottom"/>
          </w:tcPr>
          <w:p>
            <w:pPr>
              <w:jc w:val="center"/>
              <w:spacing w:after="0" w:line="162" w:lineRule="exact"/>
              <w:rPr>
                <w:sz w:val="20"/>
                <w:szCs w:val="20"/>
                <w:color w:val="auto"/>
              </w:rPr>
            </w:pPr>
            <w:r>
              <w:rPr>
                <w:rFonts w:ascii="Arial" w:cs="Arial" w:eastAsia="Arial" w:hAnsi="Arial"/>
                <w:sz w:val="16"/>
                <w:szCs w:val="16"/>
                <w:color w:val="auto"/>
              </w:rPr>
              <w:t>Treated as a</w:t>
            </w:r>
          </w:p>
        </w:tc>
        <w:tc>
          <w:tcPr>
            <w:tcW w:w="1400" w:type="dxa"/>
            <w:vAlign w:val="bottom"/>
          </w:tcPr>
          <w:p>
            <w:pPr>
              <w:jc w:val="center"/>
              <w:spacing w:after="0" w:line="162" w:lineRule="exact"/>
              <w:rPr>
                <w:sz w:val="20"/>
                <w:szCs w:val="20"/>
                <w:color w:val="auto"/>
              </w:rPr>
            </w:pPr>
            <w:r>
              <w:rPr>
                <w:rFonts w:ascii="Arial" w:cs="Arial" w:eastAsia="Arial" w:hAnsi="Arial"/>
                <w:sz w:val="16"/>
                <w:szCs w:val="16"/>
                <w:color w:val="auto"/>
                <w:w w:val="97"/>
              </w:rPr>
              <w:t>No</w:t>
            </w:r>
          </w:p>
        </w:tc>
        <w:tc>
          <w:tcPr>
            <w:tcW w:w="1060" w:type="dxa"/>
            <w:vAlign w:val="bottom"/>
          </w:tcPr>
          <w:p>
            <w:pPr>
              <w:jc w:val="center"/>
              <w:spacing w:after="0" w:line="162" w:lineRule="exact"/>
              <w:rPr>
                <w:sz w:val="20"/>
                <w:szCs w:val="20"/>
                <w:color w:val="auto"/>
              </w:rPr>
            </w:pPr>
            <w:r>
              <w:rPr>
                <w:rFonts w:ascii="Arial" w:cs="Arial" w:eastAsia="Arial" w:hAnsi="Arial"/>
                <w:sz w:val="16"/>
                <w:szCs w:val="16"/>
                <w:color w:val="auto"/>
              </w:rPr>
              <w:t>Treated as a</w:t>
            </w:r>
          </w:p>
        </w:tc>
        <w:tc>
          <w:tcPr>
            <w:tcW w:w="0" w:type="dxa"/>
            <w:vAlign w:val="bottom"/>
          </w:tcPr>
          <w:p>
            <w:pPr>
              <w:spacing w:after="0"/>
              <w:rPr>
                <w:sz w:val="1"/>
                <w:szCs w:val="1"/>
                <w:color w:val="auto"/>
              </w:rPr>
            </w:pPr>
          </w:p>
        </w:tc>
      </w:tr>
      <w:tr>
        <w:trPr>
          <w:trHeight w:val="162"/>
        </w:trPr>
        <w:tc>
          <w:tcPr>
            <w:tcW w:w="2540" w:type="dxa"/>
            <w:vAlign w:val="bottom"/>
          </w:tcPr>
          <w:p>
            <w:pPr>
              <w:ind w:left="40"/>
              <w:spacing w:after="0" w:line="162" w:lineRule="exact"/>
              <w:rPr>
                <w:sz w:val="20"/>
                <w:szCs w:val="20"/>
                <w:color w:val="auto"/>
              </w:rPr>
            </w:pPr>
            <w:r>
              <w:rPr>
                <w:rFonts w:ascii="Arial" w:cs="Arial" w:eastAsia="Arial" w:hAnsi="Arial"/>
                <w:sz w:val="16"/>
                <w:szCs w:val="16"/>
                <w:color w:val="auto"/>
              </w:rPr>
              <w:t>articles of incorporation to</w:t>
            </w:r>
          </w:p>
        </w:tc>
        <w:tc>
          <w:tcPr>
            <w:tcW w:w="1240" w:type="dxa"/>
            <w:vAlign w:val="bottom"/>
          </w:tcPr>
          <w:p>
            <w:pPr>
              <w:jc w:val="center"/>
              <w:spacing w:after="0" w:line="162" w:lineRule="exact"/>
              <w:rPr>
                <w:sz w:val="20"/>
                <w:szCs w:val="20"/>
                <w:color w:val="auto"/>
              </w:rPr>
            </w:pPr>
            <w:r>
              <w:rPr>
                <w:rFonts w:ascii="Arial" w:cs="Arial" w:eastAsia="Arial" w:hAnsi="Arial"/>
                <w:sz w:val="16"/>
                <w:szCs w:val="16"/>
                <w:color w:val="auto"/>
              </w:rPr>
              <w:t>outstanding</w:t>
            </w:r>
          </w:p>
        </w:tc>
        <w:tc>
          <w:tcPr>
            <w:tcW w:w="1580" w:type="dxa"/>
            <w:vAlign w:val="bottom"/>
          </w:tcPr>
          <w:p>
            <w:pPr>
              <w:jc w:val="center"/>
              <w:spacing w:after="0" w:line="162" w:lineRule="exact"/>
              <w:rPr>
                <w:sz w:val="20"/>
                <w:szCs w:val="20"/>
                <w:color w:val="auto"/>
              </w:rPr>
            </w:pPr>
            <w:r>
              <w:rPr>
                <w:rFonts w:ascii="Arial" w:cs="Arial" w:eastAsia="Arial" w:hAnsi="Arial"/>
                <w:sz w:val="16"/>
                <w:szCs w:val="16"/>
                <w:color w:val="auto"/>
                <w:w w:val="99"/>
              </w:rPr>
              <w:t>ABSTAIN</w:t>
            </w:r>
          </w:p>
        </w:tc>
        <w:tc>
          <w:tcPr>
            <w:tcW w:w="1280" w:type="dxa"/>
            <w:vAlign w:val="bottom"/>
          </w:tcPr>
          <w:p>
            <w:pPr>
              <w:jc w:val="center"/>
              <w:spacing w:after="0" w:line="162" w:lineRule="exact"/>
              <w:rPr>
                <w:sz w:val="20"/>
                <w:szCs w:val="20"/>
                <w:color w:val="auto"/>
              </w:rPr>
            </w:pPr>
            <w:r>
              <w:rPr>
                <w:rFonts w:ascii="Arial" w:cs="Arial" w:eastAsia="Arial" w:hAnsi="Arial"/>
                <w:sz w:val="16"/>
                <w:szCs w:val="16"/>
                <w:color w:val="auto"/>
              </w:rPr>
              <w:t>vote AGAINST</w:t>
            </w:r>
          </w:p>
        </w:tc>
        <w:tc>
          <w:tcPr>
            <w:tcW w:w="1400" w:type="dxa"/>
            <w:vAlign w:val="bottom"/>
          </w:tcPr>
          <w:p>
            <w:pPr>
              <w:spacing w:after="0"/>
              <w:rPr>
                <w:sz w:val="14"/>
                <w:szCs w:val="14"/>
                <w:color w:val="auto"/>
              </w:rPr>
            </w:pPr>
          </w:p>
        </w:tc>
        <w:tc>
          <w:tcPr>
            <w:tcW w:w="1060" w:type="dxa"/>
            <w:vAlign w:val="bottom"/>
          </w:tcPr>
          <w:p>
            <w:pPr>
              <w:jc w:val="center"/>
              <w:spacing w:after="0" w:line="162" w:lineRule="exact"/>
              <w:rPr>
                <w:sz w:val="20"/>
                <w:szCs w:val="20"/>
                <w:color w:val="auto"/>
              </w:rPr>
            </w:pPr>
            <w:r>
              <w:rPr>
                <w:rFonts w:ascii="Arial" w:cs="Arial" w:eastAsia="Arial" w:hAnsi="Arial"/>
                <w:sz w:val="16"/>
                <w:szCs w:val="16"/>
                <w:color w:val="auto"/>
              </w:rPr>
              <w:t>vote</w:t>
            </w:r>
          </w:p>
        </w:tc>
        <w:tc>
          <w:tcPr>
            <w:tcW w:w="0" w:type="dxa"/>
            <w:vAlign w:val="bottom"/>
          </w:tcPr>
          <w:p>
            <w:pPr>
              <w:spacing w:after="0"/>
              <w:rPr>
                <w:sz w:val="1"/>
                <w:szCs w:val="1"/>
                <w:color w:val="auto"/>
              </w:rPr>
            </w:pPr>
          </w:p>
        </w:tc>
      </w:tr>
      <w:tr>
        <w:trPr>
          <w:trHeight w:val="162"/>
        </w:trPr>
        <w:tc>
          <w:tcPr>
            <w:tcW w:w="2540" w:type="dxa"/>
            <w:vAlign w:val="bottom"/>
          </w:tcPr>
          <w:p>
            <w:pPr>
              <w:ind w:left="40"/>
              <w:spacing w:after="0" w:line="162" w:lineRule="exact"/>
              <w:rPr>
                <w:sz w:val="20"/>
                <w:szCs w:val="20"/>
                <w:color w:val="auto"/>
              </w:rPr>
            </w:pPr>
            <w:r>
              <w:rPr>
                <w:rFonts w:ascii="Arial" w:cs="Arial" w:eastAsia="Arial" w:hAnsi="Arial"/>
                <w:sz w:val="16"/>
                <w:szCs w:val="16"/>
                <w:color w:val="auto"/>
              </w:rPr>
              <w:t>eliminate the classified board</w:t>
            </w:r>
          </w:p>
        </w:tc>
        <w:tc>
          <w:tcPr>
            <w:tcW w:w="1240" w:type="dxa"/>
            <w:vAlign w:val="bottom"/>
          </w:tcPr>
          <w:p>
            <w:pPr>
              <w:jc w:val="center"/>
              <w:spacing w:after="0" w:line="162" w:lineRule="exact"/>
              <w:rPr>
                <w:sz w:val="20"/>
                <w:szCs w:val="20"/>
                <w:color w:val="auto"/>
              </w:rPr>
            </w:pPr>
            <w:r>
              <w:rPr>
                <w:rFonts w:ascii="Arial" w:cs="Arial" w:eastAsia="Arial" w:hAnsi="Arial"/>
                <w:sz w:val="16"/>
                <w:szCs w:val="16"/>
                <w:color w:val="auto"/>
                <w:w w:val="99"/>
              </w:rPr>
              <w:t>shares</w:t>
            </w:r>
          </w:p>
        </w:tc>
        <w:tc>
          <w:tcPr>
            <w:tcW w:w="1580" w:type="dxa"/>
            <w:vAlign w:val="bottom"/>
          </w:tcPr>
          <w:p>
            <w:pPr>
              <w:spacing w:after="0"/>
              <w:rPr>
                <w:sz w:val="14"/>
                <w:szCs w:val="14"/>
                <w:color w:val="auto"/>
              </w:rPr>
            </w:pPr>
          </w:p>
        </w:tc>
        <w:tc>
          <w:tcPr>
            <w:tcW w:w="1280" w:type="dxa"/>
            <w:vAlign w:val="bottom"/>
          </w:tcPr>
          <w:p>
            <w:pPr>
              <w:jc w:val="center"/>
              <w:spacing w:after="0" w:line="162" w:lineRule="exact"/>
              <w:rPr>
                <w:sz w:val="20"/>
                <w:szCs w:val="20"/>
                <w:color w:val="auto"/>
              </w:rPr>
            </w:pPr>
            <w:r>
              <w:rPr>
                <w:rFonts w:ascii="Arial" w:cs="Arial" w:eastAsia="Arial" w:hAnsi="Arial"/>
                <w:sz w:val="16"/>
                <w:szCs w:val="16"/>
                <w:color w:val="auto"/>
              </w:rPr>
              <w:t>the proposal</w:t>
            </w:r>
          </w:p>
        </w:tc>
        <w:tc>
          <w:tcPr>
            <w:tcW w:w="1400" w:type="dxa"/>
            <w:vAlign w:val="bottom"/>
          </w:tcPr>
          <w:p>
            <w:pPr>
              <w:spacing w:after="0"/>
              <w:rPr>
                <w:sz w:val="14"/>
                <w:szCs w:val="14"/>
                <w:color w:val="auto"/>
              </w:rPr>
            </w:pPr>
          </w:p>
        </w:tc>
        <w:tc>
          <w:tcPr>
            <w:tcW w:w="1060" w:type="dxa"/>
            <w:vAlign w:val="bottom"/>
          </w:tcPr>
          <w:p>
            <w:pPr>
              <w:jc w:val="center"/>
              <w:spacing w:after="0" w:line="162" w:lineRule="exact"/>
              <w:rPr>
                <w:sz w:val="20"/>
                <w:szCs w:val="20"/>
                <w:color w:val="auto"/>
              </w:rPr>
            </w:pPr>
            <w:r>
              <w:rPr>
                <w:rFonts w:ascii="Arial" w:cs="Arial" w:eastAsia="Arial" w:hAnsi="Arial"/>
                <w:sz w:val="16"/>
                <w:szCs w:val="16"/>
                <w:color w:val="auto"/>
              </w:rPr>
              <w:t>AGAINST the</w:t>
            </w:r>
          </w:p>
        </w:tc>
        <w:tc>
          <w:tcPr>
            <w:tcW w:w="0" w:type="dxa"/>
            <w:vAlign w:val="bottom"/>
          </w:tcPr>
          <w:p>
            <w:pPr>
              <w:spacing w:after="0"/>
              <w:rPr>
                <w:sz w:val="1"/>
                <w:szCs w:val="1"/>
                <w:color w:val="auto"/>
              </w:rPr>
            </w:pPr>
          </w:p>
        </w:tc>
      </w:tr>
      <w:tr>
        <w:trPr>
          <w:trHeight w:val="215"/>
        </w:trPr>
        <w:tc>
          <w:tcPr>
            <w:tcW w:w="2540" w:type="dxa"/>
            <w:vAlign w:val="bottom"/>
          </w:tcPr>
          <w:p>
            <w:pPr>
              <w:ind w:left="40"/>
              <w:spacing w:after="0"/>
              <w:rPr>
                <w:sz w:val="20"/>
                <w:szCs w:val="20"/>
                <w:color w:val="auto"/>
              </w:rPr>
            </w:pPr>
            <w:r>
              <w:rPr>
                <w:rFonts w:ascii="Arial" w:cs="Arial" w:eastAsia="Arial" w:hAnsi="Arial"/>
                <w:sz w:val="16"/>
                <w:szCs w:val="16"/>
                <w:color w:val="auto"/>
              </w:rPr>
              <w:t>structure</w:t>
            </w:r>
          </w:p>
        </w:tc>
        <w:tc>
          <w:tcPr>
            <w:tcW w:w="1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rPr>
              <w:t>proposal</w:t>
            </w:r>
          </w:p>
        </w:tc>
        <w:tc>
          <w:tcPr>
            <w:tcW w:w="0" w:type="dxa"/>
            <w:vAlign w:val="bottom"/>
          </w:tcPr>
          <w:p>
            <w:pPr>
              <w:spacing w:after="0"/>
              <w:rPr>
                <w:sz w:val="1"/>
                <w:szCs w:val="1"/>
                <w:color w:val="auto"/>
              </w:rPr>
            </w:pPr>
          </w:p>
        </w:tc>
      </w:tr>
      <w:tr>
        <w:trPr>
          <w:trHeight w:val="204"/>
        </w:trPr>
        <w:tc>
          <w:tcPr>
            <w:tcW w:w="25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540" w:type="dxa"/>
            <w:vAlign w:val="bottom"/>
            <w:shd w:val="clear" w:color="auto" w:fill="F2F2F2"/>
          </w:tcPr>
          <w:p>
            <w:pPr>
              <w:ind w:left="40"/>
              <w:spacing w:after="0" w:line="162" w:lineRule="exact"/>
              <w:rPr>
                <w:sz w:val="20"/>
                <w:szCs w:val="20"/>
                <w:color w:val="auto"/>
              </w:rPr>
            </w:pPr>
            <w:r>
              <w:rPr>
                <w:rFonts w:ascii="Arial" w:cs="Arial" w:eastAsia="Arial" w:hAnsi="Arial"/>
                <w:sz w:val="16"/>
                <w:szCs w:val="16"/>
                <w:color w:val="auto"/>
              </w:rPr>
              <w:t>Proposal to amend the company's</w:t>
            </w:r>
          </w:p>
        </w:tc>
        <w:tc>
          <w:tcPr>
            <w:tcW w:w="1240" w:type="dxa"/>
            <w:vAlign w:val="bottom"/>
            <w:shd w:val="clear" w:color="auto" w:fill="F2F2F2"/>
          </w:tcPr>
          <w:p>
            <w:pPr>
              <w:jc w:val="center"/>
              <w:spacing w:after="0" w:line="162" w:lineRule="exact"/>
              <w:rPr>
                <w:sz w:val="20"/>
                <w:szCs w:val="20"/>
                <w:color w:val="auto"/>
              </w:rPr>
            </w:pPr>
            <w:r>
              <w:rPr>
                <w:rFonts w:ascii="Arial" w:cs="Arial" w:eastAsia="Arial" w:hAnsi="Arial"/>
                <w:sz w:val="16"/>
                <w:szCs w:val="16"/>
                <w:color w:val="auto"/>
              </w:rPr>
              <w:t>80% of</w:t>
            </w:r>
          </w:p>
        </w:tc>
        <w:tc>
          <w:tcPr>
            <w:tcW w:w="1580" w:type="dxa"/>
            <w:vAlign w:val="bottom"/>
            <w:shd w:val="clear" w:color="auto" w:fill="F2F2F2"/>
          </w:tcPr>
          <w:p>
            <w:pPr>
              <w:jc w:val="center"/>
              <w:spacing w:after="0" w:line="162" w:lineRule="exact"/>
              <w:rPr>
                <w:sz w:val="20"/>
                <w:szCs w:val="20"/>
                <w:color w:val="auto"/>
              </w:rPr>
            </w:pPr>
            <w:r>
              <w:rPr>
                <w:rFonts w:ascii="Arial" w:cs="Arial" w:eastAsia="Arial" w:hAnsi="Arial"/>
                <w:sz w:val="16"/>
                <w:szCs w:val="16"/>
                <w:color w:val="auto"/>
              </w:rPr>
              <w:t>FOR, AGAINST or</w:t>
            </w:r>
          </w:p>
        </w:tc>
        <w:tc>
          <w:tcPr>
            <w:tcW w:w="1280" w:type="dxa"/>
            <w:vAlign w:val="bottom"/>
            <w:shd w:val="clear" w:color="auto" w:fill="F2F2F2"/>
          </w:tcPr>
          <w:p>
            <w:pPr>
              <w:jc w:val="center"/>
              <w:spacing w:after="0" w:line="162" w:lineRule="exact"/>
              <w:rPr>
                <w:sz w:val="20"/>
                <w:szCs w:val="20"/>
                <w:color w:val="auto"/>
              </w:rPr>
            </w:pPr>
            <w:r>
              <w:rPr>
                <w:rFonts w:ascii="Arial" w:cs="Arial" w:eastAsia="Arial" w:hAnsi="Arial"/>
                <w:sz w:val="16"/>
                <w:szCs w:val="16"/>
                <w:color w:val="auto"/>
              </w:rPr>
              <w:t>Treated as a</w:t>
            </w:r>
          </w:p>
        </w:tc>
        <w:tc>
          <w:tcPr>
            <w:tcW w:w="1400" w:type="dxa"/>
            <w:vAlign w:val="bottom"/>
            <w:shd w:val="clear" w:color="auto" w:fill="F2F2F2"/>
          </w:tcPr>
          <w:p>
            <w:pPr>
              <w:jc w:val="center"/>
              <w:spacing w:after="0" w:line="162" w:lineRule="exact"/>
              <w:rPr>
                <w:sz w:val="20"/>
                <w:szCs w:val="20"/>
                <w:color w:val="auto"/>
              </w:rPr>
            </w:pPr>
            <w:r>
              <w:rPr>
                <w:rFonts w:ascii="Arial" w:cs="Arial" w:eastAsia="Arial" w:hAnsi="Arial"/>
                <w:sz w:val="16"/>
                <w:szCs w:val="16"/>
                <w:color w:val="auto"/>
                <w:w w:val="97"/>
              </w:rPr>
              <w:t>No</w:t>
            </w:r>
          </w:p>
        </w:tc>
        <w:tc>
          <w:tcPr>
            <w:tcW w:w="1060" w:type="dxa"/>
            <w:vAlign w:val="bottom"/>
            <w:shd w:val="clear" w:color="auto" w:fill="F2F2F2"/>
          </w:tcPr>
          <w:p>
            <w:pPr>
              <w:jc w:val="center"/>
              <w:spacing w:after="0" w:line="162" w:lineRule="exact"/>
              <w:rPr>
                <w:sz w:val="20"/>
                <w:szCs w:val="20"/>
                <w:color w:val="auto"/>
              </w:rPr>
            </w:pPr>
            <w:r>
              <w:rPr>
                <w:rFonts w:ascii="Arial" w:cs="Arial" w:eastAsia="Arial" w:hAnsi="Arial"/>
                <w:sz w:val="16"/>
                <w:szCs w:val="16"/>
                <w:color w:val="auto"/>
              </w:rPr>
              <w:t>Treated as a</w:t>
            </w:r>
          </w:p>
        </w:tc>
        <w:tc>
          <w:tcPr>
            <w:tcW w:w="0" w:type="dxa"/>
            <w:vAlign w:val="bottom"/>
          </w:tcPr>
          <w:p>
            <w:pPr>
              <w:spacing w:after="0"/>
              <w:rPr>
                <w:sz w:val="1"/>
                <w:szCs w:val="1"/>
                <w:color w:val="auto"/>
              </w:rPr>
            </w:pPr>
          </w:p>
        </w:tc>
      </w:tr>
      <w:tr>
        <w:trPr>
          <w:trHeight w:val="162"/>
        </w:trPr>
        <w:tc>
          <w:tcPr>
            <w:tcW w:w="2540" w:type="dxa"/>
            <w:vAlign w:val="bottom"/>
            <w:shd w:val="clear" w:color="auto" w:fill="F2F2F2"/>
          </w:tcPr>
          <w:p>
            <w:pPr>
              <w:ind w:left="40"/>
              <w:spacing w:after="0" w:line="162" w:lineRule="exact"/>
              <w:rPr>
                <w:sz w:val="20"/>
                <w:szCs w:val="20"/>
                <w:color w:val="auto"/>
              </w:rPr>
            </w:pPr>
            <w:r>
              <w:rPr>
                <w:rFonts w:ascii="Arial" w:cs="Arial" w:eastAsia="Arial" w:hAnsi="Arial"/>
                <w:sz w:val="16"/>
                <w:szCs w:val="16"/>
                <w:color w:val="auto"/>
              </w:rPr>
              <w:t>articles of incorporation to</w:t>
            </w:r>
          </w:p>
        </w:tc>
        <w:tc>
          <w:tcPr>
            <w:tcW w:w="1240" w:type="dxa"/>
            <w:vAlign w:val="bottom"/>
            <w:shd w:val="clear" w:color="auto" w:fill="F2F2F2"/>
          </w:tcPr>
          <w:p>
            <w:pPr>
              <w:jc w:val="center"/>
              <w:spacing w:after="0" w:line="162" w:lineRule="exact"/>
              <w:rPr>
                <w:sz w:val="20"/>
                <w:szCs w:val="20"/>
                <w:color w:val="auto"/>
              </w:rPr>
            </w:pPr>
            <w:r>
              <w:rPr>
                <w:rFonts w:ascii="Arial" w:cs="Arial" w:eastAsia="Arial" w:hAnsi="Arial"/>
                <w:sz w:val="16"/>
                <w:szCs w:val="16"/>
                <w:color w:val="auto"/>
              </w:rPr>
              <w:t>outstanding</w:t>
            </w:r>
          </w:p>
        </w:tc>
        <w:tc>
          <w:tcPr>
            <w:tcW w:w="1580" w:type="dxa"/>
            <w:vAlign w:val="bottom"/>
            <w:shd w:val="clear" w:color="auto" w:fill="F2F2F2"/>
          </w:tcPr>
          <w:p>
            <w:pPr>
              <w:jc w:val="center"/>
              <w:spacing w:after="0" w:line="162" w:lineRule="exact"/>
              <w:rPr>
                <w:sz w:val="20"/>
                <w:szCs w:val="20"/>
                <w:color w:val="auto"/>
              </w:rPr>
            </w:pPr>
            <w:r>
              <w:rPr>
                <w:rFonts w:ascii="Arial" w:cs="Arial" w:eastAsia="Arial" w:hAnsi="Arial"/>
                <w:sz w:val="16"/>
                <w:szCs w:val="16"/>
                <w:color w:val="auto"/>
                <w:w w:val="99"/>
              </w:rPr>
              <w:t>ABSTAIN</w:t>
            </w:r>
          </w:p>
        </w:tc>
        <w:tc>
          <w:tcPr>
            <w:tcW w:w="1280" w:type="dxa"/>
            <w:vAlign w:val="bottom"/>
            <w:shd w:val="clear" w:color="auto" w:fill="F2F2F2"/>
          </w:tcPr>
          <w:p>
            <w:pPr>
              <w:jc w:val="center"/>
              <w:spacing w:after="0" w:line="162" w:lineRule="exact"/>
              <w:rPr>
                <w:sz w:val="20"/>
                <w:szCs w:val="20"/>
                <w:color w:val="auto"/>
              </w:rPr>
            </w:pPr>
            <w:r>
              <w:rPr>
                <w:rFonts w:ascii="Arial" w:cs="Arial" w:eastAsia="Arial" w:hAnsi="Arial"/>
                <w:sz w:val="16"/>
                <w:szCs w:val="16"/>
                <w:color w:val="auto"/>
              </w:rPr>
              <w:t>vote AGAINST</w:t>
            </w:r>
          </w:p>
        </w:tc>
        <w:tc>
          <w:tcPr>
            <w:tcW w:w="1400" w:type="dxa"/>
            <w:vAlign w:val="bottom"/>
            <w:shd w:val="clear" w:color="auto" w:fill="F2F2F2"/>
          </w:tcPr>
          <w:p>
            <w:pPr>
              <w:spacing w:after="0"/>
              <w:rPr>
                <w:sz w:val="14"/>
                <w:szCs w:val="14"/>
                <w:color w:val="auto"/>
              </w:rPr>
            </w:pPr>
          </w:p>
        </w:tc>
        <w:tc>
          <w:tcPr>
            <w:tcW w:w="1060" w:type="dxa"/>
            <w:vAlign w:val="bottom"/>
            <w:shd w:val="clear" w:color="auto" w:fill="F2F2F2"/>
          </w:tcPr>
          <w:p>
            <w:pPr>
              <w:jc w:val="center"/>
              <w:spacing w:after="0" w:line="162" w:lineRule="exact"/>
              <w:rPr>
                <w:sz w:val="20"/>
                <w:szCs w:val="20"/>
                <w:color w:val="auto"/>
              </w:rPr>
            </w:pPr>
            <w:r>
              <w:rPr>
                <w:rFonts w:ascii="Arial" w:cs="Arial" w:eastAsia="Arial" w:hAnsi="Arial"/>
                <w:sz w:val="16"/>
                <w:szCs w:val="16"/>
                <w:color w:val="auto"/>
              </w:rPr>
              <w:t>vote</w:t>
            </w:r>
          </w:p>
        </w:tc>
        <w:tc>
          <w:tcPr>
            <w:tcW w:w="0" w:type="dxa"/>
            <w:vAlign w:val="bottom"/>
          </w:tcPr>
          <w:p>
            <w:pPr>
              <w:spacing w:after="0"/>
              <w:rPr>
                <w:sz w:val="1"/>
                <w:szCs w:val="1"/>
                <w:color w:val="auto"/>
              </w:rPr>
            </w:pPr>
          </w:p>
        </w:tc>
      </w:tr>
      <w:tr>
        <w:trPr>
          <w:trHeight w:val="162"/>
        </w:trPr>
        <w:tc>
          <w:tcPr>
            <w:tcW w:w="2540" w:type="dxa"/>
            <w:vAlign w:val="bottom"/>
            <w:shd w:val="clear" w:color="auto" w:fill="F2F2F2"/>
          </w:tcPr>
          <w:p>
            <w:pPr>
              <w:ind w:left="40"/>
              <w:spacing w:after="0" w:line="162" w:lineRule="exact"/>
              <w:rPr>
                <w:sz w:val="20"/>
                <w:szCs w:val="20"/>
                <w:color w:val="auto"/>
              </w:rPr>
            </w:pPr>
            <w:r>
              <w:rPr>
                <w:rFonts w:ascii="Arial" w:cs="Arial" w:eastAsia="Arial" w:hAnsi="Arial"/>
                <w:sz w:val="16"/>
                <w:szCs w:val="16"/>
                <w:color w:val="auto"/>
              </w:rPr>
              <w:t>eliminate supermajority voting</w:t>
            </w:r>
          </w:p>
        </w:tc>
        <w:tc>
          <w:tcPr>
            <w:tcW w:w="1240" w:type="dxa"/>
            <w:vAlign w:val="bottom"/>
            <w:shd w:val="clear" w:color="auto" w:fill="F2F2F2"/>
          </w:tcPr>
          <w:p>
            <w:pPr>
              <w:jc w:val="center"/>
              <w:spacing w:after="0" w:line="162" w:lineRule="exact"/>
              <w:rPr>
                <w:sz w:val="20"/>
                <w:szCs w:val="20"/>
                <w:color w:val="auto"/>
              </w:rPr>
            </w:pPr>
            <w:r>
              <w:rPr>
                <w:rFonts w:ascii="Arial" w:cs="Arial" w:eastAsia="Arial" w:hAnsi="Arial"/>
                <w:sz w:val="16"/>
                <w:szCs w:val="16"/>
                <w:color w:val="auto"/>
                <w:w w:val="99"/>
              </w:rPr>
              <w:t>shares</w:t>
            </w:r>
          </w:p>
        </w:tc>
        <w:tc>
          <w:tcPr>
            <w:tcW w:w="1580" w:type="dxa"/>
            <w:vAlign w:val="bottom"/>
            <w:shd w:val="clear" w:color="auto" w:fill="F2F2F2"/>
          </w:tcPr>
          <w:p>
            <w:pPr>
              <w:spacing w:after="0"/>
              <w:rPr>
                <w:sz w:val="14"/>
                <w:szCs w:val="14"/>
                <w:color w:val="auto"/>
              </w:rPr>
            </w:pPr>
          </w:p>
        </w:tc>
        <w:tc>
          <w:tcPr>
            <w:tcW w:w="1280" w:type="dxa"/>
            <w:vAlign w:val="bottom"/>
            <w:shd w:val="clear" w:color="auto" w:fill="F2F2F2"/>
          </w:tcPr>
          <w:p>
            <w:pPr>
              <w:jc w:val="center"/>
              <w:spacing w:after="0" w:line="162" w:lineRule="exact"/>
              <w:rPr>
                <w:sz w:val="20"/>
                <w:szCs w:val="20"/>
                <w:color w:val="auto"/>
              </w:rPr>
            </w:pPr>
            <w:r>
              <w:rPr>
                <w:rFonts w:ascii="Arial" w:cs="Arial" w:eastAsia="Arial" w:hAnsi="Arial"/>
                <w:sz w:val="16"/>
                <w:szCs w:val="16"/>
                <w:color w:val="auto"/>
              </w:rPr>
              <w:t>the proposal</w:t>
            </w:r>
          </w:p>
        </w:tc>
        <w:tc>
          <w:tcPr>
            <w:tcW w:w="1400" w:type="dxa"/>
            <w:vAlign w:val="bottom"/>
            <w:shd w:val="clear" w:color="auto" w:fill="F2F2F2"/>
          </w:tcPr>
          <w:p>
            <w:pPr>
              <w:spacing w:after="0"/>
              <w:rPr>
                <w:sz w:val="14"/>
                <w:szCs w:val="14"/>
                <w:color w:val="auto"/>
              </w:rPr>
            </w:pPr>
          </w:p>
        </w:tc>
        <w:tc>
          <w:tcPr>
            <w:tcW w:w="1060" w:type="dxa"/>
            <w:vAlign w:val="bottom"/>
            <w:shd w:val="clear" w:color="auto" w:fill="F2F2F2"/>
          </w:tcPr>
          <w:p>
            <w:pPr>
              <w:jc w:val="center"/>
              <w:spacing w:after="0" w:line="162" w:lineRule="exact"/>
              <w:rPr>
                <w:sz w:val="20"/>
                <w:szCs w:val="20"/>
                <w:color w:val="auto"/>
              </w:rPr>
            </w:pPr>
            <w:r>
              <w:rPr>
                <w:rFonts w:ascii="Arial" w:cs="Arial" w:eastAsia="Arial" w:hAnsi="Arial"/>
                <w:sz w:val="16"/>
                <w:szCs w:val="16"/>
                <w:color w:val="auto"/>
              </w:rPr>
              <w:t>AGAINST the</w:t>
            </w:r>
          </w:p>
        </w:tc>
        <w:tc>
          <w:tcPr>
            <w:tcW w:w="0" w:type="dxa"/>
            <w:vAlign w:val="bottom"/>
          </w:tcPr>
          <w:p>
            <w:pPr>
              <w:spacing w:after="0"/>
              <w:rPr>
                <w:sz w:val="1"/>
                <w:szCs w:val="1"/>
                <w:color w:val="auto"/>
              </w:rPr>
            </w:pPr>
          </w:p>
        </w:tc>
      </w:tr>
      <w:tr>
        <w:trPr>
          <w:trHeight w:val="215"/>
        </w:trPr>
        <w:tc>
          <w:tcPr>
            <w:tcW w:w="2540" w:type="dxa"/>
            <w:vAlign w:val="bottom"/>
            <w:shd w:val="clear" w:color="auto" w:fill="F2F2F2"/>
          </w:tcPr>
          <w:p>
            <w:pPr>
              <w:ind w:left="40"/>
              <w:spacing w:after="0"/>
              <w:rPr>
                <w:sz w:val="20"/>
                <w:szCs w:val="20"/>
                <w:color w:val="auto"/>
              </w:rPr>
            </w:pPr>
            <w:r>
              <w:rPr>
                <w:rFonts w:ascii="Arial" w:cs="Arial" w:eastAsia="Arial" w:hAnsi="Arial"/>
                <w:sz w:val="16"/>
                <w:szCs w:val="16"/>
                <w:color w:val="auto"/>
              </w:rPr>
              <w:t>provisions</w:t>
            </w:r>
          </w:p>
        </w:tc>
        <w:tc>
          <w:tcPr>
            <w:tcW w:w="1240" w:type="dxa"/>
            <w:vAlign w:val="bottom"/>
            <w:shd w:val="clear" w:color="auto" w:fill="F2F2F2"/>
          </w:tcPr>
          <w:p>
            <w:pPr>
              <w:spacing w:after="0"/>
              <w:rPr>
                <w:sz w:val="18"/>
                <w:szCs w:val="18"/>
                <w:color w:val="auto"/>
              </w:rPr>
            </w:pPr>
          </w:p>
        </w:tc>
        <w:tc>
          <w:tcPr>
            <w:tcW w:w="1580" w:type="dxa"/>
            <w:vAlign w:val="bottom"/>
            <w:shd w:val="clear" w:color="auto" w:fill="F2F2F2"/>
          </w:tcPr>
          <w:p>
            <w:pPr>
              <w:spacing w:after="0"/>
              <w:rPr>
                <w:sz w:val="18"/>
                <w:szCs w:val="18"/>
                <w:color w:val="auto"/>
              </w:rPr>
            </w:pPr>
          </w:p>
        </w:tc>
        <w:tc>
          <w:tcPr>
            <w:tcW w:w="1280" w:type="dxa"/>
            <w:vAlign w:val="bottom"/>
            <w:shd w:val="clear" w:color="auto" w:fill="F2F2F2"/>
          </w:tcPr>
          <w:p>
            <w:pPr>
              <w:spacing w:after="0"/>
              <w:rPr>
                <w:sz w:val="18"/>
                <w:szCs w:val="18"/>
                <w:color w:val="auto"/>
              </w:rPr>
            </w:pPr>
          </w:p>
        </w:tc>
        <w:tc>
          <w:tcPr>
            <w:tcW w:w="1400" w:type="dxa"/>
            <w:vAlign w:val="bottom"/>
            <w:shd w:val="clear" w:color="auto" w:fill="F2F2F2"/>
          </w:tcPr>
          <w:p>
            <w:pPr>
              <w:spacing w:after="0"/>
              <w:rPr>
                <w:sz w:val="18"/>
                <w:szCs w:val="18"/>
                <w:color w:val="auto"/>
              </w:rPr>
            </w:pPr>
          </w:p>
        </w:tc>
        <w:tc>
          <w:tcPr>
            <w:tcW w:w="106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proposal</w:t>
            </w:r>
          </w:p>
        </w:tc>
        <w:tc>
          <w:tcPr>
            <w:tcW w:w="0" w:type="dxa"/>
            <w:vAlign w:val="bottom"/>
          </w:tcPr>
          <w:p>
            <w:pPr>
              <w:spacing w:after="0"/>
              <w:rPr>
                <w:sz w:val="1"/>
                <w:szCs w:val="1"/>
                <w:color w:val="auto"/>
              </w:rPr>
            </w:pPr>
          </w:p>
        </w:tc>
      </w:tr>
      <w:tr>
        <w:trPr>
          <w:trHeight w:val="204"/>
        </w:trPr>
        <w:tc>
          <w:tcPr>
            <w:tcW w:w="2540" w:type="dxa"/>
            <w:vAlign w:val="bottom"/>
            <w:shd w:val="clear" w:color="auto" w:fill="F2F2F2"/>
          </w:tcPr>
          <w:p>
            <w:pPr>
              <w:spacing w:after="0"/>
              <w:rPr>
                <w:sz w:val="17"/>
                <w:szCs w:val="17"/>
                <w:color w:val="auto"/>
              </w:rPr>
            </w:pPr>
          </w:p>
        </w:tc>
        <w:tc>
          <w:tcPr>
            <w:tcW w:w="1240" w:type="dxa"/>
            <w:vAlign w:val="bottom"/>
            <w:shd w:val="clear" w:color="auto" w:fill="F2F2F2"/>
          </w:tcPr>
          <w:p>
            <w:pPr>
              <w:spacing w:after="0"/>
              <w:rPr>
                <w:sz w:val="17"/>
                <w:szCs w:val="17"/>
                <w:color w:val="auto"/>
              </w:rPr>
            </w:pPr>
          </w:p>
        </w:tc>
        <w:tc>
          <w:tcPr>
            <w:tcW w:w="1580" w:type="dxa"/>
            <w:vAlign w:val="bottom"/>
            <w:shd w:val="clear" w:color="auto" w:fill="F2F2F2"/>
          </w:tcPr>
          <w:p>
            <w:pPr>
              <w:spacing w:after="0"/>
              <w:rPr>
                <w:sz w:val="17"/>
                <w:szCs w:val="17"/>
                <w:color w:val="auto"/>
              </w:rPr>
            </w:pPr>
          </w:p>
        </w:tc>
        <w:tc>
          <w:tcPr>
            <w:tcW w:w="1280" w:type="dxa"/>
            <w:vAlign w:val="bottom"/>
            <w:shd w:val="clear" w:color="auto" w:fill="F2F2F2"/>
          </w:tcPr>
          <w:p>
            <w:pPr>
              <w:spacing w:after="0"/>
              <w:rPr>
                <w:sz w:val="17"/>
                <w:szCs w:val="17"/>
                <w:color w:val="auto"/>
              </w:rPr>
            </w:pPr>
          </w:p>
        </w:tc>
        <w:tc>
          <w:tcPr>
            <w:tcW w:w="1400" w:type="dxa"/>
            <w:vAlign w:val="bottom"/>
            <w:shd w:val="clear" w:color="auto" w:fill="F2F2F2"/>
          </w:tcPr>
          <w:p>
            <w:pPr>
              <w:spacing w:after="0"/>
              <w:rPr>
                <w:sz w:val="17"/>
                <w:szCs w:val="17"/>
                <w:color w:val="auto"/>
              </w:rPr>
            </w:pPr>
          </w:p>
        </w:tc>
        <w:tc>
          <w:tcPr>
            <w:tcW w:w="1060" w:type="dxa"/>
            <w:vAlign w:val="bottom"/>
            <w:shd w:val="clear" w:color="auto" w:fill="F2F2F2"/>
          </w:tcPr>
          <w:p>
            <w:pPr>
              <w:spacing w:after="0"/>
              <w:rPr>
                <w:sz w:val="17"/>
                <w:szCs w:val="17"/>
                <w:color w:val="auto"/>
              </w:rPr>
            </w:pPr>
          </w:p>
        </w:tc>
        <w:tc>
          <w:tcPr>
            <w:tcW w:w="0" w:type="dxa"/>
            <w:vAlign w:val="bottom"/>
          </w:tcPr>
          <w:p>
            <w:pPr>
              <w:spacing w:after="0"/>
              <w:rPr>
                <w:sz w:val="1"/>
                <w:szCs w:val="1"/>
                <w:color w:val="auto"/>
              </w:rPr>
            </w:pPr>
          </w:p>
        </w:tc>
      </w:tr>
    </w:tbl>
    <w:p>
      <w:pPr>
        <w:spacing w:after="0" w:line="219" w:lineRule="exact"/>
        <w:rPr>
          <w:sz w:val="20"/>
          <w:szCs w:val="20"/>
          <w:color w:val="auto"/>
        </w:rPr>
      </w:pPr>
    </w:p>
    <w:p>
      <w:pPr>
        <w:spacing w:after="0"/>
        <w:rPr>
          <w:sz w:val="20"/>
          <w:szCs w:val="20"/>
          <w:color w:val="auto"/>
        </w:rPr>
      </w:pPr>
      <w:r>
        <w:rPr>
          <w:rFonts w:ascii="Arial" w:cs="Arial" w:eastAsia="Arial" w:hAnsi="Arial"/>
          <w:sz w:val="25"/>
          <w:szCs w:val="25"/>
          <w:b w:val="1"/>
          <w:bCs w:val="1"/>
          <w:color w:val="00A1DE"/>
        </w:rPr>
        <w:t>Additional Items of Business</w:t>
      </w:r>
    </w:p>
    <w:p>
      <w:pPr>
        <w:spacing w:after="0" w:line="83" w:lineRule="exact"/>
        <w:rPr>
          <w:sz w:val="20"/>
          <w:szCs w:val="20"/>
          <w:color w:val="auto"/>
        </w:rPr>
      </w:pPr>
    </w:p>
    <w:p>
      <w:pPr>
        <w:jc w:val="both"/>
        <w:ind w:right="220"/>
        <w:spacing w:after="0" w:line="262" w:lineRule="auto"/>
        <w:rPr>
          <w:sz w:val="20"/>
          <w:szCs w:val="20"/>
          <w:color w:val="auto"/>
        </w:rPr>
      </w:pPr>
      <w:r>
        <w:rPr>
          <w:rFonts w:ascii="Arial" w:cs="Arial" w:eastAsia="Arial" w:hAnsi="Arial"/>
          <w:sz w:val="18"/>
          <w:szCs w:val="18"/>
          <w:color w:val="auto"/>
        </w:rPr>
        <w:t>We do not expect any items of business to be submitted to shareholders at the Annual Meeting other than the proposals referred to in this proxy statement. Nonetheless, if necessary, the persons named on the proxy have discretionary authority to vote the shares represented thereby with respect to any other matters that might be brought before the meeting. Those persons intend to vote on any such matters in accordance with their best judgment.</w:t>
      </w:r>
    </w:p>
    <w:p>
      <w:pPr>
        <w:spacing w:after="0" w:line="117" w:lineRule="exact"/>
        <w:rPr>
          <w:sz w:val="20"/>
          <w:szCs w:val="20"/>
          <w:color w:val="auto"/>
        </w:rPr>
      </w:pPr>
    </w:p>
    <w:p>
      <w:pPr>
        <w:spacing w:after="0"/>
        <w:rPr>
          <w:sz w:val="20"/>
          <w:szCs w:val="20"/>
          <w:color w:val="auto"/>
        </w:rPr>
      </w:pPr>
      <w:r>
        <w:rPr>
          <w:rFonts w:ascii="Arial" w:cs="Arial" w:eastAsia="Arial" w:hAnsi="Arial"/>
          <w:sz w:val="25"/>
          <w:szCs w:val="25"/>
          <w:b w:val="1"/>
          <w:bCs w:val="1"/>
          <w:color w:val="00A1DE"/>
        </w:rPr>
        <w:t>Vote Tabulation</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Votes are tabulated by an independent inspector of election, Broadridge Financial Solutions, Inc.</w:t>
      </w:r>
    </w:p>
    <w:p>
      <w:pPr>
        <w:spacing w:after="0" w:line="165" w:lineRule="exact"/>
        <w:rPr>
          <w:sz w:val="20"/>
          <w:szCs w:val="20"/>
          <w:color w:val="auto"/>
        </w:rPr>
      </w:pPr>
    </w:p>
    <w:p>
      <w:pPr>
        <w:spacing w:after="0"/>
        <w:rPr>
          <w:sz w:val="20"/>
          <w:szCs w:val="20"/>
          <w:color w:val="auto"/>
        </w:rPr>
      </w:pPr>
      <w:r>
        <w:rPr>
          <w:rFonts w:ascii="Arial" w:cs="Arial" w:eastAsia="Arial" w:hAnsi="Arial"/>
          <w:sz w:val="25"/>
          <w:szCs w:val="25"/>
          <w:b w:val="1"/>
          <w:bCs w:val="1"/>
          <w:color w:val="00A1DE"/>
        </w:rPr>
        <w:t>List of Shareholders of Record</w:t>
      </w:r>
    </w:p>
    <w:p>
      <w:pPr>
        <w:spacing w:after="0" w:line="83"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 xml:space="preserve">A list of the names of shareholders entitled to vote at the Annual Meeting will be available to shareholders for five business days prior to the Annual Meeting for any purpose germane to the Annual Meeting. Please contact us at </w:t>
      </w:r>
      <w:r>
        <w:rPr>
          <w:rFonts w:ascii="Arial" w:cs="Arial" w:eastAsia="Arial" w:hAnsi="Arial"/>
          <w:sz w:val="18"/>
          <w:szCs w:val="18"/>
          <w:color w:val="D52B1E"/>
        </w:rPr>
        <w:t>shareholderproposals@lilly.com</w:t>
      </w:r>
      <w:r>
        <w:rPr>
          <w:rFonts w:ascii="Arial" w:cs="Arial" w:eastAsia="Arial" w:hAnsi="Arial"/>
          <w:sz w:val="18"/>
          <w:szCs w:val="18"/>
          <w:color w:val="auto"/>
        </w:rPr>
        <w:t xml:space="preserve"> if you wish to examine the list prior to the Annual Meeting. The shareholder list will also be available during the virtual Annual Meeting for examination by shareholders who access the Annual Meeting using their 16-digit control number at </w:t>
      </w:r>
      <w:r>
        <w:rPr>
          <w:rFonts w:ascii="Arial" w:cs="Arial" w:eastAsia="Arial" w:hAnsi="Arial"/>
          <w:sz w:val="18"/>
          <w:szCs w:val="18"/>
          <w:color w:val="D52B1E"/>
        </w:rPr>
        <w:t>virtualshareholdermeeting.com/LLY2025</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25"/>
          <w:szCs w:val="25"/>
          <w:b w:val="1"/>
          <w:bCs w:val="1"/>
          <w:color w:val="00A1DE"/>
        </w:rPr>
        <w:t>The 2026 Annual Meeting</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The company’s 2026 annual meeting of shareholders is currently scheduled for May 4, 2026.</w:t>
      </w:r>
    </w:p>
    <w:p>
      <w:pPr>
        <w:spacing w:after="0" w:line="200" w:lineRule="exact"/>
        <w:rPr>
          <w:sz w:val="20"/>
          <w:szCs w:val="20"/>
          <w:color w:val="auto"/>
        </w:rPr>
      </w:pPr>
    </w:p>
    <w:p>
      <w:pPr>
        <w:spacing w:after="0" w:line="381" w:lineRule="exact"/>
        <w:rPr>
          <w:sz w:val="20"/>
          <w:szCs w:val="20"/>
          <w:color w:val="auto"/>
        </w:rPr>
      </w:pPr>
    </w:p>
    <w:p>
      <w:pPr>
        <w:jc w:val="center"/>
        <w:ind w:right="-79"/>
        <w:spacing w:after="0"/>
        <w:rPr>
          <w:sz w:val="20"/>
          <w:szCs w:val="20"/>
          <w:color w:val="auto"/>
        </w:rPr>
      </w:pPr>
      <w:r>
        <w:rPr>
          <w:rFonts w:ascii="Arial" w:cs="Arial" w:eastAsia="Arial" w:hAnsi="Arial"/>
          <w:sz w:val="19"/>
          <w:szCs w:val="19"/>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2569" name="Picture 2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9"/>
                    <pic:cNvPicPr>
                      <a:picLocks noChangeAspect="1" noChangeArrowheads="1"/>
                    </pic:cNvPicPr>
                  </pic:nvPicPr>
                  <pic:blipFill>
                    <a:blip r:embed="rId25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769" w:right="419" w:bottom="1440" w:gutter="0" w:footer="0" w:header="0"/>
        </w:sectPr>
      </w:pPr>
    </w:p>
    <w:bookmarkStart w:id="88" w:name="page89"/>
    <w:bookmarkEnd w:id="88"/>
    <w:p>
      <w:pPr>
        <w:spacing w:after="0"/>
        <w:rPr>
          <w:sz w:val="20"/>
          <w:szCs w:val="20"/>
          <w:color w:val="auto"/>
        </w:rPr>
      </w:pPr>
      <w:r>
        <w:rPr>
          <w:rFonts w:ascii="Arial" w:cs="Arial" w:eastAsia="Arial" w:hAnsi="Arial"/>
          <w:sz w:val="25"/>
          <w:szCs w:val="25"/>
          <w:b w:val="1"/>
          <w:bCs w:val="1"/>
          <w:color w:val="00A1DE"/>
        </w:rPr>
        <w:t>How to Vote</w:t>
      </w:r>
    </w:p>
    <w:p>
      <w:pPr>
        <w:spacing w:after="0" w:line="88" w:lineRule="exact"/>
        <w:rPr>
          <w:sz w:val="20"/>
          <w:szCs w:val="20"/>
          <w:color w:val="auto"/>
        </w:rPr>
      </w:pPr>
    </w:p>
    <w:p>
      <w:pPr>
        <w:spacing w:after="0"/>
        <w:rPr>
          <w:sz w:val="20"/>
          <w:szCs w:val="20"/>
          <w:color w:val="auto"/>
        </w:rPr>
      </w:pPr>
      <w:r>
        <w:rPr>
          <w:rFonts w:ascii="Arial" w:cs="Arial" w:eastAsia="Arial" w:hAnsi="Arial"/>
          <w:sz w:val="19"/>
          <w:szCs w:val="19"/>
          <w:color w:val="auto"/>
        </w:rPr>
        <w:t>You may vote by any one of the following methods: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80" w:type="dxa"/>
            <w:vAlign w:val="bottom"/>
            <w:tcBorders>
              <w:top w:val="single" w:sz="8" w:color="auto"/>
            </w:tcBorders>
            <w:vMerge w:val="restart"/>
          </w:tcPr>
          <w:p>
            <w:pPr>
              <w:ind w:left="1660"/>
              <w:spacing w:after="0"/>
              <w:rPr>
                <w:sz w:val="20"/>
                <w:szCs w:val="20"/>
                <w:color w:val="auto"/>
              </w:rPr>
            </w:pPr>
            <w:r>
              <w:rPr>
                <w:rFonts w:ascii="Arial" w:cs="Arial" w:eastAsia="Arial" w:hAnsi="Arial"/>
                <w:sz w:val="18"/>
                <w:szCs w:val="18"/>
                <w:b w:val="1"/>
                <w:bCs w:val="1"/>
                <w:color w:val="auto"/>
              </w:rPr>
              <w:t>Shareholders of Record</w:t>
            </w:r>
          </w:p>
        </w:tc>
        <w:tc>
          <w:tcPr>
            <w:tcW w:w="2680" w:type="dxa"/>
            <w:vAlign w:val="bottom"/>
            <w:tcBorders>
              <w:top w:val="single" w:sz="8" w:color="auto"/>
            </w:tcBorders>
            <w:vMerge w:val="restart"/>
          </w:tcPr>
          <w:p>
            <w:pPr>
              <w:ind w:left="380"/>
              <w:spacing w:after="0"/>
              <w:rPr>
                <w:sz w:val="20"/>
                <w:szCs w:val="20"/>
                <w:color w:val="auto"/>
              </w:rPr>
            </w:pPr>
            <w:r>
              <w:rPr>
                <w:rFonts w:ascii="Arial" w:cs="Arial" w:eastAsia="Arial" w:hAnsi="Arial"/>
                <w:sz w:val="18"/>
                <w:szCs w:val="18"/>
                <w:b w:val="1"/>
                <w:bCs w:val="1"/>
                <w:color w:val="auto"/>
              </w:rPr>
              <w:t>Shares Held by a Broker</w:t>
            </w:r>
          </w:p>
        </w:tc>
        <w:tc>
          <w:tcPr>
            <w:tcW w:w="232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b w:val="1"/>
                <w:bCs w:val="1"/>
                <w:color w:val="auto"/>
              </w:rPr>
              <w:t>Shares Held in the</w:t>
            </w:r>
          </w:p>
        </w:tc>
        <w:tc>
          <w:tcPr>
            <w:tcW w:w="0" w:type="dxa"/>
            <w:vAlign w:val="bottom"/>
          </w:tcPr>
          <w:p>
            <w:pPr>
              <w:spacing w:after="0"/>
              <w:rPr>
                <w:sz w:val="1"/>
                <w:szCs w:val="1"/>
                <w:color w:val="auto"/>
              </w:rPr>
            </w:pPr>
          </w:p>
        </w:tc>
      </w:tr>
      <w:tr>
        <w:trPr>
          <w:trHeight w:val="243"/>
        </w:trPr>
        <w:tc>
          <w:tcPr>
            <w:tcW w:w="4080" w:type="dxa"/>
            <w:vAlign w:val="bottom"/>
            <w:tcBorders>
              <w:bottom w:val="single" w:sz="8" w:color="auto"/>
            </w:tcBorders>
            <w:vMerge w:val="continue"/>
          </w:tcPr>
          <w:p>
            <w:pPr>
              <w:spacing w:after="0"/>
              <w:rPr>
                <w:sz w:val="21"/>
                <w:szCs w:val="21"/>
                <w:color w:val="auto"/>
              </w:rPr>
            </w:pPr>
          </w:p>
        </w:tc>
        <w:tc>
          <w:tcPr>
            <w:tcW w:w="2680" w:type="dxa"/>
            <w:vAlign w:val="bottom"/>
            <w:tcBorders>
              <w:bottom w:val="single" w:sz="8" w:color="auto"/>
            </w:tcBorders>
            <w:vMerge w:val="continue"/>
          </w:tcPr>
          <w:p>
            <w:pPr>
              <w:spacing w:after="0"/>
              <w:rPr>
                <w:sz w:val="21"/>
                <w:szCs w:val="21"/>
                <w:color w:val="auto"/>
              </w:rPr>
            </w:pPr>
          </w:p>
        </w:tc>
        <w:tc>
          <w:tcPr>
            <w:tcW w:w="2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Company 401(k) Plan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5760720" cy="4029075"/>
            <wp:wrapNone/>
            <wp:docPr id="2570" name="Picture 2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0"/>
                    <pic:cNvPicPr>
                      <a:picLocks noChangeAspect="1" noChangeArrowheads="1"/>
                    </pic:cNvPicPr>
                  </pic:nvPicPr>
                  <pic:blipFill>
                    <a:blip r:embed="rId2577">
                      <a:extLst>
                        <a:ext uri="{28A0092B-C50C-407E-A947-70E740481C1C}"/>
                      </a:extLst>
                    </a:blip>
                    <a:srcRect/>
                    <a:stretch>
                      <a:fillRect/>
                    </a:stretch>
                  </pic:blipFill>
                  <pic:spPr bwMode="auto">
                    <a:xfrm>
                      <a:off x="0" y="0"/>
                      <a:ext cx="5760720" cy="4029075"/>
                    </a:xfrm>
                    <a:prstGeom prst="rect">
                      <a:avLst/>
                    </a:prstGeom>
                    <a:noFill/>
                  </pic:spPr>
                </pic:pic>
              </a:graphicData>
            </a:graphic>
          </wp:anchor>
        </w:drawing>
      </w:r>
    </w:p>
    <w:p>
      <w:pPr>
        <w:sectPr>
          <w:pgSz w:w="11900" w:h="16838" w:orient="portrait"/>
          <w:cols w:equalWidth="0" w:num="1">
            <w:col w:w="11220"/>
          </w:cols>
          <w:pgMar w:left="320" w:top="9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left="100"/>
        <w:spacing w:after="0"/>
        <w:rPr>
          <w:sz w:val="20"/>
          <w:szCs w:val="20"/>
          <w:color w:val="auto"/>
        </w:rPr>
      </w:pPr>
      <w:r>
        <w:rPr>
          <w:rFonts w:ascii="Arial" w:cs="Arial" w:eastAsia="Arial" w:hAnsi="Arial"/>
          <w:sz w:val="18"/>
          <w:szCs w:val="18"/>
          <w:b w:val="1"/>
          <w:bCs w:val="1"/>
          <w:color w:val="auto"/>
        </w:rPr>
        <w:t>Online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52070</wp:posOffset>
            </wp:positionV>
            <wp:extent cx="514350" cy="514350"/>
            <wp:wrapNone/>
            <wp:docPr id="2571" name="Picture 2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1"/>
                    <pic:cNvPicPr>
                      <a:picLocks noChangeAspect="1" noChangeArrowheads="1"/>
                    </pic:cNvPicPr>
                  </pic:nvPicPr>
                  <pic:blipFill>
                    <a:blip r:embed="rId2578">
                      <a:clrChange>
                        <a:clrFrom>
                          <a:srgbClr val="000000"/>
                        </a:clrFrom>
                        <a:clrTo>
                          <a:srgbClr val="000000">
                            <a:alpha val="0"/>
                          </a:srgbClr>
                        </a:clrTo>
                      </a:clrChange>
                      <a:extLst>
                        <a:ext uri="{28A0092B-C50C-407E-A947-70E740481C1C}"/>
                      </a:extLst>
                    </a:blip>
                    <a:srcRect/>
                    <a:stretch>
                      <a:fillRect/>
                    </a:stretch>
                  </pic:blipFill>
                  <pic:spPr bwMode="auto">
                    <a:xfrm>
                      <a:off x="0" y="0"/>
                      <a:ext cx="514350" cy="514350"/>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52070</wp:posOffset>
            </wp:positionV>
            <wp:extent cx="514350" cy="514350"/>
            <wp:wrapNone/>
            <wp:docPr id="2572" name="Picture 2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2"/>
                    <pic:cNvPicPr>
                      <a:picLocks noChangeAspect="1" noChangeArrowheads="1"/>
                    </pic:cNvPicPr>
                  </pic:nvPicPr>
                  <pic:blipFill>
                    <a:blip r:embed="rId2579">
                      <a:clrChange>
                        <a:clrFrom>
                          <a:srgbClr val="FFFFFF"/>
                        </a:clrFrom>
                        <a:clrTo>
                          <a:srgbClr val="FFFFFF">
                            <a:alpha val="0"/>
                          </a:srgbClr>
                        </a:clrTo>
                      </a:clrChange>
                      <a:extLst>
                        <a:ext uri="{28A0092B-C50C-407E-A947-70E740481C1C}"/>
                      </a:extLst>
                    </a:blip>
                    <a:srcRect/>
                    <a:stretch>
                      <a:fillRect/>
                    </a:stretch>
                  </pic:blipFill>
                  <pic:spPr bwMode="auto">
                    <a:xfrm>
                      <a:off x="0" y="0"/>
                      <a:ext cx="51435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Telephone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left="140"/>
        <w:spacing w:after="0"/>
        <w:rPr>
          <w:sz w:val="20"/>
          <w:szCs w:val="20"/>
          <w:color w:val="auto"/>
        </w:rPr>
      </w:pPr>
      <w:r>
        <w:rPr>
          <w:rFonts w:ascii="Arial" w:cs="Arial" w:eastAsia="Arial" w:hAnsi="Arial"/>
          <w:sz w:val="18"/>
          <w:szCs w:val="18"/>
          <w:b w:val="1"/>
          <w:bCs w:val="1"/>
          <w:color w:val="auto"/>
        </w:rPr>
        <w:t>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154940</wp:posOffset>
            </wp:positionV>
            <wp:extent cx="514350" cy="514350"/>
            <wp:wrapNone/>
            <wp:docPr id="2573" name="Picture 2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3"/>
                    <pic:cNvPicPr>
                      <a:picLocks noChangeAspect="1" noChangeArrowheads="1"/>
                    </pic:cNvPicPr>
                  </pic:nvPicPr>
                  <pic:blipFill>
                    <a:blip r:embed="rId2580">
                      <a:clrChange>
                        <a:clrFrom>
                          <a:srgbClr val="000000"/>
                        </a:clrFrom>
                        <a:clrTo>
                          <a:srgbClr val="000000">
                            <a:alpha val="0"/>
                          </a:srgbClr>
                        </a:clrTo>
                      </a:clrChange>
                      <a:extLst>
                        <a:ext uri="{28A0092B-C50C-407E-A947-70E740481C1C}"/>
                      </a:extLst>
                    </a:blip>
                    <a:srcRect/>
                    <a:stretch>
                      <a:fillRect/>
                    </a:stretch>
                  </pic:blipFill>
                  <pic:spPr bwMode="auto">
                    <a:xfrm>
                      <a:off x="0" y="0"/>
                      <a:ext cx="514350" cy="514350"/>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154940</wp:posOffset>
            </wp:positionV>
            <wp:extent cx="514350" cy="514350"/>
            <wp:wrapNone/>
            <wp:docPr id="2574" name="Picture 2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4"/>
                    <pic:cNvPicPr>
                      <a:picLocks noChangeAspect="1" noChangeArrowheads="1"/>
                    </pic:cNvPicPr>
                  </pic:nvPicPr>
                  <pic:blipFill>
                    <a:blip r:embed="rId2581">
                      <a:clrChange>
                        <a:clrFrom>
                          <a:srgbClr val="FFFFFF"/>
                        </a:clrFrom>
                        <a:clrTo>
                          <a:srgbClr val="FFFFFF">
                            <a:alpha val="0"/>
                          </a:srgbClr>
                        </a:clrTo>
                      </a:clrChange>
                      <a:extLst>
                        <a:ext uri="{28A0092B-C50C-407E-A947-70E740481C1C}"/>
                      </a:extLst>
                    </a:blip>
                    <a:srcRect/>
                    <a:stretch>
                      <a:fillRect/>
                    </a:stretch>
                  </pic:blipFill>
                  <pic:spPr bwMode="auto">
                    <a:xfrm>
                      <a:off x="0" y="0"/>
                      <a:ext cx="51435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left="100"/>
        <w:spacing w:after="0"/>
        <w:rPr>
          <w:sz w:val="20"/>
          <w:szCs w:val="20"/>
          <w:color w:val="auto"/>
        </w:rPr>
      </w:pPr>
      <w:r>
        <w:rPr>
          <w:rFonts w:ascii="Arial" w:cs="Arial" w:eastAsia="Arial" w:hAnsi="Arial"/>
          <w:sz w:val="18"/>
          <w:szCs w:val="18"/>
          <w:b w:val="1"/>
          <w:bCs w:val="1"/>
          <w:color w:val="auto"/>
        </w:rPr>
        <w:t>At the</w:t>
      </w:r>
    </w:p>
    <w:p>
      <w:pPr>
        <w:spacing w:after="0" w:line="27" w:lineRule="exact"/>
        <w:rPr>
          <w:sz w:val="20"/>
          <w:szCs w:val="20"/>
          <w:color w:val="auto"/>
        </w:rPr>
      </w:pPr>
    </w:p>
    <w:p>
      <w:pPr>
        <w:jc w:val="center"/>
        <w:ind w:left="100"/>
        <w:spacing w:after="0"/>
        <w:rPr>
          <w:sz w:val="20"/>
          <w:szCs w:val="20"/>
          <w:color w:val="auto"/>
        </w:rPr>
      </w:pPr>
      <w:r>
        <w:rPr>
          <w:rFonts w:ascii="Arial" w:cs="Arial" w:eastAsia="Arial" w:hAnsi="Arial"/>
          <w:sz w:val="18"/>
          <w:szCs w:val="18"/>
          <w:b w:val="1"/>
          <w:bCs w:val="1"/>
          <w:color w:val="auto"/>
        </w:rPr>
        <w:t>Meeting</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820" w:type="dxa"/>
            <w:vAlign w:val="bottom"/>
            <w:vMerge w:val="restart"/>
          </w:tcPr>
          <w:p>
            <w:pPr>
              <w:spacing w:after="0"/>
              <w:rPr>
                <w:sz w:val="20"/>
                <w:szCs w:val="20"/>
                <w:color w:val="auto"/>
              </w:rPr>
            </w:pPr>
            <w:r>
              <w:rPr>
                <w:rFonts w:ascii="Arial" w:cs="Arial" w:eastAsia="Arial" w:hAnsi="Arial"/>
                <w:sz w:val="18"/>
                <w:szCs w:val="18"/>
                <w:color w:val="auto"/>
              </w:rPr>
              <w:t xml:space="preserve">Vote online at </w:t>
            </w:r>
            <w:r>
              <w:rPr>
                <w:rFonts w:ascii="Arial" w:cs="Arial" w:eastAsia="Arial" w:hAnsi="Arial"/>
                <w:sz w:val="18"/>
                <w:szCs w:val="18"/>
                <w:color w:val="D52B1E"/>
              </w:rPr>
              <w:t>ProxyVote.com</w:t>
            </w:r>
            <w:r>
              <w:rPr>
                <w:rFonts w:ascii="Arial" w:cs="Arial" w:eastAsia="Arial" w:hAnsi="Arial"/>
                <w:sz w:val="18"/>
                <w:szCs w:val="18"/>
                <w:color w:val="auto"/>
              </w:rPr>
              <w:t>.</w:t>
            </w:r>
          </w:p>
        </w:tc>
        <w:tc>
          <w:tcPr>
            <w:tcW w:w="4060" w:type="dxa"/>
            <w:vAlign w:val="bottom"/>
          </w:tcPr>
          <w:p>
            <w:pPr>
              <w:ind w:left="2800"/>
              <w:spacing w:after="0"/>
              <w:rPr>
                <w:sz w:val="20"/>
                <w:szCs w:val="20"/>
                <w:color w:val="auto"/>
              </w:rPr>
            </w:pPr>
            <w:r>
              <w:rPr>
                <w:rFonts w:ascii="Arial" w:cs="Arial" w:eastAsia="Arial" w:hAnsi="Arial"/>
                <w:sz w:val="18"/>
                <w:szCs w:val="18"/>
                <w:color w:val="auto"/>
              </w:rPr>
              <w:t>Vote online at</w:t>
            </w:r>
          </w:p>
        </w:tc>
        <w:tc>
          <w:tcPr>
            <w:tcW w:w="0" w:type="dxa"/>
            <w:vAlign w:val="bottom"/>
          </w:tcPr>
          <w:p>
            <w:pPr>
              <w:spacing w:after="0"/>
              <w:rPr>
                <w:sz w:val="1"/>
                <w:szCs w:val="1"/>
                <w:color w:val="auto"/>
              </w:rPr>
            </w:pPr>
          </w:p>
        </w:tc>
      </w:tr>
      <w:tr>
        <w:trPr>
          <w:trHeight w:val="166"/>
        </w:trPr>
        <w:tc>
          <w:tcPr>
            <w:tcW w:w="2820" w:type="dxa"/>
            <w:vAlign w:val="bottom"/>
            <w:vMerge w:val="continue"/>
          </w:tcPr>
          <w:p>
            <w:pPr>
              <w:spacing w:after="0"/>
              <w:rPr>
                <w:sz w:val="14"/>
                <w:szCs w:val="14"/>
                <w:color w:val="auto"/>
              </w:rPr>
            </w:pPr>
          </w:p>
        </w:tc>
        <w:tc>
          <w:tcPr>
            <w:tcW w:w="4060" w:type="dxa"/>
            <w:vAlign w:val="bottom"/>
            <w:vMerge w:val="restart"/>
          </w:tcPr>
          <w:p>
            <w:pPr>
              <w:ind w:left="440"/>
              <w:spacing w:after="0" w:line="216" w:lineRule="exact"/>
              <w:rPr>
                <w:sz w:val="20"/>
                <w:szCs w:val="20"/>
                <w:color w:val="auto"/>
              </w:rPr>
            </w:pPr>
            <w:r>
              <w:rPr>
                <w:rFonts w:ascii="Arial" w:cs="Arial" w:eastAsia="Arial" w:hAnsi="Arial"/>
                <w:sz w:val="14"/>
                <w:szCs w:val="14"/>
                <w:color w:val="auto"/>
              </w:rPr>
              <w:t xml:space="preserve">The broker will ask you how  </w:t>
            </w:r>
            <w:r>
              <w:rPr>
                <w:rFonts w:ascii="Arial" w:cs="Arial" w:eastAsia="Arial" w:hAnsi="Arial"/>
                <w:sz w:val="25"/>
                <w:szCs w:val="25"/>
                <w:color w:val="D52B1E"/>
                <w:vertAlign w:val="subscript"/>
              </w:rPr>
              <w:t>ProxyVote.com</w:t>
            </w:r>
            <w:r>
              <w:rPr>
                <w:rFonts w:ascii="Arial" w:cs="Arial" w:eastAsia="Arial" w:hAnsi="Arial"/>
                <w:sz w:val="25"/>
                <w:szCs w:val="25"/>
                <w:color w:val="auto"/>
                <w:vertAlign w:val="subscript"/>
              </w:rPr>
              <w:t>.</w:t>
            </w:r>
          </w:p>
        </w:tc>
        <w:tc>
          <w:tcPr>
            <w:tcW w:w="0" w:type="dxa"/>
            <w:vAlign w:val="bottom"/>
          </w:tcPr>
          <w:p>
            <w:pPr>
              <w:spacing w:after="0"/>
              <w:rPr>
                <w:sz w:val="1"/>
                <w:szCs w:val="1"/>
                <w:color w:val="auto"/>
              </w:rPr>
            </w:pPr>
          </w:p>
        </w:tc>
      </w:tr>
      <w:tr>
        <w:trPr>
          <w:trHeight w:val="50"/>
        </w:trPr>
        <w:tc>
          <w:tcPr>
            <w:tcW w:w="2820" w:type="dxa"/>
            <w:vAlign w:val="bottom"/>
          </w:tcPr>
          <w:p>
            <w:pPr>
              <w:spacing w:after="0"/>
              <w:rPr>
                <w:sz w:val="4"/>
                <w:szCs w:val="4"/>
                <w:color w:val="auto"/>
              </w:rPr>
            </w:pPr>
          </w:p>
        </w:tc>
        <w:tc>
          <w:tcPr>
            <w:tcW w:w="40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1"/>
        </w:trPr>
        <w:tc>
          <w:tcPr>
            <w:tcW w:w="2820" w:type="dxa"/>
            <w:vAlign w:val="bottom"/>
          </w:tcPr>
          <w:p>
            <w:pPr>
              <w:spacing w:after="0"/>
              <w:rPr>
                <w:sz w:val="18"/>
                <w:szCs w:val="18"/>
                <w:color w:val="auto"/>
              </w:rPr>
            </w:pPr>
          </w:p>
        </w:tc>
        <w:tc>
          <w:tcPr>
            <w:tcW w:w="4060" w:type="dxa"/>
            <w:vAlign w:val="bottom"/>
          </w:tcPr>
          <w:p>
            <w:pPr>
              <w:ind w:left="440"/>
              <w:spacing w:after="0"/>
              <w:rPr>
                <w:sz w:val="20"/>
                <w:szCs w:val="20"/>
                <w:color w:val="auto"/>
              </w:rPr>
            </w:pPr>
            <w:r>
              <w:rPr>
                <w:rFonts w:ascii="Arial" w:cs="Arial" w:eastAsia="Arial" w:hAnsi="Arial"/>
                <w:sz w:val="18"/>
                <w:szCs w:val="18"/>
                <w:color w:val="auto"/>
              </w:rPr>
              <w:t>you want your shares to be</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4060" w:type="dxa"/>
            <w:vAlign w:val="bottom"/>
          </w:tcPr>
          <w:p>
            <w:pPr>
              <w:ind w:left="440"/>
              <w:spacing w:after="0"/>
              <w:rPr>
                <w:sz w:val="20"/>
                <w:szCs w:val="20"/>
                <w:color w:val="auto"/>
              </w:rPr>
            </w:pPr>
            <w:r>
              <w:rPr>
                <w:rFonts w:ascii="Arial" w:cs="Arial" w:eastAsia="Arial" w:hAnsi="Arial"/>
                <w:sz w:val="18"/>
                <w:szCs w:val="18"/>
                <w:color w:val="auto"/>
              </w:rPr>
              <w:t>voted. You may instruct your</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4060" w:type="dxa"/>
            <w:vAlign w:val="bottom"/>
          </w:tcPr>
          <w:p>
            <w:pPr>
              <w:ind w:left="440"/>
              <w:spacing w:after="0"/>
              <w:rPr>
                <w:sz w:val="20"/>
                <w:szCs w:val="20"/>
                <w:color w:val="auto"/>
              </w:rPr>
            </w:pPr>
            <w:r>
              <w:rPr>
                <w:rFonts w:ascii="Arial" w:cs="Arial" w:eastAsia="Arial" w:hAnsi="Arial"/>
                <w:sz w:val="18"/>
                <w:szCs w:val="18"/>
                <w:color w:val="auto"/>
              </w:rPr>
              <w:t>broker or other nominee to</w:t>
            </w:r>
          </w:p>
        </w:tc>
        <w:tc>
          <w:tcPr>
            <w:tcW w:w="0" w:type="dxa"/>
            <w:vAlign w:val="bottom"/>
          </w:tcPr>
          <w:p>
            <w:pPr>
              <w:spacing w:after="0"/>
              <w:rPr>
                <w:sz w:val="1"/>
                <w:szCs w:val="1"/>
                <w:color w:val="auto"/>
              </w:rPr>
            </w:pPr>
          </w:p>
        </w:tc>
      </w:tr>
      <w:tr>
        <w:trPr>
          <w:trHeight w:val="207"/>
        </w:trPr>
        <w:tc>
          <w:tcPr>
            <w:tcW w:w="2820" w:type="dxa"/>
            <w:vAlign w:val="bottom"/>
          </w:tcPr>
          <w:p>
            <w:pPr>
              <w:spacing w:after="0"/>
              <w:rPr>
                <w:sz w:val="18"/>
                <w:szCs w:val="18"/>
                <w:color w:val="auto"/>
              </w:rPr>
            </w:pPr>
          </w:p>
        </w:tc>
        <w:tc>
          <w:tcPr>
            <w:tcW w:w="4060" w:type="dxa"/>
            <w:vAlign w:val="bottom"/>
          </w:tcPr>
          <w:p>
            <w:pPr>
              <w:ind w:left="440"/>
              <w:spacing w:after="0"/>
              <w:rPr>
                <w:sz w:val="20"/>
                <w:szCs w:val="20"/>
                <w:color w:val="auto"/>
              </w:rPr>
            </w:pPr>
            <w:r>
              <w:rPr>
                <w:rFonts w:ascii="Arial" w:cs="Arial" w:eastAsia="Arial" w:hAnsi="Arial"/>
                <w:sz w:val="18"/>
                <w:szCs w:val="18"/>
                <w:color w:val="auto"/>
              </w:rPr>
              <w:t>vote your shares by following</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3220" w:type="dxa"/>
            <w:vAlign w:val="bottom"/>
          </w:tcPr>
          <w:p>
            <w:pPr>
              <w:spacing w:after="0" w:line="198" w:lineRule="exact"/>
              <w:rPr>
                <w:sz w:val="20"/>
                <w:szCs w:val="20"/>
                <w:color w:val="auto"/>
              </w:rPr>
            </w:pPr>
            <w:r>
              <w:rPr>
                <w:rFonts w:ascii="Arial" w:cs="Arial" w:eastAsia="Arial" w:hAnsi="Arial"/>
                <w:sz w:val="18"/>
                <w:szCs w:val="18"/>
                <w:color w:val="auto"/>
              </w:rPr>
              <w:t>Call 1-800-690-6903 using a touch-tone</w:t>
            </w:r>
          </w:p>
        </w:tc>
        <w:tc>
          <w:tcPr>
            <w:tcW w:w="2400" w:type="dxa"/>
            <w:vAlign w:val="bottom"/>
          </w:tcPr>
          <w:p>
            <w:pPr>
              <w:ind w:left="40"/>
              <w:spacing w:after="0" w:line="198" w:lineRule="exact"/>
              <w:rPr>
                <w:sz w:val="20"/>
                <w:szCs w:val="20"/>
                <w:color w:val="auto"/>
              </w:rPr>
            </w:pPr>
            <w:r>
              <w:rPr>
                <w:rFonts w:ascii="Arial" w:cs="Arial" w:eastAsia="Arial" w:hAnsi="Arial"/>
                <w:sz w:val="18"/>
                <w:szCs w:val="18"/>
                <w:color w:val="auto"/>
              </w:rPr>
              <w:t>instructions that the broker or</w:t>
            </w:r>
          </w:p>
        </w:tc>
        <w:tc>
          <w:tcPr>
            <w:tcW w:w="2380" w:type="dxa"/>
            <w:vAlign w:val="bottom"/>
          </w:tcPr>
          <w:p>
            <w:pPr>
              <w:spacing w:after="0" w:line="198" w:lineRule="exact"/>
              <w:rPr>
                <w:sz w:val="20"/>
                <w:szCs w:val="20"/>
                <w:color w:val="auto"/>
              </w:rPr>
            </w:pPr>
            <w:r>
              <w:rPr>
                <w:rFonts w:ascii="Arial" w:cs="Arial" w:eastAsia="Arial" w:hAnsi="Arial"/>
                <w:sz w:val="18"/>
                <w:szCs w:val="18"/>
                <w:color w:val="auto"/>
              </w:rPr>
              <w:t>Call 1-800-690-6903 using a</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phone and follow the instructions</w:t>
            </w:r>
          </w:p>
        </w:tc>
        <w:tc>
          <w:tcPr>
            <w:tcW w:w="2400" w:type="dxa"/>
            <w:vAlign w:val="bottom"/>
          </w:tcPr>
          <w:p>
            <w:pPr>
              <w:ind w:left="40"/>
              <w:spacing w:after="0"/>
              <w:rPr>
                <w:sz w:val="20"/>
                <w:szCs w:val="20"/>
                <w:color w:val="auto"/>
              </w:rPr>
            </w:pPr>
            <w:r>
              <w:rPr>
                <w:rFonts w:ascii="Arial" w:cs="Arial" w:eastAsia="Arial" w:hAnsi="Arial"/>
                <w:sz w:val="18"/>
                <w:szCs w:val="18"/>
                <w:color w:val="auto"/>
              </w:rPr>
              <w:t>nominee provides to you.</w:t>
            </w:r>
          </w:p>
        </w:tc>
        <w:tc>
          <w:tcPr>
            <w:tcW w:w="2380" w:type="dxa"/>
            <w:vAlign w:val="bottom"/>
          </w:tcPr>
          <w:p>
            <w:pPr>
              <w:spacing w:after="0"/>
              <w:rPr>
                <w:sz w:val="20"/>
                <w:szCs w:val="20"/>
                <w:color w:val="auto"/>
              </w:rPr>
            </w:pPr>
            <w:r>
              <w:rPr>
                <w:rFonts w:ascii="Arial" w:cs="Arial" w:eastAsia="Arial" w:hAnsi="Arial"/>
                <w:sz w:val="18"/>
                <w:szCs w:val="18"/>
                <w:color w:val="auto"/>
              </w:rPr>
              <w:t>touch-tone phone and follow</w:t>
            </w:r>
          </w:p>
        </w:tc>
        <w:tc>
          <w:tcPr>
            <w:tcW w:w="0" w:type="dxa"/>
            <w:vAlign w:val="bottom"/>
          </w:tcPr>
          <w:p>
            <w:pPr>
              <w:spacing w:after="0"/>
              <w:rPr>
                <w:sz w:val="1"/>
                <w:szCs w:val="1"/>
                <w:color w:val="auto"/>
              </w:rPr>
            </w:pPr>
          </w:p>
        </w:tc>
      </w:tr>
      <w:tr>
        <w:trPr>
          <w:trHeight w:val="243"/>
        </w:trPr>
        <w:tc>
          <w:tcPr>
            <w:tcW w:w="3220" w:type="dxa"/>
            <w:vAlign w:val="bottom"/>
          </w:tcPr>
          <w:p>
            <w:pPr>
              <w:spacing w:after="0"/>
              <w:rPr>
                <w:sz w:val="20"/>
                <w:szCs w:val="20"/>
                <w:color w:val="auto"/>
              </w:rPr>
            </w:pPr>
            <w:r>
              <w:rPr>
                <w:rFonts w:ascii="Arial" w:cs="Arial" w:eastAsia="Arial" w:hAnsi="Arial"/>
                <w:sz w:val="18"/>
                <w:szCs w:val="18"/>
                <w:color w:val="auto"/>
              </w:rPr>
              <w:t>provided.</w:t>
            </w:r>
          </w:p>
        </w:tc>
        <w:tc>
          <w:tcPr>
            <w:tcW w:w="2400" w:type="dxa"/>
            <w:vAlign w:val="bottom"/>
          </w:tcPr>
          <w:p>
            <w:pPr>
              <w:ind w:left="40"/>
              <w:spacing w:after="0"/>
              <w:rPr>
                <w:sz w:val="20"/>
                <w:szCs w:val="20"/>
                <w:color w:val="auto"/>
              </w:rPr>
            </w:pPr>
            <w:r>
              <w:rPr>
                <w:rFonts w:ascii="Arial" w:cs="Arial" w:eastAsia="Arial" w:hAnsi="Arial"/>
                <w:sz w:val="18"/>
                <w:szCs w:val="18"/>
                <w:color w:val="auto"/>
              </w:rPr>
              <w:t>Most brokers offer voting by</w:t>
            </w:r>
          </w:p>
        </w:tc>
        <w:tc>
          <w:tcPr>
            <w:tcW w:w="2380" w:type="dxa"/>
            <w:vAlign w:val="bottom"/>
          </w:tcPr>
          <w:p>
            <w:pPr>
              <w:spacing w:after="0"/>
              <w:rPr>
                <w:sz w:val="20"/>
                <w:szCs w:val="20"/>
                <w:color w:val="auto"/>
              </w:rPr>
            </w:pPr>
            <w:r>
              <w:rPr>
                <w:rFonts w:ascii="Arial" w:cs="Arial" w:eastAsia="Arial" w:hAnsi="Arial"/>
                <w:sz w:val="18"/>
                <w:szCs w:val="18"/>
                <w:color w:val="auto"/>
              </w:rPr>
              <w:t>the instructions provided.</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18"/>
                <w:szCs w:val="18"/>
                <w:color w:val="auto"/>
              </w:rPr>
            </w:pPr>
          </w:p>
        </w:tc>
        <w:tc>
          <w:tcPr>
            <w:tcW w:w="2400" w:type="dxa"/>
            <w:vAlign w:val="bottom"/>
          </w:tcPr>
          <w:p>
            <w:pPr>
              <w:ind w:left="40"/>
              <w:spacing w:after="0"/>
              <w:rPr>
                <w:sz w:val="20"/>
                <w:szCs w:val="20"/>
                <w:color w:val="auto"/>
              </w:rPr>
            </w:pPr>
            <w:r>
              <w:rPr>
                <w:rFonts w:ascii="Arial" w:cs="Arial" w:eastAsia="Arial" w:hAnsi="Arial"/>
                <w:sz w:val="18"/>
                <w:szCs w:val="18"/>
                <w:color w:val="auto"/>
              </w:rPr>
              <w:t>mail, by telephone, and</w:t>
            </w:r>
          </w:p>
        </w:tc>
        <w:tc>
          <w:tcPr>
            <w:tcW w:w="2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7"/>
        </w:trPr>
        <w:tc>
          <w:tcPr>
            <w:tcW w:w="3220" w:type="dxa"/>
            <w:vAlign w:val="bottom"/>
          </w:tcPr>
          <w:p>
            <w:pPr>
              <w:spacing w:after="0"/>
              <w:rPr>
                <w:sz w:val="11"/>
                <w:szCs w:val="11"/>
                <w:color w:val="auto"/>
              </w:rPr>
            </w:pPr>
          </w:p>
        </w:tc>
        <w:tc>
          <w:tcPr>
            <w:tcW w:w="2400" w:type="dxa"/>
            <w:vAlign w:val="bottom"/>
            <w:vMerge w:val="restart"/>
          </w:tcPr>
          <w:p>
            <w:pPr>
              <w:ind w:left="40"/>
              <w:spacing w:after="0"/>
              <w:rPr>
                <w:sz w:val="20"/>
                <w:szCs w:val="20"/>
                <w:color w:val="auto"/>
              </w:rPr>
            </w:pPr>
            <w:r>
              <w:rPr>
                <w:rFonts w:ascii="Arial" w:cs="Arial" w:eastAsia="Arial" w:hAnsi="Arial"/>
                <w:sz w:val="18"/>
                <w:szCs w:val="18"/>
                <w:color w:val="auto"/>
              </w:rPr>
              <w:t>online. You may submit new</w:t>
            </w:r>
          </w:p>
        </w:tc>
        <w:tc>
          <w:tcPr>
            <w:tcW w:w="2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32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2380" w:type="dxa"/>
            <w:vAlign w:val="bottom"/>
            <w:shd w:val="clear" w:color="auto" w:fill="F2F2F2"/>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3220" w:type="dxa"/>
            <w:vAlign w:val="bottom"/>
          </w:tcPr>
          <w:p>
            <w:pPr>
              <w:spacing w:after="0"/>
              <w:rPr>
                <w:sz w:val="18"/>
                <w:szCs w:val="18"/>
                <w:color w:val="auto"/>
              </w:rPr>
            </w:pPr>
          </w:p>
        </w:tc>
        <w:tc>
          <w:tcPr>
            <w:tcW w:w="2400" w:type="dxa"/>
            <w:vAlign w:val="bottom"/>
          </w:tcPr>
          <w:p>
            <w:pPr>
              <w:ind w:left="40"/>
              <w:spacing w:after="0"/>
              <w:rPr>
                <w:sz w:val="20"/>
                <w:szCs w:val="20"/>
                <w:color w:val="auto"/>
              </w:rPr>
            </w:pPr>
            <w:r>
              <w:rPr>
                <w:rFonts w:ascii="Arial" w:cs="Arial" w:eastAsia="Arial" w:hAnsi="Arial"/>
                <w:sz w:val="18"/>
                <w:szCs w:val="18"/>
                <w:color w:val="auto"/>
              </w:rPr>
              <w:t>voting instructions by</w:t>
            </w:r>
          </w:p>
        </w:tc>
        <w:tc>
          <w:tcPr>
            <w:tcW w:w="2380" w:type="dxa"/>
            <w:vAlign w:val="bottom"/>
            <w:vMerge w:val="restart"/>
            <w:shd w:val="clear" w:color="auto" w:fill="F2F2F2"/>
          </w:tcPr>
          <w:p>
            <w:pPr>
              <w:spacing w:after="0"/>
              <w:rPr>
                <w:sz w:val="20"/>
                <w:szCs w:val="20"/>
                <w:color w:val="auto"/>
              </w:rPr>
            </w:pPr>
            <w:r>
              <w:rPr>
                <w:rFonts w:ascii="Arial" w:cs="Arial" w:eastAsia="Arial" w:hAnsi="Arial"/>
                <w:sz w:val="18"/>
                <w:szCs w:val="18"/>
                <w:color w:val="auto"/>
              </w:rPr>
              <w:t>Sign, date, and return the</w:t>
            </w:r>
          </w:p>
        </w:tc>
        <w:tc>
          <w:tcPr>
            <w:tcW w:w="0" w:type="dxa"/>
            <w:vAlign w:val="bottom"/>
          </w:tcPr>
          <w:p>
            <w:pPr>
              <w:spacing w:after="0"/>
              <w:rPr>
                <w:sz w:val="1"/>
                <w:szCs w:val="1"/>
                <w:color w:val="auto"/>
              </w:rPr>
            </w:pPr>
          </w:p>
        </w:tc>
      </w:tr>
      <w:tr>
        <w:trPr>
          <w:trHeight w:val="122"/>
        </w:trPr>
        <w:tc>
          <w:tcPr>
            <w:tcW w:w="3220" w:type="dxa"/>
            <w:vAlign w:val="bottom"/>
          </w:tcPr>
          <w:p>
            <w:pPr>
              <w:spacing w:after="0"/>
              <w:rPr>
                <w:sz w:val="10"/>
                <w:szCs w:val="10"/>
                <w:color w:val="auto"/>
              </w:rPr>
            </w:pPr>
          </w:p>
        </w:tc>
        <w:tc>
          <w:tcPr>
            <w:tcW w:w="2400" w:type="dxa"/>
            <w:vAlign w:val="bottom"/>
            <w:vMerge w:val="restart"/>
          </w:tcPr>
          <w:p>
            <w:pPr>
              <w:ind w:left="40"/>
              <w:spacing w:after="0"/>
              <w:rPr>
                <w:sz w:val="20"/>
                <w:szCs w:val="20"/>
                <w:color w:val="auto"/>
              </w:rPr>
            </w:pPr>
            <w:r>
              <w:rPr>
                <w:rFonts w:ascii="Arial" w:cs="Arial" w:eastAsia="Arial" w:hAnsi="Arial"/>
                <w:sz w:val="18"/>
                <w:szCs w:val="18"/>
                <w:color w:val="auto"/>
              </w:rPr>
              <w:t>contacting your broker or</w:t>
            </w:r>
          </w:p>
        </w:tc>
        <w:tc>
          <w:tcPr>
            <w:tcW w:w="2380" w:type="dxa"/>
            <w:vAlign w:val="bottom"/>
            <w:vMerge w:val="continue"/>
            <w:shd w:val="clear" w:color="auto" w:fill="F2F2F2"/>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3220" w:type="dxa"/>
            <w:vAlign w:val="bottom"/>
            <w:vMerge w:val="restart"/>
          </w:tcPr>
          <w:p>
            <w:pPr>
              <w:spacing w:after="0"/>
              <w:rPr>
                <w:sz w:val="20"/>
                <w:szCs w:val="20"/>
                <w:color w:val="auto"/>
              </w:rPr>
            </w:pPr>
            <w:r>
              <w:rPr>
                <w:rFonts w:ascii="Arial" w:cs="Arial" w:eastAsia="Arial" w:hAnsi="Arial"/>
                <w:sz w:val="18"/>
                <w:szCs w:val="18"/>
                <w:color w:val="auto"/>
              </w:rPr>
              <w:t>Sign, date, and return each proxy card</w:t>
            </w:r>
          </w:p>
        </w:tc>
        <w:tc>
          <w:tcPr>
            <w:tcW w:w="2400" w:type="dxa"/>
            <w:vAlign w:val="bottom"/>
            <w:vMerge w:val="continue"/>
          </w:tcPr>
          <w:p>
            <w:pPr>
              <w:spacing w:after="0"/>
              <w:rPr>
                <w:sz w:val="8"/>
                <w:szCs w:val="8"/>
                <w:color w:val="auto"/>
              </w:rPr>
            </w:pPr>
          </w:p>
        </w:tc>
        <w:tc>
          <w:tcPr>
            <w:tcW w:w="2380" w:type="dxa"/>
            <w:vAlign w:val="bottom"/>
            <w:vMerge w:val="restart"/>
            <w:shd w:val="clear" w:color="auto" w:fill="F2F2F2"/>
          </w:tcPr>
          <w:p>
            <w:pPr>
              <w:spacing w:after="0"/>
              <w:rPr>
                <w:sz w:val="20"/>
                <w:szCs w:val="20"/>
                <w:color w:val="auto"/>
              </w:rPr>
            </w:pPr>
            <w:r>
              <w:rPr>
                <w:rFonts w:ascii="Arial" w:cs="Arial" w:eastAsia="Arial" w:hAnsi="Arial"/>
                <w:sz w:val="18"/>
                <w:szCs w:val="18"/>
                <w:color w:val="auto"/>
              </w:rPr>
              <w:t>voting instruction form you</w:t>
            </w:r>
          </w:p>
        </w:tc>
        <w:tc>
          <w:tcPr>
            <w:tcW w:w="0" w:type="dxa"/>
            <w:vAlign w:val="bottom"/>
          </w:tcPr>
          <w:p>
            <w:pPr>
              <w:spacing w:after="0"/>
              <w:rPr>
                <w:sz w:val="1"/>
                <w:szCs w:val="1"/>
                <w:color w:val="auto"/>
              </w:rPr>
            </w:pPr>
          </w:p>
        </w:tc>
      </w:tr>
      <w:tr>
        <w:trPr>
          <w:trHeight w:val="181"/>
        </w:trPr>
        <w:tc>
          <w:tcPr>
            <w:tcW w:w="3220" w:type="dxa"/>
            <w:vAlign w:val="bottom"/>
            <w:vMerge w:val="continue"/>
          </w:tcPr>
          <w:p>
            <w:pPr>
              <w:spacing w:after="0"/>
              <w:rPr>
                <w:sz w:val="15"/>
                <w:szCs w:val="15"/>
                <w:color w:val="auto"/>
              </w:rPr>
            </w:pPr>
          </w:p>
        </w:tc>
        <w:tc>
          <w:tcPr>
            <w:tcW w:w="2400" w:type="dxa"/>
            <w:vAlign w:val="bottom"/>
          </w:tcPr>
          <w:p>
            <w:pPr>
              <w:ind w:left="40"/>
              <w:spacing w:after="0" w:line="181" w:lineRule="exact"/>
              <w:rPr>
                <w:sz w:val="20"/>
                <w:szCs w:val="20"/>
                <w:color w:val="auto"/>
              </w:rPr>
            </w:pPr>
            <w:r>
              <w:rPr>
                <w:rFonts w:ascii="Arial" w:cs="Arial" w:eastAsia="Arial" w:hAnsi="Arial"/>
                <w:sz w:val="18"/>
                <w:szCs w:val="18"/>
                <w:color w:val="auto"/>
              </w:rPr>
              <w:t>other nominee or, if your</w:t>
            </w:r>
          </w:p>
        </w:tc>
        <w:tc>
          <w:tcPr>
            <w:tcW w:w="2380" w:type="dxa"/>
            <w:vAlign w:val="bottom"/>
            <w:vMerge w:val="continue"/>
            <w:shd w:val="clear" w:color="auto" w:fill="F2F2F2"/>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3220" w:type="dxa"/>
            <w:vAlign w:val="bottom"/>
          </w:tcPr>
          <w:p>
            <w:pPr>
              <w:spacing w:after="0" w:line="157" w:lineRule="exact"/>
              <w:rPr>
                <w:sz w:val="20"/>
                <w:szCs w:val="20"/>
                <w:color w:val="auto"/>
              </w:rPr>
            </w:pPr>
            <w:r>
              <w:rPr>
                <w:rFonts w:ascii="Arial" w:cs="Arial" w:eastAsia="Arial" w:hAnsi="Arial"/>
                <w:sz w:val="18"/>
                <w:szCs w:val="18"/>
                <w:color w:val="auto"/>
              </w:rPr>
              <w:t>you received in the prepaid envelope.</w:t>
            </w:r>
          </w:p>
        </w:tc>
        <w:tc>
          <w:tcPr>
            <w:tcW w:w="2400" w:type="dxa"/>
            <w:vAlign w:val="bottom"/>
            <w:vMerge w:val="restart"/>
          </w:tcPr>
          <w:p>
            <w:pPr>
              <w:ind w:left="40"/>
              <w:spacing w:after="0"/>
              <w:rPr>
                <w:sz w:val="20"/>
                <w:szCs w:val="20"/>
                <w:color w:val="auto"/>
              </w:rPr>
            </w:pPr>
            <w:r>
              <w:rPr>
                <w:rFonts w:ascii="Arial" w:cs="Arial" w:eastAsia="Arial" w:hAnsi="Arial"/>
                <w:sz w:val="18"/>
                <w:szCs w:val="18"/>
                <w:color w:val="auto"/>
              </w:rPr>
              <w:t>broker provides you with a</w:t>
            </w:r>
          </w:p>
        </w:tc>
        <w:tc>
          <w:tcPr>
            <w:tcW w:w="2380" w:type="dxa"/>
            <w:vAlign w:val="bottom"/>
            <w:shd w:val="clear" w:color="auto" w:fill="F2F2F2"/>
          </w:tcPr>
          <w:p>
            <w:pPr>
              <w:spacing w:after="0" w:line="157" w:lineRule="exact"/>
              <w:rPr>
                <w:sz w:val="20"/>
                <w:szCs w:val="20"/>
                <w:color w:val="auto"/>
              </w:rPr>
            </w:pPr>
            <w:r>
              <w:rPr>
                <w:rFonts w:ascii="Arial" w:cs="Arial" w:eastAsia="Arial" w:hAnsi="Arial"/>
                <w:sz w:val="18"/>
                <w:szCs w:val="18"/>
                <w:color w:val="auto"/>
              </w:rPr>
              <w:t>received in the prepaid</w:t>
            </w:r>
          </w:p>
        </w:tc>
        <w:tc>
          <w:tcPr>
            <w:tcW w:w="0" w:type="dxa"/>
            <w:vAlign w:val="bottom"/>
          </w:tcPr>
          <w:p>
            <w:pPr>
              <w:spacing w:after="0"/>
              <w:rPr>
                <w:sz w:val="1"/>
                <w:szCs w:val="1"/>
                <w:color w:val="auto"/>
              </w:rPr>
            </w:pPr>
          </w:p>
        </w:tc>
      </w:tr>
      <w:tr>
        <w:trPr>
          <w:trHeight w:val="95"/>
        </w:trPr>
        <w:tc>
          <w:tcPr>
            <w:tcW w:w="3220" w:type="dxa"/>
            <w:vAlign w:val="bottom"/>
          </w:tcPr>
          <w:p>
            <w:pPr>
              <w:spacing w:after="0"/>
              <w:rPr>
                <w:sz w:val="8"/>
                <w:szCs w:val="8"/>
                <w:color w:val="auto"/>
              </w:rPr>
            </w:pPr>
          </w:p>
        </w:tc>
        <w:tc>
          <w:tcPr>
            <w:tcW w:w="2400" w:type="dxa"/>
            <w:vAlign w:val="bottom"/>
            <w:vMerge w:val="continue"/>
          </w:tcPr>
          <w:p>
            <w:pPr>
              <w:spacing w:after="0"/>
              <w:rPr>
                <w:sz w:val="8"/>
                <w:szCs w:val="8"/>
                <w:color w:val="auto"/>
              </w:rPr>
            </w:pPr>
          </w:p>
        </w:tc>
        <w:tc>
          <w:tcPr>
            <w:tcW w:w="2380" w:type="dxa"/>
            <w:vAlign w:val="bottom"/>
            <w:vMerge w:val="restart"/>
            <w:shd w:val="clear" w:color="auto" w:fill="F2F2F2"/>
          </w:tcPr>
          <w:p>
            <w:pPr>
              <w:spacing w:after="0"/>
              <w:rPr>
                <w:sz w:val="20"/>
                <w:szCs w:val="20"/>
                <w:color w:val="auto"/>
              </w:rPr>
            </w:pPr>
            <w:r>
              <w:rPr>
                <w:rFonts w:ascii="Arial" w:cs="Arial" w:eastAsia="Arial" w:hAnsi="Arial"/>
                <w:sz w:val="18"/>
                <w:szCs w:val="18"/>
                <w:color w:val="auto"/>
              </w:rPr>
              <w:t>envelope.</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18"/>
                <w:szCs w:val="18"/>
                <w:color w:val="auto"/>
              </w:rPr>
            </w:pPr>
          </w:p>
        </w:tc>
        <w:tc>
          <w:tcPr>
            <w:tcW w:w="2400" w:type="dxa"/>
            <w:vAlign w:val="bottom"/>
          </w:tcPr>
          <w:p>
            <w:pPr>
              <w:ind w:left="40"/>
              <w:spacing w:after="0"/>
              <w:rPr>
                <w:sz w:val="20"/>
                <w:szCs w:val="20"/>
                <w:color w:val="auto"/>
              </w:rPr>
            </w:pPr>
            <w:r>
              <w:rPr>
                <w:rFonts w:ascii="Arial" w:cs="Arial" w:eastAsia="Arial" w:hAnsi="Arial"/>
                <w:sz w:val="18"/>
                <w:szCs w:val="18"/>
                <w:color w:val="auto"/>
                <w:w w:val="99"/>
              </w:rPr>
              <w:t>16-digit control number found</w:t>
            </w:r>
          </w:p>
        </w:tc>
        <w:tc>
          <w:tcPr>
            <w:tcW w:w="2380" w:type="dxa"/>
            <w:vAlign w:val="bottom"/>
            <w:vMerge w:val="continue"/>
            <w:shd w:val="clear" w:color="auto" w:fill="F2F2F2"/>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3220" w:type="dxa"/>
            <w:vAlign w:val="bottom"/>
          </w:tcPr>
          <w:p>
            <w:pPr>
              <w:spacing w:after="0"/>
              <w:rPr>
                <w:sz w:val="14"/>
                <w:szCs w:val="14"/>
                <w:color w:val="auto"/>
              </w:rPr>
            </w:pPr>
          </w:p>
        </w:tc>
        <w:tc>
          <w:tcPr>
            <w:tcW w:w="2400" w:type="dxa"/>
            <w:vAlign w:val="bottom"/>
            <w:vMerge w:val="restart"/>
          </w:tcPr>
          <w:p>
            <w:pPr>
              <w:ind w:left="40"/>
              <w:spacing w:after="0"/>
              <w:rPr>
                <w:sz w:val="20"/>
                <w:szCs w:val="20"/>
                <w:color w:val="auto"/>
              </w:rPr>
            </w:pPr>
            <w:r>
              <w:rPr>
                <w:rFonts w:ascii="Arial" w:cs="Arial" w:eastAsia="Arial" w:hAnsi="Arial"/>
                <w:sz w:val="18"/>
                <w:szCs w:val="18"/>
                <w:color w:val="auto"/>
              </w:rPr>
              <w:t>on the voting instruction form</w:t>
            </w:r>
          </w:p>
        </w:tc>
        <w:tc>
          <w:tcPr>
            <w:tcW w:w="2380" w:type="dxa"/>
            <w:vAlign w:val="bottom"/>
            <w:shd w:val="clear" w:color="auto" w:fill="F2F2F2"/>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3220" w:type="dxa"/>
            <w:vAlign w:val="bottom"/>
          </w:tcPr>
          <w:p>
            <w:pPr>
              <w:spacing w:after="0"/>
              <w:rPr>
                <w:sz w:val="4"/>
                <w:szCs w:val="4"/>
                <w:color w:val="auto"/>
              </w:rPr>
            </w:pPr>
          </w:p>
        </w:tc>
        <w:tc>
          <w:tcPr>
            <w:tcW w:w="2400" w:type="dxa"/>
            <w:vAlign w:val="bottom"/>
            <w:vMerge w:val="continue"/>
          </w:tcPr>
          <w:p>
            <w:pPr>
              <w:spacing w:after="0"/>
              <w:rPr>
                <w:sz w:val="4"/>
                <w:szCs w:val="4"/>
                <w:color w:val="auto"/>
              </w:rPr>
            </w:pPr>
          </w:p>
        </w:tc>
        <w:tc>
          <w:tcPr>
            <w:tcW w:w="2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5"/>
        </w:trPr>
        <w:tc>
          <w:tcPr>
            <w:tcW w:w="3220" w:type="dxa"/>
            <w:vAlign w:val="bottom"/>
          </w:tcPr>
          <w:p>
            <w:pPr>
              <w:spacing w:after="0"/>
              <w:rPr>
                <w:sz w:val="20"/>
                <w:szCs w:val="20"/>
                <w:color w:val="auto"/>
              </w:rPr>
            </w:pPr>
          </w:p>
        </w:tc>
        <w:tc>
          <w:tcPr>
            <w:tcW w:w="2400" w:type="dxa"/>
            <w:vAlign w:val="bottom"/>
          </w:tcPr>
          <w:p>
            <w:pPr>
              <w:ind w:left="40"/>
              <w:spacing w:after="0"/>
              <w:rPr>
                <w:sz w:val="20"/>
                <w:szCs w:val="20"/>
                <w:color w:val="auto"/>
              </w:rPr>
            </w:pPr>
            <w:r>
              <w:rPr>
                <w:rFonts w:ascii="Arial" w:cs="Arial" w:eastAsia="Arial" w:hAnsi="Arial"/>
                <w:sz w:val="18"/>
                <w:szCs w:val="18"/>
                <w:color w:val="auto"/>
              </w:rPr>
              <w:t>for ProxyVote.com, by</w:t>
            </w:r>
          </w:p>
        </w:tc>
        <w:tc>
          <w:tcPr>
            <w:tcW w:w="2380" w:type="dxa"/>
            <w:vAlign w:val="bottom"/>
          </w:tcPr>
          <w:p>
            <w:pPr>
              <w:spacing w:after="0"/>
              <w:rPr>
                <w:sz w:val="20"/>
                <w:szCs w:val="20"/>
                <w:color w:val="auto"/>
              </w:rPr>
            </w:pPr>
            <w:r>
              <w:rPr>
                <w:rFonts w:ascii="Arial" w:cs="Arial" w:eastAsia="Arial" w:hAnsi="Arial"/>
                <w:sz w:val="18"/>
                <w:szCs w:val="18"/>
                <w:color w:val="auto"/>
              </w:rPr>
              <w:t>Plan shares cannot be voted</w:t>
            </w:r>
          </w:p>
        </w:tc>
        <w:tc>
          <w:tcPr>
            <w:tcW w:w="0" w:type="dxa"/>
            <w:vAlign w:val="bottom"/>
          </w:tcPr>
          <w:p>
            <w:pPr>
              <w:spacing w:after="0"/>
              <w:rPr>
                <w:sz w:val="1"/>
                <w:szCs w:val="1"/>
                <w:color w:val="auto"/>
              </w:rPr>
            </w:pPr>
          </w:p>
        </w:tc>
      </w:tr>
      <w:tr>
        <w:trPr>
          <w:trHeight w:val="243"/>
        </w:trPr>
        <w:tc>
          <w:tcPr>
            <w:tcW w:w="3220" w:type="dxa"/>
            <w:vAlign w:val="bottom"/>
          </w:tcPr>
          <w:p>
            <w:pPr>
              <w:spacing w:after="0"/>
              <w:rPr>
                <w:sz w:val="20"/>
                <w:szCs w:val="20"/>
                <w:color w:val="auto"/>
              </w:rPr>
            </w:pPr>
            <w:r>
              <w:rPr>
                <w:rFonts w:ascii="Arial" w:cs="Arial" w:eastAsia="Arial" w:hAnsi="Arial"/>
                <w:sz w:val="18"/>
                <w:szCs w:val="18"/>
                <w:color w:val="auto"/>
              </w:rPr>
              <w:t>Follow the instructions at</w:t>
            </w:r>
          </w:p>
        </w:tc>
        <w:tc>
          <w:tcPr>
            <w:tcW w:w="2400" w:type="dxa"/>
            <w:vAlign w:val="bottom"/>
          </w:tcPr>
          <w:p>
            <w:pPr>
              <w:ind w:left="40"/>
              <w:spacing w:after="0"/>
              <w:rPr>
                <w:sz w:val="20"/>
                <w:szCs w:val="20"/>
                <w:color w:val="auto"/>
              </w:rPr>
            </w:pPr>
            <w:r>
              <w:rPr>
                <w:rFonts w:ascii="Arial" w:cs="Arial" w:eastAsia="Arial" w:hAnsi="Arial"/>
                <w:sz w:val="18"/>
                <w:szCs w:val="18"/>
                <w:color w:val="auto"/>
              </w:rPr>
              <w:t>signing in with your 16-digit</w:t>
            </w:r>
          </w:p>
        </w:tc>
        <w:tc>
          <w:tcPr>
            <w:tcW w:w="2380" w:type="dxa"/>
            <w:vAlign w:val="bottom"/>
          </w:tcPr>
          <w:p>
            <w:pPr>
              <w:spacing w:after="0"/>
              <w:rPr>
                <w:sz w:val="20"/>
                <w:szCs w:val="20"/>
                <w:color w:val="auto"/>
              </w:rPr>
            </w:pPr>
            <w:r>
              <w:rPr>
                <w:rFonts w:ascii="Arial" w:cs="Arial" w:eastAsia="Arial" w:hAnsi="Arial"/>
                <w:sz w:val="18"/>
                <w:szCs w:val="18"/>
                <w:color w:val="auto"/>
              </w:rPr>
              <w:t>at the meeting. The Trustee</w:t>
            </w: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line="216" w:lineRule="exact"/>
              <w:rPr>
                <w:sz w:val="20"/>
                <w:szCs w:val="20"/>
                <w:color w:val="auto"/>
              </w:rPr>
            </w:pPr>
            <w:r>
              <w:rPr>
                <w:rFonts w:ascii="Arial" w:cs="Arial" w:eastAsia="Arial" w:hAnsi="Arial"/>
                <w:sz w:val="14"/>
                <w:szCs w:val="14"/>
                <w:color w:val="D52B1E"/>
              </w:rPr>
              <w:t xml:space="preserve">virtualshareholdermeeting.com/LLY2025 </w:t>
            </w:r>
            <w:r>
              <w:rPr>
                <w:rFonts w:ascii="Arial" w:cs="Arial" w:eastAsia="Arial" w:hAnsi="Arial"/>
                <w:sz w:val="25"/>
                <w:szCs w:val="25"/>
                <w:color w:val="000000"/>
                <w:vertAlign w:val="superscript"/>
              </w:rPr>
              <w:t>control number and voting at</w:t>
            </w:r>
          </w:p>
        </w:tc>
        <w:tc>
          <w:tcPr>
            <w:tcW w:w="2380" w:type="dxa"/>
            <w:vAlign w:val="bottom"/>
          </w:tcPr>
          <w:p>
            <w:pPr>
              <w:spacing w:after="0"/>
              <w:rPr>
                <w:sz w:val="20"/>
                <w:szCs w:val="20"/>
                <w:color w:val="auto"/>
              </w:rPr>
            </w:pPr>
            <w:r>
              <w:rPr>
                <w:rFonts w:ascii="Arial" w:cs="Arial" w:eastAsia="Arial" w:hAnsi="Arial"/>
                <w:sz w:val="18"/>
                <w:szCs w:val="18"/>
                <w:color w:val="auto"/>
              </w:rPr>
              <w:t>must receive your</w:t>
            </w:r>
          </w:p>
        </w:tc>
        <w:tc>
          <w:tcPr>
            <w:tcW w:w="0" w:type="dxa"/>
            <w:vAlign w:val="bottom"/>
          </w:tcPr>
          <w:p>
            <w:pPr>
              <w:spacing w:after="0"/>
              <w:rPr>
                <w:sz w:val="1"/>
                <w:szCs w:val="1"/>
                <w:color w:val="auto"/>
              </w:rPr>
            </w:pPr>
          </w:p>
        </w:tc>
      </w:tr>
      <w:tr>
        <w:trPr>
          <w:trHeight w:val="242"/>
        </w:trPr>
        <w:tc>
          <w:tcPr>
            <w:tcW w:w="3220" w:type="dxa"/>
            <w:vAlign w:val="bottom"/>
          </w:tcPr>
          <w:p>
            <w:pPr>
              <w:spacing w:after="0"/>
              <w:rPr>
                <w:sz w:val="20"/>
                <w:szCs w:val="20"/>
                <w:color w:val="auto"/>
              </w:rPr>
            </w:pPr>
            <w:r>
              <w:rPr>
                <w:rFonts w:ascii="Arial" w:cs="Arial" w:eastAsia="Arial" w:hAnsi="Arial"/>
                <w:sz w:val="18"/>
                <w:szCs w:val="18"/>
                <w:color w:val="auto"/>
              </w:rPr>
              <w:t>to vote during the meeting.</w:t>
            </w:r>
          </w:p>
        </w:tc>
        <w:tc>
          <w:tcPr>
            <w:tcW w:w="2400" w:type="dxa"/>
            <w:vAlign w:val="bottom"/>
          </w:tcPr>
          <w:p>
            <w:pPr>
              <w:ind w:left="40"/>
              <w:spacing w:after="0"/>
              <w:rPr>
                <w:sz w:val="20"/>
                <w:szCs w:val="20"/>
                <w:color w:val="auto"/>
              </w:rPr>
            </w:pPr>
            <w:r>
              <w:rPr>
                <w:rFonts w:ascii="Arial" w:cs="Arial" w:eastAsia="Arial" w:hAnsi="Arial"/>
                <w:sz w:val="18"/>
                <w:szCs w:val="18"/>
                <w:color w:val="auto"/>
              </w:rPr>
              <w:t>the Annual Meeting.</w:t>
            </w:r>
          </w:p>
        </w:tc>
        <w:tc>
          <w:tcPr>
            <w:tcW w:w="2380" w:type="dxa"/>
            <w:vAlign w:val="bottom"/>
          </w:tcPr>
          <w:p>
            <w:pPr>
              <w:spacing w:after="0"/>
              <w:rPr>
                <w:sz w:val="20"/>
                <w:szCs w:val="20"/>
                <w:color w:val="auto"/>
              </w:rPr>
            </w:pPr>
            <w:r>
              <w:rPr>
                <w:rFonts w:ascii="Arial" w:cs="Arial" w:eastAsia="Arial" w:hAnsi="Arial"/>
                <w:sz w:val="18"/>
                <w:szCs w:val="18"/>
                <w:color w:val="auto"/>
              </w:rPr>
              <w:t>instructions by one of the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-680085</wp:posOffset>
            </wp:positionH>
            <wp:positionV relativeFrom="paragraph">
              <wp:posOffset>-1473200</wp:posOffset>
            </wp:positionV>
            <wp:extent cx="2734310" cy="848995"/>
            <wp:wrapNone/>
            <wp:docPr id="2575" name="Picture 2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5"/>
                    <pic:cNvPicPr>
                      <a:picLocks noChangeAspect="1" noChangeArrowheads="1"/>
                    </pic:cNvPicPr>
                  </pic:nvPicPr>
                  <pic:blipFill>
                    <a:blip r:embed="rId2582">
                      <a:extLst>
                        <a:ext uri="{28A0092B-C50C-407E-A947-70E740481C1C}"/>
                      </a:extLst>
                    </a:blip>
                    <a:srcRect/>
                    <a:stretch>
                      <a:fillRect/>
                    </a:stretch>
                  </pic:blipFill>
                  <pic:spPr bwMode="auto">
                    <a:xfrm>
                      <a:off x="0" y="0"/>
                      <a:ext cx="2734310" cy="848995"/>
                    </a:xfrm>
                    <a:prstGeom prst="rect">
                      <a:avLst/>
                    </a:prstGeom>
                    <a:noFill/>
                  </pic:spPr>
                </pic:pic>
              </a:graphicData>
            </a:graphic>
          </wp:anchor>
        </w:drawing>
        <w:drawing>
          <wp:anchor simplePos="0" relativeHeight="251657728" behindDoc="1" locked="0" layoutInCell="0" allowOverlap="1">
            <wp:simplePos x="0" y="0"/>
            <wp:positionH relativeFrom="column">
              <wp:posOffset>-680085</wp:posOffset>
            </wp:positionH>
            <wp:positionV relativeFrom="paragraph">
              <wp:posOffset>-1473200</wp:posOffset>
            </wp:positionV>
            <wp:extent cx="2734310" cy="848995"/>
            <wp:wrapNone/>
            <wp:docPr id="2576" name="Picture 2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6"/>
                    <pic:cNvPicPr>
                      <a:picLocks noChangeAspect="1" noChangeArrowheads="1"/>
                    </pic:cNvPicPr>
                  </pic:nvPicPr>
                  <pic:blipFill>
                    <a:blip r:embed="rId2583">
                      <a:extLst>
                        <a:ext uri="{28A0092B-C50C-407E-A947-70E740481C1C}"/>
                      </a:extLst>
                    </a:blip>
                    <a:srcRect/>
                    <a:stretch>
                      <a:fillRect/>
                    </a:stretch>
                  </pic:blipFill>
                  <pic:spPr bwMode="auto">
                    <a:xfrm>
                      <a:off x="0" y="0"/>
                      <a:ext cx="2734310" cy="848995"/>
                    </a:xfrm>
                    <a:prstGeom prst="rect">
                      <a:avLst/>
                    </a:prstGeom>
                    <a:noFill/>
                  </pic:spPr>
                </pic:pic>
              </a:graphicData>
            </a:graphic>
          </wp:anchor>
        </w:drawing>
      </w:r>
    </w:p>
    <w:p>
      <w:pPr>
        <w:ind w:left="5620"/>
        <w:spacing w:after="0"/>
        <w:rPr>
          <w:sz w:val="20"/>
          <w:szCs w:val="20"/>
          <w:color w:val="auto"/>
        </w:rPr>
      </w:pPr>
      <w:r>
        <w:rPr>
          <w:rFonts w:ascii="Arial" w:cs="Arial" w:eastAsia="Arial" w:hAnsi="Arial"/>
          <w:sz w:val="18"/>
          <w:szCs w:val="18"/>
          <w:color w:val="auto"/>
        </w:rPr>
        <w:t>methods above by April 30,</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2025.</w:t>
      </w:r>
    </w:p>
    <w:p>
      <w:pPr>
        <w:spacing w:after="0" w:line="125" w:lineRule="exact"/>
        <w:rPr>
          <w:sz w:val="20"/>
          <w:szCs w:val="20"/>
          <w:color w:val="auto"/>
        </w:rPr>
      </w:pPr>
    </w:p>
    <w:p>
      <w:pPr>
        <w:sectPr>
          <w:pgSz w:w="11900" w:h="16838" w:orient="portrait"/>
          <w:cols w:equalWidth="0" w:num="2">
            <w:col w:w="980" w:space="100"/>
            <w:col w:w="10140"/>
          </w:cols>
          <w:pgMar w:left="320" w:top="925" w:right="359" w:bottom="1440" w:gutter="0" w:footer="0" w:header="0"/>
          <w:type w:val="continuous"/>
        </w:sectPr>
      </w:pPr>
    </w:p>
    <w:tbl>
      <w:tblPr>
        <w:tblLayout w:type="fixed"/>
        <w:tblInd w:w="0" w:type="dxa"/>
        <w:tblCellMar>
          <w:top w:w="0" w:type="dxa"/>
          <w:left w:w="0" w:type="dxa"/>
          <w:bottom w:w="0" w:type="dxa"/>
          <w:right w:w="0" w:type="dxa"/>
        </w:tblCellMar>
      </w:tblPr>
      <w:tr>
        <w:trPr>
          <w:trHeight w:val="238"/>
        </w:trPr>
        <w:tc>
          <w:tcPr>
            <w:tcW w:w="1060" w:type="dxa"/>
            <w:vAlign w:val="bottom"/>
            <w:tcBorders>
              <w:top w:val="single" w:sz="8" w:color="auto"/>
            </w:tcBorders>
          </w:tcPr>
          <w:p>
            <w:pPr>
              <w:spacing w:after="0"/>
              <w:rPr>
                <w:sz w:val="20"/>
                <w:szCs w:val="20"/>
                <w:color w:val="auto"/>
              </w:rPr>
            </w:pPr>
          </w:p>
        </w:tc>
        <w:tc>
          <w:tcPr>
            <w:tcW w:w="3260" w:type="dxa"/>
            <w:vAlign w:val="bottom"/>
            <w:tcBorders>
              <w:top w:val="single" w:sz="8" w:color="auto"/>
            </w:tcBorders>
            <w:shd w:val="clear" w:color="auto" w:fill="F2F2F2"/>
          </w:tcPr>
          <w:p>
            <w:pPr>
              <w:ind w:left="20"/>
              <w:spacing w:after="0"/>
              <w:rPr>
                <w:sz w:val="20"/>
                <w:szCs w:val="20"/>
                <w:color w:val="auto"/>
              </w:rPr>
            </w:pPr>
            <w:r>
              <w:rPr>
                <w:rFonts w:ascii="Arial" w:cs="Arial" w:eastAsia="Arial" w:hAnsi="Arial"/>
                <w:sz w:val="18"/>
                <w:szCs w:val="18"/>
                <w:color w:val="auto"/>
              </w:rPr>
              <w:t>11:59 p.m. EDT on May 4, 2025, unless</w:t>
            </w:r>
          </w:p>
        </w:tc>
        <w:tc>
          <w:tcPr>
            <w:tcW w:w="23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Please refer to the</w:t>
            </w:r>
          </w:p>
        </w:tc>
        <w:tc>
          <w:tcPr>
            <w:tcW w:w="2380" w:type="dxa"/>
            <w:vAlign w:val="bottom"/>
            <w:tcBorders>
              <w:top w:val="single" w:sz="8" w:color="auto"/>
            </w:tcBorders>
            <w:shd w:val="clear" w:color="auto" w:fill="F2F2F2"/>
          </w:tcPr>
          <w:p>
            <w:pPr>
              <w:spacing w:after="0"/>
              <w:rPr>
                <w:sz w:val="20"/>
                <w:szCs w:val="20"/>
                <w:color w:val="auto"/>
              </w:rPr>
            </w:pPr>
            <w:r>
              <w:rPr>
                <w:rFonts w:ascii="Arial" w:cs="Arial" w:eastAsia="Arial" w:hAnsi="Arial"/>
                <w:sz w:val="18"/>
                <w:szCs w:val="18"/>
                <w:color w:val="auto"/>
              </w:rPr>
              <w:t>11:59 p.m. EDT on April 30,</w:t>
            </w:r>
          </w:p>
        </w:tc>
      </w:tr>
      <w:tr>
        <w:trPr>
          <w:trHeight w:val="216"/>
        </w:trPr>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6"/>
              </w:rPr>
              <w:t>Voting</w:t>
            </w:r>
          </w:p>
        </w:tc>
        <w:tc>
          <w:tcPr>
            <w:tcW w:w="3260" w:type="dxa"/>
            <w:vAlign w:val="bottom"/>
            <w:shd w:val="clear" w:color="auto" w:fill="F2F2F2"/>
          </w:tcPr>
          <w:p>
            <w:pPr>
              <w:ind w:left="20"/>
              <w:spacing w:after="0"/>
              <w:rPr>
                <w:sz w:val="20"/>
                <w:szCs w:val="20"/>
                <w:color w:val="auto"/>
              </w:rPr>
            </w:pPr>
            <w:r>
              <w:rPr>
                <w:rFonts w:ascii="Arial" w:cs="Arial" w:eastAsia="Arial" w:hAnsi="Arial"/>
                <w:sz w:val="18"/>
                <w:szCs w:val="18"/>
                <w:color w:val="auto"/>
              </w:rPr>
              <w:t>you are voting at the meeting</w:t>
            </w:r>
          </w:p>
        </w:tc>
        <w:tc>
          <w:tcPr>
            <w:tcW w:w="2380" w:type="dxa"/>
            <w:vAlign w:val="bottom"/>
          </w:tcPr>
          <w:p>
            <w:pPr>
              <w:ind w:left="20"/>
              <w:spacing w:after="0"/>
              <w:rPr>
                <w:sz w:val="20"/>
                <w:szCs w:val="20"/>
                <w:color w:val="auto"/>
              </w:rPr>
            </w:pPr>
            <w:r>
              <w:rPr>
                <w:rFonts w:ascii="Arial" w:cs="Arial" w:eastAsia="Arial" w:hAnsi="Arial"/>
                <w:sz w:val="18"/>
                <w:szCs w:val="18"/>
                <w:color w:val="auto"/>
              </w:rPr>
              <w:t>information provided by your</w:t>
            </w:r>
          </w:p>
        </w:tc>
        <w:tc>
          <w:tcPr>
            <w:tcW w:w="2380" w:type="dxa"/>
            <w:vAlign w:val="bottom"/>
            <w:shd w:val="clear" w:color="auto" w:fill="F2F2F2"/>
          </w:tcPr>
          <w:p>
            <w:pPr>
              <w:spacing w:after="0"/>
              <w:rPr>
                <w:sz w:val="20"/>
                <w:szCs w:val="20"/>
                <w:color w:val="auto"/>
              </w:rPr>
            </w:pPr>
            <w:r>
              <w:rPr>
                <w:rFonts w:ascii="Arial" w:cs="Arial" w:eastAsia="Arial" w:hAnsi="Arial"/>
                <w:sz w:val="18"/>
                <w:szCs w:val="18"/>
                <w:color w:val="auto"/>
              </w:rPr>
              <w:t>2025</w:t>
            </w:r>
          </w:p>
        </w:tc>
      </w:tr>
      <w:tr>
        <w:trPr>
          <w:trHeight w:val="216"/>
        </w:trPr>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8"/>
              </w:rPr>
              <w:t>Deadline</w:t>
            </w:r>
          </w:p>
        </w:tc>
        <w:tc>
          <w:tcPr>
            <w:tcW w:w="3260" w:type="dxa"/>
            <w:vAlign w:val="bottom"/>
            <w:shd w:val="clear" w:color="auto" w:fill="F2F2F2"/>
          </w:tcPr>
          <w:p>
            <w:pPr>
              <w:spacing w:after="0"/>
              <w:rPr>
                <w:sz w:val="18"/>
                <w:szCs w:val="18"/>
                <w:color w:val="auto"/>
              </w:rPr>
            </w:pPr>
          </w:p>
        </w:tc>
        <w:tc>
          <w:tcPr>
            <w:tcW w:w="2380" w:type="dxa"/>
            <w:vAlign w:val="bottom"/>
          </w:tcPr>
          <w:p>
            <w:pPr>
              <w:ind w:left="20"/>
              <w:spacing w:after="0"/>
              <w:rPr>
                <w:sz w:val="20"/>
                <w:szCs w:val="20"/>
                <w:color w:val="auto"/>
              </w:rPr>
            </w:pPr>
            <w:r>
              <w:rPr>
                <w:rFonts w:ascii="Arial" w:cs="Arial" w:eastAsia="Arial" w:hAnsi="Arial"/>
                <w:sz w:val="18"/>
                <w:szCs w:val="18"/>
                <w:color w:val="auto"/>
              </w:rPr>
              <w:t>broker, bank or other</w:t>
            </w:r>
          </w:p>
        </w:tc>
        <w:tc>
          <w:tcPr>
            <w:tcW w:w="2380" w:type="dxa"/>
            <w:vAlign w:val="bottom"/>
            <w:shd w:val="clear" w:color="auto" w:fill="F2F2F2"/>
          </w:tcPr>
          <w:p>
            <w:pPr>
              <w:spacing w:after="0"/>
              <w:rPr>
                <w:sz w:val="18"/>
                <w:szCs w:val="18"/>
                <w:color w:val="auto"/>
              </w:rPr>
            </w:pPr>
          </w:p>
        </w:tc>
      </w:tr>
      <w:tr>
        <w:trPr>
          <w:trHeight w:val="242"/>
        </w:trPr>
        <w:tc>
          <w:tcPr>
            <w:tcW w:w="1060" w:type="dxa"/>
            <w:vAlign w:val="bottom"/>
          </w:tcPr>
          <w:p>
            <w:pPr>
              <w:spacing w:after="0"/>
              <w:rPr>
                <w:sz w:val="21"/>
                <w:szCs w:val="21"/>
                <w:color w:val="auto"/>
              </w:rPr>
            </w:pPr>
          </w:p>
        </w:tc>
        <w:tc>
          <w:tcPr>
            <w:tcW w:w="3260" w:type="dxa"/>
            <w:vAlign w:val="bottom"/>
            <w:tcBorders>
              <w:bottom w:val="single" w:sz="8" w:color="F2F2F2"/>
            </w:tcBorders>
            <w:shd w:val="clear" w:color="auto" w:fill="F2F2F2"/>
          </w:tcPr>
          <w:p>
            <w:pPr>
              <w:spacing w:after="0"/>
              <w:rPr>
                <w:sz w:val="21"/>
                <w:szCs w:val="21"/>
                <w:color w:val="auto"/>
              </w:rPr>
            </w:pPr>
          </w:p>
        </w:tc>
        <w:tc>
          <w:tcPr>
            <w:tcW w:w="2380" w:type="dxa"/>
            <w:vAlign w:val="bottom"/>
          </w:tcPr>
          <w:p>
            <w:pPr>
              <w:ind w:left="20"/>
              <w:spacing w:after="0"/>
              <w:rPr>
                <w:sz w:val="20"/>
                <w:szCs w:val="20"/>
                <w:color w:val="auto"/>
              </w:rPr>
            </w:pPr>
            <w:r>
              <w:rPr>
                <w:rFonts w:ascii="Arial" w:cs="Arial" w:eastAsia="Arial" w:hAnsi="Arial"/>
                <w:sz w:val="18"/>
                <w:szCs w:val="18"/>
                <w:color w:val="auto"/>
              </w:rPr>
              <w:t>nominee</w:t>
            </w:r>
          </w:p>
        </w:tc>
        <w:tc>
          <w:tcPr>
            <w:tcW w:w="2380" w:type="dxa"/>
            <w:vAlign w:val="bottom"/>
            <w:tcBorders>
              <w:bottom w:val="single" w:sz="8" w:color="F2F2F2"/>
            </w:tcBorders>
            <w:shd w:val="clear" w:color="auto" w:fill="F2F2F2"/>
          </w:tcPr>
          <w:p>
            <w:pPr>
              <w:spacing w:after="0"/>
              <w:rPr>
                <w:sz w:val="21"/>
                <w:szCs w:val="21"/>
                <w:color w:val="auto"/>
              </w:rPr>
            </w:pPr>
          </w:p>
        </w:tc>
      </w:tr>
      <w:tr>
        <w:trPr>
          <w:trHeight w:val="20"/>
        </w:trPr>
        <w:tc>
          <w:tcPr>
            <w:tcW w:w="1060" w:type="dxa"/>
            <w:vAlign w:val="bottom"/>
            <w:shd w:val="clear" w:color="auto" w:fill="000000"/>
          </w:tcPr>
          <w:p>
            <w:pPr>
              <w:spacing w:after="0" w:line="20" w:lineRule="exact"/>
              <w:rPr>
                <w:sz w:val="1"/>
                <w:szCs w:val="1"/>
                <w:color w:val="auto"/>
              </w:rPr>
            </w:pPr>
          </w:p>
        </w:tc>
        <w:tc>
          <w:tcPr>
            <w:tcW w:w="3260" w:type="dxa"/>
            <w:vAlign w:val="bottom"/>
            <w:shd w:val="clear" w:color="auto" w:fill="000000"/>
          </w:tcPr>
          <w:p>
            <w:pPr>
              <w:spacing w:after="0" w:line="20" w:lineRule="exact"/>
              <w:rPr>
                <w:sz w:val="1"/>
                <w:szCs w:val="1"/>
                <w:color w:val="auto"/>
              </w:rPr>
            </w:pPr>
          </w:p>
        </w:tc>
        <w:tc>
          <w:tcPr>
            <w:tcW w:w="2380" w:type="dxa"/>
            <w:vAlign w:val="bottom"/>
            <w:shd w:val="clear" w:color="auto" w:fill="000000"/>
          </w:tcPr>
          <w:p>
            <w:pPr>
              <w:spacing w:after="0" w:line="20" w:lineRule="exact"/>
              <w:rPr>
                <w:sz w:val="1"/>
                <w:szCs w:val="1"/>
                <w:color w:val="auto"/>
              </w:rPr>
            </w:pPr>
          </w:p>
        </w:tc>
        <w:tc>
          <w:tcPr>
            <w:tcW w:w="238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5760720" cy="180340"/>
            <wp:wrapNone/>
            <wp:docPr id="2577" name="Picture 2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7"/>
                    <pic:cNvPicPr>
                      <a:picLocks noChangeAspect="1" noChangeArrowheads="1"/>
                    </pic:cNvPicPr>
                  </pic:nvPicPr>
                  <pic:blipFill>
                    <a:blip r:embed="rId2584">
                      <a:extLst>
                        <a:ext uri="{28A0092B-C50C-407E-A947-70E740481C1C}"/>
                      </a:extLst>
                    </a:blip>
                    <a:srcRect/>
                    <a:stretch>
                      <a:fillRect/>
                    </a:stretch>
                  </pic:blipFill>
                  <pic:spPr bwMode="auto">
                    <a:xfrm>
                      <a:off x="0" y="0"/>
                      <a:ext cx="5760720" cy="180340"/>
                    </a:xfrm>
                    <a:prstGeom prst="rect">
                      <a:avLst/>
                    </a:prstGeom>
                    <a:noFill/>
                  </pic:spPr>
                </pic:pic>
              </a:graphicData>
            </a:graphic>
          </wp:anchor>
        </w:drawing>
      </w:r>
    </w:p>
    <w:p>
      <w:pPr>
        <w:ind w:left="700"/>
        <w:spacing w:after="0"/>
        <w:rPr>
          <w:sz w:val="20"/>
          <w:szCs w:val="20"/>
          <w:color w:val="auto"/>
        </w:rPr>
      </w:pPr>
      <w:r>
        <w:rPr>
          <w:rFonts w:ascii="Calibri" w:cs="Calibri" w:eastAsia="Calibri" w:hAnsi="Calibri"/>
          <w:sz w:val="18"/>
          <w:szCs w:val="18"/>
          <w:b w:val="1"/>
          <w:bCs w:val="1"/>
          <w:color w:val="FFFFFF"/>
        </w:rPr>
        <w:t>We encourage you to vote by mail, by telephone, or online even if you plan to atend the Annual Meetng.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5760720" cy="8255"/>
            <wp:wrapNone/>
            <wp:docPr id="2578" name="Picture 2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8"/>
                    <pic:cNvPicPr>
                      <a:picLocks noChangeAspect="1" noChangeArrowheads="1"/>
                    </pic:cNvPicPr>
                  </pic:nvPicPr>
                  <pic:blipFill>
                    <a:blip r:embed="rId2585">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339" w:lineRule="exact"/>
        <w:rPr>
          <w:sz w:val="20"/>
          <w:szCs w:val="20"/>
          <w:color w:val="auto"/>
        </w:rPr>
      </w:pPr>
    </w:p>
    <w:p>
      <w:pPr>
        <w:ind w:right="200"/>
        <w:spacing w:after="0" w:line="292" w:lineRule="auto"/>
        <w:rPr>
          <w:sz w:val="20"/>
          <w:szCs w:val="20"/>
          <w:color w:val="auto"/>
        </w:rPr>
      </w:pPr>
      <w:r>
        <w:rPr>
          <w:rFonts w:ascii="Arial" w:cs="Arial" w:eastAsia="Arial" w:hAnsi="Arial"/>
          <w:sz w:val="22"/>
          <w:szCs w:val="22"/>
          <w:b w:val="1"/>
          <w:bCs w:val="1"/>
          <w:color w:val="auto"/>
        </w:rPr>
        <w:t>General</w:t>
      </w:r>
      <w:r>
        <w:rPr>
          <w:rFonts w:ascii="Arial" w:cs="Arial" w:eastAsia="Arial" w:hAnsi="Arial"/>
          <w:sz w:val="17"/>
          <w:szCs w:val="17"/>
          <w:b w:val="1"/>
          <w:bCs w:val="1"/>
          <w:color w:val="auto"/>
        </w:rPr>
        <w:t>:</w:t>
      </w:r>
      <w:r>
        <w:rPr>
          <w:rFonts w:ascii="Arial" w:cs="Arial" w:eastAsia="Arial" w:hAnsi="Arial"/>
          <w:sz w:val="22"/>
          <w:szCs w:val="22"/>
          <w:b w:val="1"/>
          <w:bCs w:val="1"/>
          <w:color w:val="auto"/>
        </w:rPr>
        <w:t xml:space="preserve"> </w:t>
      </w:r>
      <w:r>
        <w:rPr>
          <w:rFonts w:ascii="Arial" w:cs="Arial" w:eastAsia="Arial" w:hAnsi="Arial"/>
          <w:sz w:val="17"/>
          <w:szCs w:val="17"/>
          <w:color w:val="auto"/>
        </w:rPr>
        <w:t>Follow the instructions on your proxy card, voting instruction form or notice. If you received these materials electronically, follow</w:t>
      </w:r>
      <w:r>
        <w:rPr>
          <w:rFonts w:ascii="Arial" w:cs="Arial" w:eastAsia="Arial" w:hAnsi="Arial"/>
          <w:sz w:val="22"/>
          <w:szCs w:val="22"/>
          <w:b w:val="1"/>
          <w:bCs w:val="1"/>
          <w:color w:val="auto"/>
        </w:rPr>
        <w:t xml:space="preserve"> </w:t>
      </w:r>
      <w:r>
        <w:rPr>
          <w:rFonts w:ascii="Arial" w:cs="Arial" w:eastAsia="Arial" w:hAnsi="Arial"/>
          <w:sz w:val="17"/>
          <w:szCs w:val="17"/>
          <w:color w:val="auto"/>
        </w:rPr>
        <w:t>the instructions in the email message that notified you of their availability.</w:t>
      </w:r>
    </w:p>
    <w:p>
      <w:pPr>
        <w:spacing w:after="0" w:line="143" w:lineRule="exact"/>
        <w:rPr>
          <w:sz w:val="20"/>
          <w:szCs w:val="20"/>
          <w:color w:val="auto"/>
        </w:rPr>
      </w:pPr>
    </w:p>
    <w:p>
      <w:pPr>
        <w:ind w:right="60"/>
        <w:spacing w:after="0" w:line="267" w:lineRule="auto"/>
        <w:rPr>
          <w:sz w:val="20"/>
          <w:szCs w:val="20"/>
          <w:color w:val="auto"/>
        </w:rPr>
      </w:pPr>
      <w:r>
        <w:rPr>
          <w:rFonts w:ascii="Arial" w:cs="Arial" w:eastAsia="Arial" w:hAnsi="Arial"/>
          <w:sz w:val="22"/>
          <w:szCs w:val="22"/>
          <w:b w:val="1"/>
          <w:bCs w:val="1"/>
          <w:color w:val="auto"/>
        </w:rPr>
        <w:t xml:space="preserve">Signing your proxy card or voting instruction form: </w:t>
      </w:r>
      <w:r>
        <w:rPr>
          <w:rFonts w:ascii="Arial" w:cs="Arial" w:eastAsia="Arial" w:hAnsi="Arial"/>
          <w:sz w:val="17"/>
          <w:szCs w:val="17"/>
          <w:color w:val="auto"/>
        </w:rPr>
        <w:t>Sign your name exactly as it appears. If you are signing in a</w:t>
      </w:r>
      <w:r>
        <w:rPr>
          <w:rFonts w:ascii="Arial" w:cs="Arial" w:eastAsia="Arial" w:hAnsi="Arial"/>
          <w:sz w:val="22"/>
          <w:szCs w:val="22"/>
          <w:b w:val="1"/>
          <w:bCs w:val="1"/>
          <w:color w:val="auto"/>
        </w:rPr>
        <w:t xml:space="preserve"> </w:t>
      </w:r>
      <w:r>
        <w:rPr>
          <w:rFonts w:ascii="Arial" w:cs="Arial" w:eastAsia="Arial" w:hAnsi="Arial"/>
          <w:sz w:val="17"/>
          <w:szCs w:val="17"/>
          <w:color w:val="auto"/>
        </w:rPr>
        <w:t>representative capacity (for example, as an attorney-in-fact, executor, administrator, guardian, trustee, or the officer or agent of a corporation or partnership), please indicate your name and your title or capacity. If the stock is held in custody for a minor (for example, under the Uniform Transfers to Minors Act), the custodian should sign, not the minor. If the stock is held in joint ownership, one owner may sign on behalf of all owners. If you return your signed proxy but do not indicate your voting preferences, the proxy holder will vote on your behalf based upon the board’s recommendations.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Voting Deadlines:</w:t>
      </w:r>
    </w:p>
    <w:p>
      <w:pPr>
        <w:spacing w:after="0" w:line="108" w:lineRule="exact"/>
        <w:rPr>
          <w:sz w:val="20"/>
          <w:szCs w:val="20"/>
          <w:color w:val="auto"/>
        </w:rPr>
      </w:pPr>
    </w:p>
    <w:p>
      <w:pPr>
        <w:ind w:left="660" w:hanging="328"/>
        <w:spacing w:after="0" w:line="259" w:lineRule="auto"/>
        <w:tabs>
          <w:tab w:leader="none" w:pos="649" w:val="left"/>
        </w:tabs>
        <w:numPr>
          <w:ilvl w:val="0"/>
          <w:numId w:val="195"/>
        </w:numPr>
        <w:rPr>
          <w:rFonts w:ascii="Arial" w:cs="Arial" w:eastAsia="Arial" w:hAnsi="Arial"/>
          <w:sz w:val="16"/>
          <w:szCs w:val="16"/>
          <w:color w:val="auto"/>
        </w:rPr>
      </w:pPr>
      <w:r>
        <w:rPr>
          <w:rFonts w:ascii="Arial" w:cs="Arial" w:eastAsia="Arial" w:hAnsi="Arial"/>
          <w:sz w:val="18"/>
          <w:szCs w:val="18"/>
          <w:color w:val="auto"/>
        </w:rPr>
        <w:t>Shareholders of record may vote their shares prior to the Annual Meeting until 11:59 p.m. EDT on May 4, 2025, by mail, online, or by telephone. If you are voting by mail, your marked, signed, and dated proxy card must be received by May 4, 2025. You have the right to change your vote or revoke your proxy before it is voted at the Annual Meeting by (i) timely notifying the General Counsel and Secretary in writing, (ii) timely delivering a later-dated proxy by mail, (iii) timely casting a new vote online or by telephone, or (iv) voting at the Annual Meeting.</w:t>
      </w:r>
    </w:p>
    <w:p>
      <w:pPr>
        <w:spacing w:after="0" w:line="125" w:lineRule="exact"/>
        <w:rPr>
          <w:rFonts w:ascii="Arial" w:cs="Arial" w:eastAsia="Arial" w:hAnsi="Arial"/>
          <w:sz w:val="16"/>
          <w:szCs w:val="16"/>
          <w:color w:val="auto"/>
        </w:rPr>
      </w:pPr>
    </w:p>
    <w:p>
      <w:pPr>
        <w:ind w:left="660" w:right="600" w:hanging="328"/>
        <w:spacing w:after="0" w:line="287" w:lineRule="auto"/>
        <w:tabs>
          <w:tab w:leader="none" w:pos="649" w:val="left"/>
        </w:tabs>
        <w:numPr>
          <w:ilvl w:val="0"/>
          <w:numId w:val="195"/>
        </w:numPr>
        <w:rPr>
          <w:rFonts w:ascii="Arial" w:cs="Arial" w:eastAsia="Arial" w:hAnsi="Arial"/>
          <w:sz w:val="16"/>
          <w:szCs w:val="16"/>
          <w:color w:val="auto"/>
        </w:rPr>
      </w:pPr>
      <w:r>
        <w:rPr>
          <w:rFonts w:ascii="Arial" w:cs="Arial" w:eastAsia="Arial" w:hAnsi="Arial"/>
          <w:sz w:val="18"/>
          <w:szCs w:val="18"/>
          <w:color w:val="auto"/>
        </w:rPr>
        <w:t>Shareholders who hold their shares in the 401(k) Plan must vote by 11:59 p.m. EDT on April 30, 2025 (mailed ballots must be received by the trustee by this time), so the plan trustee can vote the shares accordingly.</w:t>
      </w:r>
    </w:p>
    <w:p>
      <w:pPr>
        <w:spacing w:after="0" w:line="98" w:lineRule="exact"/>
        <w:rPr>
          <w:rFonts w:ascii="Arial" w:cs="Arial" w:eastAsia="Arial" w:hAnsi="Arial"/>
          <w:sz w:val="16"/>
          <w:szCs w:val="16"/>
          <w:color w:val="auto"/>
        </w:rPr>
      </w:pPr>
    </w:p>
    <w:p>
      <w:pPr>
        <w:ind w:left="660" w:right="260" w:hanging="328"/>
        <w:spacing w:after="0" w:line="287" w:lineRule="auto"/>
        <w:tabs>
          <w:tab w:leader="none" w:pos="649" w:val="left"/>
        </w:tabs>
        <w:numPr>
          <w:ilvl w:val="0"/>
          <w:numId w:val="195"/>
        </w:numPr>
        <w:rPr>
          <w:rFonts w:ascii="Arial" w:cs="Arial" w:eastAsia="Arial" w:hAnsi="Arial"/>
          <w:sz w:val="16"/>
          <w:szCs w:val="16"/>
          <w:color w:val="auto"/>
        </w:rPr>
      </w:pPr>
      <w:r>
        <w:rPr>
          <w:rFonts w:ascii="Arial" w:cs="Arial" w:eastAsia="Arial" w:hAnsi="Arial"/>
          <w:sz w:val="18"/>
          <w:szCs w:val="18"/>
          <w:color w:val="auto"/>
        </w:rPr>
        <w:t>Shareholders whose shares are held by a broker should follow the instructions and deadlines on your proxy card, voter instruction form or notice. If you received these materials electronically, follow the</w:t>
      </w:r>
    </w:p>
    <w:p>
      <w:pPr>
        <w:sectPr>
          <w:pgSz w:w="11900" w:h="16838" w:orient="portrait"/>
          <w:cols w:equalWidth="0" w:num="1">
            <w:col w:w="11220"/>
          </w:cols>
          <w:pgMar w:left="320" w:top="925" w:right="359" w:bottom="1440" w:gutter="0" w:footer="0" w:header="0"/>
          <w:type w:val="continuous"/>
        </w:sect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94615</wp:posOffset>
            </wp:positionV>
            <wp:extent cx="7157720" cy="42545"/>
            <wp:wrapNone/>
            <wp:docPr id="2579" name="Picture 2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9"/>
                    <pic:cNvPicPr>
                      <a:picLocks noChangeAspect="1" noChangeArrowheads="1"/>
                    </pic:cNvPicPr>
                  </pic:nvPicPr>
                  <pic:blipFill>
                    <a:blip r:embed="rId25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25" w:right="359" w:bottom="1440" w:gutter="0" w:footer="0" w:header="0"/>
          <w:type w:val="continuous"/>
        </w:sectPr>
      </w:pPr>
    </w:p>
    <w:bookmarkStart w:id="89" w:name="page90"/>
    <w:bookmarkEnd w:id="89"/>
    <w:p>
      <w:pPr>
        <w:ind w:left="660" w:right="340"/>
        <w:spacing w:after="0" w:line="287" w:lineRule="auto"/>
        <w:rPr>
          <w:sz w:val="20"/>
          <w:szCs w:val="20"/>
          <w:color w:val="auto"/>
        </w:rPr>
      </w:pPr>
      <w:r>
        <w:rPr>
          <w:rFonts w:ascii="Arial" w:cs="Arial" w:eastAsia="Arial" w:hAnsi="Arial"/>
          <w:sz w:val="18"/>
          <w:szCs w:val="18"/>
          <w:color w:val="auto"/>
        </w:rPr>
        <w:t>instructions in the email message that notified you of their availability. You may submit new voting instructions by contacting your broker or other nominee or by voting at the Annual Meeting.</w:t>
      </w:r>
    </w:p>
    <w:p>
      <w:pPr>
        <w:spacing w:after="0" w:line="157" w:lineRule="exact"/>
        <w:rPr>
          <w:sz w:val="20"/>
          <w:szCs w:val="20"/>
          <w:color w:val="auto"/>
        </w:rPr>
      </w:pPr>
    </w:p>
    <w:p>
      <w:pPr>
        <w:spacing w:after="0" w:line="266" w:lineRule="auto"/>
        <w:rPr>
          <w:sz w:val="20"/>
          <w:szCs w:val="20"/>
          <w:color w:val="auto"/>
        </w:rPr>
      </w:pPr>
      <w:r>
        <w:rPr>
          <w:rFonts w:ascii="Arial" w:cs="Arial" w:eastAsia="Arial" w:hAnsi="Arial"/>
          <w:sz w:val="22"/>
          <w:szCs w:val="22"/>
          <w:b w:val="1"/>
          <w:bCs w:val="1"/>
          <w:color w:val="auto"/>
        </w:rPr>
        <w:t xml:space="preserve">Broker Non-Votes: </w:t>
      </w:r>
      <w:r>
        <w:rPr>
          <w:rFonts w:ascii="Arial" w:cs="Arial" w:eastAsia="Arial" w:hAnsi="Arial"/>
          <w:sz w:val="17"/>
          <w:szCs w:val="17"/>
          <w:color w:val="auto"/>
        </w:rPr>
        <w:t>If your shares are held through a broker and you give the broker instructions, your shares will be voted as you direct.</w:t>
      </w:r>
      <w:r>
        <w:rPr>
          <w:rFonts w:ascii="Arial" w:cs="Arial" w:eastAsia="Arial" w:hAnsi="Arial"/>
          <w:sz w:val="22"/>
          <w:szCs w:val="22"/>
          <w:b w:val="1"/>
          <w:bCs w:val="1"/>
          <w:color w:val="auto"/>
        </w:rPr>
        <w:t xml:space="preserve"> </w:t>
      </w:r>
      <w:r>
        <w:rPr>
          <w:rFonts w:ascii="Arial" w:cs="Arial" w:eastAsia="Arial" w:hAnsi="Arial"/>
          <w:sz w:val="17"/>
          <w:szCs w:val="17"/>
          <w:color w:val="auto"/>
        </w:rPr>
        <w:t>If you do not provide voting instructions, your shares will not be voted on any proposal on which the broker does not have discretionary authority to vote. This is called a “broker non-vote.” In these cases, the broker can register your shares as being present at the Annual Meeting for purposes of determining the presence of a quorum and will be able to use their discretionary voting authority under NYSE rules to vote your shares on the ratification of EY as the independent auditor for 2025. However, the broker will not be able to vote on those matters for which specific authorization is required under NYSE rules, such as to vote on the election of directors, the advisory approval of executive compensation, or the shareholder or management proposals without instructions from you, in which case a broker non-vote will occur, and your shares will not be voted on these matters.</w:t>
      </w:r>
    </w:p>
    <w:p>
      <w:pPr>
        <w:spacing w:after="0" w:line="200" w:lineRule="exact"/>
        <w:rPr>
          <w:sz w:val="20"/>
          <w:szCs w:val="20"/>
          <w:color w:val="auto"/>
        </w:rPr>
      </w:pPr>
    </w:p>
    <w:p>
      <w:pPr>
        <w:spacing w:after="0" w:line="204" w:lineRule="exact"/>
        <w:rPr>
          <w:sz w:val="20"/>
          <w:szCs w:val="20"/>
          <w:color w:val="auto"/>
        </w:rPr>
      </w:pPr>
    </w:p>
    <w:p>
      <w:pPr>
        <w:ind w:right="320"/>
        <w:spacing w:after="0" w:line="249" w:lineRule="auto"/>
        <w:rPr>
          <w:sz w:val="20"/>
          <w:szCs w:val="20"/>
          <w:color w:val="auto"/>
        </w:rPr>
      </w:pPr>
      <w:r>
        <w:rPr>
          <w:rFonts w:ascii="Arial" w:cs="Arial" w:eastAsia="Arial" w:hAnsi="Arial"/>
          <w:sz w:val="22"/>
          <w:szCs w:val="22"/>
          <w:b w:val="1"/>
          <w:bCs w:val="1"/>
          <w:color w:val="auto"/>
        </w:rPr>
        <w:t xml:space="preserve">Additional Voting Information for shares held in the company 401(k) Plan: </w:t>
      </w:r>
      <w:r>
        <w:rPr>
          <w:rFonts w:ascii="Arial" w:cs="Arial" w:eastAsia="Arial" w:hAnsi="Arial"/>
          <w:sz w:val="17"/>
          <w:szCs w:val="17"/>
          <w:color w:val="auto"/>
        </w:rPr>
        <w:t>If you hold shares in the company 401(k)</w:t>
      </w:r>
      <w:r>
        <w:rPr>
          <w:rFonts w:ascii="Arial" w:cs="Arial" w:eastAsia="Arial" w:hAnsi="Arial"/>
          <w:sz w:val="22"/>
          <w:szCs w:val="22"/>
          <w:b w:val="1"/>
          <w:bCs w:val="1"/>
          <w:color w:val="auto"/>
        </w:rPr>
        <w:t xml:space="preserve"> </w:t>
      </w:r>
      <w:r>
        <w:rPr>
          <w:rFonts w:ascii="Arial" w:cs="Arial" w:eastAsia="Arial" w:hAnsi="Arial"/>
          <w:sz w:val="17"/>
          <w:szCs w:val="17"/>
          <w:color w:val="auto"/>
        </w:rPr>
        <w:t>Plan, unless you decline, your vote will apply to a proportionate number of other shares held by participants in the 401(k) Plan for which voting directions are not received (except for a small number of shares from a prior stock ownership plan, which can be voted only on the directions of the participants to whose accounts the shares are credited).</w:t>
      </w:r>
    </w:p>
    <w:p>
      <w:pPr>
        <w:spacing w:after="0" w:line="132"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All participants are named fiduciaries under the terms of the 401(k) Plan and under the Employee Retirement Income Security Act (ERISA) for the limited purpose of voting shares credited to their accounts and the portion of undirected shares to which their vote applies. Under ERISA, fiduciaries are required to act prudently in making voting decisions.</w:t>
      </w:r>
    </w:p>
    <w:p>
      <w:pPr>
        <w:spacing w:after="0" w:line="11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If you do not want to have your vote applied to the undirected shares, you must so indicate when you vote. Otherwise, the trustee will automatically apply your voting preferences to the undirected shares proportionally with all other participants who elected to have their votes applied in this manner.</w:t>
      </w:r>
    </w:p>
    <w:p>
      <w:pPr>
        <w:spacing w:after="0" w:line="117"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If you do not vote by the deadline, your shares will be voted in accordance with instructions received from other plan participants who have elected to have their voting preferences applied proportionally to all shares for which voting instructions are not otherwise received.</w:t>
      </w:r>
    </w:p>
    <w:p>
      <w:pPr>
        <w:spacing w:after="0" w:line="93" w:lineRule="exact"/>
        <w:rPr>
          <w:sz w:val="20"/>
          <w:szCs w:val="20"/>
          <w:color w:val="auto"/>
        </w:rPr>
      </w:pPr>
    </w:p>
    <w:p>
      <w:pPr>
        <w:spacing w:after="0"/>
        <w:rPr>
          <w:sz w:val="20"/>
          <w:szCs w:val="20"/>
          <w:color w:val="auto"/>
        </w:rPr>
      </w:pPr>
      <w:r>
        <w:rPr>
          <w:rFonts w:ascii="Arial" w:cs="Arial" w:eastAsia="Arial" w:hAnsi="Arial"/>
          <w:sz w:val="25"/>
          <w:szCs w:val="25"/>
          <w:b w:val="1"/>
          <w:bCs w:val="1"/>
          <w:color w:val="00A1DE"/>
        </w:rPr>
        <w:t>Attending the Annual Meeting</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Who</w:t>
      </w:r>
      <w:r>
        <w:rPr>
          <w:rFonts w:ascii="Arial" w:cs="Arial" w:eastAsia="Arial" w:hAnsi="Arial"/>
          <w:sz w:val="17"/>
          <w:szCs w:val="17"/>
          <w:color w:val="auto"/>
        </w:rPr>
        <w:t>: All shareholders as of close of business on February 26, 2025 are entitled to participate.</w:t>
      </w:r>
    </w:p>
    <w:p>
      <w:pPr>
        <w:spacing w:after="0" w:line="220" w:lineRule="exact"/>
        <w:rPr>
          <w:sz w:val="20"/>
          <w:szCs w:val="20"/>
          <w:color w:val="auto"/>
        </w:rPr>
      </w:pPr>
    </w:p>
    <w:p>
      <w:pPr>
        <w:ind w:right="420"/>
        <w:spacing w:after="0" w:line="233" w:lineRule="auto"/>
        <w:rPr>
          <w:sz w:val="20"/>
          <w:szCs w:val="20"/>
          <w:color w:val="auto"/>
        </w:rPr>
      </w:pPr>
      <w:r>
        <w:rPr>
          <w:rFonts w:ascii="Arial" w:cs="Arial" w:eastAsia="Arial" w:hAnsi="Arial"/>
          <w:sz w:val="22"/>
          <w:szCs w:val="22"/>
          <w:b w:val="1"/>
          <w:bCs w:val="1"/>
          <w:color w:val="auto"/>
        </w:rPr>
        <w:t>When</w:t>
      </w:r>
      <w:r>
        <w:rPr>
          <w:rFonts w:ascii="Arial" w:cs="Arial" w:eastAsia="Arial" w:hAnsi="Arial"/>
          <w:sz w:val="17"/>
          <w:szCs w:val="17"/>
          <w:color w:val="auto"/>
        </w:rPr>
        <w:t>: Monday, May 5, 2025, starting at 8:30 a.m. EDT and ending at or before 9:00 a.m. EDT. Following the formal meeting and after</w:t>
      </w:r>
      <w:r>
        <w:rPr>
          <w:rFonts w:ascii="Arial" w:cs="Arial" w:eastAsia="Arial" w:hAnsi="Arial"/>
          <w:sz w:val="22"/>
          <w:szCs w:val="22"/>
          <w:b w:val="1"/>
          <w:bCs w:val="1"/>
          <w:color w:val="auto"/>
        </w:rPr>
        <w:t xml:space="preserve"> </w:t>
      </w:r>
      <w:r>
        <w:rPr>
          <w:rFonts w:ascii="Arial" w:cs="Arial" w:eastAsia="Arial" w:hAnsi="Arial"/>
          <w:sz w:val="17"/>
          <w:szCs w:val="17"/>
          <w:color w:val="auto"/>
        </w:rPr>
        <w:t>agenda items are addressed there will be an opportunity for shareholder questions.</w:t>
      </w:r>
    </w:p>
    <w:p>
      <w:pPr>
        <w:spacing w:after="0" w:line="197" w:lineRule="exact"/>
        <w:rPr>
          <w:sz w:val="20"/>
          <w:szCs w:val="20"/>
          <w:color w:val="auto"/>
        </w:rPr>
      </w:pPr>
    </w:p>
    <w:p>
      <w:pPr>
        <w:ind w:right="20"/>
        <w:spacing w:after="0" w:line="252" w:lineRule="auto"/>
        <w:rPr>
          <w:sz w:val="20"/>
          <w:szCs w:val="20"/>
          <w:color w:val="auto"/>
        </w:rPr>
      </w:pPr>
      <w:r>
        <w:rPr>
          <w:rFonts w:ascii="Arial" w:cs="Arial" w:eastAsia="Arial" w:hAnsi="Arial"/>
          <w:sz w:val="22"/>
          <w:szCs w:val="22"/>
          <w:b w:val="1"/>
          <w:bCs w:val="1"/>
          <w:color w:val="auto"/>
        </w:rPr>
        <w:t>Where</w:t>
      </w:r>
      <w:r>
        <w:rPr>
          <w:rFonts w:ascii="Arial" w:cs="Arial" w:eastAsia="Arial" w:hAnsi="Arial"/>
          <w:sz w:val="17"/>
          <w:szCs w:val="17"/>
          <w:color w:val="auto"/>
        </w:rPr>
        <w:t>: The live webcast of the Annual Meeting can be accessed by shareholders on the day of the meeting at</w:t>
      </w:r>
      <w:r>
        <w:rPr>
          <w:rFonts w:ascii="Arial" w:cs="Arial" w:eastAsia="Arial" w:hAnsi="Arial"/>
          <w:sz w:val="22"/>
          <w:szCs w:val="22"/>
          <w:b w:val="1"/>
          <w:bCs w:val="1"/>
          <w:color w:val="auto"/>
        </w:rPr>
        <w:t xml:space="preserve"> </w:t>
      </w:r>
      <w:r>
        <w:rPr>
          <w:rFonts w:ascii="Arial" w:cs="Arial" w:eastAsia="Arial" w:hAnsi="Arial"/>
          <w:sz w:val="17"/>
          <w:szCs w:val="17"/>
          <w:color w:val="D52B1E"/>
        </w:rPr>
        <w:t>virtualshareholdermeeting.com/LLY2025</w:t>
      </w:r>
      <w:r>
        <w:rPr>
          <w:rFonts w:ascii="Arial" w:cs="Arial" w:eastAsia="Arial" w:hAnsi="Arial"/>
          <w:sz w:val="18"/>
          <w:szCs w:val="18"/>
          <w:color w:val="D52B1E"/>
        </w:rPr>
        <w:t>.</w:t>
      </w:r>
      <w:r>
        <w:rPr>
          <w:rFonts w:ascii="Arial" w:cs="Arial" w:eastAsia="Arial" w:hAnsi="Arial"/>
          <w:sz w:val="17"/>
          <w:szCs w:val="17"/>
          <w:color w:val="D52B1E"/>
        </w:rPr>
        <w:t xml:space="preserve"> </w:t>
      </w:r>
      <w:r>
        <w:rPr>
          <w:rFonts w:ascii="Arial" w:cs="Arial" w:eastAsia="Arial" w:hAnsi="Arial"/>
          <w:sz w:val="17"/>
          <w:szCs w:val="17"/>
          <w:color w:val="000000"/>
        </w:rPr>
        <w:t>To attend the Annual Meeting, you will need to log in to</w:t>
      </w:r>
      <w:r>
        <w:rPr>
          <w:rFonts w:ascii="Arial" w:cs="Arial" w:eastAsia="Arial" w:hAnsi="Arial"/>
          <w:sz w:val="17"/>
          <w:szCs w:val="17"/>
          <w:color w:val="D52B1E"/>
        </w:rPr>
        <w:t xml:space="preserve"> virtualshareholdermeeting.com/LLY2025 </w:t>
      </w:r>
      <w:r>
        <w:rPr>
          <w:rFonts w:ascii="Arial" w:cs="Arial" w:eastAsia="Arial" w:hAnsi="Arial"/>
          <w:sz w:val="17"/>
          <w:szCs w:val="17"/>
          <w:color w:val="000000"/>
        </w:rPr>
        <w:t>using the 16-digit control number found on the proxy card, voting instruction form, or notice you previously received. This website can be accessed on a computer, tablet, or phone with internet connection. Online access to the webcast will open 15 minutes prior to the start of the Annual Meeting to allow time to log in and test your device’s audio system. We encourage you to access the meeting in advance of the designated start time.</w:t>
      </w:r>
    </w:p>
    <w:p>
      <w:pPr>
        <w:spacing w:after="0" w:line="361"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Although you will not be able to attend the Annual Meeting at a physical location, we have designed the Annual Meeting live webcast to provide shareholders the opportunity to participate virtually to facilitate shareholder attendance and provide a consistent experience to all shareholders, regardless of location.</w:t>
      </w:r>
    </w:p>
    <w:p>
      <w:pPr>
        <w:spacing w:after="0" w:line="174" w:lineRule="exact"/>
        <w:rPr>
          <w:sz w:val="20"/>
          <w:szCs w:val="20"/>
          <w:color w:val="auto"/>
        </w:rPr>
      </w:pPr>
    </w:p>
    <w:p>
      <w:pPr>
        <w:ind w:right="40"/>
        <w:spacing w:after="0" w:line="272" w:lineRule="auto"/>
        <w:rPr>
          <w:sz w:val="20"/>
          <w:szCs w:val="20"/>
          <w:color w:val="auto"/>
        </w:rPr>
      </w:pPr>
      <w:r>
        <w:rPr>
          <w:rFonts w:ascii="Arial" w:cs="Arial" w:eastAsia="Arial" w:hAnsi="Arial"/>
          <w:sz w:val="22"/>
          <w:szCs w:val="22"/>
          <w:b w:val="1"/>
          <w:bCs w:val="1"/>
          <w:color w:val="auto"/>
        </w:rPr>
        <w:t>Asking Questions</w:t>
      </w:r>
      <w:r>
        <w:rPr>
          <w:rFonts w:ascii="Arial" w:cs="Arial" w:eastAsia="Arial" w:hAnsi="Arial"/>
          <w:sz w:val="17"/>
          <w:szCs w:val="17"/>
          <w:color w:val="auto"/>
        </w:rPr>
        <w:t>: To submit questions in advance of the Annual Meeting, visit</w:t>
      </w:r>
      <w:r>
        <w:rPr>
          <w:rFonts w:ascii="Arial" w:cs="Arial" w:eastAsia="Arial" w:hAnsi="Arial"/>
          <w:sz w:val="22"/>
          <w:szCs w:val="22"/>
          <w:b w:val="1"/>
          <w:bCs w:val="1"/>
          <w:color w:val="auto"/>
        </w:rPr>
        <w:t xml:space="preserve"> </w:t>
      </w:r>
      <w:r>
        <w:rPr>
          <w:rFonts w:ascii="Arial" w:cs="Arial" w:eastAsia="Arial" w:hAnsi="Arial"/>
          <w:sz w:val="17"/>
          <w:szCs w:val="17"/>
          <w:color w:val="D52B1E"/>
        </w:rPr>
        <w:t>ProxyVote.com</w:t>
      </w:r>
      <w:r>
        <w:rPr>
          <w:rFonts w:ascii="Arial" w:cs="Arial" w:eastAsia="Arial" w:hAnsi="Arial"/>
          <w:sz w:val="22"/>
          <w:szCs w:val="22"/>
          <w:b w:val="1"/>
          <w:bCs w:val="1"/>
          <w:color w:val="auto"/>
        </w:rPr>
        <w:t xml:space="preserve"> </w:t>
      </w:r>
      <w:r>
        <w:rPr>
          <w:rFonts w:ascii="Arial" w:cs="Arial" w:eastAsia="Arial" w:hAnsi="Arial"/>
          <w:sz w:val="17"/>
          <w:szCs w:val="17"/>
          <w:color w:val="auto"/>
        </w:rPr>
        <w:t xml:space="preserve">before May 4, 2025, and enter your 16-digit control number. During the meeting, if you wish to submit a question, log into the virtual meeting website at </w:t>
      </w:r>
      <w:r>
        <w:rPr>
          <w:rFonts w:ascii="Arial" w:cs="Arial" w:eastAsia="Arial" w:hAnsi="Arial"/>
          <w:sz w:val="17"/>
          <w:szCs w:val="17"/>
          <w:color w:val="D52B1E"/>
        </w:rPr>
        <w:t>virtualshareholdermeeting.com/LLY2025</w:t>
      </w:r>
      <w:r>
        <w:rPr>
          <w:rFonts w:ascii="Arial" w:cs="Arial" w:eastAsia="Arial" w:hAnsi="Arial"/>
          <w:sz w:val="17"/>
          <w:szCs w:val="17"/>
          <w:color w:val="000000"/>
        </w:rPr>
        <w:t>, click on “Q&amp;A,” type your question into the “Submit a Question” field, and click “Submit.” In order to</w:t>
      </w:r>
      <w:r>
        <w:rPr>
          <w:rFonts w:ascii="Arial" w:cs="Arial" w:eastAsia="Arial" w:hAnsi="Arial"/>
          <w:sz w:val="17"/>
          <w:szCs w:val="17"/>
          <w:color w:val="D52B1E"/>
        </w:rPr>
        <w:t xml:space="preserve"> </w:t>
      </w:r>
      <w:r>
        <w:rPr>
          <w:rFonts w:ascii="Arial" w:cs="Arial" w:eastAsia="Arial" w:hAnsi="Arial"/>
          <w:sz w:val="17"/>
          <w:szCs w:val="17"/>
          <w:color w:val="000000"/>
        </w:rPr>
        <w:t>provide an opportunity to as many shareholders as possible who wish to ask a question, each shareholder will be limited to one question. Shareholders may ask a second question if all other shareholders have had an opportunity to ask a question and if time allows. We will endeavor to answer as many questions submitted by shareholders as time permits. We reserve the right to edit</w:t>
      </w: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88900</wp:posOffset>
            </wp:positionV>
            <wp:extent cx="7157720" cy="42545"/>
            <wp:wrapNone/>
            <wp:docPr id="2580" name="Picture 2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0"/>
                    <pic:cNvPicPr>
                      <a:picLocks noChangeAspect="1" noChangeArrowheads="1"/>
                    </pic:cNvPicPr>
                  </pic:nvPicPr>
                  <pic:blipFill>
                    <a:blip r:embed="rId25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90" w:name="page91"/>
    <w:bookmarkEnd w:id="90"/>
    <w:p>
      <w:pPr>
        <w:ind w:right="120"/>
        <w:spacing w:after="0" w:line="259" w:lineRule="auto"/>
        <w:rPr>
          <w:sz w:val="20"/>
          <w:szCs w:val="20"/>
          <w:color w:val="auto"/>
        </w:rPr>
      </w:pPr>
      <w:r>
        <w:rPr>
          <w:rFonts w:ascii="Arial" w:cs="Arial" w:eastAsia="Arial" w:hAnsi="Arial"/>
          <w:sz w:val="18"/>
          <w:szCs w:val="18"/>
          <w:color w:val="auto"/>
        </w:rPr>
        <w:t>profanity or other inappropriate language, to simplify language and to exclude questions regarding topics that are not pertinent to meeting matters or company business. If we receive substantially similar questions, we may group such questions together and provide a single response to avoid repetition. As appropriate, responses to questions relevant to meeting matters that we do not have time to respond to by the 9:00 a.m. EDT end time will be posted to our website following the meeting. Questions regarding topics that are not pertinent to meeting matters or company business will not be answered.</w:t>
      </w:r>
    </w:p>
    <w:p>
      <w:pPr>
        <w:spacing w:after="0" w:line="183" w:lineRule="exact"/>
        <w:rPr>
          <w:sz w:val="20"/>
          <w:szCs w:val="20"/>
          <w:color w:val="auto"/>
        </w:rPr>
      </w:pPr>
    </w:p>
    <w:p>
      <w:pPr>
        <w:ind w:right="180"/>
        <w:spacing w:after="0" w:line="309" w:lineRule="auto"/>
        <w:rPr>
          <w:sz w:val="20"/>
          <w:szCs w:val="20"/>
          <w:color w:val="auto"/>
        </w:rPr>
      </w:pPr>
      <w:r>
        <w:rPr>
          <w:rFonts w:ascii="Arial" w:cs="Arial" w:eastAsia="Arial" w:hAnsi="Arial"/>
          <w:sz w:val="22"/>
          <w:szCs w:val="22"/>
          <w:b w:val="1"/>
          <w:bCs w:val="1"/>
          <w:color w:val="auto"/>
        </w:rPr>
        <w:t>Technical Assistance</w:t>
      </w:r>
      <w:r>
        <w:rPr>
          <w:rFonts w:ascii="Arial" w:cs="Arial" w:eastAsia="Arial" w:hAnsi="Arial"/>
          <w:sz w:val="18"/>
          <w:szCs w:val="18"/>
          <w:b w:val="1"/>
          <w:bCs w:val="1"/>
          <w:i w:val="1"/>
          <w:iCs w:val="1"/>
          <w:color w:val="auto"/>
        </w:rPr>
        <w:t>:</w:t>
      </w:r>
      <w:r>
        <w:rPr>
          <w:rFonts w:ascii="Arial" w:cs="Arial" w:eastAsia="Arial" w:hAnsi="Arial"/>
          <w:sz w:val="22"/>
          <w:szCs w:val="22"/>
          <w:b w:val="1"/>
          <w:bCs w:val="1"/>
          <w:color w:val="auto"/>
        </w:rPr>
        <w:t xml:space="preserve"> </w:t>
      </w:r>
      <w:r>
        <w:rPr>
          <w:rFonts w:ascii="Arial" w:cs="Arial" w:eastAsia="Arial" w:hAnsi="Arial"/>
          <w:sz w:val="17"/>
          <w:szCs w:val="17"/>
          <w:color w:val="auto"/>
        </w:rPr>
        <w:t>Support staff will be available on the meeting day should you experience any technical difficulties in accessing</w:t>
      </w:r>
      <w:r>
        <w:rPr>
          <w:rFonts w:ascii="Arial" w:cs="Arial" w:eastAsia="Arial" w:hAnsi="Arial"/>
          <w:sz w:val="22"/>
          <w:szCs w:val="22"/>
          <w:b w:val="1"/>
          <w:bCs w:val="1"/>
          <w:color w:val="auto"/>
        </w:rPr>
        <w:t xml:space="preserve"> </w:t>
      </w:r>
      <w:r>
        <w:rPr>
          <w:rFonts w:ascii="Arial" w:cs="Arial" w:eastAsia="Arial" w:hAnsi="Arial"/>
          <w:sz w:val="17"/>
          <w:szCs w:val="17"/>
          <w:color w:val="auto"/>
        </w:rPr>
        <w:t xml:space="preserve">the virtual meeting. Instructions for requesting technical assistance will be available at </w:t>
      </w:r>
      <w:r>
        <w:rPr>
          <w:rFonts w:ascii="Arial" w:cs="Arial" w:eastAsia="Arial" w:hAnsi="Arial"/>
          <w:sz w:val="17"/>
          <w:szCs w:val="17"/>
          <w:color w:val="D52B1E"/>
        </w:rPr>
        <w:t>virtualshareholdermeeting.com/LLY2025.</w:t>
      </w:r>
    </w:p>
    <w:p>
      <w:pPr>
        <w:spacing w:after="0" w:line="271" w:lineRule="exact"/>
        <w:rPr>
          <w:sz w:val="20"/>
          <w:szCs w:val="20"/>
          <w:color w:val="auto"/>
        </w:rPr>
      </w:pPr>
    </w:p>
    <w:p>
      <w:pPr>
        <w:spacing w:after="0"/>
        <w:rPr>
          <w:sz w:val="20"/>
          <w:szCs w:val="20"/>
          <w:color w:val="auto"/>
        </w:rPr>
      </w:pPr>
      <w:r>
        <w:rPr>
          <w:rFonts w:ascii="Arial" w:cs="Arial" w:eastAsia="Arial" w:hAnsi="Arial"/>
          <w:sz w:val="32"/>
          <w:szCs w:val="32"/>
          <w:b w:val="1"/>
          <w:bCs w:val="1"/>
          <w:color w:val="D52B1E"/>
        </w:rPr>
        <w:t>Other Matters</w:t>
      </w:r>
    </w:p>
    <w:p>
      <w:pPr>
        <w:spacing w:after="0" w:line="191" w:lineRule="exact"/>
        <w:rPr>
          <w:sz w:val="20"/>
          <w:szCs w:val="20"/>
          <w:color w:val="auto"/>
        </w:rPr>
      </w:pPr>
    </w:p>
    <w:p>
      <w:pPr>
        <w:spacing w:after="0"/>
        <w:rPr>
          <w:sz w:val="20"/>
          <w:szCs w:val="20"/>
          <w:color w:val="auto"/>
        </w:rPr>
      </w:pPr>
      <w:r>
        <w:rPr>
          <w:rFonts w:ascii="Arial" w:cs="Arial" w:eastAsia="Arial" w:hAnsi="Arial"/>
          <w:sz w:val="25"/>
          <w:szCs w:val="25"/>
          <w:b w:val="1"/>
          <w:bCs w:val="1"/>
          <w:color w:val="00A1DE"/>
        </w:rPr>
        <w:t>Notice and Access</w:t>
      </w:r>
    </w:p>
    <w:p>
      <w:pPr>
        <w:spacing w:after="0" w:line="6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distribute proxy materials to many shareholders via the internet under the SEC’s “Notice and Access” rules to reduce production and mailing costs and to help preserve environmental resources. Using this method of distribution, on or about March 21, 2025, we mailed the Notice Regarding the Availability of Proxy Materials that contains basic information about the Annual Meeting and instructions on how to view all proxy materials and vote. If you receive the notice and prefer to receive proxy materials by regular mail or email, follow the instructions in the notice for making this request, and the materials will be sent promptly to you via the preferred method. If you prefer to vote by phone rather than online, the website listed on the notice (</w:t>
      </w:r>
      <w:r>
        <w:rPr>
          <w:rFonts w:ascii="Arial" w:cs="Arial" w:eastAsia="Arial" w:hAnsi="Arial"/>
          <w:sz w:val="18"/>
          <w:szCs w:val="18"/>
          <w:color w:val="D52B1E"/>
        </w:rPr>
        <w:t>ProxyVote.com</w:t>
      </w:r>
      <w:r>
        <w:rPr>
          <w:rFonts w:ascii="Arial" w:cs="Arial" w:eastAsia="Arial" w:hAnsi="Arial"/>
          <w:sz w:val="18"/>
          <w:szCs w:val="18"/>
          <w:color w:val="auto"/>
        </w:rPr>
        <w:t>) has instructions for voting by phone.</w:t>
      </w:r>
    </w:p>
    <w:p>
      <w:pPr>
        <w:spacing w:after="0" w:line="123" w:lineRule="exact"/>
        <w:rPr>
          <w:sz w:val="20"/>
          <w:szCs w:val="20"/>
          <w:color w:val="auto"/>
        </w:rPr>
      </w:pPr>
    </w:p>
    <w:p>
      <w:pPr>
        <w:spacing w:after="0"/>
        <w:rPr>
          <w:sz w:val="20"/>
          <w:szCs w:val="20"/>
          <w:color w:val="auto"/>
        </w:rPr>
      </w:pPr>
      <w:r>
        <w:rPr>
          <w:rFonts w:ascii="Arial" w:cs="Arial" w:eastAsia="Arial" w:hAnsi="Arial"/>
          <w:sz w:val="25"/>
          <w:szCs w:val="25"/>
          <w:b w:val="1"/>
          <w:bCs w:val="1"/>
          <w:color w:val="00A1DE"/>
        </w:rPr>
        <w:t>Householding</w:t>
      </w:r>
    </w:p>
    <w:p>
      <w:pPr>
        <w:spacing w:after="0" w:line="8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adopted a procedure approved by the SEC called “householding.” Under the householding procedure, certain shareholders, whether they own registered shares or shares in street name, who have the same address and who receive either notices or paper copies of the proxy materials in the mail will receive only one copy of our proxy materials, or a single notice, for all shareholders at that address, unless one or more of the shareholders at that address has previously notified us that they want to receive separate copies. Each 401(k) Plan participant will continue to receive a copy of all of the proxy materials. Regardless of how you own your shares, if you received a single set of proxy materials as a result of householding, and one or more shareholders at your address would like to have separate copies of these materials with respect to the Annual Meeting or in the future, or if you would like to request that only a single set of proxy materials be sent to the household, please contact Broadridge Financial Solutions, Inc., at 1-866-540-7095 or 51 Mercedes Way, Edgewood, NY 11717.</w:t>
      </w:r>
    </w:p>
    <w:p>
      <w:pPr>
        <w:spacing w:after="0" w:line="125" w:lineRule="exact"/>
        <w:rPr>
          <w:sz w:val="20"/>
          <w:szCs w:val="20"/>
          <w:color w:val="auto"/>
        </w:rPr>
      </w:pPr>
    </w:p>
    <w:p>
      <w:pPr>
        <w:spacing w:after="0"/>
        <w:rPr>
          <w:sz w:val="20"/>
          <w:szCs w:val="20"/>
          <w:color w:val="auto"/>
        </w:rPr>
      </w:pPr>
      <w:r>
        <w:rPr>
          <w:rFonts w:ascii="Arial" w:cs="Arial" w:eastAsia="Arial" w:hAnsi="Arial"/>
          <w:sz w:val="25"/>
          <w:szCs w:val="25"/>
          <w:b w:val="1"/>
          <w:bCs w:val="1"/>
          <w:color w:val="00A1DE"/>
        </w:rPr>
        <w:t>Other Information Regarding the Company’s Proxy Solicitation</w:t>
      </w:r>
    </w:p>
    <w:p>
      <w:pPr>
        <w:spacing w:after="0" w:line="69"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The board is soliciting proxies for the Annual Meeting. We will pay all expenses in connection with our solicitation of proxies. We will pay brokers, nominees, fiduciaries, or other custodians their reasonable expenses for sending proxy material to and obtaining instructions from persons for whom they hold stock of the company. We expect to solicit proxies primarily by mail and email, but directors, officers, and other employees of the company may also solicit in person or by telephone, fax, or email. We have retained Georgeson LLC to assist in the distribution and solicitation of proxies. Georgeson may solicit proxies by personal interview, telephone, fax, mail, and email. We expect that the fee for those services will not exceed approximately $17,500 plus reimbursement of customary out-of-pocket expenses.</w:t>
      </w:r>
    </w:p>
    <w:p>
      <w:pPr>
        <w:spacing w:after="0" w:line="123" w:lineRule="exact"/>
        <w:rPr>
          <w:sz w:val="20"/>
          <w:szCs w:val="20"/>
          <w:color w:val="auto"/>
        </w:rPr>
      </w:pPr>
    </w:p>
    <w:p>
      <w:pPr>
        <w:spacing w:after="0"/>
        <w:rPr>
          <w:sz w:val="20"/>
          <w:szCs w:val="20"/>
          <w:color w:val="auto"/>
        </w:rPr>
      </w:pPr>
      <w:r>
        <w:rPr>
          <w:rFonts w:ascii="Arial" w:cs="Arial" w:eastAsia="Arial" w:hAnsi="Arial"/>
          <w:sz w:val="25"/>
          <w:szCs w:val="25"/>
          <w:b w:val="1"/>
          <w:bCs w:val="1"/>
          <w:color w:val="00A1DE"/>
        </w:rPr>
        <w:t>Corporate Governance Materials</w:t>
      </w:r>
    </w:p>
    <w:p>
      <w:pPr>
        <w:spacing w:after="0" w:line="8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The company’s main corporate website address is </w:t>
      </w:r>
      <w:r>
        <w:rPr>
          <w:rFonts w:ascii="Arial" w:cs="Arial" w:eastAsia="Arial" w:hAnsi="Arial"/>
          <w:sz w:val="18"/>
          <w:szCs w:val="18"/>
          <w:color w:val="D52B1E"/>
        </w:rPr>
        <w:t>lilly.com</w:t>
      </w:r>
      <w:r>
        <w:rPr>
          <w:rFonts w:ascii="Arial" w:cs="Arial" w:eastAsia="Arial" w:hAnsi="Arial"/>
          <w:sz w:val="18"/>
          <w:szCs w:val="18"/>
          <w:color w:val="auto"/>
        </w:rPr>
        <w:t xml:space="preserve">. We also make available through our investor relations website, free of charge, our company filings with the SEC as soon as reasonably practicable after we electronically file them with, or furnish them to, the SEC. The reports we make available include annual reports on Form 10-K, quarterly reports on Form 10-Q, current reports on Form 8-K, proxy statements, registration statements, and any amendments to those documents. The website link to our SEC filings is </w:t>
      </w:r>
      <w:r>
        <w:rPr>
          <w:rFonts w:ascii="Arial" w:cs="Arial" w:eastAsia="Arial" w:hAnsi="Arial"/>
          <w:sz w:val="18"/>
          <w:szCs w:val="18"/>
          <w:color w:val="D52B1E"/>
        </w:rPr>
        <w:t>investor.lilly.com/sec.cfm</w:t>
      </w:r>
      <w:r>
        <w:rPr>
          <w:rFonts w:ascii="Arial" w:cs="Arial" w:eastAsia="Arial" w:hAnsi="Arial"/>
          <w:sz w:val="18"/>
          <w:szCs w:val="18"/>
          <w:color w:val="000000"/>
        </w:rPr>
        <w:t>. This proxy statement and the annual report to shareholders are also available at</w:t>
      </w:r>
      <w:r>
        <w:rPr>
          <w:rFonts w:ascii="Arial" w:cs="Arial" w:eastAsia="Arial" w:hAnsi="Arial"/>
          <w:sz w:val="18"/>
          <w:szCs w:val="18"/>
          <w:color w:val="D52B1E"/>
        </w:rPr>
        <w:t xml:space="preserve"> ProxyVote.com </w:t>
      </w:r>
      <w:r>
        <w:rPr>
          <w:rFonts w:ascii="Arial" w:cs="Arial" w:eastAsia="Arial" w:hAnsi="Arial"/>
          <w:sz w:val="18"/>
          <w:szCs w:val="18"/>
          <w:color w:val="000000"/>
        </w:rPr>
        <w:t>as well as on our</w:t>
      </w:r>
      <w:r>
        <w:rPr>
          <w:rFonts w:ascii="Arial" w:cs="Arial" w:eastAsia="Arial" w:hAnsi="Arial"/>
          <w:sz w:val="18"/>
          <w:szCs w:val="18"/>
          <w:color w:val="D52B1E"/>
        </w:rPr>
        <w:t xml:space="preserve"> </w:t>
      </w:r>
      <w:r>
        <w:rPr>
          <w:rFonts w:ascii="Arial" w:cs="Arial" w:eastAsia="Arial" w:hAnsi="Arial"/>
          <w:sz w:val="18"/>
          <w:szCs w:val="18"/>
          <w:color w:val="000000"/>
        </w:rPr>
        <w:t xml:space="preserve">website at </w:t>
      </w:r>
      <w:r>
        <w:rPr>
          <w:rFonts w:ascii="Arial" w:cs="Arial" w:eastAsia="Arial" w:hAnsi="Arial"/>
          <w:sz w:val="18"/>
          <w:szCs w:val="18"/>
          <w:color w:val="D52B1E"/>
        </w:rPr>
        <w:t>lilly.com/policies-reports/annual-report</w:t>
      </w:r>
      <w:r>
        <w:rPr>
          <w:rFonts w:ascii="Arial" w:cs="Arial" w:eastAsia="Arial" w:hAnsi="Arial"/>
          <w:sz w:val="18"/>
          <w:szCs w:val="18"/>
          <w:color w:val="000000"/>
        </w:rPr>
        <w:t xml:space="preserve">, and the articles of incorporation, bylaws, and all committee charters are available online at </w:t>
      </w:r>
      <w:r>
        <w:rPr>
          <w:rFonts w:ascii="Arial" w:cs="Arial" w:eastAsia="Arial" w:hAnsi="Arial"/>
          <w:sz w:val="18"/>
          <w:szCs w:val="18"/>
          <w:color w:val="D52B1E"/>
        </w:rPr>
        <w:t>lilly.com/leadership/governance</w:t>
      </w:r>
      <w:r>
        <w:rPr>
          <w:rFonts w:ascii="Arial" w:cs="Arial" w:eastAsia="Arial" w:hAnsi="Arial"/>
          <w:sz w:val="18"/>
          <w:szCs w:val="18"/>
          <w:color w:val="000000"/>
        </w:rPr>
        <w:t>. Certain documents and information referenced in this proxy statement are available on our website.</w:t>
      </w:r>
      <w:r>
        <w:rPr>
          <w:rFonts w:ascii="Arial" w:cs="Arial" w:eastAsia="Arial" w:hAnsi="Arial"/>
          <w:sz w:val="18"/>
          <w:szCs w:val="18"/>
          <w:color w:val="D52B1E"/>
        </w:rPr>
        <w:t xml:space="preserve"> </w:t>
      </w:r>
      <w:r>
        <w:rPr>
          <w:rFonts w:ascii="Arial" w:cs="Arial" w:eastAsia="Arial" w:hAnsi="Arial"/>
          <w:sz w:val="18"/>
          <w:szCs w:val="18"/>
          <w:color w:val="000000"/>
        </w:rPr>
        <w:t>However, except as otherwise expressly provided in this proxy statement, we are not including the information contained on our website, or any information that may</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88900</wp:posOffset>
            </wp:positionV>
            <wp:extent cx="7157720" cy="42545"/>
            <wp:wrapNone/>
            <wp:docPr id="2581" name="Picture 2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1"/>
                    <pic:cNvPicPr>
                      <a:picLocks noChangeAspect="1" noChangeArrowheads="1"/>
                    </pic:cNvPicPr>
                  </pic:nvPicPr>
                  <pic:blipFill>
                    <a:blip r:embed="rId25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91" w:name="page92"/>
    <w:bookmarkEnd w:id="91"/>
    <w:p>
      <w:pPr>
        <w:spacing w:after="0"/>
        <w:rPr>
          <w:sz w:val="20"/>
          <w:szCs w:val="20"/>
          <w:color w:val="auto"/>
        </w:rPr>
      </w:pPr>
      <w:r>
        <w:rPr>
          <w:rFonts w:ascii="Arial" w:cs="Arial" w:eastAsia="Arial" w:hAnsi="Arial"/>
          <w:sz w:val="18"/>
          <w:szCs w:val="18"/>
          <w:color w:val="auto"/>
        </w:rPr>
        <w:t>be accessed by links on our website, as part of, or incorporating it by reference into, this proxy statement.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Anat Hakim</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General Counsel and 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21, 2025</w:t>
      </w:r>
    </w:p>
    <w:p>
      <w:pPr>
        <w:sectPr>
          <w:pgSz w:w="11900" w:h="16838" w:orient="portrait"/>
          <w:cols w:equalWidth="0" w:num="1">
            <w:col w:w="10139"/>
          </w:cols>
          <w:pgMar w:left="320" w:top="76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D52B1E"/>
        </w:rPr>
        <w:t>Electronic Delivery of Proxy Materials</w:t>
      </w:r>
    </w:p>
    <w:p>
      <w:pPr>
        <w:spacing w:after="0" w:line="25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00A1DE"/>
        </w:rPr>
        <w:t>Help Us Help the Environment</w:t>
      </w:r>
    </w:p>
    <w:p>
      <w:pPr>
        <w:spacing w:after="0" w:line="171" w:lineRule="exact"/>
        <w:rPr>
          <w:sz w:val="20"/>
          <w:szCs w:val="20"/>
          <w:color w:val="auto"/>
        </w:rPr>
      </w:pPr>
    </w:p>
    <w:p>
      <w:pPr>
        <w:ind w:left="440" w:right="120"/>
        <w:spacing w:after="0" w:line="262" w:lineRule="auto"/>
        <w:rPr>
          <w:sz w:val="20"/>
          <w:szCs w:val="20"/>
          <w:color w:val="auto"/>
        </w:rPr>
      </w:pPr>
      <w:r>
        <w:rPr>
          <w:rFonts w:ascii="Arial" w:cs="Arial" w:eastAsia="Arial" w:hAnsi="Arial"/>
          <w:sz w:val="18"/>
          <w:szCs w:val="18"/>
          <w:color w:val="auto"/>
        </w:rPr>
        <w:t>We encourage shareholders to voluntarily elect to receive future proxy materials and annual reports electronically to help contribute to our sustainability efforts.</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benefits include:</w:t>
      </w:r>
    </w:p>
    <w:p>
      <w:pPr>
        <w:spacing w:after="0" w:line="171" w:lineRule="exact"/>
        <w:rPr>
          <w:sz w:val="20"/>
          <w:szCs w:val="20"/>
          <w:color w:val="auto"/>
        </w:rPr>
      </w:pPr>
    </w:p>
    <w:p>
      <w:pPr>
        <w:ind w:left="1000" w:right="100" w:hanging="326"/>
        <w:spacing w:after="0" w:line="318" w:lineRule="auto"/>
        <w:tabs>
          <w:tab w:leader="none" w:pos="989" w:val="left"/>
        </w:tabs>
        <w:numPr>
          <w:ilvl w:val="0"/>
          <w:numId w:val="196"/>
        </w:numPr>
        <w:rPr>
          <w:rFonts w:ascii="Arial" w:cs="Arial" w:eastAsia="Arial" w:hAnsi="Arial"/>
          <w:sz w:val="15"/>
          <w:szCs w:val="15"/>
          <w:color w:val="auto"/>
        </w:rPr>
      </w:pPr>
      <w:r>
        <w:rPr>
          <w:rFonts w:ascii="Arial" w:cs="Arial" w:eastAsia="Arial" w:hAnsi="Arial"/>
          <w:sz w:val="17"/>
          <w:szCs w:val="17"/>
          <w:color w:val="auto"/>
        </w:rPr>
        <w:t>you receive immediate and convenient access to the materials,</w:t>
      </w:r>
    </w:p>
    <w:p>
      <w:pPr>
        <w:spacing w:after="0" w:line="75" w:lineRule="exact"/>
        <w:rPr>
          <w:rFonts w:ascii="Arial" w:cs="Arial" w:eastAsia="Arial" w:hAnsi="Arial"/>
          <w:sz w:val="15"/>
          <w:szCs w:val="15"/>
          <w:color w:val="auto"/>
        </w:rPr>
      </w:pPr>
    </w:p>
    <w:p>
      <w:pPr>
        <w:ind w:left="1000" w:right="160" w:hanging="326"/>
        <w:spacing w:after="0" w:line="287" w:lineRule="auto"/>
        <w:tabs>
          <w:tab w:leader="none" w:pos="989" w:val="left"/>
        </w:tabs>
        <w:numPr>
          <w:ilvl w:val="0"/>
          <w:numId w:val="196"/>
        </w:numPr>
        <w:rPr>
          <w:rFonts w:ascii="Arial" w:cs="Arial" w:eastAsia="Arial" w:hAnsi="Arial"/>
          <w:sz w:val="16"/>
          <w:szCs w:val="16"/>
          <w:color w:val="auto"/>
        </w:rPr>
      </w:pPr>
      <w:r>
        <w:rPr>
          <w:rFonts w:ascii="Arial" w:cs="Arial" w:eastAsia="Arial" w:hAnsi="Arial"/>
          <w:sz w:val="18"/>
          <w:szCs w:val="18"/>
          <w:color w:val="auto"/>
        </w:rPr>
        <w:t>you can help reduce our impact on the environment, and</w:t>
      </w:r>
    </w:p>
    <w:p>
      <w:pPr>
        <w:spacing w:after="0" w:line="98" w:lineRule="exact"/>
        <w:rPr>
          <w:rFonts w:ascii="Arial" w:cs="Arial" w:eastAsia="Arial" w:hAnsi="Arial"/>
          <w:sz w:val="16"/>
          <w:szCs w:val="16"/>
          <w:color w:val="auto"/>
        </w:rPr>
      </w:pPr>
    </w:p>
    <w:p>
      <w:pPr>
        <w:ind w:left="1000" w:hanging="326"/>
        <w:spacing w:after="0" w:line="287" w:lineRule="auto"/>
        <w:tabs>
          <w:tab w:leader="none" w:pos="989" w:val="left"/>
        </w:tabs>
        <w:numPr>
          <w:ilvl w:val="0"/>
          <w:numId w:val="196"/>
        </w:numPr>
        <w:rPr>
          <w:rFonts w:ascii="Arial" w:cs="Arial" w:eastAsia="Arial" w:hAnsi="Arial"/>
          <w:sz w:val="16"/>
          <w:szCs w:val="16"/>
          <w:color w:val="auto"/>
        </w:rPr>
      </w:pPr>
      <w:r>
        <w:rPr>
          <w:rFonts w:ascii="Arial" w:cs="Arial" w:eastAsia="Arial" w:hAnsi="Arial"/>
          <w:sz w:val="18"/>
          <w:szCs w:val="18"/>
          <w:color w:val="auto"/>
        </w:rPr>
        <w:t>you can help reduce our printing and mailing costs.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63"/>
        </w:trPr>
        <w:tc>
          <w:tcPr>
            <w:tcW w:w="1540" w:type="dxa"/>
            <w:vAlign w:val="bottom"/>
            <w:shd w:val="clear" w:color="auto" w:fill="DBDBDB"/>
          </w:tcPr>
          <w:p>
            <w:pPr>
              <w:spacing w:after="0"/>
              <w:rPr>
                <w:sz w:val="24"/>
                <w:szCs w:val="24"/>
                <w:color w:val="auto"/>
              </w:rPr>
            </w:pPr>
          </w:p>
        </w:tc>
        <w:tc>
          <w:tcPr>
            <w:tcW w:w="2980" w:type="dxa"/>
            <w:vAlign w:val="bottom"/>
            <w:shd w:val="clear" w:color="auto" w:fill="DBDBDB"/>
          </w:tcPr>
          <w:p>
            <w:pPr>
              <w:ind w:left="140"/>
              <w:spacing w:after="0"/>
              <w:rPr>
                <w:sz w:val="20"/>
                <w:szCs w:val="20"/>
                <w:color w:val="auto"/>
              </w:rPr>
            </w:pPr>
            <w:r>
              <w:rPr>
                <w:rFonts w:ascii="Arial" w:cs="Arial" w:eastAsia="Arial" w:hAnsi="Arial"/>
                <w:sz w:val="18"/>
                <w:szCs w:val="18"/>
                <w:b w:val="1"/>
                <w:bCs w:val="1"/>
                <w:color w:val="auto"/>
              </w:rPr>
              <w:t>How to Enroll</w:t>
            </w:r>
          </w:p>
        </w:tc>
      </w:tr>
      <w:tr>
        <w:trPr>
          <w:trHeight w:val="560"/>
        </w:trPr>
        <w:tc>
          <w:tcPr>
            <w:tcW w:w="4520" w:type="dxa"/>
            <w:vAlign w:val="bottom"/>
            <w:tcBorders>
              <w:bottom w:val="single" w:sz="8" w:color="DBDBDB"/>
            </w:tcBorders>
            <w:gridSpan w:val="2"/>
            <w:shd w:val="clear" w:color="auto" w:fill="DBDBDB"/>
          </w:tcPr>
          <w:p>
            <w:pPr>
              <w:ind w:left="180"/>
              <w:spacing w:after="0"/>
              <w:rPr>
                <w:sz w:val="20"/>
                <w:szCs w:val="20"/>
                <w:color w:val="auto"/>
              </w:rPr>
            </w:pPr>
            <w:r>
              <w:rPr>
                <w:rFonts w:ascii="Arial" w:cs="Arial" w:eastAsia="Arial" w:hAnsi="Arial"/>
                <w:sz w:val="18"/>
                <w:szCs w:val="18"/>
                <w:color w:val="auto"/>
              </w:rPr>
              <w:t>Shareholders of Record</w:t>
            </w:r>
          </w:p>
        </w:tc>
      </w:tr>
      <w:tr>
        <w:trPr>
          <w:trHeight w:val="218"/>
        </w:trPr>
        <w:tc>
          <w:tcPr>
            <w:tcW w:w="1540" w:type="dxa"/>
            <w:vAlign w:val="bottom"/>
            <w:tcBorders>
              <w:top w:val="single" w:sz="8" w:color="6D6D6D"/>
            </w:tcBorders>
            <w:shd w:val="clear" w:color="auto" w:fill="DBDBDB"/>
          </w:tcPr>
          <w:p>
            <w:pPr>
              <w:jc w:val="right"/>
              <w:ind w:right="190"/>
              <w:spacing w:after="0"/>
              <w:rPr>
                <w:sz w:val="20"/>
                <w:szCs w:val="20"/>
                <w:color w:val="auto"/>
              </w:rPr>
            </w:pPr>
            <w:r>
              <w:rPr>
                <w:rFonts w:ascii="Arial" w:cs="Arial" w:eastAsia="Arial" w:hAnsi="Arial"/>
                <w:sz w:val="18"/>
                <w:szCs w:val="18"/>
                <w:color w:val="auto"/>
              </w:rPr>
              <w:t>Internet</w:t>
            </w:r>
          </w:p>
        </w:tc>
        <w:tc>
          <w:tcPr>
            <w:tcW w:w="2980" w:type="dxa"/>
            <w:vAlign w:val="bottom"/>
            <w:tcBorders>
              <w:top w:val="single" w:sz="8" w:color="6D6D6D"/>
            </w:tcBorders>
            <w:shd w:val="clear" w:color="auto" w:fill="DBDBDB"/>
          </w:tcPr>
          <w:p>
            <w:pPr>
              <w:ind w:left="20"/>
              <w:spacing w:after="0"/>
              <w:rPr>
                <w:sz w:val="20"/>
                <w:szCs w:val="20"/>
                <w:color w:val="auto"/>
              </w:rPr>
            </w:pPr>
            <w:r>
              <w:rPr>
                <w:rFonts w:ascii="Arial" w:cs="Arial" w:eastAsia="Arial" w:hAnsi="Arial"/>
                <w:sz w:val="18"/>
                <w:szCs w:val="18"/>
                <w:color w:val="auto"/>
              </w:rPr>
              <w:t>www.proxyvote.com under the</w:t>
            </w:r>
          </w:p>
        </w:tc>
      </w:tr>
      <w:tr>
        <w:trPr>
          <w:trHeight w:val="267"/>
        </w:trPr>
        <w:tc>
          <w:tcPr>
            <w:tcW w:w="1540" w:type="dxa"/>
            <w:vAlign w:val="bottom"/>
            <w:tcBorders>
              <w:bottom w:val="single" w:sz="8" w:color="DBDBDB"/>
            </w:tcBorders>
            <w:shd w:val="clear" w:color="auto" w:fill="DBDBDB"/>
          </w:tcPr>
          <w:p>
            <w:pPr>
              <w:spacing w:after="0"/>
              <w:rPr>
                <w:sz w:val="22"/>
                <w:szCs w:val="22"/>
                <w:color w:val="auto"/>
              </w:rPr>
            </w:pPr>
          </w:p>
        </w:tc>
        <w:tc>
          <w:tcPr>
            <w:tcW w:w="29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“Delivery Settings” tab</w:t>
            </w:r>
          </w:p>
        </w:tc>
      </w:tr>
      <w:tr>
        <w:trPr>
          <w:trHeight w:val="231"/>
        </w:trPr>
        <w:tc>
          <w:tcPr>
            <w:tcW w:w="1540" w:type="dxa"/>
            <w:vAlign w:val="bottom"/>
            <w:tcBorders>
              <w:top w:val="single" w:sz="8" w:color="B6B6B6"/>
            </w:tcBorders>
            <w:shd w:val="clear" w:color="auto" w:fill="DBDBDB"/>
          </w:tcPr>
          <w:p>
            <w:pPr>
              <w:jc w:val="right"/>
              <w:ind w:right="190"/>
              <w:spacing w:after="0"/>
              <w:rPr>
                <w:sz w:val="20"/>
                <w:szCs w:val="20"/>
                <w:color w:val="auto"/>
              </w:rPr>
            </w:pPr>
            <w:r>
              <w:rPr>
                <w:rFonts w:ascii="Arial" w:cs="Arial" w:eastAsia="Arial" w:hAnsi="Arial"/>
                <w:sz w:val="18"/>
                <w:szCs w:val="18"/>
                <w:color w:val="auto"/>
              </w:rPr>
              <w:t>Telephone</w:t>
            </w:r>
          </w:p>
        </w:tc>
        <w:tc>
          <w:tcPr>
            <w:tcW w:w="2980" w:type="dxa"/>
            <w:vAlign w:val="bottom"/>
            <w:tcBorders>
              <w:top w:val="single" w:sz="8" w:color="B6B6B6"/>
            </w:tcBorders>
            <w:shd w:val="clear" w:color="auto" w:fill="DBDBDB"/>
          </w:tcPr>
          <w:p>
            <w:pPr>
              <w:ind w:left="20"/>
              <w:spacing w:after="0"/>
              <w:rPr>
                <w:sz w:val="20"/>
                <w:szCs w:val="20"/>
                <w:color w:val="auto"/>
              </w:rPr>
            </w:pPr>
            <w:r>
              <w:rPr>
                <w:rFonts w:ascii="Arial" w:cs="Arial" w:eastAsia="Arial" w:hAnsi="Arial"/>
                <w:sz w:val="18"/>
                <w:szCs w:val="18"/>
                <w:color w:val="auto"/>
              </w:rPr>
              <w:t>1-800-690-6903 and follow the</w:t>
            </w:r>
          </w:p>
        </w:tc>
      </w:tr>
      <w:tr>
        <w:trPr>
          <w:trHeight w:val="280"/>
        </w:trPr>
        <w:tc>
          <w:tcPr>
            <w:tcW w:w="1540" w:type="dxa"/>
            <w:vAlign w:val="bottom"/>
            <w:tcBorders>
              <w:bottom w:val="single" w:sz="8" w:color="DBDBDB"/>
            </w:tcBorders>
            <w:shd w:val="clear" w:color="auto" w:fill="DBDBDB"/>
          </w:tcPr>
          <w:p>
            <w:pPr>
              <w:spacing w:after="0"/>
              <w:rPr>
                <w:sz w:val="23"/>
                <w:szCs w:val="23"/>
                <w:color w:val="auto"/>
              </w:rPr>
            </w:pPr>
          </w:p>
        </w:tc>
        <w:tc>
          <w:tcPr>
            <w:tcW w:w="29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instructions provided</w:t>
            </w:r>
          </w:p>
        </w:tc>
      </w:tr>
      <w:tr>
        <w:trPr>
          <w:trHeight w:val="218"/>
        </w:trPr>
        <w:tc>
          <w:tcPr>
            <w:tcW w:w="1540" w:type="dxa"/>
            <w:vAlign w:val="bottom"/>
            <w:tcBorders>
              <w:top w:val="single" w:sz="8" w:color="B6B6B6"/>
            </w:tcBorders>
            <w:shd w:val="clear" w:color="auto" w:fill="DBDBDB"/>
          </w:tcPr>
          <w:p>
            <w:pPr>
              <w:jc w:val="right"/>
              <w:ind w:right="170"/>
              <w:spacing w:after="0"/>
              <w:rPr>
                <w:sz w:val="20"/>
                <w:szCs w:val="20"/>
                <w:color w:val="auto"/>
              </w:rPr>
            </w:pPr>
            <w:r>
              <w:rPr>
                <w:rFonts w:ascii="Arial" w:cs="Arial" w:eastAsia="Arial" w:hAnsi="Arial"/>
                <w:sz w:val="18"/>
                <w:szCs w:val="18"/>
                <w:color w:val="auto"/>
              </w:rPr>
              <w:t>Email</w:t>
            </w:r>
          </w:p>
        </w:tc>
        <w:tc>
          <w:tcPr>
            <w:tcW w:w="2980" w:type="dxa"/>
            <w:vAlign w:val="bottom"/>
            <w:tcBorders>
              <w:top w:val="single" w:sz="8" w:color="B6B6B6"/>
            </w:tcBorders>
            <w:shd w:val="clear" w:color="auto" w:fill="DBDBDB"/>
          </w:tcPr>
          <w:p>
            <w:pPr>
              <w:ind w:left="20"/>
              <w:spacing w:after="0"/>
              <w:rPr>
                <w:sz w:val="20"/>
                <w:szCs w:val="20"/>
                <w:color w:val="auto"/>
              </w:rPr>
            </w:pPr>
            <w:r>
              <w:rPr>
                <w:rFonts w:ascii="Arial" w:cs="Arial" w:eastAsia="Arial" w:hAnsi="Arial"/>
                <w:sz w:val="18"/>
                <w:szCs w:val="18"/>
                <w:color w:val="auto"/>
              </w:rPr>
              <w:t>Send a blank email with your control</w:t>
            </w:r>
          </w:p>
        </w:tc>
      </w:tr>
      <w:tr>
        <w:trPr>
          <w:trHeight w:val="216"/>
        </w:trPr>
        <w:tc>
          <w:tcPr>
            <w:tcW w:w="1540" w:type="dxa"/>
            <w:vAlign w:val="bottom"/>
            <w:shd w:val="clear" w:color="auto" w:fill="DBDBDB"/>
          </w:tcPr>
          <w:p>
            <w:pPr>
              <w:spacing w:after="0"/>
              <w:rPr>
                <w:sz w:val="18"/>
                <w:szCs w:val="18"/>
                <w:color w:val="auto"/>
              </w:rPr>
            </w:pPr>
          </w:p>
        </w:tc>
        <w:tc>
          <w:tcPr>
            <w:tcW w:w="2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number in the subject line to:</w:t>
            </w:r>
          </w:p>
        </w:tc>
      </w:tr>
      <w:tr>
        <w:trPr>
          <w:trHeight w:val="239"/>
        </w:trPr>
        <w:tc>
          <w:tcPr>
            <w:tcW w:w="1540" w:type="dxa"/>
            <w:vAlign w:val="bottom"/>
            <w:shd w:val="clear" w:color="auto" w:fill="DBDBDB"/>
          </w:tcPr>
          <w:p>
            <w:pPr>
              <w:spacing w:after="0"/>
              <w:rPr>
                <w:sz w:val="20"/>
                <w:szCs w:val="20"/>
                <w:color w:val="auto"/>
              </w:rPr>
            </w:pPr>
          </w:p>
        </w:tc>
        <w:tc>
          <w:tcPr>
            <w:tcW w:w="2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sendmaterial@proxyvote.com</w:t>
            </w:r>
          </w:p>
        </w:tc>
      </w:tr>
      <w:tr>
        <w:trPr>
          <w:trHeight w:val="352"/>
        </w:trPr>
        <w:tc>
          <w:tcPr>
            <w:tcW w:w="4520" w:type="dxa"/>
            <w:vAlign w:val="bottom"/>
            <w:tcBorders>
              <w:bottom w:val="single" w:sz="8" w:color="DBDBDB"/>
            </w:tcBorders>
            <w:gridSpan w:val="2"/>
            <w:shd w:val="clear" w:color="auto" w:fill="DBDBDB"/>
          </w:tcPr>
          <w:p>
            <w:pPr>
              <w:ind w:left="180"/>
              <w:spacing w:after="0"/>
              <w:rPr>
                <w:sz w:val="20"/>
                <w:szCs w:val="20"/>
                <w:color w:val="auto"/>
              </w:rPr>
            </w:pPr>
            <w:r>
              <w:rPr>
                <w:rFonts w:ascii="Arial" w:cs="Arial" w:eastAsia="Arial" w:hAnsi="Arial"/>
                <w:sz w:val="18"/>
                <w:szCs w:val="18"/>
                <w:color w:val="auto"/>
              </w:rPr>
              <w:t>Shares Held by Broker</w:t>
            </w:r>
          </w:p>
        </w:tc>
      </w:tr>
      <w:tr>
        <w:trPr>
          <w:trHeight w:val="218"/>
        </w:trPr>
        <w:tc>
          <w:tcPr>
            <w:tcW w:w="1540" w:type="dxa"/>
            <w:vAlign w:val="bottom"/>
            <w:tcBorders>
              <w:top w:val="single" w:sz="8" w:color="6D6D6D"/>
            </w:tcBorders>
            <w:shd w:val="clear" w:color="auto" w:fill="DBDBDB"/>
          </w:tcPr>
          <w:p>
            <w:pPr>
              <w:jc w:val="right"/>
              <w:ind w:right="170"/>
              <w:spacing w:after="0"/>
              <w:rPr>
                <w:sz w:val="20"/>
                <w:szCs w:val="20"/>
                <w:color w:val="auto"/>
              </w:rPr>
            </w:pPr>
            <w:r>
              <w:rPr>
                <w:rFonts w:ascii="Arial" w:cs="Arial" w:eastAsia="Arial" w:hAnsi="Arial"/>
                <w:sz w:val="18"/>
                <w:szCs w:val="18"/>
                <w:color w:val="auto"/>
              </w:rPr>
              <w:t>Contact</w:t>
            </w:r>
          </w:p>
        </w:tc>
        <w:tc>
          <w:tcPr>
            <w:tcW w:w="2980" w:type="dxa"/>
            <w:vAlign w:val="bottom"/>
            <w:tcBorders>
              <w:top w:val="single" w:sz="8" w:color="6D6D6D"/>
            </w:tcBorders>
            <w:shd w:val="clear" w:color="auto" w:fill="DBDBDB"/>
          </w:tcPr>
          <w:p>
            <w:pPr>
              <w:ind w:left="20"/>
              <w:spacing w:after="0"/>
              <w:rPr>
                <w:sz w:val="20"/>
                <w:szCs w:val="20"/>
                <w:color w:val="auto"/>
              </w:rPr>
            </w:pPr>
            <w:r>
              <w:rPr>
                <w:rFonts w:ascii="Arial" w:cs="Arial" w:eastAsia="Arial" w:hAnsi="Arial"/>
                <w:sz w:val="18"/>
                <w:szCs w:val="18"/>
                <w:color w:val="auto"/>
              </w:rPr>
              <w:t>Contact your bank, broker or other</w:t>
            </w:r>
          </w:p>
        </w:tc>
      </w:tr>
      <w:tr>
        <w:trPr>
          <w:trHeight w:val="239"/>
        </w:trPr>
        <w:tc>
          <w:tcPr>
            <w:tcW w:w="1540" w:type="dxa"/>
            <w:vAlign w:val="bottom"/>
            <w:shd w:val="clear" w:color="auto" w:fill="DBDBDB"/>
          </w:tcPr>
          <w:p>
            <w:pPr>
              <w:spacing w:after="0"/>
              <w:rPr>
                <w:sz w:val="20"/>
                <w:szCs w:val="20"/>
                <w:color w:val="auto"/>
              </w:rPr>
            </w:pPr>
          </w:p>
        </w:tc>
        <w:tc>
          <w:tcPr>
            <w:tcW w:w="2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nominee</w:t>
            </w:r>
          </w:p>
        </w:tc>
      </w:tr>
      <w:tr>
        <w:trPr>
          <w:trHeight w:val="320"/>
        </w:trPr>
        <w:tc>
          <w:tcPr>
            <w:tcW w:w="1540" w:type="dxa"/>
            <w:vAlign w:val="bottom"/>
            <w:shd w:val="clear" w:color="auto" w:fill="DBDBDB"/>
          </w:tcPr>
          <w:p>
            <w:pPr>
              <w:spacing w:after="0"/>
              <w:rPr>
                <w:sz w:val="24"/>
                <w:szCs w:val="24"/>
                <w:color w:val="auto"/>
              </w:rPr>
            </w:pPr>
          </w:p>
        </w:tc>
        <w:tc>
          <w:tcPr>
            <w:tcW w:w="2980" w:type="dxa"/>
            <w:vAlign w:val="bottom"/>
            <w:shd w:val="clear" w:color="auto" w:fill="DBDBDB"/>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-2558415</wp:posOffset>
            </wp:positionH>
            <wp:positionV relativeFrom="paragraph">
              <wp:posOffset>-2527935</wp:posOffset>
            </wp:positionV>
            <wp:extent cx="5631815" cy="2665730"/>
            <wp:wrapNone/>
            <wp:docPr id="2582" name="Picture 2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2"/>
                    <pic:cNvPicPr>
                      <a:picLocks noChangeAspect="1" noChangeArrowheads="1"/>
                    </pic:cNvPicPr>
                  </pic:nvPicPr>
                  <pic:blipFill>
                    <a:blip r:embed="rId2589">
                      <a:extLst>
                        <a:ext uri="{28A0092B-C50C-407E-A947-70E740481C1C}"/>
                      </a:extLst>
                    </a:blip>
                    <a:srcRect/>
                    <a:stretch>
                      <a:fillRect/>
                    </a:stretch>
                  </pic:blipFill>
                  <pic:spPr bwMode="auto">
                    <a:xfrm>
                      <a:off x="0" y="0"/>
                      <a:ext cx="5631815" cy="26657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900" w:space="300"/>
            <w:col w:w="5939"/>
          </w:cols>
          <w:pgMar w:left="320" w:top="769"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103505</wp:posOffset>
            </wp:positionV>
            <wp:extent cx="7157720" cy="42545"/>
            <wp:wrapNone/>
            <wp:docPr id="2583" name="Picture 2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3"/>
                    <pic:cNvPicPr>
                      <a:picLocks noChangeAspect="1" noChangeArrowheads="1"/>
                    </pic:cNvPicPr>
                  </pic:nvPicPr>
                  <pic:blipFill>
                    <a:blip r:embed="rId25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769" w:right="1440" w:bottom="1440" w:gutter="0" w:footer="0" w:header="0"/>
          <w:type w:val="continuous"/>
        </w:sectPr>
      </w:pPr>
    </w:p>
    <w:bookmarkStart w:id="92" w:name="page93"/>
    <w:bookmarkEnd w:id="92"/>
    <w:p>
      <w:pPr>
        <w:ind w:right="920"/>
        <w:spacing w:after="0" w:line="276" w:lineRule="auto"/>
        <w:rPr>
          <w:sz w:val="20"/>
          <w:szCs w:val="20"/>
          <w:color w:val="auto"/>
        </w:rPr>
      </w:pPr>
      <w:r>
        <w:rPr>
          <w:rFonts w:ascii="Arial" w:cs="Arial" w:eastAsia="Arial" w:hAnsi="Arial"/>
          <w:sz w:val="32"/>
          <w:szCs w:val="32"/>
          <w:b w:val="1"/>
          <w:bCs w:val="1"/>
          <w:color w:val="D52B1E"/>
        </w:rPr>
        <w:t>Appendix A - Summary of Adjustments Related to the Annual Cash Bonus and Performance Award</w:t>
      </w:r>
    </w:p>
    <w:p>
      <w:pPr>
        <w:spacing w:after="0" w:line="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Consistent with past practice, the Talent and Compensation Committee adjusted the reported financial results on which the 2024 annual cash bonus and the 2023-2024 performance awards were determined to eliminate the distorting effect of certain unusual items on incentive compensation performance measures. The adjustments were intended to:</w:t>
      </w:r>
    </w:p>
    <w:p>
      <w:pPr>
        <w:spacing w:after="0" w:line="117" w:lineRule="exact"/>
        <w:rPr>
          <w:sz w:val="20"/>
          <w:szCs w:val="20"/>
          <w:color w:val="auto"/>
        </w:rPr>
      </w:pPr>
    </w:p>
    <w:p>
      <w:pPr>
        <w:ind w:left="640" w:hanging="308"/>
        <w:spacing w:after="0"/>
        <w:tabs>
          <w:tab w:leader="none" w:pos="640" w:val="left"/>
        </w:tabs>
        <w:numPr>
          <w:ilvl w:val="0"/>
          <w:numId w:val="197"/>
        </w:numPr>
        <w:rPr>
          <w:rFonts w:ascii="Arial" w:cs="Arial" w:eastAsia="Arial" w:hAnsi="Arial"/>
          <w:sz w:val="16"/>
          <w:szCs w:val="16"/>
          <w:color w:val="auto"/>
        </w:rPr>
      </w:pPr>
      <w:r>
        <w:rPr>
          <w:rFonts w:ascii="Arial" w:cs="Arial" w:eastAsia="Arial" w:hAnsi="Arial"/>
          <w:sz w:val="18"/>
          <w:szCs w:val="18"/>
          <w:color w:val="auto"/>
        </w:rPr>
        <w:t>align award payments with the underlying performance of the core business</w:t>
      </w:r>
    </w:p>
    <w:p>
      <w:pPr>
        <w:spacing w:after="0" w:line="171" w:lineRule="exact"/>
        <w:rPr>
          <w:rFonts w:ascii="Arial" w:cs="Arial" w:eastAsia="Arial" w:hAnsi="Arial"/>
          <w:sz w:val="16"/>
          <w:szCs w:val="16"/>
          <w:color w:val="auto"/>
        </w:rPr>
      </w:pPr>
    </w:p>
    <w:p>
      <w:pPr>
        <w:ind w:left="660" w:right="320" w:hanging="328"/>
        <w:spacing w:after="0" w:line="287" w:lineRule="auto"/>
        <w:tabs>
          <w:tab w:leader="none" w:pos="649" w:val="left"/>
        </w:tabs>
        <w:numPr>
          <w:ilvl w:val="0"/>
          <w:numId w:val="197"/>
        </w:numPr>
        <w:rPr>
          <w:rFonts w:ascii="Arial" w:cs="Arial" w:eastAsia="Arial" w:hAnsi="Arial"/>
          <w:sz w:val="16"/>
          <w:szCs w:val="16"/>
          <w:color w:val="auto"/>
        </w:rPr>
      </w:pPr>
      <w:r>
        <w:rPr>
          <w:rFonts w:ascii="Arial" w:cs="Arial" w:eastAsia="Arial" w:hAnsi="Arial"/>
          <w:sz w:val="18"/>
          <w:szCs w:val="18"/>
          <w:color w:val="auto"/>
        </w:rPr>
        <w:t>avoid volatile, artificial inflation or deflation of awards due to unusual items during any year in the performance period, and, where relevant, the previous (comparator) year</w:t>
      </w:r>
    </w:p>
    <w:p>
      <w:pPr>
        <w:spacing w:after="0" w:line="98" w:lineRule="exact"/>
        <w:rPr>
          <w:rFonts w:ascii="Arial" w:cs="Arial" w:eastAsia="Arial" w:hAnsi="Arial"/>
          <w:sz w:val="16"/>
          <w:szCs w:val="16"/>
          <w:color w:val="auto"/>
        </w:rPr>
      </w:pPr>
    </w:p>
    <w:p>
      <w:pPr>
        <w:ind w:left="660" w:right="420" w:hanging="328"/>
        <w:spacing w:after="0" w:line="287" w:lineRule="auto"/>
        <w:tabs>
          <w:tab w:leader="none" w:pos="649" w:val="left"/>
        </w:tabs>
        <w:numPr>
          <w:ilvl w:val="0"/>
          <w:numId w:val="197"/>
        </w:numPr>
        <w:rPr>
          <w:rFonts w:ascii="Arial" w:cs="Arial" w:eastAsia="Arial" w:hAnsi="Arial"/>
          <w:sz w:val="16"/>
          <w:szCs w:val="16"/>
          <w:color w:val="auto"/>
        </w:rPr>
      </w:pPr>
      <w:r>
        <w:rPr>
          <w:rFonts w:ascii="Arial" w:cs="Arial" w:eastAsia="Arial" w:hAnsi="Arial"/>
          <w:sz w:val="18"/>
          <w:szCs w:val="18"/>
          <w:color w:val="auto"/>
        </w:rPr>
        <w:t>eliminate certain counterproductive short-term incentives—for example, incentives to refrain from acquiring new technologies, to defer disposing of underutilized assets, or to defer settling legacy legal proceedings to protect current bonus payments</w:t>
      </w:r>
    </w:p>
    <w:p>
      <w:pPr>
        <w:spacing w:after="0" w:line="98" w:lineRule="exact"/>
        <w:rPr>
          <w:rFonts w:ascii="Arial" w:cs="Arial" w:eastAsia="Arial" w:hAnsi="Arial"/>
          <w:sz w:val="16"/>
          <w:szCs w:val="16"/>
          <w:color w:val="auto"/>
        </w:rPr>
      </w:pPr>
    </w:p>
    <w:p>
      <w:pPr>
        <w:ind w:left="640" w:hanging="308"/>
        <w:spacing w:after="0"/>
        <w:tabs>
          <w:tab w:leader="none" w:pos="640" w:val="left"/>
        </w:tabs>
        <w:numPr>
          <w:ilvl w:val="0"/>
          <w:numId w:val="197"/>
        </w:numPr>
        <w:rPr>
          <w:rFonts w:ascii="Arial" w:cs="Arial" w:eastAsia="Arial" w:hAnsi="Arial"/>
          <w:sz w:val="16"/>
          <w:szCs w:val="16"/>
          <w:color w:val="auto"/>
        </w:rPr>
      </w:pPr>
      <w:r>
        <w:rPr>
          <w:rFonts w:ascii="Arial" w:cs="Arial" w:eastAsia="Arial" w:hAnsi="Arial"/>
          <w:sz w:val="18"/>
          <w:szCs w:val="18"/>
          <w:color w:val="auto"/>
        </w:rPr>
        <w:t>facilitate comparisons with peer companies</w:t>
      </w:r>
    </w:p>
    <w:p>
      <w:pPr>
        <w:spacing w:after="0" w:line="1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To ensure the integrity of the adjustments, the Talent and Compensation Committee reviews and approves adjustment guidelines at least annually. These guidelines are generally consistent with the company guidelines for reporting non-GAAP financial measures to the investment community, which are reviewed by the Audit Committee. The adjustments apply equally to income and expense items. The Talent and Compensation Committee reviews all adjustments and retains downward discretion (i.e., discretion to reduce compensation below the amounts that are yielded by the adjustment guidelines).</w:t>
      </w:r>
    </w:p>
    <w:p>
      <w:pPr>
        <w:spacing w:after="0" w:line="120" w:lineRule="exact"/>
        <w:rPr>
          <w:sz w:val="20"/>
          <w:szCs w:val="20"/>
          <w:color w:val="auto"/>
        </w:rPr>
      </w:pPr>
    </w:p>
    <w:p>
      <w:pPr>
        <w:spacing w:after="0"/>
        <w:rPr>
          <w:sz w:val="20"/>
          <w:szCs w:val="20"/>
          <w:color w:val="auto"/>
        </w:rPr>
      </w:pPr>
      <w:r>
        <w:rPr>
          <w:rFonts w:ascii="Arial" w:cs="Arial" w:eastAsia="Arial" w:hAnsi="Arial"/>
          <w:sz w:val="25"/>
          <w:szCs w:val="25"/>
          <w:b w:val="1"/>
          <w:bCs w:val="1"/>
          <w:color w:val="00A1DE"/>
        </w:rPr>
        <w:t>Adjustments for 2024 Bonus Plan</w:t>
      </w:r>
    </w:p>
    <w:p>
      <w:pPr>
        <w:spacing w:after="0" w:line="69"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For 2024 bonus calculations, the Talent and Compensation Committee made the following adjustments to reported EPS consistent with our external reporting of non-GAAP financial measures:</w:t>
      </w:r>
    </w:p>
    <w:p>
      <w:pPr>
        <w:spacing w:after="0" w:line="99" w:lineRule="exact"/>
        <w:rPr>
          <w:sz w:val="20"/>
          <w:szCs w:val="20"/>
          <w:color w:val="auto"/>
        </w:rPr>
      </w:pPr>
    </w:p>
    <w:p>
      <w:pPr>
        <w:ind w:left="640" w:hanging="308"/>
        <w:spacing w:after="0"/>
        <w:tabs>
          <w:tab w:leader="none" w:pos="640" w:val="left"/>
        </w:tabs>
        <w:numPr>
          <w:ilvl w:val="0"/>
          <w:numId w:val="198"/>
        </w:numPr>
        <w:rPr>
          <w:rFonts w:ascii="Arial" w:cs="Arial" w:eastAsia="Arial" w:hAnsi="Arial"/>
          <w:sz w:val="16"/>
          <w:szCs w:val="16"/>
          <w:color w:val="auto"/>
        </w:rPr>
      </w:pPr>
      <w:r>
        <w:rPr>
          <w:rFonts w:ascii="Arial" w:cs="Arial" w:eastAsia="Arial" w:hAnsi="Arial"/>
          <w:sz w:val="18"/>
          <w:szCs w:val="18"/>
          <w:color w:val="auto"/>
        </w:rPr>
        <w:t>Eliminated the impact of amortization of intangible assets</w:t>
      </w:r>
    </w:p>
    <w:p>
      <w:pPr>
        <w:spacing w:after="0" w:line="171" w:lineRule="exact"/>
        <w:rPr>
          <w:rFonts w:ascii="Arial" w:cs="Arial" w:eastAsia="Arial" w:hAnsi="Arial"/>
          <w:sz w:val="16"/>
          <w:szCs w:val="16"/>
          <w:color w:val="auto"/>
        </w:rPr>
      </w:pPr>
    </w:p>
    <w:p>
      <w:pPr>
        <w:ind w:left="640" w:hanging="308"/>
        <w:spacing w:after="0"/>
        <w:tabs>
          <w:tab w:leader="none" w:pos="640" w:val="left"/>
        </w:tabs>
        <w:numPr>
          <w:ilvl w:val="0"/>
          <w:numId w:val="198"/>
        </w:numPr>
        <w:rPr>
          <w:rFonts w:ascii="Arial" w:cs="Arial" w:eastAsia="Arial" w:hAnsi="Arial"/>
          <w:sz w:val="16"/>
          <w:szCs w:val="16"/>
          <w:color w:val="auto"/>
        </w:rPr>
      </w:pPr>
      <w:r>
        <w:rPr>
          <w:rFonts w:ascii="Arial" w:cs="Arial" w:eastAsia="Arial" w:hAnsi="Arial"/>
          <w:sz w:val="18"/>
          <w:szCs w:val="18"/>
          <w:color w:val="auto"/>
        </w:rPr>
        <w:t>Eliminated the impact of asset impairments, restructuring, and other special charges</w:t>
      </w:r>
    </w:p>
    <w:p>
      <w:pPr>
        <w:spacing w:after="0" w:line="171" w:lineRule="exact"/>
        <w:rPr>
          <w:rFonts w:ascii="Arial" w:cs="Arial" w:eastAsia="Arial" w:hAnsi="Arial"/>
          <w:sz w:val="16"/>
          <w:szCs w:val="16"/>
          <w:color w:val="auto"/>
        </w:rPr>
      </w:pPr>
    </w:p>
    <w:p>
      <w:pPr>
        <w:ind w:left="640" w:hanging="308"/>
        <w:spacing w:after="0"/>
        <w:tabs>
          <w:tab w:leader="none" w:pos="640" w:val="left"/>
        </w:tabs>
        <w:numPr>
          <w:ilvl w:val="0"/>
          <w:numId w:val="198"/>
        </w:numPr>
        <w:rPr>
          <w:rFonts w:ascii="Arial" w:cs="Arial" w:eastAsia="Arial" w:hAnsi="Arial"/>
          <w:sz w:val="16"/>
          <w:szCs w:val="16"/>
          <w:color w:val="auto"/>
        </w:rPr>
      </w:pPr>
      <w:r>
        <w:rPr>
          <w:rFonts w:ascii="Arial" w:cs="Arial" w:eastAsia="Arial" w:hAnsi="Arial"/>
          <w:sz w:val="18"/>
          <w:szCs w:val="18"/>
          <w:color w:val="auto"/>
        </w:rPr>
        <w:t>Eliminated the impact of net gains and losses on investments in equity securities</w:t>
      </w:r>
    </w:p>
    <w:p>
      <w:pPr>
        <w:spacing w:after="0" w:line="171"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In addition to the adjustments consistent with our reporting of non-GAAP financial measures, the Talent and Compensation Committee made the following adjustments:</w:t>
      </w:r>
    </w:p>
    <w:p>
      <w:pPr>
        <w:spacing w:after="0" w:line="99" w:lineRule="exact"/>
        <w:rPr>
          <w:sz w:val="20"/>
          <w:szCs w:val="20"/>
          <w:color w:val="auto"/>
        </w:rPr>
      </w:pPr>
    </w:p>
    <w:p>
      <w:pPr>
        <w:ind w:left="640" w:hanging="308"/>
        <w:spacing w:after="0"/>
        <w:tabs>
          <w:tab w:leader="none" w:pos="640" w:val="left"/>
        </w:tabs>
        <w:numPr>
          <w:ilvl w:val="0"/>
          <w:numId w:val="199"/>
        </w:numPr>
        <w:rPr>
          <w:rFonts w:ascii="Arial" w:cs="Arial" w:eastAsia="Arial" w:hAnsi="Arial"/>
          <w:sz w:val="16"/>
          <w:szCs w:val="16"/>
          <w:color w:val="auto"/>
        </w:rPr>
      </w:pPr>
      <w:r>
        <w:rPr>
          <w:rFonts w:ascii="Arial" w:cs="Arial" w:eastAsia="Arial" w:hAnsi="Arial"/>
          <w:sz w:val="18"/>
          <w:szCs w:val="18"/>
          <w:color w:val="auto"/>
        </w:rPr>
        <w:t>Eliminated the impact of acquired in-process research and development (IPR&amp;D) charges</w:t>
      </w:r>
    </w:p>
    <w:p>
      <w:pPr>
        <w:spacing w:after="0" w:line="171" w:lineRule="exact"/>
        <w:rPr>
          <w:rFonts w:ascii="Arial" w:cs="Arial" w:eastAsia="Arial" w:hAnsi="Arial"/>
          <w:sz w:val="16"/>
          <w:szCs w:val="16"/>
          <w:color w:val="auto"/>
        </w:rPr>
      </w:pPr>
    </w:p>
    <w:p>
      <w:pPr>
        <w:ind w:left="660" w:right="420" w:hanging="328"/>
        <w:spacing w:after="0" w:line="287" w:lineRule="auto"/>
        <w:tabs>
          <w:tab w:leader="none" w:pos="649" w:val="left"/>
        </w:tabs>
        <w:numPr>
          <w:ilvl w:val="0"/>
          <w:numId w:val="199"/>
        </w:numPr>
        <w:rPr>
          <w:rFonts w:ascii="Arial" w:cs="Arial" w:eastAsia="Arial" w:hAnsi="Arial"/>
          <w:sz w:val="16"/>
          <w:szCs w:val="16"/>
          <w:color w:val="auto"/>
        </w:rPr>
      </w:pPr>
      <w:r>
        <w:rPr>
          <w:rFonts w:ascii="Arial" w:cs="Arial" w:eastAsia="Arial" w:hAnsi="Arial"/>
          <w:sz w:val="18"/>
          <w:szCs w:val="18"/>
          <w:color w:val="auto"/>
        </w:rPr>
        <w:t>Eliminated the revenue and EPS impacts of business development transactions to divest certain products, which were not in the company’s 2024 bonus targets for revenue and EPS</w:t>
      </w:r>
    </w:p>
    <w:p>
      <w:pPr>
        <w:spacing w:after="0" w:line="98" w:lineRule="exact"/>
        <w:rPr>
          <w:rFonts w:ascii="Arial" w:cs="Arial" w:eastAsia="Arial" w:hAnsi="Arial"/>
          <w:sz w:val="16"/>
          <w:szCs w:val="16"/>
          <w:color w:val="auto"/>
        </w:rPr>
      </w:pPr>
    </w:p>
    <w:p>
      <w:pPr>
        <w:ind w:left="660" w:right="100" w:hanging="328"/>
        <w:spacing w:after="0" w:line="287" w:lineRule="auto"/>
        <w:tabs>
          <w:tab w:leader="none" w:pos="649" w:val="left"/>
        </w:tabs>
        <w:numPr>
          <w:ilvl w:val="0"/>
          <w:numId w:val="199"/>
        </w:numPr>
        <w:rPr>
          <w:rFonts w:ascii="Arial" w:cs="Arial" w:eastAsia="Arial" w:hAnsi="Arial"/>
          <w:sz w:val="16"/>
          <w:szCs w:val="16"/>
          <w:color w:val="auto"/>
        </w:rPr>
      </w:pPr>
      <w:r>
        <w:rPr>
          <w:rFonts w:ascii="Arial" w:cs="Arial" w:eastAsia="Arial" w:hAnsi="Arial"/>
          <w:sz w:val="18"/>
          <w:szCs w:val="18"/>
          <w:color w:val="auto"/>
        </w:rPr>
        <w:t>Eliminated the impact of the difference between actual foreign exchange rates and the foreign exchange rates that were assumed in the company’s 2024 bonus targets for revenue and EPS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adjustments to our reported revenue is below:</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20" w:type="dxa"/>
            <w:vAlign w:val="bottom"/>
          </w:tcPr>
          <w:p>
            <w:pPr>
              <w:spacing w:after="0"/>
              <w:rPr>
                <w:sz w:val="16"/>
                <w:szCs w:val="16"/>
                <w:color w:val="auto"/>
              </w:rPr>
            </w:pPr>
          </w:p>
        </w:tc>
        <w:tc>
          <w:tcPr>
            <w:tcW w:w="2000" w:type="dxa"/>
            <w:vAlign w:val="bottom"/>
          </w:tcPr>
          <w:p>
            <w:pPr>
              <w:jc w:val="right"/>
              <w:spacing w:after="0"/>
              <w:rPr>
                <w:sz w:val="20"/>
                <w:szCs w:val="20"/>
                <w:color w:val="auto"/>
              </w:rPr>
            </w:pPr>
            <w:r>
              <w:rPr>
                <w:rFonts w:ascii="Arial" w:cs="Arial" w:eastAsia="Arial" w:hAnsi="Arial"/>
                <w:sz w:val="14"/>
                <w:szCs w:val="14"/>
                <w:color w:val="auto"/>
              </w:rPr>
              <w:t>2024</w:t>
            </w:r>
          </w:p>
        </w:tc>
      </w:tr>
      <w:tr>
        <w:trPr>
          <w:trHeight w:val="28"/>
        </w:trPr>
        <w:tc>
          <w:tcPr>
            <w:tcW w:w="68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41"/>
        </w:trPr>
        <w:tc>
          <w:tcPr>
            <w:tcW w:w="6820" w:type="dxa"/>
            <w:vAlign w:val="bottom"/>
          </w:tcPr>
          <w:p>
            <w:pPr>
              <w:ind w:left="20"/>
              <w:spacing w:after="0"/>
              <w:rPr>
                <w:sz w:val="20"/>
                <w:szCs w:val="20"/>
                <w:color w:val="auto"/>
              </w:rPr>
            </w:pPr>
            <w:r>
              <w:rPr>
                <w:rFonts w:ascii="Arial" w:cs="Arial" w:eastAsia="Arial" w:hAnsi="Arial"/>
                <w:sz w:val="14"/>
                <w:szCs w:val="14"/>
                <w:b w:val="1"/>
                <w:bCs w:val="1"/>
                <w:color w:val="auto"/>
              </w:rPr>
              <w:t>Revenue as reported</w:t>
            </w:r>
          </w:p>
        </w:tc>
        <w:tc>
          <w:tcPr>
            <w:tcW w:w="2000" w:type="dxa"/>
            <w:vAlign w:val="bottom"/>
          </w:tcPr>
          <w:p>
            <w:pPr>
              <w:jc w:val="right"/>
              <w:spacing w:after="0"/>
              <w:rPr>
                <w:sz w:val="20"/>
                <w:szCs w:val="20"/>
                <w:color w:val="auto"/>
              </w:rPr>
            </w:pPr>
            <w:r>
              <w:rPr>
                <w:rFonts w:ascii="Arial" w:cs="Arial" w:eastAsia="Arial" w:hAnsi="Arial"/>
                <w:sz w:val="14"/>
                <w:szCs w:val="14"/>
                <w:b w:val="1"/>
                <w:bCs w:val="1"/>
                <w:color w:val="auto"/>
              </w:rPr>
              <w:t>$45,042.7</w:t>
            </w:r>
          </w:p>
        </w:tc>
      </w:tr>
      <w:tr>
        <w:trPr>
          <w:trHeight w:val="264"/>
        </w:trPr>
        <w:tc>
          <w:tcPr>
            <w:tcW w:w="6820" w:type="dxa"/>
            <w:vAlign w:val="bottom"/>
          </w:tcPr>
          <w:p>
            <w:pPr>
              <w:ind w:left="20"/>
              <w:spacing w:after="0"/>
              <w:rPr>
                <w:sz w:val="20"/>
                <w:szCs w:val="20"/>
                <w:color w:val="auto"/>
              </w:rPr>
            </w:pPr>
            <w:r>
              <w:rPr>
                <w:rFonts w:ascii="Arial" w:cs="Arial" w:eastAsia="Arial" w:hAnsi="Arial"/>
                <w:sz w:val="14"/>
                <w:szCs w:val="14"/>
                <w:color w:val="auto"/>
              </w:rPr>
              <w:t>Divestitures of products and collaboration amendment revenue</w:t>
            </w:r>
          </w:p>
        </w:tc>
        <w:tc>
          <w:tcPr>
            <w:tcW w:w="2000" w:type="dxa"/>
            <w:vAlign w:val="bottom"/>
          </w:tcPr>
          <w:p>
            <w:pPr>
              <w:jc w:val="right"/>
              <w:spacing w:after="0"/>
              <w:rPr>
                <w:sz w:val="20"/>
                <w:szCs w:val="20"/>
                <w:color w:val="auto"/>
              </w:rPr>
            </w:pPr>
            <w:r>
              <w:rPr>
                <w:rFonts w:ascii="Arial" w:cs="Arial" w:eastAsia="Arial" w:hAnsi="Arial"/>
                <w:sz w:val="14"/>
                <w:szCs w:val="14"/>
                <w:color w:val="auto"/>
              </w:rPr>
              <w:t>(547.0)</w:t>
            </w:r>
          </w:p>
        </w:tc>
      </w:tr>
      <w:tr>
        <w:trPr>
          <w:trHeight w:val="285"/>
        </w:trPr>
        <w:tc>
          <w:tcPr>
            <w:tcW w:w="6820" w:type="dxa"/>
            <w:vAlign w:val="bottom"/>
          </w:tcPr>
          <w:p>
            <w:pPr>
              <w:ind w:left="20"/>
              <w:spacing w:after="0"/>
              <w:rPr>
                <w:sz w:val="20"/>
                <w:szCs w:val="20"/>
                <w:color w:val="auto"/>
              </w:rPr>
            </w:pPr>
            <w:r>
              <w:rPr>
                <w:rFonts w:ascii="Arial" w:cs="Arial" w:eastAsia="Arial" w:hAnsi="Arial"/>
                <w:sz w:val="14"/>
                <w:szCs w:val="14"/>
                <w:color w:val="auto"/>
              </w:rPr>
              <w:t>Foreign exchange rate impact</w:t>
            </w:r>
          </w:p>
        </w:tc>
        <w:tc>
          <w:tcPr>
            <w:tcW w:w="2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68.0</w:t>
            </w:r>
          </w:p>
        </w:tc>
      </w:tr>
      <w:tr>
        <w:trPr>
          <w:trHeight w:val="241"/>
        </w:trPr>
        <w:tc>
          <w:tcPr>
            <w:tcW w:w="6820" w:type="dxa"/>
            <w:vAlign w:val="bottom"/>
          </w:tcPr>
          <w:p>
            <w:pPr>
              <w:ind w:left="20"/>
              <w:spacing w:after="0"/>
              <w:rPr>
                <w:sz w:val="20"/>
                <w:szCs w:val="20"/>
                <w:color w:val="auto"/>
              </w:rPr>
            </w:pPr>
            <w:r>
              <w:rPr>
                <w:rFonts w:ascii="Arial" w:cs="Arial" w:eastAsia="Arial" w:hAnsi="Arial"/>
                <w:sz w:val="14"/>
                <w:szCs w:val="14"/>
                <w:b w:val="1"/>
                <w:bCs w:val="1"/>
                <w:color w:val="auto"/>
              </w:rPr>
              <w:t>Adjusted revenue</w:t>
            </w:r>
          </w:p>
        </w:tc>
        <w:tc>
          <w:tcPr>
            <w:tcW w:w="2000" w:type="dxa"/>
            <w:vAlign w:val="bottom"/>
          </w:tcPr>
          <w:p>
            <w:pPr>
              <w:jc w:val="right"/>
              <w:spacing w:after="0"/>
              <w:rPr>
                <w:sz w:val="20"/>
                <w:szCs w:val="20"/>
                <w:color w:val="auto"/>
              </w:rPr>
            </w:pPr>
            <w:r>
              <w:rPr>
                <w:rFonts w:ascii="Arial" w:cs="Arial" w:eastAsia="Arial" w:hAnsi="Arial"/>
                <w:sz w:val="14"/>
                <w:szCs w:val="14"/>
                <w:b w:val="1"/>
                <w:bCs w:val="1"/>
                <w:color w:val="auto"/>
              </w:rPr>
              <w:t>$44,563.7</w:t>
            </w:r>
          </w:p>
        </w:tc>
      </w:tr>
    </w:tbl>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2584" name="Picture 2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4"/>
                    <pic:cNvPicPr>
                      <a:picLocks noChangeAspect="1" noChangeArrowheads="1"/>
                    </pic:cNvPicPr>
                  </pic:nvPicPr>
                  <pic:blipFill>
                    <a:blip r:embed="rId25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5" w:right="339" w:bottom="1440" w:gutter="0" w:footer="0" w:header="0"/>
        </w:sectPr>
      </w:pPr>
    </w:p>
    <w:bookmarkStart w:id="93" w:name="page94"/>
    <w:bookmarkEnd w:id="93"/>
    <w:p>
      <w:pPr>
        <w:spacing w:after="0"/>
        <w:rPr>
          <w:sz w:val="20"/>
          <w:szCs w:val="20"/>
          <w:color w:val="auto"/>
        </w:rPr>
      </w:pPr>
      <w:r>
        <w:rPr>
          <w:rFonts w:ascii="Arial" w:cs="Arial" w:eastAsia="Arial" w:hAnsi="Arial"/>
          <w:sz w:val="18"/>
          <w:szCs w:val="18"/>
          <w:color w:val="auto"/>
        </w:rPr>
        <w:t>A reconciliation of adjustments to our reported EPS is below:</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80" w:type="dxa"/>
            <w:vAlign w:val="bottom"/>
          </w:tcPr>
          <w:p>
            <w:pPr>
              <w:spacing w:after="0"/>
              <w:rPr>
                <w:sz w:val="16"/>
                <w:szCs w:val="16"/>
                <w:color w:val="auto"/>
              </w:rPr>
            </w:pPr>
          </w:p>
        </w:tc>
        <w:tc>
          <w:tcPr>
            <w:tcW w:w="1880" w:type="dxa"/>
            <w:vAlign w:val="bottom"/>
          </w:tcPr>
          <w:p>
            <w:pPr>
              <w:jc w:val="right"/>
              <w:spacing w:after="0"/>
              <w:rPr>
                <w:sz w:val="20"/>
                <w:szCs w:val="20"/>
                <w:color w:val="auto"/>
              </w:rPr>
            </w:pPr>
            <w:r>
              <w:rPr>
                <w:rFonts w:ascii="Arial" w:cs="Arial" w:eastAsia="Arial" w:hAnsi="Arial"/>
                <w:sz w:val="14"/>
                <w:szCs w:val="14"/>
                <w:color w:val="auto"/>
              </w:rPr>
              <w:t>2024</w:t>
            </w:r>
          </w:p>
        </w:tc>
      </w:tr>
      <w:tr>
        <w:trPr>
          <w:trHeight w:val="22"/>
        </w:trPr>
        <w:tc>
          <w:tcPr>
            <w:tcW w:w="69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r>
        <w:trPr>
          <w:trHeight w:val="221"/>
        </w:trPr>
        <w:tc>
          <w:tcPr>
            <w:tcW w:w="6980" w:type="dxa"/>
            <w:vAlign w:val="bottom"/>
          </w:tcPr>
          <w:p>
            <w:pPr>
              <w:ind w:left="20"/>
              <w:spacing w:after="0"/>
              <w:rPr>
                <w:sz w:val="20"/>
                <w:szCs w:val="20"/>
                <w:color w:val="auto"/>
              </w:rPr>
            </w:pPr>
            <w:r>
              <w:rPr>
                <w:rFonts w:ascii="Arial" w:cs="Arial" w:eastAsia="Arial" w:hAnsi="Arial"/>
                <w:sz w:val="14"/>
                <w:szCs w:val="14"/>
                <w:b w:val="1"/>
                <w:bCs w:val="1"/>
                <w:color w:val="auto"/>
              </w:rPr>
              <w:t>EPS as reported</w:t>
            </w:r>
          </w:p>
        </w:tc>
        <w:tc>
          <w:tcPr>
            <w:tcW w:w="1880" w:type="dxa"/>
            <w:vAlign w:val="bottom"/>
          </w:tcPr>
          <w:p>
            <w:pPr>
              <w:jc w:val="right"/>
              <w:spacing w:after="0"/>
              <w:rPr>
                <w:sz w:val="20"/>
                <w:szCs w:val="20"/>
                <w:color w:val="auto"/>
              </w:rPr>
            </w:pPr>
            <w:r>
              <w:rPr>
                <w:rFonts w:ascii="Arial" w:cs="Arial" w:eastAsia="Arial" w:hAnsi="Arial"/>
                <w:sz w:val="14"/>
                <w:szCs w:val="14"/>
                <w:b w:val="1"/>
                <w:bCs w:val="1"/>
                <w:color w:val="auto"/>
              </w:rPr>
              <w:t>$11.71</w:t>
            </w:r>
          </w:p>
        </w:tc>
      </w:tr>
      <w:tr>
        <w:trPr>
          <w:trHeight w:val="223"/>
        </w:trPr>
        <w:tc>
          <w:tcPr>
            <w:tcW w:w="6980" w:type="dxa"/>
            <w:vAlign w:val="bottom"/>
          </w:tcPr>
          <w:p>
            <w:pPr>
              <w:ind w:left="20"/>
              <w:spacing w:after="0"/>
              <w:rPr>
                <w:sz w:val="20"/>
                <w:szCs w:val="20"/>
                <w:color w:val="auto"/>
              </w:rPr>
            </w:pPr>
            <w:r>
              <w:rPr>
                <w:rFonts w:ascii="Arial" w:cs="Arial" w:eastAsia="Arial" w:hAnsi="Arial"/>
                <w:sz w:val="14"/>
                <w:szCs w:val="14"/>
                <w:color w:val="auto"/>
              </w:rPr>
              <w:t>Amortization of intangible assets</w:t>
            </w:r>
          </w:p>
        </w:tc>
        <w:tc>
          <w:tcPr>
            <w:tcW w:w="1880" w:type="dxa"/>
            <w:vAlign w:val="bottom"/>
          </w:tcPr>
          <w:p>
            <w:pPr>
              <w:jc w:val="right"/>
              <w:spacing w:after="0"/>
              <w:rPr>
                <w:sz w:val="20"/>
                <w:szCs w:val="20"/>
                <w:color w:val="auto"/>
              </w:rPr>
            </w:pPr>
            <w:r>
              <w:rPr>
                <w:rFonts w:ascii="Arial" w:cs="Arial" w:eastAsia="Arial" w:hAnsi="Arial"/>
                <w:sz w:val="14"/>
                <w:szCs w:val="14"/>
                <w:color w:val="auto"/>
              </w:rPr>
              <w:t>0.49</w:t>
            </w:r>
          </w:p>
        </w:tc>
      </w:tr>
      <w:tr>
        <w:trPr>
          <w:trHeight w:val="229"/>
        </w:trPr>
        <w:tc>
          <w:tcPr>
            <w:tcW w:w="6980" w:type="dxa"/>
            <w:vAlign w:val="bottom"/>
          </w:tcPr>
          <w:p>
            <w:pPr>
              <w:ind w:left="20"/>
              <w:spacing w:after="0"/>
              <w:rPr>
                <w:sz w:val="20"/>
                <w:szCs w:val="20"/>
                <w:color w:val="auto"/>
              </w:rPr>
            </w:pPr>
            <w:r>
              <w:rPr>
                <w:rFonts w:ascii="Arial" w:cs="Arial" w:eastAsia="Arial" w:hAnsi="Arial"/>
                <w:sz w:val="14"/>
                <w:szCs w:val="14"/>
                <w:color w:val="auto"/>
              </w:rPr>
              <w:t>Asset impairments, restructuring, and other special charges</w:t>
            </w:r>
          </w:p>
        </w:tc>
        <w:tc>
          <w:tcPr>
            <w:tcW w:w="1880" w:type="dxa"/>
            <w:vAlign w:val="bottom"/>
          </w:tcPr>
          <w:p>
            <w:pPr>
              <w:jc w:val="right"/>
              <w:spacing w:after="0"/>
              <w:rPr>
                <w:sz w:val="20"/>
                <w:szCs w:val="20"/>
                <w:color w:val="auto"/>
              </w:rPr>
            </w:pPr>
            <w:r>
              <w:rPr>
                <w:rFonts w:ascii="Arial" w:cs="Arial" w:eastAsia="Arial" w:hAnsi="Arial"/>
                <w:sz w:val="14"/>
                <w:szCs w:val="14"/>
                <w:color w:val="auto"/>
              </w:rPr>
              <w:t>0.75</w:t>
            </w:r>
          </w:p>
        </w:tc>
      </w:tr>
      <w:tr>
        <w:trPr>
          <w:trHeight w:val="230"/>
        </w:trPr>
        <w:tc>
          <w:tcPr>
            <w:tcW w:w="6980" w:type="dxa"/>
            <w:vAlign w:val="bottom"/>
          </w:tcPr>
          <w:p>
            <w:pPr>
              <w:ind w:left="20"/>
              <w:spacing w:after="0"/>
              <w:rPr>
                <w:sz w:val="20"/>
                <w:szCs w:val="20"/>
                <w:color w:val="auto"/>
              </w:rPr>
            </w:pPr>
            <w:r>
              <w:rPr>
                <w:rFonts w:ascii="Arial" w:cs="Arial" w:eastAsia="Arial" w:hAnsi="Arial"/>
                <w:sz w:val="14"/>
                <w:szCs w:val="14"/>
                <w:color w:val="auto"/>
              </w:rPr>
              <w:t>Net losses on investments in equity securities</w:t>
            </w:r>
          </w:p>
        </w:tc>
        <w:tc>
          <w:tcPr>
            <w:tcW w:w="1880" w:type="dxa"/>
            <w:vAlign w:val="bottom"/>
          </w:tcPr>
          <w:p>
            <w:pPr>
              <w:jc w:val="right"/>
              <w:spacing w:after="0"/>
              <w:rPr>
                <w:sz w:val="20"/>
                <w:szCs w:val="20"/>
                <w:color w:val="auto"/>
              </w:rPr>
            </w:pPr>
            <w:r>
              <w:rPr>
                <w:rFonts w:ascii="Arial" w:cs="Arial" w:eastAsia="Arial" w:hAnsi="Arial"/>
                <w:sz w:val="14"/>
                <w:szCs w:val="14"/>
                <w:color w:val="auto"/>
              </w:rPr>
              <w:t>0.04</w:t>
            </w:r>
          </w:p>
        </w:tc>
      </w:tr>
      <w:tr>
        <w:trPr>
          <w:trHeight w:val="22"/>
        </w:trPr>
        <w:tc>
          <w:tcPr>
            <w:tcW w:w="698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r>
        <w:trPr>
          <w:trHeight w:val="207"/>
        </w:trPr>
        <w:tc>
          <w:tcPr>
            <w:tcW w:w="6980" w:type="dxa"/>
            <w:vAlign w:val="bottom"/>
          </w:tcPr>
          <w:p>
            <w:pPr>
              <w:ind w:left="20"/>
              <w:spacing w:after="0"/>
              <w:rPr>
                <w:sz w:val="20"/>
                <w:szCs w:val="20"/>
                <w:color w:val="auto"/>
              </w:rPr>
            </w:pPr>
            <w:r>
              <w:rPr>
                <w:rFonts w:ascii="Arial" w:cs="Arial" w:eastAsia="Arial" w:hAnsi="Arial"/>
                <w:sz w:val="14"/>
                <w:szCs w:val="14"/>
                <w:b w:val="1"/>
                <w:bCs w:val="1"/>
                <w:color w:val="auto"/>
              </w:rPr>
              <w:t>Non-GAAP EPS</w:t>
            </w:r>
          </w:p>
        </w:tc>
        <w:tc>
          <w:tcPr>
            <w:tcW w:w="1880" w:type="dxa"/>
            <w:vAlign w:val="bottom"/>
          </w:tcPr>
          <w:p>
            <w:pPr>
              <w:jc w:val="right"/>
              <w:spacing w:after="0"/>
              <w:rPr>
                <w:sz w:val="20"/>
                <w:szCs w:val="20"/>
                <w:color w:val="auto"/>
              </w:rPr>
            </w:pPr>
            <w:r>
              <w:rPr>
                <w:rFonts w:ascii="Arial" w:cs="Arial" w:eastAsia="Arial" w:hAnsi="Arial"/>
                <w:sz w:val="14"/>
                <w:szCs w:val="14"/>
                <w:b w:val="1"/>
                <w:bCs w:val="1"/>
                <w:color w:val="auto"/>
              </w:rPr>
              <w:t>12.99</w:t>
            </w:r>
          </w:p>
        </w:tc>
      </w:tr>
      <w:tr>
        <w:trPr>
          <w:trHeight w:val="224"/>
        </w:trPr>
        <w:tc>
          <w:tcPr>
            <w:tcW w:w="6980" w:type="dxa"/>
            <w:vAlign w:val="bottom"/>
          </w:tcPr>
          <w:p>
            <w:pPr>
              <w:ind w:left="20"/>
              <w:spacing w:after="0"/>
              <w:rPr>
                <w:sz w:val="20"/>
                <w:szCs w:val="20"/>
                <w:color w:val="auto"/>
              </w:rPr>
            </w:pPr>
            <w:r>
              <w:rPr>
                <w:rFonts w:ascii="Arial" w:cs="Arial" w:eastAsia="Arial" w:hAnsi="Arial"/>
                <w:sz w:val="14"/>
                <w:szCs w:val="14"/>
                <w:color w:val="auto"/>
              </w:rPr>
              <w:t>Acquired IPR&amp;D charges</w:t>
            </w:r>
          </w:p>
        </w:tc>
        <w:tc>
          <w:tcPr>
            <w:tcW w:w="1880" w:type="dxa"/>
            <w:vAlign w:val="bottom"/>
          </w:tcPr>
          <w:p>
            <w:pPr>
              <w:jc w:val="right"/>
              <w:spacing w:after="0"/>
              <w:rPr>
                <w:sz w:val="20"/>
                <w:szCs w:val="20"/>
                <w:color w:val="auto"/>
              </w:rPr>
            </w:pPr>
            <w:r>
              <w:rPr>
                <w:rFonts w:ascii="Arial" w:cs="Arial" w:eastAsia="Arial" w:hAnsi="Arial"/>
                <w:sz w:val="14"/>
                <w:szCs w:val="14"/>
                <w:color w:val="auto"/>
              </w:rPr>
              <w:t>3.52</w:t>
            </w:r>
          </w:p>
        </w:tc>
      </w:tr>
      <w:tr>
        <w:trPr>
          <w:trHeight w:val="229"/>
        </w:trPr>
        <w:tc>
          <w:tcPr>
            <w:tcW w:w="6980" w:type="dxa"/>
            <w:vAlign w:val="bottom"/>
          </w:tcPr>
          <w:p>
            <w:pPr>
              <w:ind w:left="20"/>
              <w:spacing w:after="0"/>
              <w:rPr>
                <w:sz w:val="20"/>
                <w:szCs w:val="20"/>
                <w:color w:val="auto"/>
              </w:rPr>
            </w:pPr>
            <w:r>
              <w:rPr>
                <w:rFonts w:ascii="Arial" w:cs="Arial" w:eastAsia="Arial" w:hAnsi="Arial"/>
                <w:sz w:val="14"/>
                <w:szCs w:val="14"/>
                <w:color w:val="auto"/>
              </w:rPr>
              <w:t>Divestitures of products and collaboration amendment revenue</w:t>
            </w:r>
          </w:p>
        </w:tc>
        <w:tc>
          <w:tcPr>
            <w:tcW w:w="1880" w:type="dxa"/>
            <w:vAlign w:val="bottom"/>
          </w:tcPr>
          <w:p>
            <w:pPr>
              <w:jc w:val="right"/>
              <w:spacing w:after="0"/>
              <w:rPr>
                <w:sz w:val="20"/>
                <w:szCs w:val="20"/>
                <w:color w:val="auto"/>
              </w:rPr>
            </w:pPr>
            <w:r>
              <w:rPr>
                <w:rFonts w:ascii="Arial" w:cs="Arial" w:eastAsia="Arial" w:hAnsi="Arial"/>
                <w:sz w:val="14"/>
                <w:szCs w:val="14"/>
                <w:color w:val="auto"/>
              </w:rPr>
              <w:t>(0.44)</w:t>
            </w:r>
          </w:p>
        </w:tc>
      </w:tr>
      <w:tr>
        <w:trPr>
          <w:trHeight w:val="229"/>
        </w:trPr>
        <w:tc>
          <w:tcPr>
            <w:tcW w:w="6980" w:type="dxa"/>
            <w:vAlign w:val="bottom"/>
          </w:tcPr>
          <w:p>
            <w:pPr>
              <w:ind w:left="20"/>
              <w:spacing w:after="0"/>
              <w:rPr>
                <w:sz w:val="20"/>
                <w:szCs w:val="20"/>
                <w:color w:val="auto"/>
              </w:rPr>
            </w:pPr>
            <w:r>
              <w:rPr>
                <w:rFonts w:ascii="Arial" w:cs="Arial" w:eastAsia="Arial" w:hAnsi="Arial"/>
                <w:sz w:val="14"/>
                <w:szCs w:val="14"/>
                <w:color w:val="auto"/>
              </w:rPr>
              <w:t>Foreign exchange rate impact</w:t>
            </w:r>
          </w:p>
        </w:tc>
        <w:tc>
          <w:tcPr>
            <w:tcW w:w="1880" w:type="dxa"/>
            <w:vAlign w:val="bottom"/>
          </w:tcPr>
          <w:p>
            <w:pPr>
              <w:jc w:val="right"/>
              <w:spacing w:after="0"/>
              <w:rPr>
                <w:sz w:val="20"/>
                <w:szCs w:val="20"/>
                <w:color w:val="auto"/>
              </w:rPr>
            </w:pPr>
            <w:r>
              <w:rPr>
                <w:rFonts w:ascii="Arial" w:cs="Arial" w:eastAsia="Arial" w:hAnsi="Arial"/>
                <w:sz w:val="14"/>
                <w:szCs w:val="14"/>
                <w:color w:val="auto"/>
              </w:rPr>
              <w:t>0.04</w:t>
            </w:r>
          </w:p>
        </w:tc>
      </w:tr>
      <w:tr>
        <w:trPr>
          <w:trHeight w:val="22"/>
        </w:trPr>
        <w:tc>
          <w:tcPr>
            <w:tcW w:w="698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r>
        <w:trPr>
          <w:trHeight w:val="208"/>
        </w:trPr>
        <w:tc>
          <w:tcPr>
            <w:tcW w:w="6980" w:type="dxa"/>
            <w:vAlign w:val="bottom"/>
          </w:tcPr>
          <w:p>
            <w:pPr>
              <w:ind w:left="20"/>
              <w:spacing w:after="0"/>
              <w:rPr>
                <w:sz w:val="20"/>
                <w:szCs w:val="20"/>
                <w:color w:val="auto"/>
              </w:rPr>
            </w:pPr>
            <w:r>
              <w:rPr>
                <w:rFonts w:ascii="Arial" w:cs="Arial" w:eastAsia="Arial" w:hAnsi="Arial"/>
                <w:sz w:val="14"/>
                <w:szCs w:val="14"/>
                <w:b w:val="1"/>
                <w:bCs w:val="1"/>
                <w:color w:val="auto"/>
              </w:rPr>
              <w:t>Adjusted non-GAAP EPS for purposes of annual cash bonus</w:t>
            </w:r>
          </w:p>
        </w:tc>
        <w:tc>
          <w:tcPr>
            <w:tcW w:w="1880" w:type="dxa"/>
            <w:vAlign w:val="bottom"/>
          </w:tcPr>
          <w:p>
            <w:pPr>
              <w:jc w:val="right"/>
              <w:spacing w:after="0"/>
              <w:rPr>
                <w:sz w:val="20"/>
                <w:szCs w:val="20"/>
                <w:color w:val="auto"/>
              </w:rPr>
            </w:pPr>
            <w:r>
              <w:rPr>
                <w:rFonts w:ascii="Arial" w:cs="Arial" w:eastAsia="Arial" w:hAnsi="Arial"/>
                <w:sz w:val="14"/>
                <w:szCs w:val="14"/>
                <w:b w:val="1"/>
                <w:bCs w:val="1"/>
                <w:color w:val="auto"/>
              </w:rPr>
              <w:t>$16.11</w:t>
            </w:r>
          </w:p>
        </w:tc>
      </w:tr>
    </w:tbl>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spacing w:after="0" w:line="391" w:lineRule="exact"/>
        <w:rPr>
          <w:sz w:val="20"/>
          <w:szCs w:val="20"/>
          <w:color w:val="auto"/>
        </w:rPr>
      </w:pPr>
    </w:p>
    <w:p>
      <w:pPr>
        <w:spacing w:after="0"/>
        <w:rPr>
          <w:sz w:val="20"/>
          <w:szCs w:val="20"/>
          <w:color w:val="auto"/>
        </w:rPr>
      </w:pPr>
      <w:r>
        <w:rPr>
          <w:rFonts w:ascii="Arial" w:cs="Arial" w:eastAsia="Arial" w:hAnsi="Arial"/>
          <w:sz w:val="25"/>
          <w:szCs w:val="25"/>
          <w:b w:val="1"/>
          <w:bCs w:val="1"/>
          <w:color w:val="00A1DE"/>
        </w:rPr>
        <w:t>Adjustments for 2023-2024 Performance Award</w:t>
      </w:r>
    </w:p>
    <w:p>
      <w:pPr>
        <w:spacing w:after="0" w:line="83"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color w:val="auto"/>
        </w:rPr>
        <w:t>For the 2023-2024 performance award payout calculations, the Talent and Compensation Committee made the following adjustments to reported EPS consistent with our reporting of non-GAAP financial measures:</w:t>
      </w:r>
    </w:p>
    <w:p>
      <w:pPr>
        <w:spacing w:after="0" w:line="99" w:lineRule="exact"/>
        <w:rPr>
          <w:sz w:val="20"/>
          <w:szCs w:val="20"/>
          <w:color w:val="auto"/>
        </w:rPr>
      </w:pPr>
    </w:p>
    <w:p>
      <w:pPr>
        <w:ind w:left="640" w:hanging="308"/>
        <w:spacing w:after="0"/>
        <w:tabs>
          <w:tab w:leader="none" w:pos="640" w:val="left"/>
        </w:tabs>
        <w:numPr>
          <w:ilvl w:val="0"/>
          <w:numId w:val="200"/>
        </w:numPr>
        <w:rPr>
          <w:rFonts w:ascii="Arial" w:cs="Arial" w:eastAsia="Arial" w:hAnsi="Arial"/>
          <w:sz w:val="16"/>
          <w:szCs w:val="16"/>
          <w:color w:val="auto"/>
        </w:rPr>
      </w:pPr>
      <w:r>
        <w:rPr>
          <w:rFonts w:ascii="Arial" w:cs="Arial" w:eastAsia="Arial" w:hAnsi="Arial"/>
          <w:sz w:val="18"/>
          <w:szCs w:val="18"/>
          <w:color w:val="auto"/>
        </w:rPr>
        <w:t>2024, 2023, and 2022: Eliminated the impact of amortization of intangible assets</w:t>
      </w:r>
    </w:p>
    <w:p>
      <w:pPr>
        <w:spacing w:after="0" w:line="171" w:lineRule="exact"/>
        <w:rPr>
          <w:rFonts w:ascii="Arial" w:cs="Arial" w:eastAsia="Arial" w:hAnsi="Arial"/>
          <w:sz w:val="16"/>
          <w:szCs w:val="16"/>
          <w:color w:val="auto"/>
        </w:rPr>
      </w:pPr>
    </w:p>
    <w:p>
      <w:pPr>
        <w:ind w:left="640" w:hanging="308"/>
        <w:spacing w:after="0"/>
        <w:tabs>
          <w:tab w:leader="none" w:pos="640" w:val="left"/>
        </w:tabs>
        <w:numPr>
          <w:ilvl w:val="0"/>
          <w:numId w:val="200"/>
        </w:numPr>
        <w:rPr>
          <w:rFonts w:ascii="Arial" w:cs="Arial" w:eastAsia="Arial" w:hAnsi="Arial"/>
          <w:sz w:val="16"/>
          <w:szCs w:val="16"/>
          <w:color w:val="auto"/>
        </w:rPr>
      </w:pPr>
      <w:r>
        <w:rPr>
          <w:rFonts w:ascii="Arial" w:cs="Arial" w:eastAsia="Arial" w:hAnsi="Arial"/>
          <w:sz w:val="18"/>
          <w:szCs w:val="18"/>
          <w:color w:val="auto"/>
        </w:rPr>
        <w:t>2024, 2023, and 2022: Eliminated the impact of asset impairments, restructuring, and other special charges</w:t>
      </w:r>
    </w:p>
    <w:p>
      <w:pPr>
        <w:spacing w:after="0" w:line="171" w:lineRule="exact"/>
        <w:rPr>
          <w:rFonts w:ascii="Arial" w:cs="Arial" w:eastAsia="Arial" w:hAnsi="Arial"/>
          <w:sz w:val="16"/>
          <w:szCs w:val="16"/>
          <w:color w:val="auto"/>
        </w:rPr>
      </w:pPr>
    </w:p>
    <w:p>
      <w:pPr>
        <w:ind w:left="640" w:hanging="308"/>
        <w:spacing w:after="0"/>
        <w:tabs>
          <w:tab w:leader="none" w:pos="640" w:val="left"/>
        </w:tabs>
        <w:numPr>
          <w:ilvl w:val="0"/>
          <w:numId w:val="200"/>
        </w:numPr>
        <w:rPr>
          <w:rFonts w:ascii="Arial" w:cs="Arial" w:eastAsia="Arial" w:hAnsi="Arial"/>
          <w:sz w:val="16"/>
          <w:szCs w:val="16"/>
          <w:color w:val="auto"/>
        </w:rPr>
      </w:pPr>
      <w:r>
        <w:rPr>
          <w:rFonts w:ascii="Arial" w:cs="Arial" w:eastAsia="Arial" w:hAnsi="Arial"/>
          <w:sz w:val="18"/>
          <w:szCs w:val="18"/>
          <w:color w:val="auto"/>
        </w:rPr>
        <w:t>2024, 2023, and 2022: Eliminated the impact of net gains and losses on investments in equity securities</w:t>
      </w:r>
    </w:p>
    <w:p>
      <w:pPr>
        <w:spacing w:after="0" w:line="171"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In addition to the adjustments consistent with our reporting of non-GAAP financial measures, the Talent and Compensation Committee made the following adjustment:</w:t>
      </w:r>
    </w:p>
    <w:p>
      <w:pPr>
        <w:spacing w:after="0" w:line="99" w:lineRule="exact"/>
        <w:rPr>
          <w:sz w:val="20"/>
          <w:szCs w:val="20"/>
          <w:color w:val="auto"/>
        </w:rPr>
      </w:pPr>
    </w:p>
    <w:p>
      <w:pPr>
        <w:ind w:right="3540" w:firstLine="332"/>
        <w:spacing w:after="0" w:line="464" w:lineRule="auto"/>
        <w:tabs>
          <w:tab w:leader="none" w:pos="637" w:val="left"/>
        </w:tabs>
        <w:numPr>
          <w:ilvl w:val="0"/>
          <w:numId w:val="201"/>
        </w:numPr>
        <w:rPr>
          <w:rFonts w:ascii="Arial" w:cs="Arial" w:eastAsia="Arial" w:hAnsi="Arial"/>
          <w:sz w:val="16"/>
          <w:szCs w:val="16"/>
          <w:color w:val="auto"/>
        </w:rPr>
      </w:pPr>
      <w:r>
        <w:rPr>
          <w:rFonts w:ascii="Arial" w:cs="Arial" w:eastAsia="Arial" w:hAnsi="Arial"/>
          <w:sz w:val="18"/>
          <w:szCs w:val="18"/>
          <w:color w:val="auto"/>
        </w:rPr>
        <w:t>2024, 2023, and 2022: Eliminated the impact of charges recognized for acquired IPR&amp;D A reconciliation of adjustments to our reported EPS is below:</w:t>
      </w:r>
    </w:p>
    <w:tbl>
      <w:tblPr>
        <w:tblLayout w:type="fixed"/>
        <w:tblInd w:w="0" w:type="dxa"/>
        <w:tblCellMar>
          <w:top w:w="0" w:type="dxa"/>
          <w:left w:w="0" w:type="dxa"/>
          <w:bottom w:w="0" w:type="dxa"/>
          <w:right w:w="0" w:type="dxa"/>
        </w:tblCellMar>
      </w:tblPr>
      <w:tr>
        <w:trPr>
          <w:trHeight w:val="337"/>
        </w:trPr>
        <w:tc>
          <w:tcPr>
            <w:tcW w:w="36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1120" w:type="dxa"/>
            <w:vAlign w:val="bottom"/>
            <w:tcBorders>
              <w:top w:val="single" w:sz="8" w:color="auto"/>
              <w:right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 Change</w:t>
            </w:r>
          </w:p>
        </w:tc>
        <w:tc>
          <w:tcPr>
            <w:tcW w:w="940" w:type="dxa"/>
            <w:vAlign w:val="bottom"/>
            <w:tcBorders>
              <w:right w:val="single" w:sz="8" w:color="auto"/>
            </w:tcBorders>
          </w:tcPr>
          <w:p>
            <w:pPr>
              <w:spacing w:after="0"/>
              <w:rPr>
                <w:sz w:val="24"/>
                <w:szCs w:val="24"/>
                <w:color w:val="auto"/>
              </w:rPr>
            </w:pPr>
          </w:p>
        </w:tc>
        <w:tc>
          <w:tcPr>
            <w:tcW w:w="116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4"/>
                <w:szCs w:val="14"/>
                <w:b w:val="1"/>
                <w:bCs w:val="1"/>
                <w:color w:val="auto"/>
              </w:rPr>
              <w:t>% Change 2023</w:t>
            </w:r>
          </w:p>
        </w:tc>
      </w:tr>
      <w:tr>
        <w:trPr>
          <w:trHeight w:val="219"/>
        </w:trPr>
        <w:tc>
          <w:tcPr>
            <w:tcW w:w="36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2024</w:t>
            </w:r>
          </w:p>
        </w:tc>
        <w:tc>
          <w:tcPr>
            <w:tcW w:w="880" w:type="dxa"/>
            <w:vAlign w:val="bottom"/>
            <w:tcBorders>
              <w:bottom w:val="single" w:sz="8" w:color="auto"/>
              <w:right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2023</w:t>
            </w:r>
          </w:p>
        </w:tc>
        <w:tc>
          <w:tcPr>
            <w:tcW w:w="112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2024 vs. 2023</w:t>
            </w:r>
          </w:p>
        </w:tc>
        <w:tc>
          <w:tcPr>
            <w:tcW w:w="940" w:type="dxa"/>
            <w:vAlign w:val="bottom"/>
            <w:tcBorders>
              <w:bottom w:val="single" w:sz="8" w:color="auto"/>
              <w:right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2022</w:t>
            </w:r>
          </w:p>
        </w:tc>
        <w:tc>
          <w:tcPr>
            <w:tcW w:w="1160" w:type="dxa"/>
            <w:vAlign w:val="bottom"/>
            <w:tcBorders>
              <w:bottom w:val="single" w:sz="8" w:color="auto"/>
              <w:right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vs. 2022</w:t>
            </w:r>
          </w:p>
        </w:tc>
      </w:tr>
      <w:tr>
        <w:trPr>
          <w:trHeight w:val="228"/>
        </w:trPr>
        <w:tc>
          <w:tcPr>
            <w:tcW w:w="3640" w:type="dxa"/>
            <w:vAlign w:val="bottom"/>
          </w:tcPr>
          <w:p>
            <w:pPr>
              <w:ind w:left="20"/>
              <w:spacing w:after="0"/>
              <w:rPr>
                <w:sz w:val="20"/>
                <w:szCs w:val="20"/>
                <w:color w:val="auto"/>
              </w:rPr>
            </w:pPr>
            <w:r>
              <w:rPr>
                <w:rFonts w:ascii="Arial" w:cs="Arial" w:eastAsia="Arial" w:hAnsi="Arial"/>
                <w:sz w:val="14"/>
                <w:szCs w:val="14"/>
                <w:b w:val="1"/>
                <w:bCs w:val="1"/>
                <w:color w:val="auto"/>
              </w:rPr>
              <w:t>EPS as reported</w:t>
            </w:r>
          </w:p>
        </w:tc>
        <w:tc>
          <w:tcPr>
            <w:tcW w:w="980" w:type="dxa"/>
            <w:vAlign w:val="bottom"/>
          </w:tcPr>
          <w:p>
            <w:pPr>
              <w:jc w:val="right"/>
              <w:ind w:right="148"/>
              <w:spacing w:after="0"/>
              <w:rPr>
                <w:sz w:val="20"/>
                <w:szCs w:val="20"/>
                <w:color w:val="auto"/>
              </w:rPr>
            </w:pPr>
            <w:r>
              <w:rPr>
                <w:rFonts w:ascii="Arial" w:cs="Arial" w:eastAsia="Arial" w:hAnsi="Arial"/>
                <w:sz w:val="14"/>
                <w:szCs w:val="14"/>
                <w:b w:val="1"/>
                <w:bCs w:val="1"/>
                <w:color w:val="auto"/>
              </w:rPr>
              <w:t>$11.71</w:t>
            </w:r>
          </w:p>
        </w:tc>
        <w:tc>
          <w:tcPr>
            <w:tcW w:w="8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$5.80</w:t>
            </w:r>
          </w:p>
        </w:tc>
        <w:tc>
          <w:tcPr>
            <w:tcW w:w="112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101.9 %</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$6.90</w:t>
            </w:r>
          </w:p>
        </w:tc>
        <w:tc>
          <w:tcPr>
            <w:tcW w:w="1160" w:type="dxa"/>
            <w:vAlign w:val="bottom"/>
            <w:tcBorders>
              <w:right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(15.9 %)</w:t>
            </w:r>
          </w:p>
        </w:tc>
      </w:tr>
      <w:tr>
        <w:trPr>
          <w:trHeight w:val="250"/>
        </w:trPr>
        <w:tc>
          <w:tcPr>
            <w:tcW w:w="3640" w:type="dxa"/>
            <w:vAlign w:val="bottom"/>
          </w:tcPr>
          <w:p>
            <w:pPr>
              <w:ind w:left="300"/>
              <w:spacing w:after="0"/>
              <w:rPr>
                <w:sz w:val="20"/>
                <w:szCs w:val="20"/>
                <w:color w:val="auto"/>
              </w:rPr>
            </w:pPr>
            <w:r>
              <w:rPr>
                <w:rFonts w:ascii="Arial" w:cs="Arial" w:eastAsia="Arial" w:hAnsi="Arial"/>
                <w:sz w:val="14"/>
                <w:szCs w:val="14"/>
                <w:color w:val="auto"/>
              </w:rPr>
              <w:t>Amortization of intangible assets</w:t>
            </w:r>
          </w:p>
        </w:tc>
        <w:tc>
          <w:tcPr>
            <w:tcW w:w="980" w:type="dxa"/>
            <w:vAlign w:val="bottom"/>
          </w:tcPr>
          <w:p>
            <w:pPr>
              <w:jc w:val="right"/>
              <w:ind w:right="148"/>
              <w:spacing w:after="0"/>
              <w:rPr>
                <w:sz w:val="20"/>
                <w:szCs w:val="20"/>
                <w:color w:val="auto"/>
              </w:rPr>
            </w:pPr>
            <w:r>
              <w:rPr>
                <w:rFonts w:ascii="Arial" w:cs="Arial" w:eastAsia="Arial" w:hAnsi="Arial"/>
                <w:sz w:val="14"/>
                <w:szCs w:val="14"/>
                <w:color w:val="auto"/>
              </w:rPr>
              <w:t>0.49</w:t>
            </w:r>
          </w:p>
        </w:tc>
        <w:tc>
          <w:tcPr>
            <w:tcW w:w="8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0.45</w:t>
            </w:r>
          </w:p>
        </w:tc>
        <w:tc>
          <w:tcPr>
            <w:tcW w:w="1120" w:type="dxa"/>
            <w:vAlign w:val="bottom"/>
            <w:tcBorders>
              <w:right w:val="single" w:sz="8" w:color="auto"/>
            </w:tcBorders>
          </w:tcPr>
          <w:p>
            <w:pPr>
              <w:spacing w:after="0"/>
              <w:rPr>
                <w:sz w:val="21"/>
                <w:szCs w:val="21"/>
                <w:color w:val="auto"/>
              </w:rPr>
            </w:pP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0.50</w:t>
            </w:r>
          </w:p>
        </w:tc>
        <w:tc>
          <w:tcPr>
            <w:tcW w:w="1160" w:type="dxa"/>
            <w:vAlign w:val="bottom"/>
            <w:tcBorders>
              <w:right w:val="single" w:sz="8" w:color="auto"/>
            </w:tcBorders>
          </w:tcPr>
          <w:p>
            <w:pPr>
              <w:spacing w:after="0"/>
              <w:rPr>
                <w:sz w:val="21"/>
                <w:szCs w:val="21"/>
                <w:color w:val="auto"/>
              </w:rPr>
            </w:pPr>
          </w:p>
        </w:tc>
      </w:tr>
      <w:tr>
        <w:trPr>
          <w:trHeight w:val="215"/>
        </w:trPr>
        <w:tc>
          <w:tcPr>
            <w:tcW w:w="3640" w:type="dxa"/>
            <w:vAlign w:val="bottom"/>
          </w:tcPr>
          <w:p>
            <w:pPr>
              <w:ind w:left="300"/>
              <w:spacing w:after="0"/>
              <w:rPr>
                <w:sz w:val="20"/>
                <w:szCs w:val="20"/>
                <w:color w:val="auto"/>
              </w:rPr>
            </w:pPr>
            <w:r>
              <w:rPr>
                <w:rFonts w:ascii="Arial" w:cs="Arial" w:eastAsia="Arial" w:hAnsi="Arial"/>
                <w:sz w:val="14"/>
                <w:szCs w:val="14"/>
                <w:color w:val="auto"/>
              </w:rPr>
              <w:t>Asset impairment, restructuring, and other</w:t>
            </w:r>
          </w:p>
        </w:tc>
        <w:tc>
          <w:tcPr>
            <w:tcW w:w="98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r>
      <w:tr>
        <w:trPr>
          <w:trHeight w:val="204"/>
        </w:trPr>
        <w:tc>
          <w:tcPr>
            <w:tcW w:w="3640" w:type="dxa"/>
            <w:vAlign w:val="bottom"/>
          </w:tcPr>
          <w:p>
            <w:pPr>
              <w:ind w:left="300"/>
              <w:spacing w:after="0"/>
              <w:rPr>
                <w:sz w:val="20"/>
                <w:szCs w:val="20"/>
                <w:color w:val="auto"/>
              </w:rPr>
            </w:pPr>
            <w:r>
              <w:rPr>
                <w:rFonts w:ascii="Arial" w:cs="Arial" w:eastAsia="Arial" w:hAnsi="Arial"/>
                <w:sz w:val="14"/>
                <w:szCs w:val="14"/>
                <w:color w:val="auto"/>
              </w:rPr>
              <w:t>special charges</w:t>
            </w:r>
          </w:p>
        </w:tc>
        <w:tc>
          <w:tcPr>
            <w:tcW w:w="980" w:type="dxa"/>
            <w:vAlign w:val="bottom"/>
          </w:tcPr>
          <w:p>
            <w:pPr>
              <w:jc w:val="right"/>
              <w:ind w:right="148"/>
              <w:spacing w:after="0"/>
              <w:rPr>
                <w:sz w:val="20"/>
                <w:szCs w:val="20"/>
                <w:color w:val="auto"/>
              </w:rPr>
            </w:pPr>
            <w:r>
              <w:rPr>
                <w:rFonts w:ascii="Arial" w:cs="Arial" w:eastAsia="Arial" w:hAnsi="Arial"/>
                <w:sz w:val="14"/>
                <w:szCs w:val="14"/>
                <w:color w:val="auto"/>
              </w:rPr>
              <w:t>0.75</w:t>
            </w:r>
          </w:p>
        </w:tc>
        <w:tc>
          <w:tcPr>
            <w:tcW w:w="8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0.06</w:t>
            </w:r>
          </w:p>
        </w:tc>
        <w:tc>
          <w:tcPr>
            <w:tcW w:w="1120" w:type="dxa"/>
            <w:vAlign w:val="bottom"/>
            <w:tcBorders>
              <w:right w:val="single" w:sz="8" w:color="auto"/>
            </w:tcBorders>
          </w:tcPr>
          <w:p>
            <w:pPr>
              <w:spacing w:after="0"/>
              <w:rPr>
                <w:sz w:val="17"/>
                <w:szCs w:val="17"/>
                <w:color w:val="auto"/>
              </w:rPr>
            </w:pP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0.21</w:t>
            </w:r>
          </w:p>
        </w:tc>
        <w:tc>
          <w:tcPr>
            <w:tcW w:w="1160" w:type="dxa"/>
            <w:vAlign w:val="bottom"/>
            <w:tcBorders>
              <w:right w:val="single" w:sz="8" w:color="auto"/>
            </w:tcBorders>
          </w:tcPr>
          <w:p>
            <w:pPr>
              <w:spacing w:after="0"/>
              <w:rPr>
                <w:sz w:val="17"/>
                <w:szCs w:val="17"/>
                <w:color w:val="auto"/>
              </w:rPr>
            </w:pPr>
          </w:p>
        </w:tc>
      </w:tr>
      <w:tr>
        <w:trPr>
          <w:trHeight w:val="257"/>
        </w:trPr>
        <w:tc>
          <w:tcPr>
            <w:tcW w:w="3640" w:type="dxa"/>
            <w:vAlign w:val="bottom"/>
          </w:tcPr>
          <w:p>
            <w:pPr>
              <w:ind w:left="300"/>
              <w:spacing w:after="0"/>
              <w:rPr>
                <w:sz w:val="20"/>
                <w:szCs w:val="20"/>
                <w:color w:val="auto"/>
              </w:rPr>
            </w:pPr>
            <w:r>
              <w:rPr>
                <w:rFonts w:ascii="Arial" w:cs="Arial" w:eastAsia="Arial" w:hAnsi="Arial"/>
                <w:sz w:val="14"/>
                <w:szCs w:val="14"/>
                <w:color w:val="auto"/>
              </w:rPr>
              <w:t>Net losses on investments in equity securities</w:t>
            </w:r>
          </w:p>
        </w:tc>
        <w:tc>
          <w:tcPr>
            <w:tcW w:w="980" w:type="dxa"/>
            <w:vAlign w:val="bottom"/>
          </w:tcPr>
          <w:p>
            <w:pPr>
              <w:jc w:val="right"/>
              <w:ind w:right="148"/>
              <w:spacing w:after="0"/>
              <w:rPr>
                <w:sz w:val="20"/>
                <w:szCs w:val="20"/>
                <w:color w:val="auto"/>
              </w:rPr>
            </w:pPr>
            <w:r>
              <w:rPr>
                <w:rFonts w:ascii="Arial" w:cs="Arial" w:eastAsia="Arial" w:hAnsi="Arial"/>
                <w:sz w:val="14"/>
                <w:szCs w:val="14"/>
                <w:color w:val="auto"/>
              </w:rPr>
              <w:t>0.04</w:t>
            </w:r>
          </w:p>
        </w:tc>
        <w:tc>
          <w:tcPr>
            <w:tcW w:w="8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0.02</w:t>
            </w:r>
          </w:p>
        </w:tc>
        <w:tc>
          <w:tcPr>
            <w:tcW w:w="1120" w:type="dxa"/>
            <w:vAlign w:val="bottom"/>
            <w:tcBorders>
              <w:right w:val="single" w:sz="8" w:color="auto"/>
            </w:tcBorders>
          </w:tcPr>
          <w:p>
            <w:pPr>
              <w:spacing w:after="0"/>
              <w:rPr>
                <w:sz w:val="22"/>
                <w:szCs w:val="22"/>
                <w:color w:val="auto"/>
              </w:rPr>
            </w:pP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0.33</w:t>
            </w:r>
          </w:p>
        </w:tc>
        <w:tc>
          <w:tcPr>
            <w:tcW w:w="1160" w:type="dxa"/>
            <w:vAlign w:val="bottom"/>
            <w:tcBorders>
              <w:right w:val="single" w:sz="8" w:color="auto"/>
            </w:tcBorders>
          </w:tcPr>
          <w:p>
            <w:pPr>
              <w:spacing w:after="0"/>
              <w:rPr>
                <w:sz w:val="22"/>
                <w:szCs w:val="22"/>
                <w:color w:val="auto"/>
              </w:rPr>
            </w:pPr>
          </w:p>
        </w:tc>
      </w:tr>
      <w:tr>
        <w:trPr>
          <w:trHeight w:val="22"/>
        </w:trPr>
        <w:tc>
          <w:tcPr>
            <w:tcW w:w="36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right w:val="single" w:sz="8" w:color="auto"/>
            </w:tcBorders>
          </w:tcPr>
          <w:p>
            <w:pPr>
              <w:spacing w:after="0" w:line="20" w:lineRule="exact"/>
              <w:rPr>
                <w:sz w:val="1"/>
                <w:szCs w:val="1"/>
                <w:color w:val="auto"/>
              </w:rPr>
            </w:pPr>
          </w:p>
        </w:tc>
        <w:tc>
          <w:tcPr>
            <w:tcW w:w="1120" w:type="dxa"/>
            <w:vAlign w:val="bottom"/>
            <w:tcBorders>
              <w:right w:val="single" w:sz="8" w:color="auto"/>
            </w:tcBorders>
          </w:tcPr>
          <w:p>
            <w:pPr>
              <w:spacing w:after="0" w:line="20" w:lineRule="exact"/>
              <w:rPr>
                <w:sz w:val="1"/>
                <w:szCs w:val="1"/>
                <w:color w:val="auto"/>
              </w:rPr>
            </w:pPr>
          </w:p>
        </w:tc>
        <w:tc>
          <w:tcPr>
            <w:tcW w:w="940" w:type="dxa"/>
            <w:vAlign w:val="bottom"/>
            <w:tcBorders>
              <w:bottom w:val="single" w:sz="8" w:color="auto"/>
              <w:right w:val="single" w:sz="8" w:color="auto"/>
            </w:tcBorders>
          </w:tcPr>
          <w:p>
            <w:pPr>
              <w:spacing w:after="0" w:line="20" w:lineRule="exact"/>
              <w:rPr>
                <w:sz w:val="1"/>
                <w:szCs w:val="1"/>
                <w:color w:val="auto"/>
              </w:rPr>
            </w:pPr>
          </w:p>
        </w:tc>
        <w:tc>
          <w:tcPr>
            <w:tcW w:w="1160" w:type="dxa"/>
            <w:vAlign w:val="bottom"/>
            <w:tcBorders>
              <w:right w:val="single" w:sz="8" w:color="auto"/>
            </w:tcBorders>
          </w:tcPr>
          <w:p>
            <w:pPr>
              <w:spacing w:after="0" w:line="20" w:lineRule="exact"/>
              <w:rPr>
                <w:sz w:val="1"/>
                <w:szCs w:val="1"/>
                <w:color w:val="auto"/>
              </w:rPr>
            </w:pPr>
          </w:p>
        </w:tc>
      </w:tr>
      <w:tr>
        <w:trPr>
          <w:trHeight w:val="221"/>
        </w:trPr>
        <w:tc>
          <w:tcPr>
            <w:tcW w:w="3640" w:type="dxa"/>
            <w:vAlign w:val="bottom"/>
          </w:tcPr>
          <w:p>
            <w:pPr>
              <w:ind w:left="20"/>
              <w:spacing w:after="0"/>
              <w:rPr>
                <w:sz w:val="20"/>
                <w:szCs w:val="20"/>
                <w:color w:val="auto"/>
              </w:rPr>
            </w:pPr>
            <w:r>
              <w:rPr>
                <w:rFonts w:ascii="Arial" w:cs="Arial" w:eastAsia="Arial" w:hAnsi="Arial"/>
                <w:sz w:val="14"/>
                <w:szCs w:val="14"/>
                <w:b w:val="1"/>
                <w:bCs w:val="1"/>
                <w:color w:val="auto"/>
              </w:rPr>
              <w:t>Non-GAAP EPS</w:t>
            </w:r>
          </w:p>
        </w:tc>
        <w:tc>
          <w:tcPr>
            <w:tcW w:w="980" w:type="dxa"/>
            <w:vAlign w:val="bottom"/>
          </w:tcPr>
          <w:p>
            <w:pPr>
              <w:jc w:val="right"/>
              <w:ind w:right="148"/>
              <w:spacing w:after="0"/>
              <w:rPr>
                <w:sz w:val="20"/>
                <w:szCs w:val="20"/>
                <w:color w:val="auto"/>
              </w:rPr>
            </w:pPr>
            <w:r>
              <w:rPr>
                <w:rFonts w:ascii="Arial" w:cs="Arial" w:eastAsia="Arial" w:hAnsi="Arial"/>
                <w:sz w:val="14"/>
                <w:szCs w:val="14"/>
                <w:b w:val="1"/>
                <w:bCs w:val="1"/>
                <w:color w:val="auto"/>
              </w:rPr>
              <w:t>12.99</w:t>
            </w:r>
          </w:p>
        </w:tc>
        <w:tc>
          <w:tcPr>
            <w:tcW w:w="8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6.32</w:t>
            </w:r>
          </w:p>
        </w:tc>
        <w:tc>
          <w:tcPr>
            <w:tcW w:w="1120" w:type="dxa"/>
            <w:vAlign w:val="bottom"/>
            <w:tcBorders>
              <w:right w:val="single" w:sz="8" w:color="auto"/>
            </w:tcBorders>
          </w:tcPr>
          <w:p>
            <w:pPr>
              <w:spacing w:after="0"/>
              <w:rPr>
                <w:sz w:val="19"/>
                <w:szCs w:val="19"/>
                <w:color w:val="auto"/>
              </w:rPr>
            </w:pP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7.94</w:t>
            </w:r>
          </w:p>
        </w:tc>
        <w:tc>
          <w:tcPr>
            <w:tcW w:w="1160" w:type="dxa"/>
            <w:vAlign w:val="bottom"/>
            <w:tcBorders>
              <w:right w:val="single" w:sz="8" w:color="auto"/>
            </w:tcBorders>
          </w:tcPr>
          <w:p>
            <w:pPr>
              <w:spacing w:after="0"/>
              <w:rPr>
                <w:sz w:val="19"/>
                <w:szCs w:val="19"/>
                <w:color w:val="auto"/>
              </w:rPr>
            </w:pPr>
          </w:p>
        </w:tc>
      </w:tr>
      <w:tr>
        <w:trPr>
          <w:trHeight w:val="265"/>
        </w:trPr>
        <w:tc>
          <w:tcPr>
            <w:tcW w:w="3640" w:type="dxa"/>
            <w:vAlign w:val="bottom"/>
          </w:tcPr>
          <w:p>
            <w:pPr>
              <w:ind w:left="300"/>
              <w:spacing w:after="0"/>
              <w:rPr>
                <w:sz w:val="20"/>
                <w:szCs w:val="20"/>
                <w:color w:val="auto"/>
              </w:rPr>
            </w:pPr>
            <w:r>
              <w:rPr>
                <w:rFonts w:ascii="Arial" w:cs="Arial" w:eastAsia="Arial" w:hAnsi="Arial"/>
                <w:sz w:val="14"/>
                <w:szCs w:val="14"/>
                <w:color w:val="auto"/>
              </w:rPr>
              <w:t>Acquired IPR&amp;D charges</w:t>
            </w:r>
          </w:p>
        </w:tc>
        <w:tc>
          <w:tcPr>
            <w:tcW w:w="9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3.52</w:t>
            </w:r>
          </w:p>
        </w:tc>
        <w:tc>
          <w:tcPr>
            <w:tcW w:w="88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color w:val="auto"/>
              </w:rPr>
              <w:t>4.10</w:t>
            </w:r>
          </w:p>
        </w:tc>
        <w:tc>
          <w:tcPr>
            <w:tcW w:w="1120" w:type="dxa"/>
            <w:vAlign w:val="bottom"/>
            <w:tcBorders>
              <w:right w:val="single" w:sz="8" w:color="auto"/>
            </w:tcBorders>
          </w:tcPr>
          <w:p>
            <w:pPr>
              <w:spacing w:after="0"/>
              <w:rPr>
                <w:sz w:val="23"/>
                <w:szCs w:val="23"/>
                <w:color w:val="auto"/>
              </w:rPr>
            </w:pPr>
          </w:p>
        </w:tc>
        <w:tc>
          <w:tcPr>
            <w:tcW w:w="94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color w:val="auto"/>
              </w:rPr>
              <w:t>0.90</w:t>
            </w:r>
          </w:p>
        </w:tc>
        <w:tc>
          <w:tcPr>
            <w:tcW w:w="1160" w:type="dxa"/>
            <w:vAlign w:val="bottom"/>
            <w:tcBorders>
              <w:right w:val="single" w:sz="8" w:color="auto"/>
            </w:tcBorders>
          </w:tcPr>
          <w:p>
            <w:pPr>
              <w:spacing w:after="0"/>
              <w:rPr>
                <w:sz w:val="23"/>
                <w:szCs w:val="23"/>
                <w:color w:val="auto"/>
              </w:rPr>
            </w:pPr>
          </w:p>
        </w:tc>
      </w:tr>
      <w:tr>
        <w:trPr>
          <w:trHeight w:val="193"/>
        </w:trPr>
        <w:tc>
          <w:tcPr>
            <w:tcW w:w="3640" w:type="dxa"/>
            <w:vAlign w:val="bottom"/>
          </w:tcPr>
          <w:p>
            <w:pPr>
              <w:ind w:left="20"/>
              <w:spacing w:after="0"/>
              <w:rPr>
                <w:sz w:val="20"/>
                <w:szCs w:val="20"/>
                <w:color w:val="auto"/>
              </w:rPr>
            </w:pPr>
            <w:r>
              <w:rPr>
                <w:rFonts w:ascii="Arial" w:cs="Arial" w:eastAsia="Arial" w:hAnsi="Arial"/>
                <w:sz w:val="14"/>
                <w:szCs w:val="14"/>
                <w:b w:val="1"/>
                <w:bCs w:val="1"/>
                <w:color w:val="auto"/>
              </w:rPr>
              <w:t>Adjusted Non-GAAP EPS for purposes of</w:t>
            </w:r>
          </w:p>
        </w:tc>
        <w:tc>
          <w:tcPr>
            <w:tcW w:w="980" w:type="dxa"/>
            <w:vAlign w:val="bottom"/>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1160" w:type="dxa"/>
            <w:vAlign w:val="bottom"/>
            <w:tcBorders>
              <w:right w:val="single" w:sz="8" w:color="auto"/>
            </w:tcBorders>
          </w:tcPr>
          <w:p>
            <w:pPr>
              <w:spacing w:after="0"/>
              <w:rPr>
                <w:sz w:val="16"/>
                <w:szCs w:val="16"/>
                <w:color w:val="auto"/>
              </w:rPr>
            </w:pPr>
          </w:p>
        </w:tc>
      </w:tr>
      <w:tr>
        <w:trPr>
          <w:trHeight w:val="205"/>
        </w:trPr>
        <w:tc>
          <w:tcPr>
            <w:tcW w:w="3640" w:type="dxa"/>
            <w:vAlign w:val="bottom"/>
          </w:tcPr>
          <w:p>
            <w:pPr>
              <w:ind w:left="20"/>
              <w:spacing w:after="0"/>
              <w:rPr>
                <w:sz w:val="20"/>
                <w:szCs w:val="20"/>
                <w:color w:val="auto"/>
              </w:rPr>
            </w:pPr>
            <w:r>
              <w:rPr>
                <w:rFonts w:ascii="Arial" w:cs="Arial" w:eastAsia="Arial" w:hAnsi="Arial"/>
                <w:sz w:val="14"/>
                <w:szCs w:val="14"/>
                <w:b w:val="1"/>
                <w:bCs w:val="1"/>
                <w:color w:val="auto"/>
              </w:rPr>
              <w:t>performance awards</w:t>
            </w:r>
          </w:p>
        </w:tc>
        <w:tc>
          <w:tcPr>
            <w:tcW w:w="980" w:type="dxa"/>
            <w:vAlign w:val="bottom"/>
          </w:tcPr>
          <w:p>
            <w:pPr>
              <w:jc w:val="right"/>
              <w:ind w:right="148"/>
              <w:spacing w:after="0"/>
              <w:rPr>
                <w:sz w:val="20"/>
                <w:szCs w:val="20"/>
                <w:color w:val="auto"/>
              </w:rPr>
            </w:pPr>
            <w:r>
              <w:rPr>
                <w:rFonts w:ascii="Arial" w:cs="Arial" w:eastAsia="Arial" w:hAnsi="Arial"/>
                <w:sz w:val="14"/>
                <w:szCs w:val="14"/>
                <w:b w:val="1"/>
                <w:bCs w:val="1"/>
                <w:color w:val="auto"/>
              </w:rPr>
              <w:t>$16.51</w:t>
            </w:r>
          </w:p>
        </w:tc>
        <w:tc>
          <w:tcPr>
            <w:tcW w:w="8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$10.42</w:t>
            </w:r>
          </w:p>
        </w:tc>
        <w:tc>
          <w:tcPr>
            <w:tcW w:w="1120" w:type="dxa"/>
            <w:vAlign w:val="bottom"/>
            <w:tcBorders>
              <w:bottom w:val="single" w:sz="8" w:color="auto"/>
              <w:right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58.4 %</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$8.84</w:t>
            </w:r>
          </w:p>
        </w:tc>
        <w:tc>
          <w:tcPr>
            <w:tcW w:w="1160" w:type="dxa"/>
            <w:vAlign w:val="bottom"/>
            <w:tcBorders>
              <w:bottom w:val="single" w:sz="8" w:color="auto"/>
              <w:right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17.9 %</w:t>
            </w:r>
          </w:p>
        </w:tc>
      </w:tr>
    </w:tbl>
    <w:p>
      <w:pPr>
        <w:spacing w:after="0" w:line="247"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2585" name="Picture 2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5"/>
                    <pic:cNvPicPr>
                      <a:picLocks noChangeAspect="1" noChangeArrowheads="1"/>
                    </pic:cNvPicPr>
                  </pic:nvPicPr>
                  <pic:blipFill>
                    <a:blip r:embed="rId25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9" w:right="399" w:bottom="1440" w:gutter="0" w:footer="0" w:header="0"/>
        </w:sectPr>
      </w:pPr>
    </w:p>
    <w:bookmarkStart w:id="94" w:name="page95"/>
    <w:bookmarkEnd w:id="94"/>
    <w:p>
      <w:pPr>
        <w:ind w:right="1040"/>
        <w:spacing w:after="0" w:line="276" w:lineRule="auto"/>
        <w:rPr>
          <w:sz w:val="20"/>
          <w:szCs w:val="20"/>
          <w:color w:val="auto"/>
        </w:rPr>
      </w:pPr>
      <w:r>
        <w:rPr>
          <w:rFonts w:ascii="Arial" w:cs="Arial" w:eastAsia="Arial" w:hAnsi="Arial"/>
          <w:sz w:val="32"/>
          <w:szCs w:val="32"/>
          <w:b w:val="1"/>
          <w:bCs w:val="1"/>
          <w:color w:val="D52B1E"/>
        </w:rPr>
        <w:t>Appendix B - Proposed Amendments to the Company’s Articles of Incorporation</w:t>
      </w:r>
    </w:p>
    <w:p>
      <w:pPr>
        <w:spacing w:after="0" w:line="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Proposed changes to the company’s articles of incorporation are shown below related to Items 4 and 5. The changes shown to Article 9(b) will be effective if Item 4, “Proposal to Amend the Company’s Articles of Incorporation to Eliminate the Classified Board Structure,” receives the vote of at least 80 percent of the outstanding shares. The changes to Articles 9(c), 9(d), and 13 will be effective if Item 5, “Proposal to Amend the Company’s Articles of Incorporation to Eliminate Supermajority Voting Provisions,” receives the vote of at least 80 percent of the outstanding shares. Additions are indicated by underlining and deletions are indicated by strike-outs. The full text of the company’s Articles of Incorporation can be found on our website at </w:t>
      </w:r>
      <w:r>
        <w:rPr>
          <w:rFonts w:ascii="Arial" w:cs="Arial" w:eastAsia="Arial" w:hAnsi="Arial"/>
          <w:sz w:val="18"/>
          <w:szCs w:val="18"/>
          <w:color w:val="D52B1E"/>
        </w:rPr>
        <w:t>lilly.com/leadership/governance</w:t>
      </w:r>
      <w:r>
        <w:rPr>
          <w:rFonts w:ascii="Arial" w:cs="Arial" w:eastAsia="Arial" w:hAnsi="Arial"/>
          <w:sz w:val="18"/>
          <w:szCs w:val="18"/>
          <w:color w:val="auto"/>
        </w:rPr>
        <w:t>.</w:t>
      </w:r>
    </w:p>
    <w:p>
      <w:pPr>
        <w:spacing w:after="0" w:line="371" w:lineRule="exact"/>
        <w:rPr>
          <w:sz w:val="20"/>
          <w:szCs w:val="20"/>
          <w:color w:val="auto"/>
        </w:rPr>
      </w:pPr>
    </w:p>
    <w:p>
      <w:pPr>
        <w:ind w:left="660" w:right="20" w:hanging="4"/>
        <w:spacing w:after="0" w:line="253" w:lineRule="auto"/>
        <w:tabs>
          <w:tab w:leader="none" w:pos="86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The following provisions are inserted for the management of the business and for the conduct of the affairs of the Corporation, and it is expressly provided that the same are intended to be in furtherance and not in limitation or exclusion of the powers conferred by statute:</w:t>
      </w:r>
    </w:p>
    <w:p>
      <w:pPr>
        <w:spacing w:after="0" w:line="128" w:lineRule="exact"/>
        <w:rPr>
          <w:rFonts w:ascii="Arial" w:cs="Arial" w:eastAsia="Arial" w:hAnsi="Arial"/>
          <w:sz w:val="18"/>
          <w:szCs w:val="18"/>
          <w:color w:val="auto"/>
        </w:rPr>
      </w:pPr>
    </w:p>
    <w:p>
      <w:pPr>
        <w:ind w:left="660" w:right="160" w:firstLine="644"/>
        <w:spacing w:after="0" w:line="262" w:lineRule="auto"/>
        <w:tabs>
          <w:tab w:leader="none" w:pos="1725" w:val="left"/>
        </w:tabs>
        <w:numPr>
          <w:ilvl w:val="1"/>
          <w:numId w:val="202"/>
        </w:numPr>
        <w:rPr>
          <w:rFonts w:ascii="Arial" w:cs="Arial" w:eastAsia="Arial" w:hAnsi="Arial"/>
          <w:sz w:val="18"/>
          <w:szCs w:val="18"/>
          <w:color w:val="auto"/>
        </w:rPr>
      </w:pPr>
      <w:r>
        <w:rPr>
          <w:rFonts w:ascii="Arial" w:cs="Arial" w:eastAsia="Arial" w:hAnsi="Arial"/>
          <w:sz w:val="18"/>
          <w:szCs w:val="18"/>
          <w:color w:val="auto"/>
        </w:rPr>
        <w:t>The number of directors of the Corporation, exclusive of directors who may be elected by the holders of any one or more series of Preferred Stock pursuant to Article 7(b) (the “</w:t>
      </w:r>
      <w:r>
        <w:rPr>
          <w:rFonts w:ascii="Arial" w:cs="Arial" w:eastAsia="Arial" w:hAnsi="Arial"/>
          <w:sz w:val="18"/>
          <w:szCs w:val="18"/>
          <w:u w:val="single" w:color="auto"/>
          <w:color w:val="auto"/>
        </w:rPr>
        <w:t>Preferred Stock Directors</w:t>
      </w:r>
      <w:r>
        <w:rPr>
          <w:rFonts w:ascii="Arial" w:cs="Arial" w:eastAsia="Arial" w:hAnsi="Arial"/>
          <w:sz w:val="18"/>
          <w:szCs w:val="18"/>
          <w:color w:val="auto"/>
        </w:rPr>
        <w:t>”), shall not be less than nine, the exact number to be fixed from time to time solely by resolution of the Board of Directors, acting by not less than a majority of the directors then in office.</w:t>
      </w:r>
    </w:p>
    <w:p>
      <w:pPr>
        <w:spacing w:after="0" w:line="122" w:lineRule="exact"/>
        <w:rPr>
          <w:rFonts w:ascii="Arial" w:cs="Arial" w:eastAsia="Arial" w:hAnsi="Arial"/>
          <w:sz w:val="18"/>
          <w:szCs w:val="18"/>
          <w:color w:val="auto"/>
        </w:rPr>
      </w:pPr>
    </w:p>
    <w:p>
      <w:pPr>
        <w:ind w:left="660" w:firstLine="644"/>
        <w:spacing w:after="0" w:line="253" w:lineRule="auto"/>
        <w:tabs>
          <w:tab w:leader="none" w:pos="1728" w:val="left"/>
        </w:tabs>
        <w:numPr>
          <w:ilvl w:val="1"/>
          <w:numId w:val="202"/>
        </w:numPr>
        <w:rPr>
          <w:rFonts w:ascii="Arial" w:cs="Arial" w:eastAsia="Arial" w:hAnsi="Arial"/>
          <w:sz w:val="18"/>
          <w:szCs w:val="18"/>
          <w:color w:val="auto"/>
        </w:rPr>
      </w:pPr>
      <w:r>
        <w:rPr>
          <w:rFonts w:ascii="Arial" w:cs="Arial" w:eastAsia="Arial" w:hAnsi="Arial"/>
          <w:sz w:val="18"/>
          <w:szCs w:val="18"/>
          <w:u w:val="single" w:color="auto"/>
          <w:color w:val="auto"/>
        </w:rPr>
        <w:t>Prior to the 2026 annual meeting of directors, T</w:t>
      </w:r>
      <w:r>
        <w:rPr>
          <w:rFonts w:ascii="Arial" w:cs="Arial" w:eastAsia="Arial" w:hAnsi="Arial"/>
          <w:sz w:val="18"/>
          <w:szCs w:val="18"/>
          <w:color w:val="auto"/>
          <w:strike w:val="1"/>
        </w:rPr>
        <w:t>t</w:t>
      </w:r>
      <w:r>
        <w:rPr>
          <w:rFonts w:ascii="Arial" w:cs="Arial" w:eastAsia="Arial" w:hAnsi="Arial"/>
          <w:sz w:val="18"/>
          <w:szCs w:val="18"/>
          <w:color w:val="auto"/>
        </w:rPr>
        <w:t xml:space="preserve">he Board of Directors (exclusive of Preferred Stock Directors) shall be divided into three classes, with the term of office of one class expiring each year. </w:t>
      </w:r>
      <w:r>
        <w:rPr>
          <w:rFonts w:ascii="Arial" w:cs="Arial" w:eastAsia="Arial" w:hAnsi="Arial"/>
          <w:sz w:val="18"/>
          <w:szCs w:val="18"/>
          <w:color w:val="auto"/>
          <w:strike w:val="1"/>
        </w:rPr>
        <w:t>At the annual meeting of shareholders in 1985, five</w:t>
      </w:r>
      <w:r>
        <w:rPr>
          <w:rFonts w:ascii="Arial" w:cs="Arial" w:eastAsia="Arial" w:hAnsi="Arial"/>
          <w:sz w:val="18"/>
          <w:szCs w:val="18"/>
          <w:color w:val="auto"/>
        </w:rPr>
        <w:t xml:space="preserve"> </w:t>
      </w:r>
      <w:r>
        <w:rPr>
          <w:rFonts w:ascii="Arial" w:cs="Arial" w:eastAsia="Arial" w:hAnsi="Arial"/>
          <w:sz w:val="18"/>
          <w:szCs w:val="18"/>
          <w:color w:val="auto"/>
          <w:strike w:val="1"/>
        </w:rPr>
        <w:t>directors of the first class shall be elected to hold office for a term expiring at the 1986 annual meeting, five directors of the second class shall be elected to hold office for a term expiring at the 1987 annual meeting, and six directors of the third class shall be elected to hold office for a term expiring at the 1988 annual meeting. Commencing with the annual meeting of shareholders in 1986</w:t>
      </w:r>
      <w:r>
        <w:rPr>
          <w:rFonts w:ascii="Arial" w:cs="Arial" w:eastAsia="Arial" w:hAnsi="Arial"/>
          <w:sz w:val="18"/>
          <w:szCs w:val="18"/>
          <w:u w:val="single" w:color="auto"/>
          <w:color w:val="auto"/>
          <w:strike w:val="1"/>
        </w:rPr>
        <w:t>2026</w:t>
      </w:r>
      <w:r>
        <w:rPr>
          <w:rFonts w:ascii="Arial" w:cs="Arial" w:eastAsia="Arial" w:hAnsi="Arial"/>
          <w:sz w:val="18"/>
          <w:szCs w:val="18"/>
          <w:color w:val="auto"/>
          <w:strike w:val="1"/>
        </w:rPr>
        <w:t>, each class of directors whose term shall then expire shall be elected to hold office for a three</w:t>
      </w:r>
      <w:r>
        <w:rPr>
          <w:rFonts w:ascii="Arial" w:cs="Arial" w:eastAsia="Arial" w:hAnsi="Arial"/>
          <w:sz w:val="18"/>
          <w:szCs w:val="18"/>
          <w:u w:val="single" w:color="auto"/>
          <w:color w:val="auto"/>
          <w:strike w:val="1"/>
        </w:rPr>
        <w:t>one</w:t>
      </w:r>
      <w:r>
        <w:rPr>
          <w:rFonts w:ascii="Arial" w:cs="Arial" w:eastAsia="Arial" w:hAnsi="Arial"/>
          <w:sz w:val="18"/>
          <w:szCs w:val="18"/>
          <w:color w:val="auto"/>
          <w:strike w:val="1"/>
        </w:rPr>
        <w:t xml:space="preserve">-year term </w:t>
      </w:r>
      <w:r>
        <w:rPr>
          <w:rFonts w:ascii="Arial" w:cs="Arial" w:eastAsia="Arial" w:hAnsi="Arial"/>
          <w:sz w:val="18"/>
          <w:szCs w:val="18"/>
          <w:u w:val="single" w:color="auto"/>
          <w:color w:val="auto"/>
          <w:strike w:val="1"/>
        </w:rPr>
        <w:t>expiring at the next</w:t>
      </w:r>
      <w:r>
        <w:rPr>
          <w:rFonts w:ascii="Arial" w:cs="Arial" w:eastAsia="Arial" w:hAnsi="Arial"/>
          <w:sz w:val="18"/>
          <w:szCs w:val="18"/>
          <w:color w:val="auto"/>
          <w:strike w:val="1"/>
        </w:rPr>
        <w:t xml:space="preserve"> </w:t>
      </w:r>
      <w:r>
        <w:rPr>
          <w:rFonts w:ascii="Arial" w:cs="Arial" w:eastAsia="Arial" w:hAnsi="Arial"/>
          <w:sz w:val="18"/>
          <w:szCs w:val="18"/>
          <w:u w:val="single" w:color="auto"/>
          <w:color w:val="auto"/>
          <w:strike w:val="1"/>
        </w:rPr>
        <w:t>annual meeting of shareholders</w:t>
      </w:r>
      <w:r>
        <w:rPr>
          <w:rFonts w:ascii="Arial" w:cs="Arial" w:eastAsia="Arial" w:hAnsi="Arial"/>
          <w:sz w:val="18"/>
          <w:szCs w:val="18"/>
          <w:color w:val="auto"/>
          <w:strike w:val="1"/>
        </w:rPr>
        <w:t xml:space="preserve">. In the case of any vacancy on the Board of Directors, including a vacancy created by an increase in the number of </w:t>
      </w:r>
      <w:r>
        <w:rPr>
          <w:rFonts w:ascii="Arial" w:cs="Arial" w:eastAsia="Arial" w:hAnsi="Arial"/>
          <w:sz w:val="18"/>
          <w:szCs w:val="18"/>
          <w:u w:val="single" w:color="auto"/>
          <w:color w:val="auto"/>
          <w:strike w:val="1"/>
        </w:rPr>
        <w:t>D</w:t>
      </w:r>
      <w:r>
        <w:rPr>
          <w:rFonts w:ascii="Arial" w:cs="Arial" w:eastAsia="Arial" w:hAnsi="Arial"/>
          <w:sz w:val="18"/>
          <w:szCs w:val="18"/>
          <w:color w:val="auto"/>
          <w:strike w:val="1"/>
        </w:rPr>
        <w:t xml:space="preserve">directors, the vacancy shall be filled by election of the Board of Directors with the director so elected to serve for the remainder of the term of the director being replaced or, in the case of an additional director, for the remainder of the term of the class to which the director has been assigned </w:t>
      </w:r>
      <w:r>
        <w:rPr>
          <w:rFonts w:ascii="Arial" w:cs="Arial" w:eastAsia="Arial" w:hAnsi="Arial"/>
          <w:sz w:val="18"/>
          <w:szCs w:val="18"/>
          <w:u w:val="single" w:color="auto"/>
          <w:color w:val="auto"/>
          <w:strike w:val="1"/>
        </w:rPr>
        <w:t>until the next annual meeting of shareholders</w:t>
      </w:r>
      <w:r>
        <w:rPr>
          <w:rFonts w:ascii="Arial" w:cs="Arial" w:eastAsia="Arial" w:hAnsi="Arial"/>
          <w:sz w:val="18"/>
          <w:szCs w:val="18"/>
          <w:color w:val="auto"/>
          <w:strike w:val="1"/>
        </w:rPr>
        <w:t>. All directors shall continue in office until the election and qualification of their respective successors in office. When the number of directors is changed, any newly created directorships or any decrease in directorships shall be so assigned among the classes by a majority of the directors then in office, though less than a quorum, as to make all classes as nearly equal in number as possible. No decrease in the number of directors shall have the effect of shortening the term of any incumbent director. Election of directors need not be by written ballot unless the By-laws so provide.</w:t>
      </w:r>
    </w:p>
    <w:p>
      <w:pPr>
        <w:spacing w:after="0" w:line="129" w:lineRule="exact"/>
        <w:rPr>
          <w:rFonts w:ascii="Arial" w:cs="Arial" w:eastAsia="Arial" w:hAnsi="Arial"/>
          <w:sz w:val="18"/>
          <w:szCs w:val="18"/>
          <w:color w:val="auto"/>
        </w:rPr>
      </w:pPr>
    </w:p>
    <w:p>
      <w:pPr>
        <w:ind w:left="660" w:right="240" w:firstLine="644"/>
        <w:spacing w:after="0" w:line="268" w:lineRule="auto"/>
        <w:tabs>
          <w:tab w:leader="none" w:pos="1708" w:val="left"/>
        </w:tabs>
        <w:numPr>
          <w:ilvl w:val="1"/>
          <w:numId w:val="202"/>
        </w:numPr>
        <w:rPr>
          <w:rFonts w:ascii="Arial" w:cs="Arial" w:eastAsia="Arial" w:hAnsi="Arial"/>
          <w:sz w:val="18"/>
          <w:szCs w:val="18"/>
          <w:color w:val="auto"/>
        </w:rPr>
      </w:pPr>
      <w:r>
        <w:rPr>
          <w:rFonts w:ascii="Arial" w:cs="Arial" w:eastAsia="Arial" w:hAnsi="Arial"/>
          <w:sz w:val="18"/>
          <w:szCs w:val="18"/>
          <w:color w:val="auto"/>
        </w:rPr>
        <w:t xml:space="preserve">Any director or directors (exclusive of Preferred Stock Directors) may be removed from office at any time, but only for cause and only by the affirmative vote of at least </w:t>
      </w:r>
      <w:r>
        <w:rPr>
          <w:rFonts w:ascii="Arial" w:cs="Arial" w:eastAsia="Arial" w:hAnsi="Arial"/>
          <w:sz w:val="18"/>
          <w:szCs w:val="18"/>
          <w:color w:val="auto"/>
          <w:strike w:val="1"/>
        </w:rPr>
        <w:t>80%</w:t>
      </w:r>
      <w:r>
        <w:rPr>
          <w:rFonts w:ascii="Arial" w:cs="Arial" w:eastAsia="Arial" w:hAnsi="Arial"/>
          <w:sz w:val="18"/>
          <w:szCs w:val="18"/>
          <w:u w:val="single" w:color="auto"/>
          <w:color w:val="auto"/>
        </w:rPr>
        <w:t>a majority</w:t>
      </w:r>
      <w:r>
        <w:rPr>
          <w:rFonts w:ascii="Arial" w:cs="Arial" w:eastAsia="Arial" w:hAnsi="Arial"/>
          <w:sz w:val="18"/>
          <w:szCs w:val="18"/>
          <w:color w:val="auto"/>
        </w:rPr>
        <w:t xml:space="preserve"> of the votes </w:t>
      </w:r>
      <w:r>
        <w:rPr>
          <w:rFonts w:ascii="Arial" w:cs="Arial" w:eastAsia="Arial" w:hAnsi="Arial"/>
          <w:sz w:val="18"/>
          <w:szCs w:val="18"/>
          <w:color w:val="auto"/>
          <w:strike w:val="1"/>
        </w:rPr>
        <w:t>entitled to be</w:t>
      </w:r>
      <w:r>
        <w:rPr>
          <w:rFonts w:ascii="Arial" w:cs="Arial" w:eastAsia="Arial" w:hAnsi="Arial"/>
          <w:sz w:val="18"/>
          <w:szCs w:val="18"/>
          <w:color w:val="auto"/>
        </w:rPr>
        <w:t xml:space="preserve"> cast by holders of all the outstanding shares of Voting Stock (as defined in Article 13 hereof), voting together as a single class.</w:t>
      </w:r>
    </w:p>
    <w:p>
      <w:pPr>
        <w:spacing w:after="0" w:line="116" w:lineRule="exact"/>
        <w:rPr>
          <w:rFonts w:ascii="Arial" w:cs="Arial" w:eastAsia="Arial" w:hAnsi="Arial"/>
          <w:sz w:val="18"/>
          <w:szCs w:val="18"/>
          <w:color w:val="auto"/>
        </w:rPr>
      </w:pPr>
    </w:p>
    <w:p>
      <w:pPr>
        <w:ind w:left="660" w:right="20" w:firstLine="644"/>
        <w:spacing w:after="0" w:line="262" w:lineRule="auto"/>
        <w:tabs>
          <w:tab w:leader="none" w:pos="1728" w:val="left"/>
        </w:tabs>
        <w:numPr>
          <w:ilvl w:val="1"/>
          <w:numId w:val="202"/>
        </w:numPr>
        <w:rPr>
          <w:rFonts w:ascii="Arial" w:cs="Arial" w:eastAsia="Arial" w:hAnsi="Arial"/>
          <w:sz w:val="18"/>
          <w:szCs w:val="18"/>
          <w:color w:val="auto"/>
          <w:strike w:val="1"/>
        </w:rPr>
      </w:pPr>
      <w:r>
        <w:rPr>
          <w:rFonts w:ascii="Arial" w:cs="Arial" w:eastAsia="Arial" w:hAnsi="Arial"/>
          <w:sz w:val="18"/>
          <w:szCs w:val="18"/>
          <w:color w:val="auto"/>
          <w:strike w:val="1"/>
        </w:rPr>
        <w:t>Notwithstanding any other provision of these Amended Articles of Incorporation or of law which might otherwise permit a lesser vote or no vote, but in addition to any affirmative vote of the holders of any particular class of Voting Stock required by law or these Amended Articles of Incorporation, the affirmative vote of at least 80% of the votes entitled to be cast by holders of all the outstanding shares of Voting Stock, voting together as a single class, shall be required to alter, amend or repeal this Article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5164455</wp:posOffset>
            </wp:positionH>
            <wp:positionV relativeFrom="paragraph">
              <wp:posOffset>-878205</wp:posOffset>
            </wp:positionV>
            <wp:extent cx="31750" cy="8255"/>
            <wp:wrapNone/>
            <wp:docPr id="2586" name="Picture 2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6"/>
                    <pic:cNvPicPr>
                      <a:picLocks noChangeAspect="1" noChangeArrowheads="1"/>
                    </pic:cNvPicPr>
                  </pic:nvPicPr>
                  <pic:blipFill>
                    <a:blip r:embed="rId2593">
                      <a:extLst>
                        <a:ext uri="{28A0092B-C50C-407E-A947-70E740481C1C}"/>
                      </a:extLst>
                    </a:blip>
                    <a:srcRect/>
                    <a:stretch>
                      <a:fillRect/>
                    </a:stretch>
                  </pic:blipFill>
                  <pic:spPr bwMode="auto">
                    <a:xfrm>
                      <a:off x="0" y="0"/>
                      <a:ext cx="31750" cy="825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660" w:hanging="4"/>
        <w:spacing w:after="0" w:line="247" w:lineRule="auto"/>
        <w:tabs>
          <w:tab w:leader="none" w:pos="96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In addition to all other requirements imposed by law and these Amended Articles and except as otherwise expressly provided in paragraph (c) of this Article 13, none of the actions or transactions listed below shall be effected by the Corporation, or approved by the Corporation as a shareholder of any majority-owned subsidiary of the Corporation if, as of the record date for the determination of the shareholders entitled to vote thereon, any Related Person (as hereinafter defined) exists, unless the applicable requirements of paragraphs (b), (c), (d), (e), and (f) of this Article 13 are satisfied.</w:t>
      </w: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2587" name="Picture 2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7"/>
                    <pic:cNvPicPr>
                      <a:picLocks noChangeAspect="1" noChangeArrowheads="1"/>
                    </pic:cNvPicPr>
                  </pic:nvPicPr>
                  <pic:blipFill>
                    <a:blip r:embed="rId25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5" w:right="339" w:bottom="1440" w:gutter="0" w:footer="0" w:header="0"/>
        </w:sectPr>
      </w:pPr>
    </w:p>
    <w:bookmarkStart w:id="95" w:name="page96"/>
    <w:bookmarkEnd w:id="95"/>
    <w:p>
      <w:pPr>
        <w:ind w:left="600" w:hanging="416"/>
        <w:spacing w:after="0"/>
        <w:tabs>
          <w:tab w:leader="none" w:pos="60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The actions or transactions within the scope of this Article 13 are as follows:</w:t>
      </w:r>
    </w:p>
    <w:p>
      <w:pPr>
        <w:spacing w:after="0" w:line="171" w:lineRule="exact"/>
        <w:rPr>
          <w:rFonts w:ascii="Arial" w:cs="Arial" w:eastAsia="Arial" w:hAnsi="Arial"/>
          <w:sz w:val="18"/>
          <w:szCs w:val="18"/>
          <w:color w:val="auto"/>
        </w:rPr>
      </w:pPr>
    </w:p>
    <w:p>
      <w:pPr>
        <w:ind w:left="180" w:right="460" w:firstLine="652"/>
        <w:spacing w:after="0" w:line="287" w:lineRule="auto"/>
        <w:tabs>
          <w:tab w:leader="none" w:pos="1188" w:val="left"/>
        </w:tabs>
        <w:numPr>
          <w:ilvl w:val="1"/>
          <w:numId w:val="204"/>
        </w:numPr>
        <w:rPr>
          <w:rFonts w:ascii="Arial" w:cs="Arial" w:eastAsia="Arial" w:hAnsi="Arial"/>
          <w:sz w:val="18"/>
          <w:szCs w:val="18"/>
          <w:color w:val="auto"/>
        </w:rPr>
      </w:pPr>
      <w:r>
        <w:rPr>
          <w:rFonts w:ascii="Arial" w:cs="Arial" w:eastAsia="Arial" w:hAnsi="Arial"/>
          <w:sz w:val="18"/>
          <w:szCs w:val="18"/>
          <w:color w:val="auto"/>
        </w:rPr>
        <w:t xml:space="preserve">any merger or consolidation of </w:t>
      </w:r>
      <w:r>
        <w:rPr>
          <w:rFonts w:ascii="Arial" w:cs="Arial" w:eastAsia="Arial" w:hAnsi="Arial"/>
          <w:sz w:val="18"/>
          <w:szCs w:val="18"/>
          <w:color w:val="auto"/>
          <w:strike w:val="1"/>
        </w:rPr>
        <w:t>the Corporation or</w:t>
      </w:r>
      <w:r>
        <w:rPr>
          <w:rFonts w:ascii="Arial" w:cs="Arial" w:eastAsia="Arial" w:hAnsi="Arial"/>
          <w:sz w:val="18"/>
          <w:szCs w:val="18"/>
          <w:color w:val="auto"/>
        </w:rPr>
        <w:t xml:space="preserve"> any of </w:t>
      </w:r>
      <w:r>
        <w:rPr>
          <w:rFonts w:ascii="Arial" w:cs="Arial" w:eastAsia="Arial" w:hAnsi="Arial"/>
          <w:sz w:val="18"/>
          <w:szCs w:val="18"/>
          <w:color w:val="auto"/>
          <w:strike w:val="1"/>
        </w:rPr>
        <w:t>its</w:t>
      </w:r>
      <w:r>
        <w:rPr>
          <w:rFonts w:ascii="Arial" w:cs="Arial" w:eastAsia="Arial" w:hAnsi="Arial"/>
          <w:sz w:val="18"/>
          <w:szCs w:val="18"/>
          <w:color w:val="auto"/>
        </w:rPr>
        <w:t xml:space="preserve"> </w:t>
      </w:r>
      <w:r>
        <w:rPr>
          <w:rFonts w:ascii="Arial" w:cs="Arial" w:eastAsia="Arial" w:hAnsi="Arial"/>
          <w:sz w:val="18"/>
          <w:szCs w:val="18"/>
          <w:u w:val="single" w:color="auto"/>
          <w:color w:val="auto"/>
        </w:rPr>
        <w:t>the Corporation’s</w:t>
      </w:r>
      <w:r>
        <w:rPr>
          <w:rFonts w:ascii="Arial" w:cs="Arial" w:eastAsia="Arial" w:hAnsi="Arial"/>
          <w:sz w:val="18"/>
          <w:szCs w:val="18"/>
          <w:color w:val="auto"/>
        </w:rPr>
        <w:t xml:space="preserve"> subsidiaries into or with such Related Person;</w:t>
      </w:r>
    </w:p>
    <w:p>
      <w:pPr>
        <w:spacing w:after="0" w:line="98" w:lineRule="exact"/>
        <w:rPr>
          <w:rFonts w:ascii="Arial" w:cs="Arial" w:eastAsia="Arial" w:hAnsi="Arial"/>
          <w:sz w:val="18"/>
          <w:szCs w:val="18"/>
          <w:color w:val="auto"/>
        </w:rPr>
      </w:pPr>
    </w:p>
    <w:p>
      <w:pPr>
        <w:ind w:left="180" w:right="140" w:firstLine="652"/>
        <w:spacing w:after="0" w:line="287" w:lineRule="auto"/>
        <w:tabs>
          <w:tab w:leader="none" w:pos="1228" w:val="left"/>
        </w:tabs>
        <w:numPr>
          <w:ilvl w:val="1"/>
          <w:numId w:val="204"/>
        </w:numPr>
        <w:rPr>
          <w:rFonts w:ascii="Arial" w:cs="Arial" w:eastAsia="Arial" w:hAnsi="Arial"/>
          <w:sz w:val="18"/>
          <w:szCs w:val="18"/>
          <w:color w:val="auto"/>
        </w:rPr>
      </w:pPr>
      <w:r>
        <w:rPr>
          <w:rFonts w:ascii="Arial" w:cs="Arial" w:eastAsia="Arial" w:hAnsi="Arial"/>
          <w:sz w:val="18"/>
          <w:szCs w:val="18"/>
          <w:color w:val="auto"/>
        </w:rPr>
        <w:t xml:space="preserve">any sale, lease, exchange, or other disposition of all or any substantial part of the assets of </w:t>
      </w:r>
      <w:r>
        <w:rPr>
          <w:rFonts w:ascii="Arial" w:cs="Arial" w:eastAsia="Arial" w:hAnsi="Arial"/>
          <w:sz w:val="18"/>
          <w:szCs w:val="18"/>
          <w:color w:val="auto"/>
          <w:strike w:val="1"/>
        </w:rPr>
        <w:t>the Corporation</w:t>
      </w:r>
      <w:r>
        <w:rPr>
          <w:rFonts w:ascii="Arial" w:cs="Arial" w:eastAsia="Arial" w:hAnsi="Arial"/>
          <w:sz w:val="18"/>
          <w:szCs w:val="18"/>
          <w:color w:val="auto"/>
        </w:rPr>
        <w:t xml:space="preserve"> or any of i</w:t>
      </w:r>
      <w:r>
        <w:rPr>
          <w:rFonts w:ascii="Arial" w:cs="Arial" w:eastAsia="Arial" w:hAnsi="Arial"/>
          <w:sz w:val="18"/>
          <w:szCs w:val="18"/>
          <w:color w:val="auto"/>
          <w:strike w:val="1"/>
        </w:rPr>
        <w:t>ts</w:t>
      </w:r>
      <w:r>
        <w:rPr>
          <w:rFonts w:ascii="Arial" w:cs="Arial" w:eastAsia="Arial" w:hAnsi="Arial"/>
          <w:sz w:val="18"/>
          <w:szCs w:val="18"/>
          <w:u w:val="single" w:color="auto"/>
          <w:color w:val="auto"/>
        </w:rPr>
        <w:t>the Corporation’s</w:t>
      </w:r>
      <w:r>
        <w:rPr>
          <w:rFonts w:ascii="Arial" w:cs="Arial" w:eastAsia="Arial" w:hAnsi="Arial"/>
          <w:sz w:val="18"/>
          <w:szCs w:val="18"/>
          <w:color w:val="auto"/>
        </w:rPr>
        <w:t xml:space="preserve"> majority-owned subsidiaries to or with such Related Person;</w:t>
      </w:r>
    </w:p>
    <w:p>
      <w:pPr>
        <w:spacing w:after="0" w:line="98" w:lineRule="exact"/>
        <w:rPr>
          <w:rFonts w:ascii="Arial" w:cs="Arial" w:eastAsia="Arial" w:hAnsi="Arial"/>
          <w:sz w:val="18"/>
          <w:szCs w:val="18"/>
          <w:color w:val="auto"/>
        </w:rPr>
      </w:pPr>
    </w:p>
    <w:p>
      <w:pPr>
        <w:ind w:left="180" w:right="440" w:firstLine="652"/>
        <w:spacing w:after="0" w:line="268" w:lineRule="auto"/>
        <w:tabs>
          <w:tab w:leader="none" w:pos="1268" w:val="left"/>
        </w:tabs>
        <w:numPr>
          <w:ilvl w:val="1"/>
          <w:numId w:val="204"/>
        </w:numPr>
        <w:rPr>
          <w:rFonts w:ascii="Arial" w:cs="Arial" w:eastAsia="Arial" w:hAnsi="Arial"/>
          <w:sz w:val="18"/>
          <w:szCs w:val="18"/>
          <w:color w:val="auto"/>
        </w:rPr>
      </w:pPr>
      <w:r>
        <w:rPr>
          <w:rFonts w:ascii="Arial" w:cs="Arial" w:eastAsia="Arial" w:hAnsi="Arial"/>
          <w:sz w:val="18"/>
          <w:szCs w:val="18"/>
          <w:color w:val="auto"/>
        </w:rPr>
        <w:t>the issuance or delivery of any Voting Stock (as hereinafter defined) or of voting securities of any of the Corporation’s majority-owned subsidiaries to such Related Person in exchange for cash, other assets or securities, or a combination thereof;</w:t>
      </w:r>
    </w:p>
    <w:p>
      <w:pPr>
        <w:spacing w:after="0" w:line="116" w:lineRule="exact"/>
        <w:rPr>
          <w:rFonts w:ascii="Arial" w:cs="Arial" w:eastAsia="Arial" w:hAnsi="Arial"/>
          <w:sz w:val="18"/>
          <w:szCs w:val="18"/>
          <w:color w:val="auto"/>
        </w:rPr>
      </w:pPr>
    </w:p>
    <w:p>
      <w:pPr>
        <w:ind w:left="1340" w:hanging="508"/>
        <w:spacing w:after="0"/>
        <w:tabs>
          <w:tab w:leader="none" w:pos="1340" w:val="left"/>
        </w:tabs>
        <w:numPr>
          <w:ilvl w:val="1"/>
          <w:numId w:val="204"/>
        </w:numPr>
        <w:rPr>
          <w:rFonts w:ascii="Arial" w:cs="Arial" w:eastAsia="Arial" w:hAnsi="Arial"/>
          <w:sz w:val="18"/>
          <w:szCs w:val="18"/>
          <w:color w:val="auto"/>
          <w:strike w:val="1"/>
        </w:rPr>
      </w:pPr>
      <w:r>
        <w:rPr>
          <w:rFonts w:ascii="Arial" w:cs="Arial" w:eastAsia="Arial" w:hAnsi="Arial"/>
          <w:sz w:val="18"/>
          <w:szCs w:val="18"/>
          <w:color w:val="auto"/>
          <w:strike w:val="1"/>
        </w:rPr>
        <w:t>any voluntary dissolution or liquidation of the Corporation;</w:t>
      </w:r>
    </w:p>
    <w:p>
      <w:pPr>
        <w:spacing w:after="0" w:line="171" w:lineRule="exact"/>
        <w:rPr>
          <w:sz w:val="20"/>
          <w:szCs w:val="20"/>
          <w:color w:val="auto"/>
        </w:rPr>
      </w:pPr>
    </w:p>
    <w:p>
      <w:pPr>
        <w:jc w:val="both"/>
        <w:ind w:left="180" w:right="22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w:t>
      </w:r>
      <w:r>
        <w:rPr>
          <w:rFonts w:ascii="Arial" w:cs="Arial" w:eastAsia="Arial" w:hAnsi="Arial"/>
          <w:sz w:val="18"/>
          <w:szCs w:val="18"/>
          <w:color w:val="auto"/>
        </w:rPr>
        <w:t>v) any reclassification of securities (including any reverse stock split), or recapitalization of the Corporation, or any merger or consolidation of the Corporation with any of its subsidiaries, or any other transaction (whether or not with or otherwise involving a Related Person) that has the effect, directly or indirectly, of increasing the proportionate share of any class or series of capital stock of the Corporation, or any securities convertible into capital stock of the Corporation or into equity securities of any subsidiary, that is beneficially owned by any Related Person; or</w:t>
      </w:r>
    </w:p>
    <w:p>
      <w:pPr>
        <w:spacing w:after="0" w:line="125" w:lineRule="exact"/>
        <w:rPr>
          <w:sz w:val="20"/>
          <w:szCs w:val="20"/>
          <w:color w:val="auto"/>
        </w:rPr>
      </w:pPr>
    </w:p>
    <w:p>
      <w:pPr>
        <w:ind w:left="180" w:right="320" w:firstLine="648"/>
        <w:spacing w:after="0" w:line="287" w:lineRule="auto"/>
        <w:rPr>
          <w:sz w:val="20"/>
          <w:szCs w:val="20"/>
          <w:color w:val="auto"/>
        </w:rPr>
      </w:pPr>
      <w:r>
        <w:rPr>
          <w:rFonts w:ascii="Arial" w:cs="Arial" w:eastAsia="Arial" w:hAnsi="Arial"/>
          <w:sz w:val="18"/>
          <w:szCs w:val="18"/>
          <w:color w:val="auto"/>
        </w:rPr>
        <w:t>(v</w:t>
      </w:r>
      <w:r>
        <w:rPr>
          <w:rFonts w:ascii="Arial" w:cs="Arial" w:eastAsia="Arial" w:hAnsi="Arial"/>
          <w:sz w:val="18"/>
          <w:szCs w:val="18"/>
          <w:color w:val="auto"/>
          <w:strike w:val="1"/>
        </w:rPr>
        <w:t>i</w:t>
      </w:r>
      <w:r>
        <w:rPr>
          <w:rFonts w:ascii="Arial" w:cs="Arial" w:eastAsia="Arial" w:hAnsi="Arial"/>
          <w:sz w:val="18"/>
          <w:szCs w:val="18"/>
          <w:color w:val="auto"/>
        </w:rPr>
        <w:t>) any agreement, contract, or other arrangement providing for any one or more of the actions specified in the foregoing clauses (i) through (iv).</w:t>
      </w:r>
    </w:p>
    <w:p>
      <w:pPr>
        <w:spacing w:after="0" w:line="99" w:lineRule="exact"/>
        <w:rPr>
          <w:sz w:val="20"/>
          <w:szCs w:val="20"/>
          <w:color w:val="auto"/>
        </w:rPr>
      </w:pPr>
    </w:p>
    <w:p>
      <w:pPr>
        <w:ind w:left="-460" w:firstLine="725"/>
        <w:spacing w:after="0" w:line="268" w:lineRule="auto"/>
        <w:tabs>
          <w:tab w:leader="none" w:pos="686" w:val="left"/>
        </w:tabs>
        <w:numPr>
          <w:ilvl w:val="1"/>
          <w:numId w:val="205"/>
        </w:numPr>
        <w:rPr>
          <w:rFonts w:ascii="Arial" w:cs="Arial" w:eastAsia="Arial" w:hAnsi="Arial"/>
          <w:sz w:val="18"/>
          <w:szCs w:val="18"/>
          <w:color w:val="auto"/>
        </w:rPr>
      </w:pPr>
      <w:r>
        <w:rPr>
          <w:rFonts w:ascii="Arial" w:cs="Arial" w:eastAsia="Arial" w:hAnsi="Arial"/>
          <w:sz w:val="18"/>
          <w:szCs w:val="18"/>
          <w:color w:val="auto"/>
        </w:rPr>
        <w:t xml:space="preserve">The actions and transactions described in paragraph (a) of this Article 13 shall have been authorized by the affirmative vote of </w:t>
      </w:r>
      <w:r>
        <w:rPr>
          <w:rFonts w:ascii="Arial" w:cs="Arial" w:eastAsia="Arial" w:hAnsi="Arial"/>
          <w:sz w:val="18"/>
          <w:szCs w:val="18"/>
          <w:color w:val="auto"/>
          <w:strike w:val="1"/>
        </w:rPr>
        <w:t>at least 80% of all</w:t>
      </w:r>
      <w:r>
        <w:rPr>
          <w:rFonts w:ascii="Arial" w:cs="Arial" w:eastAsia="Arial" w:hAnsi="Arial"/>
          <w:sz w:val="18"/>
          <w:szCs w:val="18"/>
          <w:color w:val="auto"/>
        </w:rPr>
        <w:t xml:space="preserve"> </w:t>
      </w:r>
      <w:r>
        <w:rPr>
          <w:rFonts w:ascii="Arial" w:cs="Arial" w:eastAsia="Arial" w:hAnsi="Arial"/>
          <w:sz w:val="18"/>
          <w:szCs w:val="18"/>
          <w:u w:val="single" w:color="auto"/>
          <w:color w:val="auto"/>
        </w:rPr>
        <w:t>a majority</w:t>
      </w:r>
      <w:r>
        <w:rPr>
          <w:rFonts w:ascii="Arial" w:cs="Arial" w:eastAsia="Arial" w:hAnsi="Arial"/>
          <w:sz w:val="18"/>
          <w:szCs w:val="18"/>
          <w:color w:val="auto"/>
        </w:rPr>
        <w:t xml:space="preserve"> of the votes entitled to be cast by holders of </w:t>
      </w:r>
      <w:r>
        <w:rPr>
          <w:rFonts w:ascii="Arial" w:cs="Arial" w:eastAsia="Arial" w:hAnsi="Arial"/>
          <w:sz w:val="18"/>
          <w:szCs w:val="18"/>
          <w:u w:val="single" w:color="auto"/>
          <w:color w:val="auto"/>
        </w:rPr>
        <w:t>all</w:t>
      </w:r>
      <w:r>
        <w:rPr>
          <w:rFonts w:ascii="Arial" w:cs="Arial" w:eastAsia="Arial" w:hAnsi="Arial"/>
          <w:sz w:val="18"/>
          <w:szCs w:val="18"/>
          <w:color w:val="auto"/>
        </w:rPr>
        <w:t xml:space="preserve"> the outstanding shares of Voting Stock, voting together as a single class.</w:t>
      </w:r>
    </w:p>
    <w:p>
      <w:pPr>
        <w:spacing w:after="0" w:line="116" w:lineRule="exact"/>
        <w:rPr>
          <w:rFonts w:ascii="Arial" w:cs="Arial" w:eastAsia="Arial" w:hAnsi="Arial"/>
          <w:sz w:val="18"/>
          <w:szCs w:val="18"/>
          <w:color w:val="auto"/>
        </w:rPr>
      </w:pPr>
    </w:p>
    <w:p>
      <w:pPr>
        <w:ind w:left="-460" w:right="40" w:firstLine="725"/>
        <w:spacing w:after="0" w:line="268" w:lineRule="auto"/>
        <w:tabs>
          <w:tab w:leader="none" w:pos="679" w:val="left"/>
        </w:tabs>
        <w:numPr>
          <w:ilvl w:val="1"/>
          <w:numId w:val="205"/>
        </w:numPr>
        <w:rPr>
          <w:rFonts w:ascii="Arial" w:cs="Arial" w:eastAsia="Arial" w:hAnsi="Arial"/>
          <w:sz w:val="18"/>
          <w:szCs w:val="18"/>
          <w:color w:val="auto"/>
        </w:rPr>
      </w:pPr>
      <w:r>
        <w:rPr>
          <w:rFonts w:ascii="Arial" w:cs="Arial" w:eastAsia="Arial" w:hAnsi="Arial"/>
          <w:sz w:val="18"/>
          <w:szCs w:val="18"/>
          <w:color w:val="auto"/>
        </w:rPr>
        <w:t xml:space="preserve">Notwithstanding paragraph (b) of this Article 13, the </w:t>
      </w:r>
      <w:r>
        <w:rPr>
          <w:rFonts w:ascii="Arial" w:cs="Arial" w:eastAsia="Arial" w:hAnsi="Arial"/>
          <w:sz w:val="18"/>
          <w:szCs w:val="18"/>
          <w:color w:val="auto"/>
          <w:strike w:val="1"/>
        </w:rPr>
        <w:t>80% voting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special shareholder approval</w:t>
      </w:r>
      <w:r>
        <w:rPr>
          <w:rFonts w:ascii="Arial" w:cs="Arial" w:eastAsia="Arial" w:hAnsi="Arial"/>
          <w:sz w:val="18"/>
          <w:szCs w:val="18"/>
          <w:color w:val="auto"/>
        </w:rPr>
        <w:t xml:space="preserve"> requirement </w:t>
      </w:r>
      <w:r>
        <w:rPr>
          <w:rFonts w:ascii="Arial" w:cs="Arial" w:eastAsia="Arial" w:hAnsi="Arial"/>
          <w:sz w:val="18"/>
          <w:szCs w:val="18"/>
          <w:u w:val="single" w:color="auto"/>
          <w:color w:val="auto"/>
        </w:rPr>
        <w:t>set forth in</w:t>
      </w:r>
      <w:r>
        <w:rPr>
          <w:rFonts w:ascii="Arial" w:cs="Arial" w:eastAsia="Arial" w:hAnsi="Arial"/>
          <w:sz w:val="18"/>
          <w:szCs w:val="18"/>
          <w:color w:val="auto"/>
        </w:rPr>
        <w:t xml:space="preserve"> </w:t>
      </w:r>
      <w:r>
        <w:rPr>
          <w:rFonts w:ascii="Arial" w:cs="Arial" w:eastAsia="Arial" w:hAnsi="Arial"/>
          <w:sz w:val="18"/>
          <w:szCs w:val="18"/>
          <w:u w:val="single" w:color="auto"/>
          <w:color w:val="auto"/>
        </w:rPr>
        <w:t>paragraph (b)</w:t>
      </w:r>
      <w:r>
        <w:rPr>
          <w:rFonts w:ascii="Arial" w:cs="Arial" w:eastAsia="Arial" w:hAnsi="Arial"/>
          <w:sz w:val="18"/>
          <w:szCs w:val="18"/>
          <w:color w:val="auto"/>
        </w:rPr>
        <w:t xml:space="preserve"> shall not be applicable if any action or transaction specified in paragraph (a) is approved by the Corporation’s Board of Directors and by a majority of the Continuing Directors (as hereinafter defined).</w:t>
      </w:r>
    </w:p>
    <w:p>
      <w:pPr>
        <w:spacing w:after="0" w:line="116" w:lineRule="exact"/>
        <w:rPr>
          <w:rFonts w:ascii="Arial" w:cs="Arial" w:eastAsia="Arial" w:hAnsi="Arial"/>
          <w:sz w:val="18"/>
          <w:szCs w:val="18"/>
          <w:color w:val="auto"/>
        </w:rPr>
      </w:pPr>
    </w:p>
    <w:p>
      <w:pPr>
        <w:ind w:left="-460" w:right="1120" w:firstLine="725"/>
        <w:spacing w:after="0" w:line="287" w:lineRule="auto"/>
        <w:tabs>
          <w:tab w:leader="none" w:pos="689" w:val="left"/>
        </w:tabs>
        <w:numPr>
          <w:ilvl w:val="1"/>
          <w:numId w:val="205"/>
        </w:numPr>
        <w:rPr>
          <w:rFonts w:ascii="Arial" w:cs="Arial" w:eastAsia="Arial" w:hAnsi="Arial"/>
          <w:sz w:val="18"/>
          <w:szCs w:val="18"/>
          <w:color w:val="auto"/>
        </w:rPr>
      </w:pPr>
      <w:r>
        <w:rPr>
          <w:rFonts w:ascii="Arial" w:cs="Arial" w:eastAsia="Arial" w:hAnsi="Arial"/>
          <w:sz w:val="18"/>
          <w:szCs w:val="18"/>
          <w:color w:val="auto"/>
        </w:rPr>
        <w:t>Unless approved by a majority of the Continuing Directors, after becoming a Related Person and prior to consummation of such action or transaction.:</w:t>
      </w:r>
    </w:p>
    <w:p>
      <w:pPr>
        <w:spacing w:after="0" w:line="98" w:lineRule="exact"/>
        <w:rPr>
          <w:rFonts w:ascii="Arial" w:cs="Arial" w:eastAsia="Arial" w:hAnsi="Arial"/>
          <w:sz w:val="18"/>
          <w:szCs w:val="18"/>
          <w:color w:val="auto"/>
        </w:rPr>
      </w:pPr>
    </w:p>
    <w:p>
      <w:pPr>
        <w:ind w:left="180" w:right="160" w:firstLine="652"/>
        <w:spacing w:after="0" w:line="259" w:lineRule="auto"/>
        <w:tabs>
          <w:tab w:leader="none" w:pos="1188" w:val="left"/>
        </w:tabs>
        <w:numPr>
          <w:ilvl w:val="2"/>
          <w:numId w:val="205"/>
        </w:numPr>
        <w:rPr>
          <w:rFonts w:ascii="Arial" w:cs="Arial" w:eastAsia="Arial" w:hAnsi="Arial"/>
          <w:sz w:val="18"/>
          <w:szCs w:val="18"/>
          <w:color w:val="auto"/>
        </w:rPr>
      </w:pPr>
      <w:r>
        <w:rPr>
          <w:rFonts w:ascii="Arial" w:cs="Arial" w:eastAsia="Arial" w:hAnsi="Arial"/>
          <w:sz w:val="18"/>
          <w:szCs w:val="18"/>
          <w:color w:val="auto"/>
        </w:rPr>
        <w:t>the Related Person shall not have acquired from the Corporation or any of its subsidiaries any newly issued or treasury shares of capital stock or any newly issued securities convertible into capital stock of the Corporation or any of its majority-owned subsidiaries, directly or indirectly (except upon conversion of convertible securities acquired by it prior to becoming a Related Person or as a result of a pro rata stock dividend or stock split or other distribution of stock to all shareholders pro rata);</w:t>
      </w:r>
    </w:p>
    <w:p>
      <w:pPr>
        <w:spacing w:after="0" w:line="125" w:lineRule="exact"/>
        <w:rPr>
          <w:rFonts w:ascii="Arial" w:cs="Arial" w:eastAsia="Arial" w:hAnsi="Arial"/>
          <w:sz w:val="18"/>
          <w:szCs w:val="18"/>
          <w:color w:val="auto"/>
        </w:rPr>
      </w:pPr>
    </w:p>
    <w:p>
      <w:pPr>
        <w:ind w:left="180" w:right="60" w:firstLine="652"/>
        <w:spacing w:after="0" w:line="259" w:lineRule="auto"/>
        <w:tabs>
          <w:tab w:leader="none" w:pos="1228" w:val="left"/>
        </w:tabs>
        <w:numPr>
          <w:ilvl w:val="2"/>
          <w:numId w:val="205"/>
        </w:numPr>
        <w:rPr>
          <w:rFonts w:ascii="Arial" w:cs="Arial" w:eastAsia="Arial" w:hAnsi="Arial"/>
          <w:sz w:val="18"/>
          <w:szCs w:val="18"/>
          <w:color w:val="auto"/>
        </w:rPr>
      </w:pPr>
      <w:r>
        <w:rPr>
          <w:rFonts w:ascii="Arial" w:cs="Arial" w:eastAsia="Arial" w:hAnsi="Arial"/>
          <w:sz w:val="18"/>
          <w:szCs w:val="18"/>
          <w:color w:val="auto"/>
        </w:rPr>
        <w:t>such Related Person shall not have received the benefit, directly or indirectly (except proportionately as a shareholder), of any loans, advances, guarantees, pledges, or other financial assistance or tax credits provided by the Corporation or any of its majority-owned subsidiaries, or made any major changes in the Corporation’s or any of its majority-owned subsidiaries’ businesses or capital structures or reduced the current rate of dividends payable on the Corporation’s capital stock below the rate in effect immediately prior to the time such Related Person became a Related Person; and</w:t>
      </w:r>
    </w:p>
    <w:p>
      <w:pPr>
        <w:spacing w:after="0" w:line="125" w:lineRule="exact"/>
        <w:rPr>
          <w:rFonts w:ascii="Arial" w:cs="Arial" w:eastAsia="Arial" w:hAnsi="Arial"/>
          <w:sz w:val="18"/>
          <w:szCs w:val="18"/>
          <w:color w:val="auto"/>
        </w:rPr>
      </w:pPr>
    </w:p>
    <w:p>
      <w:pPr>
        <w:ind w:left="180" w:right="200" w:firstLine="652"/>
        <w:spacing w:after="0" w:line="259" w:lineRule="auto"/>
        <w:tabs>
          <w:tab w:leader="none" w:pos="1268" w:val="left"/>
        </w:tabs>
        <w:numPr>
          <w:ilvl w:val="2"/>
          <w:numId w:val="205"/>
        </w:numPr>
        <w:rPr>
          <w:rFonts w:ascii="Arial" w:cs="Arial" w:eastAsia="Arial" w:hAnsi="Arial"/>
          <w:sz w:val="18"/>
          <w:szCs w:val="18"/>
          <w:color w:val="auto"/>
        </w:rPr>
      </w:pPr>
      <w:r>
        <w:rPr>
          <w:rFonts w:ascii="Arial" w:cs="Arial" w:eastAsia="Arial" w:hAnsi="Arial"/>
          <w:sz w:val="18"/>
          <w:szCs w:val="18"/>
          <w:color w:val="auto"/>
        </w:rPr>
        <w:t>such Related Person shall have taken all required actions within its power to ensure that the Corporation’s Board of Directors included representation by Continuing Directors at least proportionate to the voting power of the shareholdings of Voting Stock of the Corporation’s Remaining Public Shareholders (as hereinafter defined), with a Continuing Director to occupy an additional Board position if a fractional right to a director results and, in any event, with at least one Continuing Director to serve on the Board so long as there are any Remaining Public Shareholders.</w:t>
      </w:r>
    </w:p>
    <w:p>
      <w:pPr>
        <w:spacing w:after="0" w:line="125" w:lineRule="exact"/>
        <w:rPr>
          <w:rFonts w:ascii="Arial" w:cs="Arial" w:eastAsia="Arial" w:hAnsi="Arial"/>
          <w:sz w:val="18"/>
          <w:szCs w:val="18"/>
          <w:color w:val="auto"/>
        </w:rPr>
      </w:pPr>
    </w:p>
    <w:p>
      <w:pPr>
        <w:ind w:left="-460" w:right="40" w:firstLine="644"/>
        <w:spacing w:after="0" w:line="287" w:lineRule="auto"/>
        <w:tabs>
          <w:tab w:leader="none" w:pos="598" w:val="left"/>
        </w:tabs>
        <w:numPr>
          <w:ilvl w:val="0"/>
          <w:numId w:val="206"/>
        </w:numPr>
        <w:rPr>
          <w:rFonts w:ascii="Arial" w:cs="Arial" w:eastAsia="Arial" w:hAnsi="Arial"/>
          <w:sz w:val="18"/>
          <w:szCs w:val="18"/>
          <w:color w:val="auto"/>
        </w:rPr>
      </w:pPr>
      <w:r>
        <w:rPr>
          <w:rFonts w:ascii="Arial" w:cs="Arial" w:eastAsia="Arial" w:hAnsi="Arial"/>
          <w:sz w:val="18"/>
          <w:szCs w:val="18"/>
          <w:color w:val="auto"/>
        </w:rPr>
        <w:t>A proxy statement responsive to the requirements of the Securities Exchange Act of 1934, as amended, whether or not the Corporation is then subject to such requirements, shall be mailed</w:t>
      </w:r>
    </w:p>
    <w:p>
      <w:pPr>
        <w:spacing w:after="0" w:line="200" w:lineRule="exact"/>
        <w:rPr>
          <w:sz w:val="20"/>
          <w:szCs w:val="20"/>
          <w:color w:val="auto"/>
        </w:rPr>
      </w:pPr>
    </w:p>
    <w:p>
      <w:pPr>
        <w:spacing w:after="0" w:line="223"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142240</wp:posOffset>
            </wp:positionV>
            <wp:extent cx="7157720" cy="42545"/>
            <wp:wrapNone/>
            <wp:docPr id="2588" name="Picture 2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8"/>
                    <pic:cNvPicPr>
                      <a:picLocks noChangeAspect="1" noChangeArrowheads="1"/>
                    </pic:cNvPicPr>
                  </pic:nvPicPr>
                  <pic:blipFill>
                    <a:blip r:embed="rId25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1440" w:top="755" w:right="359" w:bottom="1440" w:gutter="0" w:footer="0" w:header="0"/>
        </w:sectPr>
      </w:pPr>
    </w:p>
    <w:bookmarkStart w:id="96" w:name="page97"/>
    <w:bookmarkEnd w:id="96"/>
    <w:p>
      <w:pPr>
        <w:spacing w:after="0" w:line="256" w:lineRule="auto"/>
        <w:rPr>
          <w:sz w:val="20"/>
          <w:szCs w:val="20"/>
          <w:color w:val="auto"/>
        </w:rPr>
      </w:pPr>
      <w:r>
        <w:rPr>
          <w:rFonts w:ascii="Arial" w:cs="Arial" w:eastAsia="Arial" w:hAnsi="Arial"/>
          <w:sz w:val="18"/>
          <w:szCs w:val="18"/>
          <w:color w:val="auto"/>
        </w:rPr>
        <w:t>to the shareholders of the Corporation for the purpose of soliciting shareholder approval of such action or transaction and shall contain at the front thereof, in a prominent place, any recommendations as to the advisability or inadvisability of the action or transaction which the Continuing Directors may choose to state and, if deemed advisable by a majority of the Continuing Directors, the opinion of an investment banking firm selected by a majority of the Continuing Directors as to the fairness (or not) of the terms of the action or transaction from a financial point of view to the Remaining Public Shareholders, such investment banking firm to be paid a reasonable fee for its services by the Corporation. The requirements of this paragraph (e) shall not apply to any such action or transaction which is approved by a majority of the Continuing Directors.</w:t>
      </w:r>
    </w:p>
    <w:p>
      <w:pPr>
        <w:spacing w:after="0" w:line="129" w:lineRule="exact"/>
        <w:rPr>
          <w:sz w:val="20"/>
          <w:szCs w:val="20"/>
          <w:color w:val="auto"/>
        </w:rPr>
      </w:pPr>
    </w:p>
    <w:p>
      <w:pPr>
        <w:ind w:left="1020" w:hanging="376"/>
        <w:spacing w:after="0"/>
        <w:tabs>
          <w:tab w:leader="none" w:pos="102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For the purpose of this Article 13:</w:t>
      </w:r>
    </w:p>
    <w:p>
      <w:pPr>
        <w:spacing w:after="0" w:line="171" w:lineRule="exact"/>
        <w:rPr>
          <w:rFonts w:ascii="Arial" w:cs="Arial" w:eastAsia="Arial" w:hAnsi="Arial"/>
          <w:sz w:val="18"/>
          <w:szCs w:val="18"/>
          <w:color w:val="auto"/>
        </w:rPr>
      </w:pPr>
    </w:p>
    <w:p>
      <w:pPr>
        <w:ind w:left="640" w:right="20" w:firstLine="652"/>
        <w:spacing w:after="0" w:line="255" w:lineRule="auto"/>
        <w:tabs>
          <w:tab w:leader="none" w:pos="1648" w:val="left"/>
        </w:tabs>
        <w:numPr>
          <w:ilvl w:val="1"/>
          <w:numId w:val="207"/>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Related Person</w:t>
      </w:r>
      <w:r>
        <w:rPr>
          <w:rFonts w:ascii="Arial" w:cs="Arial" w:eastAsia="Arial" w:hAnsi="Arial"/>
          <w:sz w:val="18"/>
          <w:szCs w:val="18"/>
          <w:color w:val="auto"/>
        </w:rPr>
        <w:t xml:space="preserve">” shall mean any other corporation, person, or entity which beneficially owns or controls, directly or indirectly, 5% or more of the outstanding shares of Voting Stock, and any Affiliate or Associate (as those terms are defined in the General Rules and Regulations under the Securities Exchange Act of 1934) of a Related Person;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term Related Person shall not include (a) the Corporation or any of its subsidiaries, (b) any profit-sharing, employee stock ownership or other employee benefit plan of the Corporation or any subsidiary of the Corporation or any trustee of or fiduciary with respect to any such plan when acting in such capacity, or (c) Lilly Endowment, Inc.; and </w:t>
      </w:r>
      <w:r>
        <w:rPr>
          <w:rFonts w:ascii="Arial" w:cs="Arial" w:eastAsia="Arial" w:hAnsi="Arial"/>
          <w:sz w:val="18"/>
          <w:szCs w:val="18"/>
          <w:u w:val="single" w:color="auto"/>
          <w:color w:val="auto"/>
        </w:rPr>
        <w:t>further provided</w:t>
      </w:r>
      <w:r>
        <w:rPr>
          <w:rFonts w:ascii="Arial" w:cs="Arial" w:eastAsia="Arial" w:hAnsi="Arial"/>
          <w:sz w:val="18"/>
          <w:szCs w:val="18"/>
          <w:color w:val="auto"/>
        </w:rPr>
        <w:t>, that no corporation, person, or entity shall be deemed to be a Related Person solely by reason of being an Affiliate or Associate of Lilly Endowment, Inc.;</w:t>
      </w:r>
    </w:p>
    <w:p>
      <w:pPr>
        <w:spacing w:after="0" w:line="130" w:lineRule="exact"/>
        <w:rPr>
          <w:rFonts w:ascii="Arial" w:cs="Arial" w:eastAsia="Arial" w:hAnsi="Arial"/>
          <w:sz w:val="18"/>
          <w:szCs w:val="18"/>
          <w:color w:val="auto"/>
        </w:rPr>
      </w:pPr>
    </w:p>
    <w:p>
      <w:pPr>
        <w:ind w:left="640" w:right="420" w:firstLine="652"/>
        <w:spacing w:after="0" w:line="287" w:lineRule="auto"/>
        <w:tabs>
          <w:tab w:leader="none" w:pos="1688" w:val="left"/>
        </w:tabs>
        <w:numPr>
          <w:ilvl w:val="1"/>
          <w:numId w:val="207"/>
        </w:numPr>
        <w:rPr>
          <w:rFonts w:ascii="Arial" w:cs="Arial" w:eastAsia="Arial" w:hAnsi="Arial"/>
          <w:sz w:val="18"/>
          <w:szCs w:val="18"/>
          <w:color w:val="auto"/>
        </w:rPr>
      </w:pPr>
      <w:r>
        <w:rPr>
          <w:rFonts w:ascii="Arial" w:cs="Arial" w:eastAsia="Arial" w:hAnsi="Arial"/>
          <w:sz w:val="18"/>
          <w:szCs w:val="18"/>
          <w:color w:val="auto"/>
        </w:rPr>
        <w:t>a Related Person shall be deemed to own or control, directly or indirectly, any outstanding shares of Voting Stock owned by it or any Affiliate or Associate of record or beneficially, including, without limitation, shares</w:t>
      </w:r>
    </w:p>
    <w:p>
      <w:pPr>
        <w:spacing w:after="0" w:line="98" w:lineRule="exact"/>
        <w:rPr>
          <w:rFonts w:ascii="Arial" w:cs="Arial" w:eastAsia="Arial" w:hAnsi="Arial"/>
          <w:sz w:val="18"/>
          <w:szCs w:val="18"/>
          <w:color w:val="auto"/>
        </w:rPr>
      </w:pPr>
    </w:p>
    <w:p>
      <w:pPr>
        <w:ind w:left="1300" w:right="520" w:firstLine="640"/>
        <w:spacing w:after="0" w:line="287" w:lineRule="auto"/>
        <w:tabs>
          <w:tab w:leader="none" w:pos="2298" w:val="left"/>
        </w:tabs>
        <w:numPr>
          <w:ilvl w:val="2"/>
          <w:numId w:val="207"/>
        </w:numPr>
        <w:rPr>
          <w:rFonts w:ascii="Arial" w:cs="Arial" w:eastAsia="Arial" w:hAnsi="Arial"/>
          <w:sz w:val="18"/>
          <w:szCs w:val="18"/>
          <w:color w:val="auto"/>
        </w:rPr>
      </w:pPr>
      <w:r>
        <w:rPr>
          <w:rFonts w:ascii="Arial" w:cs="Arial" w:eastAsia="Arial" w:hAnsi="Arial"/>
          <w:sz w:val="18"/>
          <w:szCs w:val="18"/>
          <w:color w:val="auto"/>
        </w:rPr>
        <w:t>which it has the right to acquire pursuant to any agreement, or upon exercise of conversion rights, warrants, or options, or otherwise; or</w:t>
      </w:r>
    </w:p>
    <w:p>
      <w:pPr>
        <w:spacing w:after="0" w:line="98" w:lineRule="exact"/>
        <w:rPr>
          <w:rFonts w:ascii="Arial" w:cs="Arial" w:eastAsia="Arial" w:hAnsi="Arial"/>
          <w:sz w:val="18"/>
          <w:szCs w:val="18"/>
          <w:color w:val="auto"/>
        </w:rPr>
      </w:pPr>
    </w:p>
    <w:p>
      <w:pPr>
        <w:jc w:val="both"/>
        <w:ind w:left="1300" w:right="60" w:firstLine="640"/>
        <w:spacing w:after="0" w:line="262" w:lineRule="auto"/>
        <w:tabs>
          <w:tab w:leader="none" w:pos="2298" w:val="left"/>
        </w:tabs>
        <w:numPr>
          <w:ilvl w:val="2"/>
          <w:numId w:val="207"/>
        </w:numPr>
        <w:rPr>
          <w:rFonts w:ascii="Arial" w:cs="Arial" w:eastAsia="Arial" w:hAnsi="Arial"/>
          <w:sz w:val="18"/>
          <w:szCs w:val="18"/>
          <w:color w:val="auto"/>
        </w:rPr>
      </w:pPr>
      <w:r>
        <w:rPr>
          <w:rFonts w:ascii="Arial" w:cs="Arial" w:eastAsia="Arial" w:hAnsi="Arial"/>
          <w:sz w:val="18"/>
          <w:szCs w:val="18"/>
          <w:color w:val="auto"/>
        </w:rPr>
        <w:t>which are beneficially owned, directly or indirectly (including shares deemed owned through application of clause a. above), by any other corporation, person, or other entity with which it or its Affiliate or Associate has any agreement, arrangement, or understanding for the purpose of acquiring, holding, voting, or disposing of Voting Stock, or which is its Affiliate (other than the Corporation) or Associate (other than the Corporation);</w:t>
      </w:r>
    </w:p>
    <w:p>
      <w:pPr>
        <w:spacing w:after="0" w:line="122" w:lineRule="exact"/>
        <w:rPr>
          <w:rFonts w:ascii="Arial" w:cs="Arial" w:eastAsia="Arial" w:hAnsi="Arial"/>
          <w:sz w:val="18"/>
          <w:szCs w:val="18"/>
          <w:color w:val="auto"/>
        </w:rPr>
      </w:pPr>
    </w:p>
    <w:p>
      <w:pPr>
        <w:ind w:left="640" w:right="100" w:firstLine="652"/>
        <w:spacing w:after="0" w:line="287" w:lineRule="auto"/>
        <w:tabs>
          <w:tab w:leader="none" w:pos="1728" w:val="left"/>
        </w:tabs>
        <w:numPr>
          <w:ilvl w:val="1"/>
          <w:numId w:val="207"/>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Voting Stock</w:t>
      </w:r>
      <w:r>
        <w:rPr>
          <w:rFonts w:ascii="Arial" w:cs="Arial" w:eastAsia="Arial" w:hAnsi="Arial"/>
          <w:sz w:val="18"/>
          <w:szCs w:val="18"/>
          <w:color w:val="auto"/>
        </w:rPr>
        <w:t>” shall mean all shares of any class of capital stock of the Corporation which are entitled to vote generally in the election of directors;</w:t>
      </w:r>
    </w:p>
    <w:p>
      <w:pPr>
        <w:spacing w:after="0" w:line="98" w:lineRule="exact"/>
        <w:rPr>
          <w:rFonts w:ascii="Arial" w:cs="Arial" w:eastAsia="Arial" w:hAnsi="Arial"/>
          <w:sz w:val="18"/>
          <w:szCs w:val="18"/>
          <w:color w:val="auto"/>
        </w:rPr>
      </w:pPr>
    </w:p>
    <w:p>
      <w:pPr>
        <w:ind w:left="640" w:right="140" w:firstLine="652"/>
        <w:spacing w:after="0" w:line="259" w:lineRule="auto"/>
        <w:tabs>
          <w:tab w:leader="none" w:pos="1738" w:val="left"/>
        </w:tabs>
        <w:numPr>
          <w:ilvl w:val="1"/>
          <w:numId w:val="207"/>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Continuing Director</w:t>
      </w:r>
      <w:r>
        <w:rPr>
          <w:rFonts w:ascii="Arial" w:cs="Arial" w:eastAsia="Arial" w:hAnsi="Arial"/>
          <w:sz w:val="18"/>
          <w:szCs w:val="18"/>
          <w:color w:val="auto"/>
        </w:rPr>
        <w:t>” shall mean a director who is not an Affiliate or Associate or representative of a Related Person and who was a member of the Board of Directors of the Corporation immediately prior to the time that any Related Person involved in the proposed action or transaction became a Related Person or a director who is not an Affiliate or Associate or representative of a Related Person and who was nominated by a majority of the remaining Continuing Directors; and</w:t>
      </w:r>
    </w:p>
    <w:p>
      <w:pPr>
        <w:spacing w:after="0" w:line="125" w:lineRule="exact"/>
        <w:rPr>
          <w:rFonts w:ascii="Arial" w:cs="Arial" w:eastAsia="Arial" w:hAnsi="Arial"/>
          <w:sz w:val="18"/>
          <w:szCs w:val="18"/>
          <w:color w:val="auto"/>
        </w:rPr>
      </w:pPr>
    </w:p>
    <w:p>
      <w:pPr>
        <w:ind w:left="640" w:right="160" w:firstLine="652"/>
        <w:spacing w:after="0" w:line="287" w:lineRule="auto"/>
        <w:tabs>
          <w:tab w:leader="none" w:pos="1698" w:val="left"/>
        </w:tabs>
        <w:numPr>
          <w:ilvl w:val="1"/>
          <w:numId w:val="207"/>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Remaining Public Shareholders</w:t>
      </w:r>
      <w:r>
        <w:rPr>
          <w:rFonts w:ascii="Arial" w:cs="Arial" w:eastAsia="Arial" w:hAnsi="Arial"/>
          <w:sz w:val="18"/>
          <w:szCs w:val="18"/>
          <w:color w:val="auto"/>
        </w:rPr>
        <w:t>” shall mean the holders of the Corporation’s capital stock other than the Related Person.</w:t>
      </w:r>
    </w:p>
    <w:p>
      <w:pPr>
        <w:spacing w:after="0" w:line="98" w:lineRule="exact"/>
        <w:rPr>
          <w:rFonts w:ascii="Arial" w:cs="Arial" w:eastAsia="Arial" w:hAnsi="Arial"/>
          <w:sz w:val="18"/>
          <w:szCs w:val="18"/>
          <w:color w:val="auto"/>
        </w:rPr>
      </w:pPr>
    </w:p>
    <w:p>
      <w:pPr>
        <w:ind w:right="20" w:firstLine="644"/>
        <w:spacing w:after="0" w:line="259" w:lineRule="auto"/>
        <w:tabs>
          <w:tab w:leader="none" w:pos="1058" w:val="left"/>
        </w:tabs>
        <w:numPr>
          <w:ilvl w:val="0"/>
          <w:numId w:val="207"/>
        </w:numPr>
        <w:rPr>
          <w:rFonts w:ascii="Arial" w:cs="Arial" w:eastAsia="Arial" w:hAnsi="Arial"/>
          <w:sz w:val="18"/>
          <w:szCs w:val="18"/>
          <w:color w:val="auto"/>
        </w:rPr>
      </w:pPr>
      <w:r>
        <w:rPr>
          <w:rFonts w:ascii="Arial" w:cs="Arial" w:eastAsia="Arial" w:hAnsi="Arial"/>
          <w:sz w:val="18"/>
          <w:szCs w:val="18"/>
          <w:color w:val="auto"/>
        </w:rPr>
        <w:t>A majority of the Continuing Directors of the Corporation shall have the power and duty to determine for the purposes of this Article 13, on the basis of information then known to the Continuing Directors, whether (i) any Related Person exists or is an Affiliate or an Associate of another and (ii) any proposed sale, lease, exchange, or other disposition of part of the assets of the Corporation or any majority-owned subsidiary involves a substantial part of the assets of the Corporation or any of its subsidiaries. Any such determination by the Continuing Directors shall be conclusive and binding for all purposes.</w:t>
      </w:r>
    </w:p>
    <w:p>
      <w:pPr>
        <w:spacing w:after="0" w:line="125" w:lineRule="exact"/>
        <w:rPr>
          <w:rFonts w:ascii="Arial" w:cs="Arial" w:eastAsia="Arial" w:hAnsi="Arial"/>
          <w:sz w:val="18"/>
          <w:szCs w:val="18"/>
          <w:color w:val="auto"/>
        </w:rPr>
      </w:pPr>
    </w:p>
    <w:p>
      <w:pPr>
        <w:ind w:right="60" w:firstLine="644"/>
        <w:spacing w:after="0" w:line="287" w:lineRule="auto"/>
        <w:tabs>
          <w:tab w:leader="none" w:pos="1068" w:val="left"/>
        </w:tabs>
        <w:numPr>
          <w:ilvl w:val="0"/>
          <w:numId w:val="207"/>
        </w:numPr>
        <w:rPr>
          <w:rFonts w:ascii="Arial" w:cs="Arial" w:eastAsia="Arial" w:hAnsi="Arial"/>
          <w:sz w:val="18"/>
          <w:szCs w:val="18"/>
          <w:color w:val="auto"/>
        </w:rPr>
      </w:pPr>
      <w:r>
        <w:rPr>
          <w:rFonts w:ascii="Arial" w:cs="Arial" w:eastAsia="Arial" w:hAnsi="Arial"/>
          <w:sz w:val="18"/>
          <w:szCs w:val="18"/>
          <w:color w:val="auto"/>
        </w:rPr>
        <w:t>Nothing contained in this Article 13 shall be construed to relieve any Related Person or any Affiliate or Associate of any Related Person from any fiduciary obligation imposed by law.</w:t>
      </w:r>
    </w:p>
    <w:p>
      <w:pPr>
        <w:spacing w:after="0" w:line="98" w:lineRule="exact"/>
        <w:rPr>
          <w:rFonts w:ascii="Arial" w:cs="Arial" w:eastAsia="Arial" w:hAnsi="Arial"/>
          <w:sz w:val="18"/>
          <w:szCs w:val="18"/>
          <w:color w:val="auto"/>
        </w:rPr>
      </w:pPr>
    </w:p>
    <w:p>
      <w:pPr>
        <w:ind w:left="1000" w:hanging="356"/>
        <w:spacing w:after="0"/>
        <w:tabs>
          <w:tab w:leader="none" w:pos="100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The fact that any action or transaction complies with the provisions of this Article 13 shall</w:t>
      </w:r>
    </w:p>
    <w:p>
      <w:pPr>
        <w:spacing w:after="0" w:line="200" w:lineRule="exact"/>
        <w:rPr>
          <w:sz w:val="20"/>
          <w:szCs w:val="20"/>
          <w:color w:val="auto"/>
        </w:rPr>
      </w:pPr>
    </w:p>
    <w:p>
      <w:pPr>
        <w:spacing w:after="0" w:line="295"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142240</wp:posOffset>
            </wp:positionV>
            <wp:extent cx="7157720" cy="42545"/>
            <wp:wrapNone/>
            <wp:docPr id="2589" name="Picture 2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9"/>
                    <pic:cNvPicPr>
                      <a:picLocks noChangeAspect="1" noChangeArrowheads="1"/>
                    </pic:cNvPicPr>
                  </pic:nvPicPr>
                  <pic:blipFill>
                    <a:blip r:embed="rId25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769" w:right="339" w:bottom="1440" w:gutter="0" w:footer="0" w:header="0"/>
        </w:sectPr>
      </w:pPr>
    </w:p>
    <w:bookmarkStart w:id="97" w:name="page98"/>
    <w:bookmarkEnd w:id="97"/>
    <w:p>
      <w:pPr>
        <w:ind w:right="20"/>
        <w:spacing w:after="0" w:line="255" w:lineRule="auto"/>
        <w:rPr>
          <w:sz w:val="20"/>
          <w:szCs w:val="20"/>
          <w:color w:val="auto"/>
        </w:rPr>
      </w:pPr>
      <w:r>
        <w:rPr>
          <w:rFonts w:ascii="Arial" w:cs="Arial" w:eastAsia="Arial" w:hAnsi="Arial"/>
          <w:sz w:val="18"/>
          <w:szCs w:val="18"/>
          <w:color w:val="auto"/>
        </w:rPr>
        <w:t>not be construed to waive or satisfy any other requirement of law or these Amended Articles of Incorporation or to impose any fiduciary duty, obligation, or responsibility on the Board of Directors or any member thereof, to approve such action or transaction or recommend its adoption or approval to the shareholders of the Corporation, nor shall such compliance limit, prohibit, or otherwise restrict in any manner the Board of Directors, or any member thereof, with respect to evaluations of or actions and responses taken with respect to such action or transaction. The Board of Directors of the Corporation, when evaluating any actions or transactions described in paragraph (a) of this Article 13, shall, in connection with the exercise of its judgment in determining what is in the best interests of the Corporation and its shareholders, give due consideration to all relevant factors, including, without limitation, the social and economic effects on the employees, customers, suppliers, and other constituents of the Corporation and its subsidiaries and on the communities in which the Corporation and its subsidiaries operate or are located.</w:t>
      </w:r>
    </w:p>
    <w:p>
      <w:pPr>
        <w:spacing w:after="0" w:line="127" w:lineRule="exact"/>
        <w:rPr>
          <w:sz w:val="20"/>
          <w:szCs w:val="20"/>
          <w:color w:val="auto"/>
        </w:rPr>
      </w:pPr>
    </w:p>
    <w:p>
      <w:pPr>
        <w:ind w:firstLine="644"/>
        <w:spacing w:after="0" w:line="259" w:lineRule="auto"/>
        <w:tabs>
          <w:tab w:leader="none" w:pos="1007" w:val="left"/>
        </w:tabs>
        <w:numPr>
          <w:ilvl w:val="0"/>
          <w:numId w:val="208"/>
        </w:numPr>
        <w:rPr>
          <w:rFonts w:ascii="Arial" w:cs="Arial" w:eastAsia="Arial" w:hAnsi="Arial"/>
          <w:sz w:val="18"/>
          <w:szCs w:val="18"/>
          <w:color w:val="auto"/>
          <w:strike w:val="1"/>
        </w:rPr>
      </w:pPr>
      <w:r>
        <w:rPr>
          <w:rFonts w:ascii="Arial" w:cs="Arial" w:eastAsia="Arial" w:hAnsi="Arial"/>
          <w:sz w:val="18"/>
          <w:szCs w:val="18"/>
          <w:color w:val="auto"/>
          <w:strike w:val="1"/>
        </w:rPr>
        <w:t>Notwithstanding any other provision of these Amended Articles of Incorporation or of law which might otherwise permit a lesser vote or no vote, but in addition to any affirmative vote of the holders of any particular class of Voting Stock required by law or these Amended Articles of Incorporation, the affirmative vote of the holders of at least 80% of the votes entitled to be cast by holders of all the outstanding shares of Voting Stock, voting together as a single class, shall be required to alter, amend, or repeal this Article 13.</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142240</wp:posOffset>
            </wp:positionV>
            <wp:extent cx="7157720" cy="42545"/>
            <wp:wrapNone/>
            <wp:docPr id="2590" name="Picture 2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0"/>
                    <pic:cNvPicPr>
                      <a:picLocks noChangeAspect="1" noChangeArrowheads="1"/>
                    </pic:cNvPicPr>
                  </pic:nvPicPr>
                  <pic:blipFill>
                    <a:blip r:embed="rId25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980" w:top="769" w:right="359" w:bottom="1440" w:gutter="0" w:footer="0" w:header="0"/>
        </w:sectPr>
      </w:pPr>
    </w:p>
    <w:bookmarkStart w:id="98" w:name="page99"/>
    <w:bookmarkEnd w:id="9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5760720" cy="7449185"/>
            <wp:wrapNone/>
            <wp:docPr id="2591" name="Picture 2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1"/>
                    <pic:cNvPicPr>
                      <a:picLocks noChangeAspect="1" noChangeArrowheads="1"/>
                    </pic:cNvPicPr>
                  </pic:nvPicPr>
                  <pic:blipFill>
                    <a:blip r:embed="rId2598">
                      <a:clrChange>
                        <a:clrFrom>
                          <a:srgbClr val="FFFFFF"/>
                        </a:clrFrom>
                        <a:clrTo>
                          <a:srgbClr val="FFFFFF">
                            <a:alpha val="0"/>
                          </a:srgbClr>
                        </a:clrTo>
                      </a:clrChange>
                      <a:extLst>
                        <a:ext uri="{28A0092B-C50C-407E-A947-70E740481C1C}"/>
                      </a:extLst>
                    </a:blip>
                    <a:srcRect/>
                    <a:stretch>
                      <a:fillRect/>
                    </a:stretch>
                  </pic:blipFill>
                  <pic:spPr bwMode="auto">
                    <a:xfrm>
                      <a:off x="0" y="0"/>
                      <a:ext cx="5760720" cy="7449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PC-1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149225</wp:posOffset>
            </wp:positionV>
            <wp:extent cx="7157720" cy="42545"/>
            <wp:wrapNone/>
            <wp:docPr id="2592" name="Picture 2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2"/>
                    <pic:cNvPicPr>
                      <a:picLocks noChangeAspect="1" noChangeArrowheads="1"/>
                    </pic:cNvPicPr>
                  </pic:nvPicPr>
                  <pic:blipFill>
                    <a:blip r:embed="rId25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99" w:name="page100"/>
    <w:bookmarkEnd w:id="9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5760720" cy="7449185"/>
            <wp:wrapNone/>
            <wp:docPr id="2593" name="Picture 2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3"/>
                    <pic:cNvPicPr>
                      <a:picLocks noChangeAspect="1" noChangeArrowheads="1"/>
                    </pic:cNvPicPr>
                  </pic:nvPicPr>
                  <pic:blipFill>
                    <a:blip r:embed="rId2600">
                      <a:clrChange>
                        <a:clrFrom>
                          <a:srgbClr val="FFFFFF"/>
                        </a:clrFrom>
                        <a:clrTo>
                          <a:srgbClr val="FFFFFF">
                            <a:alpha val="0"/>
                          </a:srgbClr>
                        </a:clrTo>
                      </a:clrChange>
                      <a:extLst>
                        <a:ext uri="{28A0092B-C50C-407E-A947-70E740481C1C}"/>
                      </a:extLst>
                    </a:blip>
                    <a:srcRect/>
                    <a:stretch>
                      <a:fillRect/>
                    </a:stretch>
                  </pic:blipFill>
                  <pic:spPr bwMode="auto">
                    <a:xfrm>
                      <a:off x="0" y="0"/>
                      <a:ext cx="5760720" cy="7449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PC-2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149225</wp:posOffset>
            </wp:positionV>
            <wp:extent cx="7157720" cy="42545"/>
            <wp:wrapNone/>
            <wp:docPr id="2594" name="Picture 2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4"/>
                    <pic:cNvPicPr>
                      <a:picLocks noChangeAspect="1" noChangeArrowheads="1"/>
                    </pic:cNvPicPr>
                  </pic:nvPicPr>
                  <pic:blipFill>
                    <a:blip r:embed="rId26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00" w:name="page101"/>
    <w:bookmarkEnd w:id="10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5760720" cy="7449185"/>
            <wp:wrapNone/>
            <wp:docPr id="2595" name="Picture 2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5"/>
                    <pic:cNvPicPr>
                      <a:picLocks noChangeAspect="1" noChangeArrowheads="1"/>
                    </pic:cNvPicPr>
                  </pic:nvPicPr>
                  <pic:blipFill>
                    <a:blip r:embed="rId2602">
                      <a:clrChange>
                        <a:clrFrom>
                          <a:srgbClr val="FFFFFF"/>
                        </a:clrFrom>
                        <a:clrTo>
                          <a:srgbClr val="FFFFFF">
                            <a:alpha val="0"/>
                          </a:srgbClr>
                        </a:clrTo>
                      </a:clrChange>
                      <a:extLst>
                        <a:ext uri="{28A0092B-C50C-407E-A947-70E740481C1C}"/>
                      </a:extLst>
                    </a:blip>
                    <a:srcRect/>
                    <a:stretch>
                      <a:fillRect/>
                    </a:stretch>
                  </pic:blipFill>
                  <pic:spPr bwMode="auto">
                    <a:xfrm>
                      <a:off x="0" y="0"/>
                      <a:ext cx="5760720" cy="7449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PC-3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149225</wp:posOffset>
            </wp:positionV>
            <wp:extent cx="7157720" cy="42545"/>
            <wp:wrapNone/>
            <wp:docPr id="2596" name="Picture 2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6"/>
                    <pic:cNvPicPr>
                      <a:picLocks noChangeAspect="1" noChangeArrowheads="1"/>
                    </pic:cNvPicPr>
                  </pic:nvPicPr>
                  <pic:blipFill>
                    <a:blip r:embed="rId26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01" w:name="page102"/>
    <w:bookmarkEnd w:id="10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5760720" cy="7449820"/>
            <wp:wrapNone/>
            <wp:docPr id="2597" name="Picture 2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7"/>
                    <pic:cNvPicPr>
                      <a:picLocks noChangeAspect="1" noChangeArrowheads="1"/>
                    </pic:cNvPicPr>
                  </pic:nvPicPr>
                  <pic:blipFill>
                    <a:blip r:embed="rId2604">
                      <a:clrChange>
                        <a:clrFrom>
                          <a:srgbClr val="FFFFFF"/>
                        </a:clrFrom>
                        <a:clrTo>
                          <a:srgbClr val="FFFFFF">
                            <a:alpha val="0"/>
                          </a:srgbClr>
                        </a:clrTo>
                      </a:clrChange>
                      <a:extLst>
                        <a:ext uri="{28A0092B-C50C-407E-A947-70E740481C1C}"/>
                      </a:extLst>
                    </a:blip>
                    <a:srcRect/>
                    <a:stretch>
                      <a:fillRect/>
                    </a:stretch>
                  </pic:blipFill>
                  <pic:spPr bwMode="auto">
                    <a:xfrm>
                      <a:off x="0" y="0"/>
                      <a:ext cx="5760720" cy="7449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PC-4</w:t>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71C91298"/>
    <w:multiLevelType w:val="hybridMultilevel"/>
    <w:lvl w:ilvl="0">
      <w:lvlJc w:val="left"/>
      <w:lvlText w:val="o"/>
      <w:numFmt w:val="bullet"/>
      <w:start w:val="1"/>
    </w:lvl>
  </w:abstractNum>
  <w:abstractNum w:abstractNumId="1">
    <w:nsid w:val="9DAF632"/>
    <w:multiLevelType w:val="hybridMultilevel"/>
    <w:lvl w:ilvl="0">
      <w:lvlJc w:val="left"/>
      <w:lvlText w:val="x"/>
      <w:numFmt w:val="bullet"/>
      <w:start w:val="1"/>
    </w:lvl>
  </w:abstractNum>
  <w:abstractNum w:abstractNumId="2">
    <w:nsid w:val="53299938"/>
    <w:multiLevelType w:val="hybridMultilevel"/>
    <w:lvl w:ilvl="0">
      <w:lvlJc w:val="left"/>
      <w:lvlText w:val="o"/>
      <w:numFmt w:val="bullet"/>
      <w:start w:val="1"/>
    </w:lvl>
  </w:abstractNum>
  <w:abstractNum w:abstractNumId="3">
    <w:nsid w:val="1FBFE8E0"/>
    <w:multiLevelType w:val="hybridMultilevel"/>
    <w:lvl w:ilvl="0">
      <w:lvlJc w:val="left"/>
      <w:lvlText w:val="x"/>
      <w:numFmt w:val="bullet"/>
      <w:start w:val="1"/>
    </w:lvl>
  </w:abstractNum>
  <w:abstractNum w:abstractNumId="4">
    <w:nsid w:val="5092CA79"/>
    <w:multiLevelType w:val="hybridMultilevel"/>
    <w:lvl w:ilvl="0">
      <w:lvlJc w:val="left"/>
      <w:lvlText w:val="o"/>
      <w:numFmt w:val="bullet"/>
      <w:start w:val="1"/>
    </w:lvl>
  </w:abstractNum>
  <w:abstractNum w:abstractNumId="5">
    <w:nsid w:val="1D545C4D"/>
    <w:multiLevelType w:val="hybridMultilevel"/>
    <w:lvl w:ilvl="0">
      <w:lvlJc w:val="left"/>
      <w:lvlText w:val="•"/>
      <w:numFmt w:val="bullet"/>
      <w:start w:val="1"/>
    </w:lvl>
  </w:abstractNum>
  <w:abstractNum w:abstractNumId="6">
    <w:nsid w:val="59ADEA3D"/>
    <w:multiLevelType w:val="hybridMultilevel"/>
    <w:lvl w:ilvl="0">
      <w:lvlJc w:val="left"/>
      <w:lvlText w:val="•"/>
      <w:numFmt w:val="bullet"/>
      <w:start w:val="1"/>
    </w:lvl>
    <w:lvl w:ilvl="1">
      <w:lvlJc w:val="left"/>
      <w:lvlText w:val="\endash "/>
      <w:numFmt w:val="bullet"/>
      <w:start w:val="1"/>
    </w:lvl>
  </w:abstractNum>
  <w:abstractNum w:abstractNumId="7">
    <w:nsid w:val="288F1A34"/>
    <w:multiLevelType w:val="hybridMultilevel"/>
    <w:lvl w:ilvl="0">
      <w:lvlJc w:val="left"/>
      <w:lvlText w:val="•"/>
      <w:numFmt w:val="bullet"/>
      <w:start w:val="1"/>
    </w:lvl>
  </w:abstractNum>
  <w:abstractNum w:abstractNumId="8">
    <w:nsid w:val="2A155DBC"/>
    <w:multiLevelType w:val="hybridMultilevel"/>
    <w:lvl w:ilvl="0">
      <w:lvlJc w:val="left"/>
      <w:lvlText w:val="•"/>
      <w:numFmt w:val="bullet"/>
      <w:start w:val="1"/>
    </w:lvl>
  </w:abstractNum>
  <w:abstractNum w:abstractNumId="9">
    <w:nsid w:val="1D9F6E5F"/>
    <w:multiLevelType w:val="hybridMultilevel"/>
    <w:lvl w:ilvl="0">
      <w:lvlJc w:val="left"/>
      <w:lvlText w:val="•"/>
      <w:numFmt w:val="bullet"/>
      <w:start w:val="1"/>
    </w:lvl>
  </w:abstractNum>
  <w:abstractNum w:abstractNumId="10">
    <w:nsid w:val="97E1B4E"/>
    <w:multiLevelType w:val="hybridMultilevel"/>
    <w:lvl w:ilvl="0">
      <w:lvlJc w:val="left"/>
      <w:lvlText w:val="•"/>
      <w:numFmt w:val="bullet"/>
      <w:start w:val="1"/>
    </w:lvl>
  </w:abstractNum>
  <w:abstractNum w:abstractNumId="11">
    <w:nsid w:val="51088277"/>
    <w:multiLevelType w:val="hybridMultilevel"/>
    <w:lvl w:ilvl="0">
      <w:lvlJc w:val="left"/>
      <w:lvlText w:val="•"/>
      <w:numFmt w:val="bullet"/>
      <w:start w:val="1"/>
    </w:lvl>
  </w:abstractNum>
  <w:abstractNum w:abstractNumId="12">
    <w:nsid w:val="1CA0C5FA"/>
    <w:multiLevelType w:val="hybridMultilevel"/>
    <w:lvl w:ilvl="0">
      <w:lvlJc w:val="left"/>
      <w:lvlText w:val="•"/>
      <w:numFmt w:val="bullet"/>
      <w:start w:val="1"/>
    </w:lvl>
  </w:abstractNum>
  <w:abstractNum w:abstractNumId="13">
    <w:nsid w:val="53584BCB"/>
    <w:multiLevelType w:val="hybridMultilevel"/>
    <w:lvl w:ilvl="0">
      <w:lvlJc w:val="left"/>
      <w:lvlText w:val="•"/>
      <w:numFmt w:val="bullet"/>
      <w:start w:val="1"/>
    </w:lvl>
  </w:abstractNum>
  <w:abstractNum w:abstractNumId="14">
    <w:nsid w:val="415E286C"/>
    <w:multiLevelType w:val="hybridMultilevel"/>
    <w:lvl w:ilvl="0">
      <w:lvlJc w:val="left"/>
      <w:lvlText w:val="•"/>
      <w:numFmt w:val="bullet"/>
      <w:start w:val="1"/>
    </w:lvl>
  </w:abstractNum>
  <w:abstractNum w:abstractNumId="15">
    <w:nsid w:val="7C58FD05"/>
    <w:multiLevelType w:val="hybridMultilevel"/>
    <w:lvl w:ilvl="0">
      <w:lvlJc w:val="left"/>
      <w:lvlText w:val="•"/>
      <w:numFmt w:val="bullet"/>
      <w:start w:val="1"/>
    </w:lvl>
  </w:abstractNum>
  <w:abstractNum w:abstractNumId="16">
    <w:nsid w:val="23D86AAC"/>
    <w:multiLevelType w:val="hybridMultilevel"/>
    <w:lvl w:ilvl="0">
      <w:lvlJc w:val="left"/>
      <w:lvlText w:val="ü"/>
      <w:numFmt w:val="bullet"/>
      <w:start w:val="1"/>
    </w:lvl>
  </w:abstractNum>
  <w:abstractNum w:abstractNumId="17">
    <w:nsid w:val="45E6D486"/>
    <w:multiLevelType w:val="hybridMultilevel"/>
    <w:lvl w:ilvl="0">
      <w:lvlJc w:val="left"/>
      <w:lvlText w:val="\endash "/>
      <w:numFmt w:val="bullet"/>
      <w:start w:val="1"/>
    </w:lvl>
  </w:abstractNum>
  <w:abstractNum w:abstractNumId="18">
    <w:nsid w:val="5C10FE21"/>
    <w:multiLevelType w:val="hybridMultilevel"/>
    <w:lvl w:ilvl="0">
      <w:lvlJc w:val="left"/>
      <w:lvlText w:val="\endash "/>
      <w:numFmt w:val="bullet"/>
      <w:start w:val="1"/>
    </w:lvl>
  </w:abstractNum>
  <w:abstractNum w:abstractNumId="19">
    <w:nsid w:val="E7FFA2B"/>
    <w:multiLevelType w:val="hybridMultilevel"/>
    <w:lvl w:ilvl="0">
      <w:lvlJc w:val="left"/>
      <w:lvlText w:val="\endash "/>
      <w:numFmt w:val="bullet"/>
      <w:start w:val="1"/>
    </w:lvl>
  </w:abstractNum>
  <w:abstractNum w:abstractNumId="20">
    <w:nsid w:val="3C5991AA"/>
    <w:multiLevelType w:val="hybridMultilevel"/>
    <w:lvl w:ilvl="0">
      <w:lvlJc w:val="left"/>
      <w:lvlText w:val="•"/>
      <w:numFmt w:val="bullet"/>
      <w:start w:val="1"/>
    </w:lvl>
  </w:abstractNum>
  <w:abstractNum w:abstractNumId="21">
    <w:nsid w:val="4BD8591A"/>
    <w:multiLevelType w:val="hybridMultilevel"/>
    <w:lvl w:ilvl="0">
      <w:lvlJc w:val="left"/>
      <w:lvlText w:val="•"/>
      <w:numFmt w:val="bullet"/>
      <w:start w:val="1"/>
    </w:lvl>
  </w:abstractNum>
  <w:abstractNum w:abstractNumId="22">
    <w:nsid w:val="78DF6A55"/>
    <w:multiLevelType w:val="hybridMultilevel"/>
    <w:lvl w:ilvl="0">
      <w:lvlJc w:val="left"/>
      <w:lvlText w:val="•"/>
      <w:numFmt w:val="bullet"/>
      <w:start w:val="1"/>
    </w:lvl>
  </w:abstractNum>
  <w:abstractNum w:abstractNumId="23">
    <w:nsid w:val="39B7AAA2"/>
    <w:multiLevelType w:val="hybridMultilevel"/>
    <w:lvl w:ilvl="0">
      <w:lvlJc w:val="left"/>
      <w:lvlText w:val="\endash "/>
      <w:numFmt w:val="bullet"/>
      <w:start w:val="1"/>
    </w:lvl>
  </w:abstractNum>
  <w:abstractNum w:abstractNumId="24">
    <w:nsid w:val="2B0D8DBE"/>
    <w:multiLevelType w:val="hybridMultilevel"/>
    <w:lvl w:ilvl="0">
      <w:lvlJc w:val="left"/>
      <w:lvlText w:val="\endash "/>
      <w:numFmt w:val="bullet"/>
      <w:start w:val="1"/>
    </w:lvl>
  </w:abstractNum>
  <w:abstractNum w:abstractNumId="25">
    <w:nsid w:val="6C80EC70"/>
    <w:multiLevelType w:val="hybridMultilevel"/>
    <w:lvl w:ilvl="0">
      <w:lvlJc w:val="left"/>
      <w:lvlText w:val="•"/>
      <w:numFmt w:val="bullet"/>
      <w:start w:val="1"/>
    </w:lvl>
  </w:abstractNum>
  <w:abstractNum w:abstractNumId="26">
    <w:nsid w:val="379E21B5"/>
    <w:multiLevelType w:val="hybridMultilevel"/>
    <w:lvl w:ilvl="0">
      <w:lvlJc w:val="left"/>
      <w:lvlText w:val="•"/>
      <w:numFmt w:val="bullet"/>
      <w:start w:val="1"/>
    </w:lvl>
  </w:abstractNum>
  <w:abstractNum w:abstractNumId="27">
    <w:nsid w:val="69E373"/>
    <w:multiLevelType w:val="hybridMultilevel"/>
    <w:lvl w:ilvl="0">
      <w:lvlJc w:val="left"/>
      <w:lvlText w:val="•"/>
      <w:numFmt w:val="bullet"/>
      <w:start w:val="1"/>
    </w:lvl>
  </w:abstractNum>
  <w:abstractNum w:abstractNumId="28">
    <w:nsid w:val="2C27173B"/>
    <w:multiLevelType w:val="hybridMultilevel"/>
    <w:lvl w:ilvl="0">
      <w:lvlJc w:val="left"/>
      <w:lvlText w:val="\endash "/>
      <w:numFmt w:val="bullet"/>
      <w:start w:val="1"/>
    </w:lvl>
  </w:abstractNum>
  <w:abstractNum w:abstractNumId="29">
    <w:nsid w:val="4C9B0904"/>
    <w:multiLevelType w:val="hybridMultilevel"/>
    <w:lvl w:ilvl="0">
      <w:lvlJc w:val="left"/>
      <w:lvlText w:val="\endash "/>
      <w:numFmt w:val="bullet"/>
      <w:start w:val="1"/>
    </w:lvl>
  </w:abstractNum>
  <w:abstractNum w:abstractNumId="30">
    <w:nsid w:val="6AA7B75C"/>
    <w:multiLevelType w:val="hybridMultilevel"/>
    <w:lvl w:ilvl="0">
      <w:lvlJc w:val="left"/>
      <w:lvlText w:val="•"/>
      <w:numFmt w:val="bullet"/>
      <w:start w:val="1"/>
    </w:lvl>
  </w:abstractNum>
  <w:abstractNum w:abstractNumId="31">
    <w:nsid w:val="1DF029D3"/>
    <w:multiLevelType w:val="hybridMultilevel"/>
    <w:lvl w:ilvl="0">
      <w:lvlJc w:val="left"/>
      <w:lvlText w:val="•"/>
      <w:numFmt w:val="bullet"/>
      <w:start w:val="1"/>
    </w:lvl>
  </w:abstractNum>
  <w:abstractNum w:abstractNumId="32">
    <w:nsid w:val="5675FF36"/>
    <w:multiLevelType w:val="hybridMultilevel"/>
    <w:lvl w:ilvl="0">
      <w:lvlJc w:val="left"/>
      <w:lvlText w:val="•"/>
      <w:numFmt w:val="bullet"/>
      <w:start w:val="1"/>
    </w:lvl>
  </w:abstractNum>
  <w:abstractNum w:abstractNumId="33">
    <w:nsid w:val="3DD15094"/>
    <w:multiLevelType w:val="hybridMultilevel"/>
    <w:lvl w:ilvl="0">
      <w:lvlJc w:val="left"/>
      <w:lvlText w:val="\endash "/>
      <w:numFmt w:val="bullet"/>
      <w:start w:val="1"/>
    </w:lvl>
  </w:abstractNum>
  <w:abstractNum w:abstractNumId="34">
    <w:nsid w:val="3DB012B3"/>
    <w:multiLevelType w:val="hybridMultilevel"/>
    <w:lvl w:ilvl="0">
      <w:lvlJc w:val="left"/>
      <w:lvlText w:val="\endash "/>
      <w:numFmt w:val="bullet"/>
      <w:start w:val="1"/>
    </w:lvl>
  </w:abstractNum>
  <w:abstractNum w:abstractNumId="35">
    <w:nsid w:val="2708C9AF"/>
    <w:multiLevelType w:val="hybridMultilevel"/>
    <w:lvl w:ilvl="0">
      <w:lvlJc w:val="left"/>
      <w:lvlText w:val="\endash "/>
      <w:numFmt w:val="bullet"/>
      <w:start w:val="1"/>
    </w:lvl>
  </w:abstractNum>
  <w:abstractNum w:abstractNumId="36">
    <w:nsid w:val="5B25ACE2"/>
    <w:multiLevelType w:val="hybridMultilevel"/>
    <w:lvl w:ilvl="0">
      <w:lvlJc w:val="left"/>
      <w:lvlText w:val="•"/>
      <w:numFmt w:val="bullet"/>
      <w:start w:val="1"/>
    </w:lvl>
  </w:abstractNum>
  <w:abstractNum w:abstractNumId="37">
    <w:nsid w:val="175DFCF0"/>
    <w:multiLevelType w:val="hybridMultilevel"/>
    <w:lvl w:ilvl="0">
      <w:lvlJc w:val="left"/>
      <w:lvlText w:val="•"/>
      <w:numFmt w:val="bullet"/>
      <w:start w:val="1"/>
    </w:lvl>
  </w:abstractNum>
  <w:abstractNum w:abstractNumId="38">
    <w:nsid w:val="4F97E3E4"/>
    <w:multiLevelType w:val="hybridMultilevel"/>
    <w:lvl w:ilvl="0">
      <w:lvlJc w:val="left"/>
      <w:lvlText w:val="•"/>
      <w:numFmt w:val="bullet"/>
      <w:start w:val="1"/>
    </w:lvl>
  </w:abstractNum>
  <w:abstractNum w:abstractNumId="39">
    <w:nsid w:val="53B0A9E"/>
    <w:multiLevelType w:val="hybridMultilevel"/>
    <w:lvl w:ilvl="0">
      <w:lvlJc w:val="left"/>
      <w:lvlText w:val="\endash "/>
      <w:numFmt w:val="bullet"/>
      <w:start w:val="1"/>
    </w:lvl>
  </w:abstractNum>
  <w:abstractNum w:abstractNumId="40">
    <w:nsid w:val="34FD6B4F"/>
    <w:multiLevelType w:val="hybridMultilevel"/>
    <w:lvl w:ilvl="0">
      <w:lvlJc w:val="left"/>
      <w:lvlText w:val="\endash "/>
      <w:numFmt w:val="bullet"/>
      <w:start w:val="1"/>
    </w:lvl>
  </w:abstractNum>
  <w:abstractNum w:abstractNumId="41">
    <w:nsid w:val="5915FF32"/>
    <w:multiLevelType w:val="hybridMultilevel"/>
    <w:lvl w:ilvl="0">
      <w:lvlJc w:val="left"/>
      <w:lvlText w:val="•"/>
      <w:numFmt w:val="bullet"/>
      <w:start w:val="1"/>
    </w:lvl>
  </w:abstractNum>
  <w:abstractNum w:abstractNumId="42">
    <w:nsid w:val="56438D15"/>
    <w:multiLevelType w:val="hybridMultilevel"/>
    <w:lvl w:ilvl="0">
      <w:lvlJc w:val="left"/>
      <w:lvlText w:val="•"/>
      <w:numFmt w:val="bullet"/>
      <w:start w:val="1"/>
    </w:lvl>
  </w:abstractNum>
  <w:abstractNum w:abstractNumId="43">
    <w:nsid w:val="519E3149"/>
    <w:multiLevelType w:val="hybridMultilevel"/>
    <w:lvl w:ilvl="0">
      <w:lvlJc w:val="left"/>
      <w:lvlText w:val="•"/>
      <w:numFmt w:val="bullet"/>
      <w:start w:val="1"/>
    </w:lvl>
    <w:lvl w:ilvl="1">
      <w:lvlJc w:val="left"/>
      <w:lvlText w:val="\endash "/>
      <w:numFmt w:val="bullet"/>
      <w:start w:val="1"/>
    </w:lvl>
  </w:abstractNum>
  <w:abstractNum w:abstractNumId="44">
    <w:nsid w:val="2C6E4AFD"/>
    <w:multiLevelType w:val="hybridMultilevel"/>
    <w:lvl w:ilvl="0">
      <w:lvlJc w:val="left"/>
      <w:lvlText w:val="\endash "/>
      <w:numFmt w:val="bullet"/>
      <w:start w:val="1"/>
    </w:lvl>
  </w:abstractNum>
  <w:abstractNum w:abstractNumId="45">
    <w:nsid w:val="17A1B582"/>
    <w:multiLevelType w:val="hybridMultilevel"/>
    <w:lvl w:ilvl="0">
      <w:lvlJc w:val="left"/>
      <w:lvlText w:val="•"/>
      <w:numFmt w:val="bullet"/>
      <w:start w:val="1"/>
    </w:lvl>
  </w:abstractNum>
  <w:abstractNum w:abstractNumId="46">
    <w:nsid w:val="4DF72E4E"/>
    <w:multiLevelType w:val="hybridMultilevel"/>
    <w:lvl w:ilvl="0">
      <w:lvlJc w:val="left"/>
      <w:lvlText w:val="•"/>
      <w:numFmt w:val="bullet"/>
      <w:start w:val="1"/>
    </w:lvl>
    <w:lvl w:ilvl="1">
      <w:lvlJc w:val="left"/>
      <w:lvlText w:val="\endash "/>
      <w:numFmt w:val="bullet"/>
      <w:start w:val="1"/>
    </w:lvl>
    <w:lvl w:ilvl="2">
      <w:lvlJc w:val="left"/>
      <w:lvlText w:val="•"/>
      <w:numFmt w:val="bullet"/>
      <w:start w:val="1"/>
    </w:lvl>
  </w:abstractNum>
  <w:abstractNum w:abstractNumId="47">
    <w:nsid w:val="5046B5A9"/>
    <w:multiLevelType w:val="hybridMultilevel"/>
    <w:lvl w:ilvl="0">
      <w:lvlJc w:val="left"/>
      <w:lvlText w:val="•"/>
      <w:numFmt w:val="bullet"/>
      <w:start w:val="1"/>
    </w:lvl>
  </w:abstractNum>
  <w:abstractNum w:abstractNumId="48">
    <w:nsid w:val="5D888A08"/>
    <w:multiLevelType w:val="hybridMultilevel"/>
    <w:lvl w:ilvl="0">
      <w:lvlJc w:val="left"/>
      <w:lvlText w:val="\endash "/>
      <w:numFmt w:val="bullet"/>
      <w:start w:val="1"/>
    </w:lvl>
  </w:abstractNum>
  <w:abstractNum w:abstractNumId="49">
    <w:nsid w:val="2A082C70"/>
    <w:multiLevelType w:val="hybridMultilevel"/>
    <w:lvl w:ilvl="0">
      <w:lvlJc w:val="left"/>
      <w:lvlText w:val="\endash "/>
      <w:numFmt w:val="bullet"/>
      <w:start w:val="1"/>
    </w:lvl>
  </w:abstractNum>
  <w:abstractNum w:abstractNumId="50">
    <w:nsid w:val="5EC6AFD4"/>
    <w:multiLevelType w:val="hybridMultilevel"/>
    <w:lvl w:ilvl="0">
      <w:lvlJc w:val="left"/>
      <w:lvlText w:val="\endash "/>
      <w:numFmt w:val="bullet"/>
      <w:start w:val="1"/>
    </w:lvl>
  </w:abstractNum>
  <w:abstractNum w:abstractNumId="51">
    <w:nsid w:val="19E21BB2"/>
    <w:multiLevelType w:val="hybridMultilevel"/>
    <w:lvl w:ilvl="0">
      <w:lvlJc w:val="left"/>
      <w:lvlText w:val="•"/>
      <w:numFmt w:val="bullet"/>
      <w:start w:val="1"/>
    </w:lvl>
  </w:abstractNum>
  <w:abstractNum w:abstractNumId="52">
    <w:nsid w:val="75E0858A"/>
    <w:multiLevelType w:val="hybridMultilevel"/>
    <w:lvl w:ilvl="0">
      <w:lvlJc w:val="left"/>
      <w:lvlText w:val="•"/>
      <w:numFmt w:val="bullet"/>
      <w:start w:val="1"/>
    </w:lvl>
  </w:abstractNum>
  <w:abstractNum w:abstractNumId="53">
    <w:nsid w:val="57A61A29"/>
    <w:multiLevelType w:val="hybridMultilevel"/>
    <w:lvl w:ilvl="0">
      <w:lvlJc w:val="left"/>
      <w:lvlText w:val="•"/>
      <w:numFmt w:val="bullet"/>
      <w:start w:val="1"/>
    </w:lvl>
  </w:abstractNum>
  <w:abstractNum w:abstractNumId="54">
    <w:nsid w:val="5399C654"/>
    <w:multiLevelType w:val="hybridMultilevel"/>
    <w:lvl w:ilvl="0">
      <w:lvlJc w:val="left"/>
      <w:lvlText w:val="\endash "/>
      <w:numFmt w:val="bullet"/>
      <w:start w:val="1"/>
    </w:lvl>
  </w:abstractNum>
  <w:abstractNum w:abstractNumId="55">
    <w:nsid w:val="20EE1348"/>
    <w:multiLevelType w:val="hybridMultilevel"/>
    <w:lvl w:ilvl="0">
      <w:lvlJc w:val="left"/>
      <w:lvlText w:val="\endash "/>
      <w:numFmt w:val="bullet"/>
      <w:start w:val="1"/>
    </w:lvl>
  </w:abstractNum>
  <w:abstractNum w:abstractNumId="56">
    <w:nsid w:val="4427069A"/>
    <w:multiLevelType w:val="hybridMultilevel"/>
    <w:lvl w:ilvl="0">
      <w:lvlJc w:val="left"/>
      <w:lvlText w:val="•"/>
      <w:numFmt w:val="bullet"/>
      <w:start w:val="1"/>
    </w:lvl>
  </w:abstractNum>
  <w:abstractNum w:abstractNumId="57">
    <w:nsid w:val="B37E80A"/>
    <w:multiLevelType w:val="hybridMultilevel"/>
    <w:lvl w:ilvl="0">
      <w:lvlJc w:val="left"/>
      <w:lvlText w:val="•"/>
      <w:numFmt w:val="bullet"/>
      <w:start w:val="1"/>
    </w:lvl>
    <w:lvl w:ilvl="1">
      <w:lvlJc w:val="left"/>
      <w:lvlText w:val="\endash "/>
      <w:numFmt w:val="bullet"/>
      <w:start w:val="1"/>
    </w:lvl>
    <w:lvl w:ilvl="2">
      <w:lvlJc w:val="left"/>
      <w:lvlText w:val="\endash "/>
      <w:numFmt w:val="bullet"/>
      <w:start w:val="1"/>
    </w:lvl>
  </w:abstractNum>
  <w:abstractNum w:abstractNumId="58">
    <w:nsid w:val="2157F6BC"/>
    <w:multiLevelType w:val="hybridMultilevel"/>
    <w:lvl w:ilvl="0">
      <w:lvlJc w:val="left"/>
      <w:lvlText w:val="•"/>
      <w:numFmt w:val="bullet"/>
      <w:start w:val="1"/>
    </w:lvl>
  </w:abstractNum>
  <w:abstractNum w:abstractNumId="59">
    <w:nsid w:val="704E1DD5"/>
    <w:multiLevelType w:val="hybridMultilevel"/>
    <w:lvl w:ilvl="0">
      <w:lvlJc w:val="left"/>
      <w:lvlText w:val="\endash "/>
      <w:numFmt w:val="bullet"/>
      <w:start w:val="1"/>
    </w:lvl>
  </w:abstractNum>
  <w:abstractNum w:abstractNumId="60">
    <w:nsid w:val="57D2F10E"/>
    <w:multiLevelType w:val="hybridMultilevel"/>
    <w:lvl w:ilvl="0">
      <w:lvlJc w:val="left"/>
      <w:lvlText w:val="\endash "/>
      <w:numFmt w:val="bullet"/>
      <w:start w:val="1"/>
    </w:lvl>
  </w:abstractNum>
  <w:abstractNum w:abstractNumId="61">
    <w:nsid w:val="BFFAE18"/>
    <w:multiLevelType w:val="hybridMultilevel"/>
    <w:lvl w:ilvl="0">
      <w:lvlJc w:val="left"/>
      <w:lvlText w:val="•"/>
      <w:numFmt w:val="bullet"/>
      <w:start w:val="1"/>
    </w:lvl>
  </w:abstractNum>
  <w:abstractNum w:abstractNumId="62">
    <w:nsid w:val="E3E47A8"/>
    <w:multiLevelType w:val="hybridMultilevel"/>
    <w:lvl w:ilvl="0">
      <w:lvlJc w:val="left"/>
      <w:lvlText w:val="•"/>
      <w:numFmt w:val="bullet"/>
      <w:start w:val="1"/>
    </w:lvl>
    <w:lvl w:ilvl="1">
      <w:lvlJc w:val="left"/>
      <w:lvlText w:val="\endash "/>
      <w:numFmt w:val="bullet"/>
      <w:start w:val="1"/>
    </w:lvl>
  </w:abstractNum>
  <w:abstractNum w:abstractNumId="63">
    <w:nsid w:val="2E48F044"/>
    <w:multiLevelType w:val="hybridMultilevel"/>
    <w:lvl w:ilvl="0">
      <w:lvlJc w:val="left"/>
      <w:lvlText w:val="\endash "/>
      <w:numFmt w:val="bullet"/>
      <w:start w:val="1"/>
    </w:lvl>
  </w:abstractNum>
  <w:abstractNum w:abstractNumId="64">
    <w:nsid w:val="49D0FEAC"/>
    <w:multiLevelType w:val="hybridMultilevel"/>
    <w:lvl w:ilvl="0">
      <w:lvlJc w:val="left"/>
      <w:lvlText w:val="\endash "/>
      <w:numFmt w:val="bullet"/>
      <w:start w:val="1"/>
    </w:lvl>
  </w:abstractNum>
  <w:abstractNum w:abstractNumId="65">
    <w:nsid w:val="4BEE5A5B"/>
    <w:multiLevelType w:val="hybridMultilevel"/>
    <w:lvl w:ilvl="0">
      <w:lvlJc w:val="left"/>
      <w:lvlText w:val="•"/>
      <w:numFmt w:val="bullet"/>
      <w:start w:val="1"/>
    </w:lvl>
  </w:abstractNum>
  <w:abstractNum w:abstractNumId="66">
    <w:nsid w:val="5551B9F3"/>
    <w:multiLevelType w:val="hybridMultilevel"/>
    <w:lvl w:ilvl="0">
      <w:lvlJc w:val="left"/>
      <w:lvlText w:val="•"/>
      <w:numFmt w:val="bullet"/>
      <w:start w:val="1"/>
    </w:lvl>
  </w:abstractNum>
  <w:abstractNum w:abstractNumId="67">
    <w:nsid w:val="24F6AB8E"/>
    <w:multiLevelType w:val="hybridMultilevel"/>
    <w:lvl w:ilvl="0">
      <w:lvlJc w:val="left"/>
      <w:lvlText w:val="•"/>
      <w:numFmt w:val="bullet"/>
      <w:start w:val="1"/>
    </w:lvl>
    <w:lvl w:ilvl="1">
      <w:lvlJc w:val="left"/>
      <w:lvlText w:val="\endash "/>
      <w:numFmt w:val="bullet"/>
      <w:start w:val="1"/>
    </w:lvl>
  </w:abstractNum>
  <w:abstractNum w:abstractNumId="68">
    <w:nsid w:val="634C574C"/>
    <w:multiLevelType w:val="hybridMultilevel"/>
    <w:lvl w:ilvl="0">
      <w:lvlJc w:val="left"/>
      <w:lvlText w:val="\endash "/>
      <w:numFmt w:val="bullet"/>
      <w:start w:val="1"/>
    </w:lvl>
  </w:abstractNum>
  <w:abstractNum w:abstractNumId="69">
    <w:nsid w:val="24E99DD7"/>
    <w:multiLevelType w:val="hybridMultilevel"/>
    <w:lvl w:ilvl="0">
      <w:lvlJc w:val="left"/>
      <w:lvlText w:val="\endash "/>
      <w:numFmt w:val="bullet"/>
      <w:start w:val="1"/>
    </w:lvl>
  </w:abstractNum>
  <w:abstractNum w:abstractNumId="70">
    <w:nsid w:val="2A31B62D"/>
    <w:multiLevelType w:val="hybridMultilevel"/>
    <w:lvl w:ilvl="0">
      <w:lvlJc w:val="left"/>
      <w:lvlText w:val="•"/>
      <w:numFmt w:val="bullet"/>
      <w:start w:val="1"/>
    </w:lvl>
  </w:abstractNum>
  <w:abstractNum w:abstractNumId="71">
    <w:nsid w:val="1849C29B"/>
    <w:multiLevelType w:val="hybridMultilevel"/>
    <w:lvl w:ilvl="0">
      <w:lvlJc w:val="left"/>
      <w:lvlText w:val="•"/>
      <w:numFmt w:val="bullet"/>
      <w:start w:val="1"/>
    </w:lvl>
  </w:abstractNum>
  <w:abstractNum w:abstractNumId="72">
    <w:nsid w:val="7DFF9D09"/>
    <w:multiLevelType w:val="hybridMultilevel"/>
    <w:lvl w:ilvl="0">
      <w:lvlJc w:val="left"/>
      <w:lvlText w:val="•"/>
      <w:numFmt w:val="bullet"/>
      <w:start w:val="1"/>
    </w:lvl>
  </w:abstractNum>
  <w:abstractNum w:abstractNumId="73">
    <w:nsid w:val="754342"/>
    <w:multiLevelType w:val="hybridMultilevel"/>
    <w:lvl w:ilvl="0">
      <w:lvlJc w:val="left"/>
      <w:lvlText w:val="%1."/>
      <w:numFmt w:val="decimal"/>
      <w:start w:val="1"/>
    </w:lvl>
  </w:abstractNum>
  <w:abstractNum w:abstractNumId="74">
    <w:nsid w:val="69E7F3E5"/>
    <w:multiLevelType w:val="hybridMultilevel"/>
    <w:lvl w:ilvl="0">
      <w:lvlJc w:val="left"/>
      <w:lvlText w:val="ü"/>
      <w:numFmt w:val="bullet"/>
      <w:start w:val="1"/>
    </w:lvl>
  </w:abstractNum>
  <w:abstractNum w:abstractNumId="75">
    <w:nsid w:val="2A6DE806"/>
    <w:multiLevelType w:val="hybridMultilevel"/>
    <w:lvl w:ilvl="0">
      <w:lvlJc w:val="left"/>
      <w:lvlText w:val="1"/>
      <w:numFmt w:val="bullet"/>
      <w:start w:val="1"/>
    </w:lvl>
  </w:abstractNum>
  <w:abstractNum w:abstractNumId="76">
    <w:nsid w:val="1816F8C4"/>
    <w:multiLevelType w:val="hybridMultilevel"/>
    <w:lvl w:ilvl="0">
      <w:lvlJc w:val="left"/>
      <w:lvlText w:val="2"/>
      <w:numFmt w:val="bullet"/>
      <w:start w:val="1"/>
    </w:lvl>
  </w:abstractNum>
  <w:abstractNum w:abstractNumId="77">
    <w:nsid w:val="37DF2233"/>
    <w:multiLevelType w:val="hybridMultilevel"/>
    <w:lvl w:ilvl="0">
      <w:lvlJc w:val="left"/>
      <w:lvlText w:val="3"/>
      <w:numFmt w:val="bullet"/>
      <w:start w:val="1"/>
    </w:lvl>
  </w:abstractNum>
  <w:abstractNum w:abstractNumId="78">
    <w:nsid w:val="7AB49DAF"/>
    <w:multiLevelType w:val="hybridMultilevel"/>
    <w:lvl w:ilvl="0">
      <w:lvlJc w:val="left"/>
      <w:lvlText w:val="4"/>
      <w:numFmt w:val="bullet"/>
      <w:start w:val="1"/>
    </w:lvl>
  </w:abstractNum>
  <w:abstractNum w:abstractNumId="79">
    <w:nsid w:val="759F82CD"/>
    <w:multiLevelType w:val="hybridMultilevel"/>
    <w:lvl w:ilvl="0">
      <w:lvlJc w:val="left"/>
      <w:lvlText w:val="5"/>
      <w:numFmt w:val="bullet"/>
      <w:start w:val="1"/>
    </w:lvl>
  </w:abstractNum>
  <w:abstractNum w:abstractNumId="80">
    <w:nsid w:val="61E74EA3"/>
    <w:multiLevelType w:val="hybridMultilevel"/>
    <w:lvl w:ilvl="0">
      <w:lvlJc w:val="left"/>
      <w:lvlText w:val="•"/>
      <w:numFmt w:val="bullet"/>
      <w:start w:val="1"/>
    </w:lvl>
  </w:abstractNum>
  <w:abstractNum w:abstractNumId="81">
    <w:nsid w:val="597B4D84"/>
    <w:multiLevelType w:val="hybridMultilevel"/>
    <w:lvl w:ilvl="0">
      <w:lvlJc w:val="left"/>
      <w:lvlText w:val="1"/>
      <w:numFmt w:val="bullet"/>
      <w:start w:val="1"/>
    </w:lvl>
  </w:abstractNum>
  <w:abstractNum w:abstractNumId="82">
    <w:nsid w:val="F819E7F"/>
    <w:multiLevelType w:val="hybridMultilevel"/>
    <w:lvl w:ilvl="0">
      <w:lvlJc w:val="left"/>
      <w:lvlText w:val="2"/>
      <w:numFmt w:val="bullet"/>
      <w:start w:val="1"/>
    </w:lvl>
  </w:abstractNum>
  <w:abstractNum w:abstractNumId="83">
    <w:nsid w:val="57C7D42D"/>
    <w:multiLevelType w:val="hybridMultilevel"/>
    <w:lvl w:ilvl="0">
      <w:lvlJc w:val="left"/>
      <w:lvlText w:val="3"/>
      <w:numFmt w:val="bullet"/>
      <w:start w:val="1"/>
    </w:lvl>
  </w:abstractNum>
  <w:abstractNum w:abstractNumId="84">
    <w:nsid w:val="312167AD"/>
    <w:multiLevelType w:val="hybridMultilevel"/>
    <w:lvl w:ilvl="0">
      <w:lvlJc w:val="left"/>
      <w:lvlText w:val="•"/>
      <w:numFmt w:val="bullet"/>
      <w:start w:val="1"/>
    </w:lvl>
  </w:abstractNum>
  <w:abstractNum w:abstractNumId="85">
    <w:nsid w:val="631B64D4"/>
    <w:multiLevelType w:val="hybridMultilevel"/>
    <w:lvl w:ilvl="0">
      <w:lvlJc w:val="left"/>
      <w:lvlText w:val="•"/>
      <w:numFmt w:val="bullet"/>
      <w:start w:val="1"/>
    </w:lvl>
  </w:abstractNum>
  <w:abstractNum w:abstractNumId="86">
    <w:nsid w:val="78B5E776"/>
    <w:multiLevelType w:val="hybridMultilevel"/>
    <w:lvl w:ilvl="0">
      <w:lvlJc w:val="left"/>
      <w:lvlText w:val="•"/>
      <w:numFmt w:val="bullet"/>
      <w:start w:val="1"/>
    </w:lvl>
  </w:abstractNum>
  <w:abstractNum w:abstractNumId="87">
    <w:nsid w:val="75486E47"/>
    <w:multiLevelType w:val="hybridMultilevel"/>
    <w:lvl w:ilvl="0">
      <w:lvlJc w:val="left"/>
      <w:lvlText w:val="•"/>
      <w:numFmt w:val="bullet"/>
      <w:start w:val="1"/>
    </w:lvl>
  </w:abstractNum>
  <w:abstractNum w:abstractNumId="88">
    <w:nsid w:val="6E534CDE"/>
    <w:multiLevelType w:val="hybridMultilevel"/>
    <w:lvl w:ilvl="0">
      <w:lvlJc w:val="left"/>
      <w:lvlText w:val="*"/>
      <w:numFmt w:val="bullet"/>
      <w:start w:val="1"/>
    </w:lvl>
    <w:lvl w:ilvl="1">
      <w:lvlJc w:val="left"/>
      <w:lvlText w:val="•"/>
      <w:numFmt w:val="bullet"/>
      <w:start w:val="1"/>
    </w:lvl>
  </w:abstractNum>
  <w:abstractNum w:abstractNumId="89">
    <w:nsid w:val="1A0DDE32"/>
    <w:multiLevelType w:val="hybridMultilevel"/>
    <w:lvl w:ilvl="0">
      <w:lvlJc w:val="left"/>
      <w:lvlText w:val="•"/>
      <w:numFmt w:val="bullet"/>
      <w:start w:val="1"/>
    </w:lvl>
  </w:abstractNum>
  <w:abstractNum w:abstractNumId="90">
    <w:nsid w:val="65968C1C"/>
    <w:multiLevelType w:val="hybridMultilevel"/>
    <w:lvl w:ilvl="0">
      <w:lvlJc w:val="left"/>
      <w:lvlText w:val="•"/>
      <w:numFmt w:val="bullet"/>
      <w:start w:val="1"/>
    </w:lvl>
  </w:abstractNum>
  <w:abstractNum w:abstractNumId="91">
    <w:nsid w:val="46263DEC"/>
    <w:multiLevelType w:val="hybridMultilevel"/>
    <w:lvl w:ilvl="0">
      <w:lvlJc w:val="left"/>
      <w:lvlText w:val="•"/>
      <w:numFmt w:val="bullet"/>
      <w:start w:val="1"/>
    </w:lvl>
  </w:abstractNum>
  <w:abstractNum w:abstractNumId="92">
    <w:nsid w:val="260D8C4A"/>
    <w:multiLevelType w:val="hybridMultilevel"/>
    <w:lvl w:ilvl="0">
      <w:lvlJc w:val="left"/>
      <w:lvlText w:val="•"/>
      <w:numFmt w:val="bullet"/>
      <w:start w:val="1"/>
    </w:lvl>
  </w:abstractNum>
  <w:abstractNum w:abstractNumId="93">
    <w:nsid w:val="73D4D3C4"/>
    <w:multiLevelType w:val="hybridMultilevel"/>
    <w:lvl w:ilvl="0">
      <w:lvlJc w:val="left"/>
      <w:lvlText w:val="•"/>
      <w:numFmt w:val="bullet"/>
      <w:start w:val="1"/>
    </w:lvl>
  </w:abstractNum>
  <w:abstractNum w:abstractNumId="94">
    <w:nsid w:val="746F2E30"/>
    <w:multiLevelType w:val="hybridMultilevel"/>
    <w:lvl w:ilvl="0">
      <w:lvlJc w:val="left"/>
      <w:lvlText w:val="•"/>
      <w:numFmt w:val="bullet"/>
      <w:start w:val="1"/>
    </w:lvl>
  </w:abstractNum>
  <w:abstractNum w:abstractNumId="95">
    <w:nsid w:val="6FDE8AF6"/>
    <w:multiLevelType w:val="hybridMultilevel"/>
    <w:lvl w:ilvl="0">
      <w:lvlJc w:val="left"/>
      <w:lvlText w:val="•"/>
      <w:numFmt w:val="bullet"/>
      <w:start w:val="1"/>
    </w:lvl>
  </w:abstractNum>
  <w:abstractNum w:abstractNumId="96">
    <w:nsid w:val="3FC32E20"/>
    <w:multiLevelType w:val="hybridMultilevel"/>
    <w:lvl w:ilvl="0">
      <w:lvlJc w:val="left"/>
      <w:lvlText w:val="•"/>
      <w:numFmt w:val="bullet"/>
      <w:start w:val="1"/>
    </w:lvl>
  </w:abstractNum>
  <w:abstractNum w:abstractNumId="97">
    <w:nsid w:val="49C0E823"/>
    <w:multiLevelType w:val="hybridMultilevel"/>
    <w:lvl w:ilvl="0">
      <w:lvlJc w:val="left"/>
      <w:lvlText w:val="•"/>
      <w:numFmt w:val="bullet"/>
      <w:start w:val="1"/>
    </w:lvl>
  </w:abstractNum>
  <w:abstractNum w:abstractNumId="98">
    <w:nsid w:val="14D53685"/>
    <w:multiLevelType w:val="hybridMultilevel"/>
    <w:lvl w:ilvl="0">
      <w:lvlJc w:val="left"/>
      <w:lvlText w:val="•"/>
      <w:numFmt w:val="bullet"/>
      <w:start w:val="1"/>
    </w:lvl>
  </w:abstractNum>
  <w:abstractNum w:abstractNumId="99">
    <w:nsid w:val="230F856C"/>
    <w:multiLevelType w:val="hybridMultilevel"/>
    <w:lvl w:ilvl="0">
      <w:lvlJc w:val="left"/>
      <w:lvlText w:val="•"/>
      <w:numFmt w:val="bullet"/>
      <w:start w:val="1"/>
    </w:lvl>
  </w:abstractNum>
  <w:abstractNum w:abstractNumId="100">
    <w:nsid w:val="6EAA85FB"/>
    <w:multiLevelType w:val="hybridMultilevel"/>
    <w:lvl w:ilvl="0">
      <w:lvlJc w:val="left"/>
      <w:lvlText w:val="•"/>
      <w:numFmt w:val="bullet"/>
      <w:start w:val="1"/>
    </w:lvl>
  </w:abstractNum>
  <w:abstractNum w:abstractNumId="101">
    <w:nsid w:val="3F06ECB2"/>
    <w:multiLevelType w:val="hybridMultilevel"/>
    <w:lvl w:ilvl="0">
      <w:lvlJc w:val="left"/>
      <w:lvlText w:val="1"/>
      <w:numFmt w:val="bullet"/>
      <w:start w:val="1"/>
    </w:lvl>
  </w:abstractNum>
  <w:abstractNum w:abstractNumId="102">
    <w:nsid w:val="3B594807"/>
    <w:multiLevelType w:val="hybridMultilevel"/>
    <w:lvl w:ilvl="0">
      <w:lvlJc w:val="left"/>
      <w:lvlText w:val="2"/>
      <w:numFmt w:val="bullet"/>
      <w:start w:val="1"/>
    </w:lvl>
  </w:abstractNum>
  <w:abstractNum w:abstractNumId="103">
    <w:nsid w:val="6CAA2304"/>
    <w:multiLevelType w:val="hybridMultilevel"/>
    <w:lvl w:ilvl="0">
      <w:lvlJc w:val="left"/>
      <w:lvlText w:val="3"/>
      <w:numFmt w:val="bullet"/>
      <w:start w:val="1"/>
    </w:lvl>
  </w:abstractNum>
  <w:abstractNum w:abstractNumId="104">
    <w:nsid w:val="3F7C2FF4"/>
    <w:multiLevelType w:val="hybridMultilevel"/>
    <w:lvl w:ilvl="0">
      <w:lvlJc w:val="left"/>
      <w:lvlText w:val="4"/>
      <w:numFmt w:val="bullet"/>
      <w:start w:val="1"/>
    </w:lvl>
  </w:abstractNum>
  <w:abstractNum w:abstractNumId="105">
    <w:nsid w:val="25413BEC"/>
    <w:multiLevelType w:val="hybridMultilevel"/>
    <w:lvl w:ilvl="0">
      <w:lvlJc w:val="left"/>
      <w:lvlText w:val="5"/>
      <w:numFmt w:val="bullet"/>
      <w:start w:val="1"/>
    </w:lvl>
  </w:abstractNum>
  <w:abstractNum w:abstractNumId="106">
    <w:nsid w:val="17180B0B"/>
    <w:multiLevelType w:val="hybridMultilevel"/>
    <w:lvl w:ilvl="0">
      <w:lvlJc w:val="left"/>
      <w:lvlText w:val="1"/>
      <w:numFmt w:val="bullet"/>
      <w:start w:val="1"/>
    </w:lvl>
  </w:abstractNum>
  <w:abstractNum w:abstractNumId="107">
    <w:nsid w:val="579328B9"/>
    <w:multiLevelType w:val="hybridMultilevel"/>
    <w:lvl w:ilvl="0">
      <w:lvlJc w:val="left"/>
      <w:lvlText w:val="2"/>
      <w:numFmt w:val="bullet"/>
      <w:start w:val="1"/>
    </w:lvl>
  </w:abstractNum>
  <w:abstractNum w:abstractNumId="108">
    <w:nsid w:val="5D205E20"/>
    <w:multiLevelType w:val="hybridMultilevel"/>
    <w:lvl w:ilvl="0">
      <w:lvlJc w:val="left"/>
      <w:lvlText w:val="3"/>
      <w:numFmt w:val="bullet"/>
      <w:start w:val="1"/>
    </w:lvl>
  </w:abstractNum>
  <w:abstractNum w:abstractNumId="109">
    <w:nsid w:val="11CCA8BA"/>
    <w:multiLevelType w:val="hybridMultilevel"/>
    <w:lvl w:ilvl="0">
      <w:lvlJc w:val="left"/>
      <w:lvlText w:val="4"/>
      <w:numFmt w:val="bullet"/>
      <w:start w:val="1"/>
    </w:lvl>
  </w:abstractNum>
  <w:abstractNum w:abstractNumId="110">
    <w:nsid w:val="4D32AB86"/>
    <w:multiLevelType w:val="hybridMultilevel"/>
    <w:lvl w:ilvl="0">
      <w:lvlJc w:val="left"/>
      <w:lvlText w:val="•"/>
      <w:numFmt w:val="bullet"/>
      <w:start w:val="1"/>
    </w:lvl>
  </w:abstractNum>
  <w:abstractNum w:abstractNumId="111">
    <w:nsid w:val="3F07ACC3"/>
    <w:multiLevelType w:val="hybridMultilevel"/>
    <w:lvl w:ilvl="0">
      <w:lvlJc w:val="left"/>
      <w:lvlText w:val="•"/>
      <w:numFmt w:val="bullet"/>
      <w:start w:val="1"/>
    </w:lvl>
  </w:abstractNum>
  <w:abstractNum w:abstractNumId="112">
    <w:nsid w:val="6B47F63E"/>
    <w:multiLevelType w:val="hybridMultilevel"/>
    <w:lvl w:ilvl="0">
      <w:lvlJc w:val="left"/>
      <w:lvlText w:val="•"/>
      <w:numFmt w:val="bullet"/>
      <w:start w:val="1"/>
    </w:lvl>
    <w:lvl w:ilvl="1">
      <w:lvlJc w:val="left"/>
      <w:lvlText w:val="•"/>
      <w:numFmt w:val="bullet"/>
      <w:start w:val="1"/>
    </w:lvl>
  </w:abstractNum>
  <w:abstractNum w:abstractNumId="113">
    <w:nsid w:val="5CB44A05"/>
    <w:multiLevelType w:val="hybridMultilevel"/>
    <w:lvl w:ilvl="0">
      <w:lvlJc w:val="left"/>
      <w:lvlText w:val="•"/>
      <w:numFmt w:val="bullet"/>
      <w:start w:val="1"/>
    </w:lvl>
  </w:abstractNum>
  <w:abstractNum w:abstractNumId="114">
    <w:nsid w:val="16CF80F1"/>
    <w:multiLevelType w:val="hybridMultilevel"/>
    <w:lvl w:ilvl="0">
      <w:lvlJc w:val="left"/>
      <w:lvlText w:val="•"/>
      <w:numFmt w:val="bullet"/>
      <w:start w:val="1"/>
    </w:lvl>
  </w:abstractNum>
  <w:abstractNum w:abstractNumId="115">
    <w:nsid w:val="1C695DEC"/>
    <w:multiLevelType w:val="hybridMultilevel"/>
    <w:lvl w:ilvl="0">
      <w:lvlJc w:val="left"/>
      <w:lvlText w:val="•"/>
      <w:numFmt w:val="bullet"/>
      <w:start w:val="1"/>
    </w:lvl>
  </w:abstractNum>
  <w:abstractNum w:abstractNumId="116">
    <w:nsid w:val="3FCFAED9"/>
    <w:multiLevelType w:val="hybridMultilevel"/>
    <w:lvl w:ilvl="0">
      <w:lvlJc w:val="left"/>
      <w:lvlText w:val="•"/>
      <w:numFmt w:val="bullet"/>
      <w:start w:val="1"/>
    </w:lvl>
  </w:abstractNum>
  <w:abstractNum w:abstractNumId="117">
    <w:nsid w:val="F856867"/>
    <w:multiLevelType w:val="hybridMultilevel"/>
    <w:lvl w:ilvl="0">
      <w:lvlJc w:val="left"/>
      <w:lvlText w:val="\endash "/>
      <w:numFmt w:val="bullet"/>
      <w:start w:val="1"/>
    </w:lvl>
  </w:abstractNum>
  <w:abstractNum w:abstractNumId="118">
    <w:nsid w:val="11B1CC33"/>
    <w:multiLevelType w:val="hybridMultilevel"/>
    <w:lvl w:ilvl="0">
      <w:lvlJc w:val="left"/>
      <w:lvlText w:val="\endash "/>
      <w:numFmt w:val="bullet"/>
      <w:start w:val="1"/>
    </w:lvl>
  </w:abstractNum>
  <w:abstractNum w:abstractNumId="119">
    <w:nsid w:val="2E22FBB7"/>
    <w:multiLevelType w:val="hybridMultilevel"/>
    <w:lvl w:ilvl="0">
      <w:lvlJc w:val="left"/>
      <w:lvlText w:val="\endash "/>
      <w:numFmt w:val="bullet"/>
      <w:start w:val="1"/>
    </w:lvl>
  </w:abstractNum>
  <w:abstractNum w:abstractNumId="120">
    <w:nsid w:val="29934699"/>
    <w:multiLevelType w:val="hybridMultilevel"/>
    <w:lvl w:ilvl="0">
      <w:lvlJc w:val="left"/>
      <w:lvlText w:val="•"/>
      <w:numFmt w:val="bullet"/>
      <w:start w:val="1"/>
    </w:lvl>
  </w:abstractNum>
  <w:abstractNum w:abstractNumId="121">
    <w:nsid w:val="77485850"/>
    <w:multiLevelType w:val="hybridMultilevel"/>
    <w:lvl w:ilvl="0">
      <w:lvlJc w:val="left"/>
      <w:lvlText w:val="1"/>
      <w:numFmt w:val="bullet"/>
      <w:start w:val="1"/>
    </w:lvl>
  </w:abstractNum>
  <w:abstractNum w:abstractNumId="122">
    <w:nsid w:val="744939A3"/>
    <w:multiLevelType w:val="hybridMultilevel"/>
    <w:lvl w:ilvl="0">
      <w:lvlJc w:val="left"/>
      <w:lvlText w:val="2"/>
      <w:numFmt w:val="bullet"/>
      <w:start w:val="1"/>
    </w:lvl>
  </w:abstractNum>
  <w:abstractNum w:abstractNumId="123">
    <w:nsid w:val="4FA0D2E3"/>
    <w:multiLevelType w:val="hybridMultilevel"/>
    <w:lvl w:ilvl="0">
      <w:lvlJc w:val="left"/>
      <w:lvlText w:val="1"/>
      <w:numFmt w:val="bullet"/>
      <w:start w:val="1"/>
    </w:lvl>
  </w:abstractNum>
  <w:abstractNum w:abstractNumId="124">
    <w:nsid w:val="6B1D2C14"/>
    <w:multiLevelType w:val="hybridMultilevel"/>
    <w:lvl w:ilvl="0">
      <w:lvlJc w:val="left"/>
      <w:lvlText w:val="2"/>
      <w:numFmt w:val="bullet"/>
      <w:start w:val="1"/>
    </w:lvl>
  </w:abstractNum>
  <w:abstractNum w:abstractNumId="125">
    <w:nsid w:val="68B867D3"/>
    <w:multiLevelType w:val="hybridMultilevel"/>
    <w:lvl w:ilvl="0">
      <w:lvlJc w:val="left"/>
      <w:lvlText w:val="1"/>
      <w:numFmt w:val="bullet"/>
      <w:start w:val="1"/>
    </w:lvl>
  </w:abstractNum>
  <w:abstractNum w:abstractNumId="126">
    <w:nsid w:val="3F7F5DD9"/>
    <w:multiLevelType w:val="hybridMultilevel"/>
    <w:lvl w:ilvl="0">
      <w:lvlJc w:val="left"/>
      <w:lvlText w:val="2"/>
      <w:numFmt w:val="bullet"/>
      <w:start w:val="1"/>
    </w:lvl>
  </w:abstractNum>
  <w:abstractNum w:abstractNumId="127">
    <w:nsid w:val="2AE05A34"/>
    <w:multiLevelType w:val="hybridMultilevel"/>
    <w:lvl w:ilvl="0">
      <w:lvlJc w:val="left"/>
      <w:lvlText w:val="3"/>
      <w:numFmt w:val="bullet"/>
      <w:start w:val="1"/>
    </w:lvl>
  </w:abstractNum>
  <w:abstractNum w:abstractNumId="128">
    <w:nsid w:val="32794FF7"/>
    <w:multiLevelType w:val="hybridMultilevel"/>
    <w:lvl w:ilvl="0">
      <w:lvlJc w:val="left"/>
      <w:lvlText w:val="•"/>
      <w:numFmt w:val="bullet"/>
      <w:start w:val="1"/>
    </w:lvl>
  </w:abstractNum>
  <w:abstractNum w:abstractNumId="129">
    <w:nsid w:val="5454945E"/>
    <w:multiLevelType w:val="hybridMultilevel"/>
    <w:lvl w:ilvl="0">
      <w:lvlJc w:val="left"/>
      <w:lvlText w:val="1"/>
      <w:numFmt w:val="bullet"/>
      <w:start w:val="1"/>
    </w:lvl>
  </w:abstractNum>
  <w:abstractNum w:abstractNumId="130">
    <w:nsid w:val="4DEFDFA0"/>
    <w:multiLevelType w:val="hybridMultilevel"/>
    <w:lvl w:ilvl="0">
      <w:lvlJc w:val="left"/>
      <w:lvlText w:val="2"/>
      <w:numFmt w:val="bullet"/>
      <w:start w:val="1"/>
    </w:lvl>
  </w:abstractNum>
  <w:abstractNum w:abstractNumId="131">
    <w:nsid w:val="2123D5F2"/>
    <w:multiLevelType w:val="hybridMultilevel"/>
    <w:lvl w:ilvl="0">
      <w:lvlJc w:val="left"/>
      <w:lvlText w:val="1"/>
      <w:numFmt w:val="bullet"/>
      <w:start w:val="1"/>
    </w:lvl>
  </w:abstractNum>
  <w:abstractNum w:abstractNumId="132">
    <w:nsid w:val="135B8110"/>
    <w:multiLevelType w:val="hybridMultilevel"/>
    <w:lvl w:ilvl="0">
      <w:lvlJc w:val="left"/>
      <w:lvlText w:val="2"/>
      <w:numFmt w:val="bullet"/>
      <w:start w:val="1"/>
    </w:lvl>
  </w:abstractNum>
  <w:abstractNum w:abstractNumId="133">
    <w:nsid w:val="94927A8"/>
    <w:multiLevelType w:val="hybridMultilevel"/>
    <w:lvl w:ilvl="0">
      <w:lvlJc w:val="left"/>
      <w:lvlText w:val="3"/>
      <w:numFmt w:val="bullet"/>
      <w:start w:val="1"/>
    </w:lvl>
  </w:abstractNum>
  <w:abstractNum w:abstractNumId="134">
    <w:nsid w:val="DCDF8F6"/>
    <w:multiLevelType w:val="hybridMultilevel"/>
    <w:lvl w:ilvl="0">
      <w:lvlJc w:val="left"/>
      <w:lvlText w:val="1"/>
      <w:numFmt w:val="bullet"/>
      <w:start w:val="1"/>
    </w:lvl>
  </w:abstractNum>
  <w:abstractNum w:abstractNumId="135">
    <w:nsid w:val="52D7B105"/>
    <w:multiLevelType w:val="hybridMultilevel"/>
    <w:lvl w:ilvl="0">
      <w:lvlJc w:val="left"/>
      <w:lvlText w:val="1"/>
      <w:numFmt w:val="bullet"/>
      <w:start w:val="1"/>
    </w:lvl>
  </w:abstractNum>
  <w:abstractNum w:abstractNumId="136">
    <w:nsid w:val="2E8A6394"/>
    <w:multiLevelType w:val="hybridMultilevel"/>
    <w:lvl w:ilvl="0">
      <w:lvlJc w:val="left"/>
      <w:lvlText w:val="•"/>
      <w:numFmt w:val="bullet"/>
      <w:start w:val="1"/>
    </w:lvl>
  </w:abstractNum>
  <w:abstractNum w:abstractNumId="137">
    <w:nsid w:val="24E60401"/>
    <w:multiLevelType w:val="hybridMultilevel"/>
    <w:lvl w:ilvl="0">
      <w:lvlJc w:val="left"/>
      <w:lvlText w:val="•"/>
      <w:numFmt w:val="bullet"/>
      <w:start w:val="1"/>
    </w:lvl>
  </w:abstractNum>
  <w:abstractNum w:abstractNumId="138">
    <w:nsid w:val="2A6AD9BE"/>
    <w:multiLevelType w:val="hybridMultilevel"/>
    <w:lvl w:ilvl="0">
      <w:lvlJc w:val="left"/>
      <w:lvlText w:val="•"/>
      <w:numFmt w:val="bullet"/>
      <w:start w:val="1"/>
    </w:lvl>
  </w:abstractNum>
  <w:abstractNum w:abstractNumId="139">
    <w:nsid w:val="BAAC1B4"/>
    <w:multiLevelType w:val="hybridMultilevel"/>
    <w:lvl w:ilvl="0">
      <w:lvlJc w:val="left"/>
      <w:lvlText w:val="•"/>
      <w:numFmt w:val="bullet"/>
      <w:start w:val="1"/>
    </w:lvl>
    <w:lvl w:ilvl="1">
      <w:lvlJc w:val="left"/>
      <w:lvlText w:val="◦"/>
      <w:numFmt w:val="bullet"/>
      <w:start w:val="1"/>
    </w:lvl>
  </w:abstractNum>
  <w:abstractNum w:abstractNumId="140">
    <w:nsid w:val="36B2ACBC"/>
    <w:multiLevelType w:val="hybridMultilevel"/>
    <w:lvl w:ilvl="0">
      <w:lvlJc w:val="left"/>
      <w:lvlText w:val="1"/>
      <w:numFmt w:val="bullet"/>
      <w:start w:val="1"/>
    </w:lvl>
  </w:abstractNum>
  <w:abstractNum w:abstractNumId="141">
    <w:nsid w:val="779D8544"/>
    <w:multiLevelType w:val="hybridMultilevel"/>
    <w:lvl w:ilvl="0">
      <w:lvlJc w:val="left"/>
      <w:lvlText w:val="2"/>
      <w:numFmt w:val="bullet"/>
      <w:start w:val="1"/>
    </w:lvl>
  </w:abstractNum>
  <w:abstractNum w:abstractNumId="142">
    <w:nsid w:val="4AB26E78"/>
    <w:multiLevelType w:val="hybridMultilevel"/>
    <w:lvl w:ilvl="0">
      <w:lvlJc w:val="left"/>
      <w:lvlText w:val="3"/>
      <w:numFmt w:val="bullet"/>
      <w:start w:val="1"/>
    </w:lvl>
  </w:abstractNum>
  <w:abstractNum w:abstractNumId="143">
    <w:nsid w:val="21FAA2FA"/>
    <w:multiLevelType w:val="hybridMultilevel"/>
    <w:lvl w:ilvl="0">
      <w:lvlJc w:val="left"/>
      <w:lvlText w:val="4"/>
      <w:numFmt w:val="bullet"/>
      <w:start w:val="1"/>
    </w:lvl>
  </w:abstractNum>
  <w:abstractNum w:abstractNumId="144">
    <w:nsid w:val="5451CF49"/>
    <w:multiLevelType w:val="hybridMultilevel"/>
    <w:lvl w:ilvl="0">
      <w:lvlJc w:val="left"/>
      <w:lvlText w:val="5"/>
      <w:numFmt w:val="bullet"/>
      <w:start w:val="1"/>
    </w:lvl>
  </w:abstractNum>
  <w:abstractNum w:abstractNumId="145">
    <w:nsid w:val="6181EF69"/>
    <w:multiLevelType w:val="hybridMultilevel"/>
    <w:lvl w:ilvl="0">
      <w:lvlJc w:val="left"/>
      <w:lvlText w:val="1"/>
      <w:numFmt w:val="bullet"/>
      <w:start w:val="1"/>
    </w:lvl>
  </w:abstractNum>
  <w:abstractNum w:abstractNumId="146">
    <w:nsid w:val="3E6400E6"/>
    <w:multiLevelType w:val="hybridMultilevel"/>
    <w:lvl w:ilvl="0">
      <w:lvlJc w:val="left"/>
      <w:lvlText w:val="2"/>
      <w:numFmt w:val="bullet"/>
      <w:start w:val="1"/>
    </w:lvl>
  </w:abstractNum>
  <w:abstractNum w:abstractNumId="147">
    <w:nsid w:val="14217E23"/>
    <w:multiLevelType w:val="hybridMultilevel"/>
    <w:lvl w:ilvl="0">
      <w:lvlJc w:val="left"/>
      <w:lvlText w:val="3"/>
      <w:numFmt w:val="bullet"/>
      <w:start w:val="1"/>
    </w:lvl>
  </w:abstractNum>
  <w:abstractNum w:abstractNumId="148">
    <w:nsid w:val="710757D0"/>
    <w:multiLevelType w:val="hybridMultilevel"/>
    <w:lvl w:ilvl="0">
      <w:lvlJc w:val="left"/>
      <w:lvlText w:val="4"/>
      <w:numFmt w:val="bullet"/>
      <w:start w:val="1"/>
    </w:lvl>
  </w:abstractNum>
  <w:abstractNum w:abstractNumId="149">
    <w:nsid w:val="5015CD1A"/>
    <w:multiLevelType w:val="hybridMultilevel"/>
    <w:lvl w:ilvl="0">
      <w:lvlJc w:val="left"/>
      <w:lvlText w:val="5"/>
      <w:numFmt w:val="bullet"/>
      <w:start w:val="1"/>
    </w:lvl>
  </w:abstractNum>
  <w:abstractNum w:abstractNumId="150">
    <w:nsid w:val="424479DA"/>
    <w:multiLevelType w:val="hybridMultilevel"/>
    <w:lvl w:ilvl="0">
      <w:lvlJc w:val="left"/>
      <w:lvlText w:val="6"/>
      <w:numFmt w:val="bullet"/>
      <w:start w:val="1"/>
    </w:lvl>
  </w:abstractNum>
  <w:abstractNum w:abstractNumId="151">
    <w:nsid w:val="1A9A9E69"/>
    <w:multiLevelType w:val="hybridMultilevel"/>
    <w:lvl w:ilvl="0">
      <w:lvlJc w:val="left"/>
      <w:lvlText w:val="7"/>
      <w:numFmt w:val="bullet"/>
      <w:start w:val="1"/>
    </w:lvl>
  </w:abstractNum>
  <w:abstractNum w:abstractNumId="152">
    <w:nsid w:val="475E256A"/>
    <w:multiLevelType w:val="hybridMultilevel"/>
    <w:lvl w:ilvl="0">
      <w:lvlJc w:val="left"/>
      <w:lvlText w:val="1"/>
      <w:numFmt w:val="bullet"/>
      <w:start w:val="1"/>
    </w:lvl>
  </w:abstractNum>
  <w:abstractNum w:abstractNumId="153">
    <w:nsid w:val="368DB37E"/>
    <w:multiLevelType w:val="hybridMultilevel"/>
    <w:lvl w:ilvl="0">
      <w:lvlJc w:val="left"/>
      <w:lvlText w:val="2"/>
      <w:numFmt w:val="bullet"/>
      <w:start w:val="1"/>
    </w:lvl>
  </w:abstractNum>
  <w:abstractNum w:abstractNumId="154">
    <w:nsid w:val="6A3B714C"/>
    <w:multiLevelType w:val="hybridMultilevel"/>
    <w:lvl w:ilvl="0">
      <w:lvlJc w:val="left"/>
      <w:lvlText w:val="3"/>
      <w:numFmt w:val="bullet"/>
      <w:start w:val="1"/>
    </w:lvl>
  </w:abstractNum>
  <w:abstractNum w:abstractNumId="155">
    <w:nsid w:val="327B517E"/>
    <w:multiLevelType w:val="hybridMultilevel"/>
    <w:lvl w:ilvl="0">
      <w:lvlJc w:val="left"/>
      <w:lvlText w:val="4"/>
      <w:numFmt w:val="bullet"/>
      <w:start w:val="1"/>
    </w:lvl>
  </w:abstractNum>
  <w:abstractNum w:abstractNumId="156">
    <w:nsid w:val="1F461B51"/>
    <w:multiLevelType w:val="hybridMultilevel"/>
    <w:lvl w:ilvl="0">
      <w:lvlJc w:val="left"/>
      <w:lvlText w:val="5"/>
      <w:numFmt w:val="bullet"/>
      <w:start w:val="1"/>
    </w:lvl>
  </w:abstractNum>
  <w:abstractNum w:abstractNumId="157">
    <w:nsid w:val="29BACF25"/>
    <w:multiLevelType w:val="hybridMultilevel"/>
    <w:lvl w:ilvl="0">
      <w:lvlJc w:val="left"/>
      <w:lvlText w:val="6"/>
      <w:numFmt w:val="bullet"/>
      <w:start w:val="1"/>
    </w:lvl>
  </w:abstractNum>
  <w:abstractNum w:abstractNumId="158">
    <w:nsid w:val="5D5BABB3"/>
    <w:multiLevelType w:val="hybridMultilevel"/>
    <w:lvl w:ilvl="0">
      <w:lvlJc w:val="left"/>
      <w:lvlText w:val="7"/>
      <w:numFmt w:val="bullet"/>
      <w:start w:val="1"/>
    </w:lvl>
  </w:abstractNum>
  <w:abstractNum w:abstractNumId="159">
    <w:nsid w:val="51BF6B48"/>
    <w:multiLevelType w:val="hybridMultilevel"/>
    <w:lvl w:ilvl="0">
      <w:lvlJc w:val="left"/>
      <w:lvlText w:val="8"/>
      <w:numFmt w:val="bullet"/>
      <w:start w:val="1"/>
    </w:lvl>
  </w:abstractNum>
  <w:abstractNum w:abstractNumId="160">
    <w:nsid w:val="7E0F6384"/>
    <w:multiLevelType w:val="hybridMultilevel"/>
    <w:lvl w:ilvl="0">
      <w:lvlJc w:val="left"/>
      <w:lvlText w:val="9"/>
      <w:numFmt w:val="bullet"/>
      <w:start w:val="1"/>
    </w:lvl>
  </w:abstractNum>
  <w:abstractNum w:abstractNumId="161">
    <w:nsid w:val="2B4B8B53"/>
    <w:multiLevelType w:val="hybridMultilevel"/>
    <w:lvl w:ilvl="0">
      <w:lvlJc w:val="left"/>
      <w:lvlText w:val="1"/>
      <w:numFmt w:val="bullet"/>
      <w:start w:val="1"/>
    </w:lvl>
  </w:abstractNum>
  <w:abstractNum w:abstractNumId="162">
    <w:nsid w:val="72E3413A"/>
    <w:multiLevelType w:val="hybridMultilevel"/>
    <w:lvl w:ilvl="0">
      <w:lvlJc w:val="left"/>
      <w:lvlText w:val="2"/>
      <w:numFmt w:val="bullet"/>
      <w:start w:val="1"/>
    </w:lvl>
  </w:abstractNum>
  <w:abstractNum w:abstractNumId="163">
    <w:nsid w:val="116AE494"/>
    <w:multiLevelType w:val="hybridMultilevel"/>
    <w:lvl w:ilvl="0">
      <w:lvlJc w:val="left"/>
      <w:lvlText w:val="•"/>
      <w:numFmt w:val="bullet"/>
      <w:start w:val="1"/>
    </w:lvl>
  </w:abstractNum>
  <w:abstractNum w:abstractNumId="164">
    <w:nsid w:val="3494B2FB"/>
    <w:multiLevelType w:val="hybridMultilevel"/>
    <w:lvl w:ilvl="0">
      <w:lvlJc w:val="left"/>
      <w:lvlText w:val="1"/>
      <w:numFmt w:val="bullet"/>
      <w:start w:val="1"/>
    </w:lvl>
  </w:abstractNum>
  <w:abstractNum w:abstractNumId="165">
    <w:nsid w:val="B13A31"/>
    <w:multiLevelType w:val="hybridMultilevel"/>
    <w:lvl w:ilvl="0">
      <w:lvlJc w:val="left"/>
      <w:lvlText w:val="•"/>
      <w:numFmt w:val="bullet"/>
      <w:start w:val="1"/>
    </w:lvl>
  </w:abstractNum>
  <w:abstractNum w:abstractNumId="166">
    <w:nsid w:val="64429599"/>
    <w:multiLevelType w:val="hybridMultilevel"/>
    <w:lvl w:ilvl="0">
      <w:lvlJc w:val="left"/>
      <w:lvlText w:val="1"/>
      <w:numFmt w:val="bullet"/>
      <w:start w:val="1"/>
    </w:lvl>
  </w:abstractNum>
  <w:abstractNum w:abstractNumId="167">
    <w:nsid w:val="631F1690"/>
    <w:multiLevelType w:val="hybridMultilevel"/>
    <w:lvl w:ilvl="0">
      <w:lvlJc w:val="left"/>
      <w:lvlText w:val="2"/>
      <w:numFmt w:val="bullet"/>
      <w:start w:val="1"/>
    </w:lvl>
  </w:abstractNum>
  <w:abstractNum w:abstractNumId="168">
    <w:nsid w:val="25973E32"/>
    <w:multiLevelType w:val="hybridMultilevel"/>
    <w:lvl w:ilvl="0">
      <w:lvlJc w:val="left"/>
      <w:lvlText w:val="3"/>
      <w:numFmt w:val="bullet"/>
      <w:start w:val="1"/>
    </w:lvl>
  </w:abstractNum>
  <w:abstractNum w:abstractNumId="169">
    <w:nsid w:val="EAD6F57"/>
    <w:multiLevelType w:val="hybridMultilevel"/>
    <w:lvl w:ilvl="0">
      <w:lvlJc w:val="left"/>
      <w:lvlText w:val="1"/>
      <w:numFmt w:val="bullet"/>
      <w:start w:val="1"/>
    </w:lvl>
  </w:abstractNum>
  <w:abstractNum w:abstractNumId="170">
    <w:nsid w:val="6EC9D844"/>
    <w:multiLevelType w:val="hybridMultilevel"/>
    <w:lvl w:ilvl="0">
      <w:lvlJc w:val="left"/>
      <w:lvlText w:val="2"/>
      <w:numFmt w:val="bullet"/>
      <w:start w:val="1"/>
    </w:lvl>
  </w:abstractNum>
  <w:abstractNum w:abstractNumId="171">
    <w:nsid w:val="5C49EAEE"/>
    <w:multiLevelType w:val="hybridMultilevel"/>
    <w:lvl w:ilvl="0">
      <w:lvlJc w:val="left"/>
      <w:lvlText w:val="•"/>
      <w:numFmt w:val="bullet"/>
      <w:start w:val="1"/>
    </w:lvl>
  </w:abstractNum>
  <w:abstractNum w:abstractNumId="172">
    <w:nsid w:val="64AF49B"/>
    <w:multiLevelType w:val="hybridMultilevel"/>
    <w:lvl w:ilvl="0">
      <w:lvlJc w:val="left"/>
      <w:lvlText w:val="•"/>
      <w:numFmt w:val="bullet"/>
      <w:start w:val="1"/>
    </w:lvl>
  </w:abstractNum>
  <w:abstractNum w:abstractNumId="173">
    <w:nsid w:val="397C46BC"/>
    <w:multiLevelType w:val="hybridMultilevel"/>
    <w:lvl w:ilvl="0">
      <w:lvlJc w:val="left"/>
      <w:lvlText w:val="•"/>
      <w:numFmt w:val="bullet"/>
      <w:start w:val="1"/>
    </w:lvl>
    <w:lvl w:ilvl="1">
      <w:lvlJc w:val="left"/>
      <w:lvlText w:val="\endash "/>
      <w:numFmt w:val="bullet"/>
      <w:start w:val="1"/>
    </w:lvl>
  </w:abstractNum>
  <w:abstractNum w:abstractNumId="174">
    <w:nsid w:val="7E448DE9"/>
    <w:multiLevelType w:val="hybridMultilevel"/>
    <w:lvl w:ilvl="0">
      <w:lvlJc w:val="left"/>
      <w:lvlText w:val="•"/>
      <w:numFmt w:val="bullet"/>
      <w:start w:val="1"/>
    </w:lvl>
  </w:abstractNum>
  <w:abstractNum w:abstractNumId="175">
    <w:nsid w:val="5A9CC3E5"/>
    <w:multiLevelType w:val="hybridMultilevel"/>
    <w:lvl w:ilvl="0">
      <w:lvlJc w:val="left"/>
      <w:lvlText w:val="1"/>
      <w:numFmt w:val="bullet"/>
      <w:start w:val="1"/>
    </w:lvl>
  </w:abstractNum>
  <w:abstractNum w:abstractNumId="176">
    <w:nsid w:val="1AFE3625"/>
    <w:multiLevelType w:val="hybridMultilevel"/>
    <w:lvl w:ilvl="0">
      <w:lvlJc w:val="left"/>
      <w:lvlText w:val="2"/>
      <w:numFmt w:val="bullet"/>
      <w:start w:val="1"/>
    </w:lvl>
  </w:abstractNum>
  <w:abstractNum w:abstractNumId="177">
    <w:nsid w:val="3CA88ECF"/>
    <w:multiLevelType w:val="hybridMultilevel"/>
    <w:lvl w:ilvl="0">
      <w:lvlJc w:val="left"/>
      <w:lvlText w:val="3"/>
      <w:numFmt w:val="bullet"/>
      <w:start w:val="1"/>
    </w:lvl>
  </w:abstractNum>
  <w:abstractNum w:abstractNumId="178">
    <w:nsid w:val="6EBE4208"/>
    <w:multiLevelType w:val="hybridMultilevel"/>
    <w:lvl w:ilvl="0">
      <w:lvlJc w:val="left"/>
      <w:lvlText w:val="4"/>
      <w:numFmt w:val="bullet"/>
      <w:start w:val="1"/>
    </w:lvl>
  </w:abstractNum>
  <w:abstractNum w:abstractNumId="179">
    <w:nsid w:val="C058DF5"/>
    <w:multiLevelType w:val="hybridMultilevel"/>
    <w:lvl w:ilvl="0">
      <w:lvlJc w:val="left"/>
      <w:lvlText w:val="5"/>
      <w:numFmt w:val="bullet"/>
      <w:start w:val="1"/>
    </w:lvl>
  </w:abstractNum>
  <w:abstractNum w:abstractNumId="180">
    <w:nsid w:val="CBE5BE9"/>
    <w:multiLevelType w:val="hybridMultilevel"/>
    <w:lvl w:ilvl="0">
      <w:lvlJc w:val="left"/>
      <w:lvlText w:val="6"/>
      <w:numFmt w:val="bullet"/>
      <w:start w:val="1"/>
    </w:lvl>
  </w:abstractNum>
  <w:abstractNum w:abstractNumId="181">
    <w:nsid w:val="3102BBE2"/>
    <w:multiLevelType w:val="hybridMultilevel"/>
    <w:lvl w:ilvl="0">
      <w:lvlJc w:val="left"/>
      <w:lvlText w:val="7"/>
      <w:numFmt w:val="bullet"/>
      <w:start w:val="1"/>
    </w:lvl>
  </w:abstractNum>
  <w:abstractNum w:abstractNumId="182">
    <w:nsid w:val="26A02C5E"/>
    <w:multiLevelType w:val="hybridMultilevel"/>
    <w:lvl w:ilvl="0">
      <w:lvlJc w:val="left"/>
      <w:lvlText w:val="8"/>
      <w:numFmt w:val="bullet"/>
      <w:start w:val="1"/>
    </w:lvl>
  </w:abstractNum>
  <w:abstractNum w:abstractNumId="183">
    <w:nsid w:val="541C8153"/>
    <w:multiLevelType w:val="hybridMultilevel"/>
    <w:lvl w:ilvl="0">
      <w:lvlJc w:val="left"/>
      <w:lvlText w:val="%1"/>
      <w:numFmt w:val="decimal"/>
      <w:start w:val="10"/>
    </w:lvl>
  </w:abstractNum>
  <w:abstractNum w:abstractNumId="184">
    <w:nsid w:val="67906F60"/>
    <w:multiLevelType w:val="hybridMultilevel"/>
    <w:lvl w:ilvl="0">
      <w:lvlJc w:val="left"/>
      <w:lvlText w:val="1"/>
      <w:numFmt w:val="bullet"/>
      <w:start w:val="1"/>
    </w:lvl>
  </w:abstractNum>
  <w:abstractNum w:abstractNumId="185">
    <w:nsid w:val="10DB9DAA"/>
    <w:multiLevelType w:val="hybridMultilevel"/>
    <w:lvl w:ilvl="0">
      <w:lvlJc w:val="left"/>
      <w:lvlText w:val="*"/>
      <w:numFmt w:val="bullet"/>
      <w:start w:val="1"/>
    </w:lvl>
  </w:abstractNum>
  <w:abstractNum w:abstractNumId="186">
    <w:nsid w:val="697D2D2"/>
    <w:multiLevelType w:val="hybridMultilevel"/>
    <w:lvl w:ilvl="0">
      <w:lvlJc w:val="left"/>
      <w:lvlText w:val="*"/>
      <w:numFmt w:val="bullet"/>
      <w:start w:val="1"/>
    </w:lvl>
  </w:abstractNum>
  <w:abstractNum w:abstractNumId="187">
    <w:nsid w:val="6D68AB2"/>
    <w:multiLevelType w:val="hybridMultilevel"/>
    <w:lvl w:ilvl="0">
      <w:lvlJc w:val="left"/>
      <w:lvlText w:val="*"/>
      <w:numFmt w:val="bullet"/>
      <w:start w:val="1"/>
    </w:lvl>
  </w:abstractNum>
  <w:abstractNum w:abstractNumId="188">
    <w:nsid w:val="3A966CD0"/>
    <w:multiLevelType w:val="hybridMultilevel"/>
    <w:lvl w:ilvl="0">
      <w:lvlJc w:val="left"/>
      <w:lvlText w:val="%1."/>
      <w:numFmt w:val="decimal"/>
      <w:start w:val="1"/>
    </w:lvl>
  </w:abstractNum>
  <w:abstractNum w:abstractNumId="189">
    <w:nsid w:val="63F37E85"/>
    <w:multiLevelType w:val="hybridMultilevel"/>
    <w:lvl w:ilvl="0">
      <w:lvlJc w:val="left"/>
      <w:lvlText w:val="ü"/>
      <w:numFmt w:val="bullet"/>
      <w:start w:val="1"/>
    </w:lvl>
  </w:abstractNum>
  <w:abstractNum w:abstractNumId="190">
    <w:nsid w:val="5895F5FA"/>
    <w:multiLevelType w:val="hybridMultilevel"/>
    <w:lvl w:ilvl="0">
      <w:lvlJc w:val="left"/>
      <w:lvlText w:val="ü"/>
      <w:numFmt w:val="bullet"/>
      <w:start w:val="1"/>
    </w:lvl>
  </w:abstractNum>
  <w:abstractNum w:abstractNumId="191">
    <w:nsid w:val="38A5D054"/>
    <w:multiLevelType w:val="hybridMultilevel"/>
    <w:lvl w:ilvl="0">
      <w:lvlJc w:val="left"/>
      <w:lvlText w:val="•"/>
      <w:numFmt w:val="bullet"/>
      <w:start w:val="1"/>
    </w:lvl>
  </w:abstractNum>
  <w:abstractNum w:abstractNumId="192">
    <w:nsid w:val="F3F09D8"/>
    <w:multiLevelType w:val="hybridMultilevel"/>
    <w:lvl w:ilvl="0">
      <w:lvlJc w:val="left"/>
      <w:lvlText w:val="•"/>
      <w:numFmt w:val="bullet"/>
      <w:start w:val="1"/>
    </w:lvl>
    <w:lvl w:ilvl="1">
      <w:lvlJc w:val="left"/>
      <w:lvlText w:val="\endash "/>
      <w:numFmt w:val="bullet"/>
      <w:start w:val="1"/>
    </w:lvl>
  </w:abstractNum>
  <w:abstractNum w:abstractNumId="193">
    <w:nsid w:val="4B793735"/>
    <w:multiLevelType w:val="hybridMultilevel"/>
    <w:lvl w:ilvl="0">
      <w:lvlJc w:val="left"/>
      <w:lvlText w:val="◦"/>
      <w:numFmt w:val="bullet"/>
      <w:start w:val="1"/>
    </w:lvl>
  </w:abstractNum>
  <w:abstractNum w:abstractNumId="194">
    <w:nsid w:val="4A10B4E8"/>
    <w:multiLevelType w:val="hybridMultilevel"/>
    <w:lvl w:ilvl="0">
      <w:lvlJc w:val="left"/>
      <w:lvlText w:val="•"/>
      <w:numFmt w:val="bullet"/>
      <w:start w:val="1"/>
    </w:lvl>
  </w:abstractNum>
  <w:abstractNum w:abstractNumId="195">
    <w:nsid w:val="43D3BCD4"/>
    <w:multiLevelType w:val="hybridMultilevel"/>
    <w:lvl w:ilvl="0">
      <w:lvlJc w:val="left"/>
      <w:lvlText w:val="•"/>
      <w:numFmt w:val="bullet"/>
      <w:start w:val="1"/>
    </w:lvl>
  </w:abstractNum>
  <w:abstractNum w:abstractNumId="196">
    <w:nsid w:val="4C2A7166"/>
    <w:multiLevelType w:val="hybridMultilevel"/>
    <w:lvl w:ilvl="0">
      <w:lvlJc w:val="left"/>
      <w:lvlText w:val="•"/>
      <w:numFmt w:val="bullet"/>
      <w:start w:val="1"/>
    </w:lvl>
  </w:abstractNum>
  <w:abstractNum w:abstractNumId="197">
    <w:nsid w:val="2E534A82"/>
    <w:multiLevelType w:val="hybridMultilevel"/>
    <w:lvl w:ilvl="0">
      <w:lvlJc w:val="left"/>
      <w:lvlText w:val="•"/>
      <w:numFmt w:val="bullet"/>
      <w:start w:val="1"/>
    </w:lvl>
  </w:abstractNum>
  <w:abstractNum w:abstractNumId="198">
    <w:nsid w:val="26F2D364"/>
    <w:multiLevelType w:val="hybridMultilevel"/>
    <w:lvl w:ilvl="0">
      <w:lvlJc w:val="left"/>
      <w:lvlText w:val="•"/>
      <w:numFmt w:val="bullet"/>
      <w:start w:val="1"/>
    </w:lvl>
  </w:abstractNum>
  <w:abstractNum w:abstractNumId="199">
    <w:nsid w:val="71C1AF98"/>
    <w:multiLevelType w:val="hybridMultilevel"/>
    <w:lvl w:ilvl="0">
      <w:lvlJc w:val="left"/>
      <w:lvlText w:val="•"/>
      <w:numFmt w:val="bullet"/>
      <w:start w:val="1"/>
    </w:lvl>
  </w:abstractNum>
  <w:abstractNum w:abstractNumId="200">
    <w:nsid w:val="3D00B9D9"/>
    <w:multiLevelType w:val="hybridMultilevel"/>
    <w:lvl w:ilvl="0">
      <w:lvlJc w:val="left"/>
      <w:lvlText w:val="•"/>
      <w:numFmt w:val="bullet"/>
      <w:start w:val="1"/>
    </w:lvl>
  </w:abstractNum>
  <w:abstractNum w:abstractNumId="201">
    <w:nsid w:val="15BCABA8"/>
    <w:multiLevelType w:val="hybridMultilevel"/>
    <w:lvl w:ilvl="0">
      <w:lvlJc w:val="left"/>
      <w:lvlText w:val="%1."/>
      <w:numFmt w:val="decimal"/>
      <w:start w:val="9"/>
    </w:lvl>
    <w:lvl w:ilvl="1">
      <w:lvlJc w:val="left"/>
      <w:lvlText w:val="(%2)"/>
      <w:numFmt w:val="lowerLetter"/>
      <w:start w:val="1"/>
    </w:lvl>
  </w:abstractNum>
  <w:abstractNum w:abstractNumId="202">
    <w:nsid w:val="4E0B9A87"/>
    <w:multiLevelType w:val="hybridMultilevel"/>
    <w:lvl w:ilvl="0">
      <w:lvlJc w:val="left"/>
      <w:lvlText w:val="%1."/>
      <w:numFmt w:val="decimal"/>
      <w:start w:val="13"/>
    </w:lvl>
  </w:abstractNum>
  <w:abstractNum w:abstractNumId="203">
    <w:nsid w:val="434BAE75"/>
    <w:multiLevelType w:val="hybridMultilevel"/>
    <w:lvl w:ilvl="0">
      <w:lvlJc w:val="left"/>
      <w:lvlText w:val="(%1)"/>
      <w:numFmt w:val="lowerLetter"/>
      <w:start w:val="1"/>
    </w:lvl>
    <w:lvl w:ilvl="1">
      <w:lvlJc w:val="left"/>
      <w:lvlText w:val="(%2)"/>
      <w:numFmt w:val="lowerRoman"/>
      <w:start w:val="1"/>
    </w:lvl>
  </w:abstractNum>
  <w:abstractNum w:abstractNumId="204">
    <w:nsid w:val="4F38F265"/>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205">
    <w:nsid w:val="4C502870"/>
    <w:multiLevelType w:val="hybridMultilevel"/>
    <w:lvl w:ilvl="0">
      <w:lvlJc w:val="left"/>
      <w:lvlText w:val="(%1)"/>
      <w:numFmt w:val="lowerLetter"/>
      <w:start w:val="5"/>
    </w:lvl>
    <w:lvl w:ilvl="1">
      <w:lvlJc w:val="left"/>
      <w:lvlText w:val="%2"/>
      <w:numFmt w:val="lowerLetter"/>
      <w:start w:val="1"/>
    </w:lvl>
    <w:lvl w:ilvl="2">
      <w:lvlJc w:val="left"/>
      <w:lvlText w:val="%3"/>
      <w:numFmt w:val="lowerRoman"/>
      <w:start w:val="1"/>
    </w:lvl>
  </w:abstractNum>
  <w:abstractNum w:abstractNumId="206">
    <w:nsid w:val="1DE8725A"/>
    <w:multiLevelType w:val="hybridMultilevel"/>
    <w:lvl w:ilvl="0">
      <w:lvlJc w:val="left"/>
      <w:lvlText w:val="(%1)"/>
      <w:numFmt w:val="lowerLetter"/>
      <w:start w:val="6"/>
    </w:lvl>
    <w:lvl w:ilvl="1">
      <w:lvlJc w:val="left"/>
      <w:lvlText w:val="(%2)"/>
      <w:numFmt w:val="lowerRoman"/>
      <w:start w:val="1"/>
    </w:lvl>
    <w:lvl w:ilvl="2">
      <w:lvlJc w:val="left"/>
      <w:lvlText w:val="%3."/>
      <w:numFmt w:val="lowerLetter"/>
      <w:start w:val="1"/>
    </w:lvl>
  </w:abstractNum>
  <w:abstractNum w:abstractNumId="207">
    <w:nsid w:val="6A37288A"/>
    <w:multiLevelType w:val="hybridMultilevel"/>
    <w:lvl w:ilvl="0">
      <w:lvlJc w:val="left"/>
      <w:lvlText w:val="(%1)"/>
      <w:numFmt w:val="lowerLetter"/>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jpeg"/><Relationship Id="rId113" Type="http://schemas.openxmlformats.org/officeDocument/2006/relationships/image" Target="media/image106.jpeg"/><Relationship Id="rId114" Type="http://schemas.openxmlformats.org/officeDocument/2006/relationships/image" Target="media/image107.jpe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jpeg"/><Relationship Id="rId124" Type="http://schemas.openxmlformats.org/officeDocument/2006/relationships/image" Target="media/image117.jpeg"/><Relationship Id="rId125" Type="http://schemas.openxmlformats.org/officeDocument/2006/relationships/image" Target="media/image118.jpeg"/><Relationship Id="rId126" Type="http://schemas.openxmlformats.org/officeDocument/2006/relationships/image" Target="media/image119.jpeg"/><Relationship Id="rId127" Type="http://schemas.openxmlformats.org/officeDocument/2006/relationships/image" Target="media/image120.jpeg"/><Relationship Id="rId128" Type="http://schemas.openxmlformats.org/officeDocument/2006/relationships/image" Target="media/image121.jpe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jpeg"/><Relationship Id="rId138" Type="http://schemas.openxmlformats.org/officeDocument/2006/relationships/image" Target="media/image131.jpeg"/><Relationship Id="rId139" Type="http://schemas.openxmlformats.org/officeDocument/2006/relationships/image" Target="media/image132.jpeg"/><Relationship Id="rId140" Type="http://schemas.openxmlformats.org/officeDocument/2006/relationships/image" Target="media/image133.jpeg"/><Relationship Id="rId141" Type="http://schemas.openxmlformats.org/officeDocument/2006/relationships/image" Target="media/image134.jpeg"/><Relationship Id="rId142" Type="http://schemas.openxmlformats.org/officeDocument/2006/relationships/image" Target="media/image135.jpe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jpeg"/><Relationship Id="rId152" Type="http://schemas.openxmlformats.org/officeDocument/2006/relationships/image" Target="media/image145.jpeg"/><Relationship Id="rId153" Type="http://schemas.openxmlformats.org/officeDocument/2006/relationships/image" Target="media/image146.jpeg"/><Relationship Id="rId154" Type="http://schemas.openxmlformats.org/officeDocument/2006/relationships/image" Target="media/image147.jpeg"/><Relationship Id="rId155" Type="http://schemas.openxmlformats.org/officeDocument/2006/relationships/image" Target="media/image148.jpeg"/><Relationship Id="rId156" Type="http://schemas.openxmlformats.org/officeDocument/2006/relationships/image" Target="media/image149.jpe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jpeg"/><Relationship Id="rId166" Type="http://schemas.openxmlformats.org/officeDocument/2006/relationships/image" Target="media/image159.jpeg"/><Relationship Id="rId167" Type="http://schemas.openxmlformats.org/officeDocument/2006/relationships/image" Target="media/image160.jpeg"/><Relationship Id="rId168" Type="http://schemas.openxmlformats.org/officeDocument/2006/relationships/image" Target="media/image161.jpeg"/><Relationship Id="rId169" Type="http://schemas.openxmlformats.org/officeDocument/2006/relationships/image" Target="media/image162.jpeg"/><Relationship Id="rId170" Type="http://schemas.openxmlformats.org/officeDocument/2006/relationships/image" Target="media/image163.jpe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jpeg"/><Relationship Id="rId180" Type="http://schemas.openxmlformats.org/officeDocument/2006/relationships/image" Target="media/image173.jpeg"/><Relationship Id="rId181" Type="http://schemas.openxmlformats.org/officeDocument/2006/relationships/image" Target="media/image174.jpeg"/><Relationship Id="rId182" Type="http://schemas.openxmlformats.org/officeDocument/2006/relationships/image" Target="media/image175.jpeg"/><Relationship Id="rId183" Type="http://schemas.openxmlformats.org/officeDocument/2006/relationships/image" Target="media/image176.jpeg"/><Relationship Id="rId184" Type="http://schemas.openxmlformats.org/officeDocument/2006/relationships/image" Target="media/image177.jpe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jpeg"/><Relationship Id="rId194" Type="http://schemas.openxmlformats.org/officeDocument/2006/relationships/image" Target="media/image187.jpeg"/><Relationship Id="rId195" Type="http://schemas.openxmlformats.org/officeDocument/2006/relationships/image" Target="media/image188.jpeg"/><Relationship Id="rId196" Type="http://schemas.openxmlformats.org/officeDocument/2006/relationships/image" Target="media/image189.jpeg"/><Relationship Id="rId197" Type="http://schemas.openxmlformats.org/officeDocument/2006/relationships/image" Target="media/image190.jpeg"/><Relationship Id="rId198" Type="http://schemas.openxmlformats.org/officeDocument/2006/relationships/image" Target="media/image191.jpeg"/><Relationship Id="rId199" Type="http://schemas.openxmlformats.org/officeDocument/2006/relationships/image" Target="media/image192.jpeg"/><Relationship Id="rId200" Type="http://schemas.openxmlformats.org/officeDocument/2006/relationships/image" Target="media/image193.png"/><Relationship Id="rId201" Type="http://schemas.openxmlformats.org/officeDocument/2006/relationships/image" Target="media/image194.jpe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jpeg"/><Relationship Id="rId208" Type="http://schemas.openxmlformats.org/officeDocument/2006/relationships/image" Target="media/image201.jpeg"/><Relationship Id="rId209" Type="http://schemas.openxmlformats.org/officeDocument/2006/relationships/image" Target="media/image202.jpeg"/><Relationship Id="rId210" Type="http://schemas.openxmlformats.org/officeDocument/2006/relationships/image" Target="media/image203.jpeg"/><Relationship Id="rId211" Type="http://schemas.openxmlformats.org/officeDocument/2006/relationships/image" Target="media/image204.jpeg"/><Relationship Id="rId212" Type="http://schemas.openxmlformats.org/officeDocument/2006/relationships/image" Target="media/image205.jpeg"/><Relationship Id="rId213" Type="http://schemas.openxmlformats.org/officeDocument/2006/relationships/image" Target="media/image206.jpeg"/><Relationship Id="rId214" Type="http://schemas.openxmlformats.org/officeDocument/2006/relationships/image" Target="media/image207.png"/><Relationship Id="rId215" Type="http://schemas.openxmlformats.org/officeDocument/2006/relationships/image" Target="media/image208.jpe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jpeg"/><Relationship Id="rId219" Type="http://schemas.openxmlformats.org/officeDocument/2006/relationships/image" Target="media/image212.png"/><Relationship Id="rId220" Type="http://schemas.openxmlformats.org/officeDocument/2006/relationships/image" Target="media/image213.jpeg"/><Relationship Id="rId221" Type="http://schemas.openxmlformats.org/officeDocument/2006/relationships/image" Target="media/image214.jpeg"/><Relationship Id="rId222" Type="http://schemas.openxmlformats.org/officeDocument/2006/relationships/image" Target="media/image215.jpeg"/><Relationship Id="rId223" Type="http://schemas.openxmlformats.org/officeDocument/2006/relationships/image" Target="media/image216.jpeg"/><Relationship Id="rId224" Type="http://schemas.openxmlformats.org/officeDocument/2006/relationships/image" Target="media/image217.jpeg"/><Relationship Id="rId225" Type="http://schemas.openxmlformats.org/officeDocument/2006/relationships/image" Target="media/image218.jpeg"/><Relationship Id="rId226" Type="http://schemas.openxmlformats.org/officeDocument/2006/relationships/image" Target="media/image219.jpeg"/><Relationship Id="rId227" Type="http://schemas.openxmlformats.org/officeDocument/2006/relationships/image" Target="media/image220.jpeg"/><Relationship Id="rId228" Type="http://schemas.openxmlformats.org/officeDocument/2006/relationships/image" Target="media/image221.png"/><Relationship Id="rId229" Type="http://schemas.openxmlformats.org/officeDocument/2006/relationships/image" Target="media/image222.jpe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jpeg"/><Relationship Id="rId233" Type="http://schemas.openxmlformats.org/officeDocument/2006/relationships/image" Target="media/image226.png"/><Relationship Id="rId234" Type="http://schemas.openxmlformats.org/officeDocument/2006/relationships/image" Target="media/image227.jpeg"/><Relationship Id="rId235" Type="http://schemas.openxmlformats.org/officeDocument/2006/relationships/image" Target="media/image228.jpeg"/><Relationship Id="rId236" Type="http://schemas.openxmlformats.org/officeDocument/2006/relationships/image" Target="media/image229.jpeg"/><Relationship Id="rId237" Type="http://schemas.openxmlformats.org/officeDocument/2006/relationships/image" Target="media/image230.jpeg"/><Relationship Id="rId238" Type="http://schemas.openxmlformats.org/officeDocument/2006/relationships/image" Target="media/image231.jpeg"/><Relationship Id="rId239" Type="http://schemas.openxmlformats.org/officeDocument/2006/relationships/image" Target="media/image232.jpeg"/><Relationship Id="rId240" Type="http://schemas.openxmlformats.org/officeDocument/2006/relationships/image" Target="media/image233.jpeg"/><Relationship Id="rId241" Type="http://schemas.openxmlformats.org/officeDocument/2006/relationships/image" Target="media/image234.jpeg"/><Relationship Id="rId242" Type="http://schemas.openxmlformats.org/officeDocument/2006/relationships/image" Target="media/image235.png"/><Relationship Id="rId243" Type="http://schemas.openxmlformats.org/officeDocument/2006/relationships/image" Target="media/image236.jpeg"/><Relationship Id="rId244" Type="http://schemas.openxmlformats.org/officeDocument/2006/relationships/image" Target="media/image237.jpeg"/><Relationship Id="rId245" Type="http://schemas.openxmlformats.org/officeDocument/2006/relationships/image" Target="media/image238.jpeg"/><Relationship Id="rId246" Type="http://schemas.openxmlformats.org/officeDocument/2006/relationships/image" Target="media/image239.jpeg"/><Relationship Id="rId247" Type="http://schemas.openxmlformats.org/officeDocument/2006/relationships/image" Target="media/image240.jpeg"/><Relationship Id="rId248" Type="http://schemas.openxmlformats.org/officeDocument/2006/relationships/image" Target="media/image241.jpeg"/><Relationship Id="rId249" Type="http://schemas.openxmlformats.org/officeDocument/2006/relationships/image" Target="media/image242.jpeg"/><Relationship Id="rId250" Type="http://schemas.openxmlformats.org/officeDocument/2006/relationships/image" Target="media/image243.jpeg"/><Relationship Id="rId251" Type="http://schemas.openxmlformats.org/officeDocument/2006/relationships/image" Target="media/image244.jpeg"/><Relationship Id="rId252" Type="http://schemas.openxmlformats.org/officeDocument/2006/relationships/image" Target="media/image245.jpeg"/><Relationship Id="rId253" Type="http://schemas.openxmlformats.org/officeDocument/2006/relationships/image" Target="media/image246.jpeg"/><Relationship Id="rId254" Type="http://schemas.openxmlformats.org/officeDocument/2006/relationships/image" Target="media/image247.jpeg"/><Relationship Id="rId255" Type="http://schemas.openxmlformats.org/officeDocument/2006/relationships/image" Target="media/image248.jpe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jpeg"/><Relationship Id="rId259" Type="http://schemas.openxmlformats.org/officeDocument/2006/relationships/image" Target="media/image252.jpeg"/><Relationship Id="rId260" Type="http://schemas.openxmlformats.org/officeDocument/2006/relationships/image" Target="media/image253.jpeg"/><Relationship Id="rId261" Type="http://schemas.openxmlformats.org/officeDocument/2006/relationships/image" Target="media/image254.jpe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jpe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jpeg"/><Relationship Id="rId483" Type="http://schemas.openxmlformats.org/officeDocument/2006/relationships/image" Target="media/image476.jpeg"/><Relationship Id="rId484" Type="http://schemas.openxmlformats.org/officeDocument/2006/relationships/image" Target="media/image477.jpeg"/><Relationship Id="rId485" Type="http://schemas.openxmlformats.org/officeDocument/2006/relationships/image" Target="media/image478.jpeg"/><Relationship Id="rId486" Type="http://schemas.openxmlformats.org/officeDocument/2006/relationships/image" Target="media/image479.jpe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jpeg"/><Relationship Id="rId933" Type="http://schemas.openxmlformats.org/officeDocument/2006/relationships/image" Target="media/image926.png"/><Relationship Id="rId934" Type="http://schemas.openxmlformats.org/officeDocument/2006/relationships/image" Target="media/image927.jpeg"/><Relationship Id="rId935" Type="http://schemas.openxmlformats.org/officeDocument/2006/relationships/image" Target="media/image928.png"/><Relationship Id="rId936" Type="http://schemas.openxmlformats.org/officeDocument/2006/relationships/image" Target="media/image929.jpeg"/><Relationship Id="rId937" Type="http://schemas.openxmlformats.org/officeDocument/2006/relationships/image" Target="media/image930.png"/><Relationship Id="rId938" Type="http://schemas.openxmlformats.org/officeDocument/2006/relationships/image" Target="media/image931.jpe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jpeg"/><Relationship Id="rId948" Type="http://schemas.openxmlformats.org/officeDocument/2006/relationships/image" Target="media/image941.jpeg"/><Relationship Id="rId949" Type="http://schemas.openxmlformats.org/officeDocument/2006/relationships/image" Target="media/image942.png"/><Relationship Id="rId950" Type="http://schemas.openxmlformats.org/officeDocument/2006/relationships/image" Target="media/image943.jpeg"/><Relationship Id="rId951" Type="http://schemas.openxmlformats.org/officeDocument/2006/relationships/image" Target="media/image944.jpeg"/><Relationship Id="rId952" Type="http://schemas.openxmlformats.org/officeDocument/2006/relationships/image" Target="media/image945.png"/><Relationship Id="rId953" Type="http://schemas.openxmlformats.org/officeDocument/2006/relationships/image" Target="media/image946.jpe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 Id="rId958" Type="http://schemas.openxmlformats.org/officeDocument/2006/relationships/image" Target="media/image951.png"/><Relationship Id="rId959" Type="http://schemas.openxmlformats.org/officeDocument/2006/relationships/image" Target="media/image952.jpeg"/><Relationship Id="rId960" Type="http://schemas.openxmlformats.org/officeDocument/2006/relationships/image" Target="media/image953.jpeg"/><Relationship Id="rId961" Type="http://schemas.openxmlformats.org/officeDocument/2006/relationships/image" Target="media/image954.png"/><Relationship Id="rId962" Type="http://schemas.openxmlformats.org/officeDocument/2006/relationships/image" Target="media/image955.png"/><Relationship Id="rId963" Type="http://schemas.openxmlformats.org/officeDocument/2006/relationships/image" Target="media/image956.png"/><Relationship Id="rId964" Type="http://schemas.openxmlformats.org/officeDocument/2006/relationships/image" Target="media/image957.png"/><Relationship Id="rId965" Type="http://schemas.openxmlformats.org/officeDocument/2006/relationships/image" Target="media/image958.png"/><Relationship Id="rId966" Type="http://schemas.openxmlformats.org/officeDocument/2006/relationships/image" Target="media/image959.jpeg"/><Relationship Id="rId967" Type="http://schemas.openxmlformats.org/officeDocument/2006/relationships/image" Target="media/image960.png"/><Relationship Id="rId968" Type="http://schemas.openxmlformats.org/officeDocument/2006/relationships/image" Target="media/image961.png"/><Relationship Id="rId969" Type="http://schemas.openxmlformats.org/officeDocument/2006/relationships/image" Target="media/image962.jpeg"/><Relationship Id="rId970" Type="http://schemas.openxmlformats.org/officeDocument/2006/relationships/image" Target="media/image963.png"/><Relationship Id="rId971" Type="http://schemas.openxmlformats.org/officeDocument/2006/relationships/image" Target="media/image964.png"/><Relationship Id="rId972" Type="http://schemas.openxmlformats.org/officeDocument/2006/relationships/image" Target="media/image965.png"/><Relationship Id="rId973" Type="http://schemas.openxmlformats.org/officeDocument/2006/relationships/image" Target="media/image966.png"/><Relationship Id="rId974" Type="http://schemas.openxmlformats.org/officeDocument/2006/relationships/image" Target="media/image967.png"/><Relationship Id="rId975" Type="http://schemas.openxmlformats.org/officeDocument/2006/relationships/image" Target="media/image968.png"/><Relationship Id="rId976" Type="http://schemas.openxmlformats.org/officeDocument/2006/relationships/image" Target="media/image969.png"/><Relationship Id="rId977" Type="http://schemas.openxmlformats.org/officeDocument/2006/relationships/image" Target="media/image970.png"/><Relationship Id="rId978" Type="http://schemas.openxmlformats.org/officeDocument/2006/relationships/image" Target="media/image971.png"/><Relationship Id="rId979" Type="http://schemas.openxmlformats.org/officeDocument/2006/relationships/image" Target="media/image972.png"/><Relationship Id="rId980" Type="http://schemas.openxmlformats.org/officeDocument/2006/relationships/image" Target="media/image973.png"/><Relationship Id="rId981" Type="http://schemas.openxmlformats.org/officeDocument/2006/relationships/image" Target="media/image974.png"/><Relationship Id="rId982" Type="http://schemas.openxmlformats.org/officeDocument/2006/relationships/image" Target="media/image975.png"/><Relationship Id="rId983" Type="http://schemas.openxmlformats.org/officeDocument/2006/relationships/image" Target="media/image976.png"/><Relationship Id="rId984" Type="http://schemas.openxmlformats.org/officeDocument/2006/relationships/image" Target="media/image977.png"/><Relationship Id="rId985" Type="http://schemas.openxmlformats.org/officeDocument/2006/relationships/image" Target="media/image978.png"/><Relationship Id="rId986" Type="http://schemas.openxmlformats.org/officeDocument/2006/relationships/image" Target="media/image979.png"/><Relationship Id="rId987" Type="http://schemas.openxmlformats.org/officeDocument/2006/relationships/image" Target="media/image980.png"/><Relationship Id="rId988" Type="http://schemas.openxmlformats.org/officeDocument/2006/relationships/image" Target="media/image981.png"/><Relationship Id="rId989" Type="http://schemas.openxmlformats.org/officeDocument/2006/relationships/image" Target="media/image982.png"/><Relationship Id="rId990" Type="http://schemas.openxmlformats.org/officeDocument/2006/relationships/image" Target="media/image983.png"/><Relationship Id="rId991" Type="http://schemas.openxmlformats.org/officeDocument/2006/relationships/image" Target="media/image984.png"/><Relationship Id="rId992" Type="http://schemas.openxmlformats.org/officeDocument/2006/relationships/image" Target="media/image985.png"/><Relationship Id="rId993" Type="http://schemas.openxmlformats.org/officeDocument/2006/relationships/image" Target="media/image986.png"/><Relationship Id="rId994" Type="http://schemas.openxmlformats.org/officeDocument/2006/relationships/image" Target="media/image987.png"/><Relationship Id="rId995" Type="http://schemas.openxmlformats.org/officeDocument/2006/relationships/image" Target="media/image988.png"/><Relationship Id="rId996" Type="http://schemas.openxmlformats.org/officeDocument/2006/relationships/image" Target="media/image989.png"/><Relationship Id="rId997" Type="http://schemas.openxmlformats.org/officeDocument/2006/relationships/image" Target="media/image990.png"/><Relationship Id="rId998" Type="http://schemas.openxmlformats.org/officeDocument/2006/relationships/image" Target="media/image991.png"/><Relationship Id="rId999" Type="http://schemas.openxmlformats.org/officeDocument/2006/relationships/image" Target="media/image992.png"/><Relationship Id="rId1000" Type="http://schemas.openxmlformats.org/officeDocument/2006/relationships/image" Target="media/image993.png"/><Relationship Id="rId1001" Type="http://schemas.openxmlformats.org/officeDocument/2006/relationships/image" Target="media/image994.png"/><Relationship Id="rId1002" Type="http://schemas.openxmlformats.org/officeDocument/2006/relationships/image" Target="media/image995.png"/><Relationship Id="rId1003" Type="http://schemas.openxmlformats.org/officeDocument/2006/relationships/image" Target="media/image996.png"/><Relationship Id="rId1004" Type="http://schemas.openxmlformats.org/officeDocument/2006/relationships/image" Target="media/image997.png"/><Relationship Id="rId1005" Type="http://schemas.openxmlformats.org/officeDocument/2006/relationships/image" Target="media/image998.png"/><Relationship Id="rId1006" Type="http://schemas.openxmlformats.org/officeDocument/2006/relationships/image" Target="media/image999.png"/><Relationship Id="rId1007" Type="http://schemas.openxmlformats.org/officeDocument/2006/relationships/image" Target="media/image1000.png"/><Relationship Id="rId1008" Type="http://schemas.openxmlformats.org/officeDocument/2006/relationships/image" Target="media/image1001.png"/><Relationship Id="rId1009" Type="http://schemas.openxmlformats.org/officeDocument/2006/relationships/image" Target="media/image1002.png"/><Relationship Id="rId1010" Type="http://schemas.openxmlformats.org/officeDocument/2006/relationships/image" Target="media/image1003.png"/><Relationship Id="rId1011" Type="http://schemas.openxmlformats.org/officeDocument/2006/relationships/image" Target="media/image1004.png"/><Relationship Id="rId1012" Type="http://schemas.openxmlformats.org/officeDocument/2006/relationships/image" Target="media/image1005.png"/><Relationship Id="rId1013" Type="http://schemas.openxmlformats.org/officeDocument/2006/relationships/image" Target="media/image1006.png"/><Relationship Id="rId1014" Type="http://schemas.openxmlformats.org/officeDocument/2006/relationships/image" Target="media/image1007.png"/><Relationship Id="rId1015" Type="http://schemas.openxmlformats.org/officeDocument/2006/relationships/image" Target="media/image1008.png"/><Relationship Id="rId1016" Type="http://schemas.openxmlformats.org/officeDocument/2006/relationships/image" Target="media/image1009.png"/><Relationship Id="rId1017" Type="http://schemas.openxmlformats.org/officeDocument/2006/relationships/image" Target="media/image1010.png"/><Relationship Id="rId1018" Type="http://schemas.openxmlformats.org/officeDocument/2006/relationships/image" Target="media/image1011.png"/><Relationship Id="rId1019" Type="http://schemas.openxmlformats.org/officeDocument/2006/relationships/image" Target="media/image1012.png"/><Relationship Id="rId1020" Type="http://schemas.openxmlformats.org/officeDocument/2006/relationships/image" Target="media/image1013.png"/><Relationship Id="rId1021" Type="http://schemas.openxmlformats.org/officeDocument/2006/relationships/image" Target="media/image1014.png"/><Relationship Id="rId1022" Type="http://schemas.openxmlformats.org/officeDocument/2006/relationships/image" Target="media/image1015.png"/><Relationship Id="rId1023" Type="http://schemas.openxmlformats.org/officeDocument/2006/relationships/image" Target="media/image1016.png"/><Relationship Id="rId1024" Type="http://schemas.openxmlformats.org/officeDocument/2006/relationships/image" Target="media/image1017.png"/><Relationship Id="rId1025" Type="http://schemas.openxmlformats.org/officeDocument/2006/relationships/image" Target="media/image1018.png"/><Relationship Id="rId1026" Type="http://schemas.openxmlformats.org/officeDocument/2006/relationships/image" Target="media/image1019.png"/><Relationship Id="rId1027" Type="http://schemas.openxmlformats.org/officeDocument/2006/relationships/image" Target="media/image1020.png"/><Relationship Id="rId1028" Type="http://schemas.openxmlformats.org/officeDocument/2006/relationships/image" Target="media/image1021.png"/><Relationship Id="rId1029" Type="http://schemas.openxmlformats.org/officeDocument/2006/relationships/image" Target="media/image1022.png"/><Relationship Id="rId1030" Type="http://schemas.openxmlformats.org/officeDocument/2006/relationships/image" Target="media/image1023.png"/><Relationship Id="rId1031" Type="http://schemas.openxmlformats.org/officeDocument/2006/relationships/image" Target="media/image1024.png"/><Relationship Id="rId1032" Type="http://schemas.openxmlformats.org/officeDocument/2006/relationships/image" Target="media/image1025.png"/><Relationship Id="rId1033" Type="http://schemas.openxmlformats.org/officeDocument/2006/relationships/image" Target="media/image1026.png"/><Relationship Id="rId1034" Type="http://schemas.openxmlformats.org/officeDocument/2006/relationships/image" Target="media/image1027.png"/><Relationship Id="rId1035" Type="http://schemas.openxmlformats.org/officeDocument/2006/relationships/image" Target="media/image1028.png"/><Relationship Id="rId1036" Type="http://schemas.openxmlformats.org/officeDocument/2006/relationships/image" Target="media/image1029.png"/><Relationship Id="rId1037" Type="http://schemas.openxmlformats.org/officeDocument/2006/relationships/image" Target="media/image1030.png"/><Relationship Id="rId1038" Type="http://schemas.openxmlformats.org/officeDocument/2006/relationships/image" Target="media/image1031.png"/><Relationship Id="rId1039" Type="http://schemas.openxmlformats.org/officeDocument/2006/relationships/image" Target="media/image1032.png"/><Relationship Id="rId1040" Type="http://schemas.openxmlformats.org/officeDocument/2006/relationships/image" Target="media/image1033.png"/><Relationship Id="rId1041" Type="http://schemas.openxmlformats.org/officeDocument/2006/relationships/image" Target="media/image1034.png"/><Relationship Id="rId1042" Type="http://schemas.openxmlformats.org/officeDocument/2006/relationships/image" Target="media/image1035.png"/><Relationship Id="rId1043" Type="http://schemas.openxmlformats.org/officeDocument/2006/relationships/image" Target="media/image1036.png"/><Relationship Id="rId1044" Type="http://schemas.openxmlformats.org/officeDocument/2006/relationships/image" Target="media/image1037.png"/><Relationship Id="rId1045" Type="http://schemas.openxmlformats.org/officeDocument/2006/relationships/image" Target="media/image1038.png"/><Relationship Id="rId1046" Type="http://schemas.openxmlformats.org/officeDocument/2006/relationships/image" Target="media/image1039.png"/><Relationship Id="rId1047" Type="http://schemas.openxmlformats.org/officeDocument/2006/relationships/image" Target="media/image1040.png"/><Relationship Id="rId1048" Type="http://schemas.openxmlformats.org/officeDocument/2006/relationships/image" Target="media/image1041.png"/><Relationship Id="rId1049" Type="http://schemas.openxmlformats.org/officeDocument/2006/relationships/image" Target="media/image1042.png"/><Relationship Id="rId1050" Type="http://schemas.openxmlformats.org/officeDocument/2006/relationships/image" Target="media/image1043.png"/><Relationship Id="rId1051" Type="http://schemas.openxmlformats.org/officeDocument/2006/relationships/image" Target="media/image1044.png"/><Relationship Id="rId1052" Type="http://schemas.openxmlformats.org/officeDocument/2006/relationships/image" Target="media/image1045.png"/><Relationship Id="rId1053" Type="http://schemas.openxmlformats.org/officeDocument/2006/relationships/image" Target="media/image1046.png"/><Relationship Id="rId1054" Type="http://schemas.openxmlformats.org/officeDocument/2006/relationships/image" Target="media/image1047.png"/><Relationship Id="rId1055" Type="http://schemas.openxmlformats.org/officeDocument/2006/relationships/image" Target="media/image1048.png"/><Relationship Id="rId1056" Type="http://schemas.openxmlformats.org/officeDocument/2006/relationships/image" Target="media/image1049.png"/><Relationship Id="rId1057" Type="http://schemas.openxmlformats.org/officeDocument/2006/relationships/image" Target="media/image1050.png"/><Relationship Id="rId1058" Type="http://schemas.openxmlformats.org/officeDocument/2006/relationships/image" Target="media/image1051.png"/><Relationship Id="rId1059" Type="http://schemas.openxmlformats.org/officeDocument/2006/relationships/image" Target="media/image1052.png"/><Relationship Id="rId1060" Type="http://schemas.openxmlformats.org/officeDocument/2006/relationships/image" Target="media/image1053.png"/><Relationship Id="rId1061" Type="http://schemas.openxmlformats.org/officeDocument/2006/relationships/image" Target="media/image1054.png"/><Relationship Id="rId1062" Type="http://schemas.openxmlformats.org/officeDocument/2006/relationships/image" Target="media/image1055.png"/><Relationship Id="rId1063" Type="http://schemas.openxmlformats.org/officeDocument/2006/relationships/image" Target="media/image1056.png"/><Relationship Id="rId1064" Type="http://schemas.openxmlformats.org/officeDocument/2006/relationships/image" Target="media/image1057.png"/><Relationship Id="rId1065" Type="http://schemas.openxmlformats.org/officeDocument/2006/relationships/image" Target="media/image1058.png"/><Relationship Id="rId1066" Type="http://schemas.openxmlformats.org/officeDocument/2006/relationships/image" Target="media/image1059.png"/><Relationship Id="rId1067" Type="http://schemas.openxmlformats.org/officeDocument/2006/relationships/image" Target="media/image1060.png"/><Relationship Id="rId1068" Type="http://schemas.openxmlformats.org/officeDocument/2006/relationships/image" Target="media/image1061.png"/><Relationship Id="rId1069" Type="http://schemas.openxmlformats.org/officeDocument/2006/relationships/image" Target="media/image1062.png"/><Relationship Id="rId1070" Type="http://schemas.openxmlformats.org/officeDocument/2006/relationships/image" Target="media/image1063.png"/><Relationship Id="rId1071" Type="http://schemas.openxmlformats.org/officeDocument/2006/relationships/image" Target="media/image1064.png"/><Relationship Id="rId1072" Type="http://schemas.openxmlformats.org/officeDocument/2006/relationships/image" Target="media/image1065.png"/><Relationship Id="rId1073" Type="http://schemas.openxmlformats.org/officeDocument/2006/relationships/image" Target="media/image1066.png"/><Relationship Id="rId1074" Type="http://schemas.openxmlformats.org/officeDocument/2006/relationships/image" Target="media/image1067.png"/><Relationship Id="rId1075" Type="http://schemas.openxmlformats.org/officeDocument/2006/relationships/image" Target="media/image1068.png"/><Relationship Id="rId1076" Type="http://schemas.openxmlformats.org/officeDocument/2006/relationships/image" Target="media/image1069.png"/><Relationship Id="rId1077" Type="http://schemas.openxmlformats.org/officeDocument/2006/relationships/image" Target="media/image1070.png"/><Relationship Id="rId1078" Type="http://schemas.openxmlformats.org/officeDocument/2006/relationships/image" Target="media/image1071.png"/><Relationship Id="rId1079" Type="http://schemas.openxmlformats.org/officeDocument/2006/relationships/image" Target="media/image1072.png"/><Relationship Id="rId1080" Type="http://schemas.openxmlformats.org/officeDocument/2006/relationships/image" Target="media/image1073.png"/><Relationship Id="rId1081" Type="http://schemas.openxmlformats.org/officeDocument/2006/relationships/image" Target="media/image1074.png"/><Relationship Id="rId1082" Type="http://schemas.openxmlformats.org/officeDocument/2006/relationships/image" Target="media/image1075.png"/><Relationship Id="rId1083" Type="http://schemas.openxmlformats.org/officeDocument/2006/relationships/image" Target="media/image1076.png"/><Relationship Id="rId1084" Type="http://schemas.openxmlformats.org/officeDocument/2006/relationships/image" Target="media/image1077.png"/><Relationship Id="rId1085" Type="http://schemas.openxmlformats.org/officeDocument/2006/relationships/image" Target="media/image1078.png"/><Relationship Id="rId1086" Type="http://schemas.openxmlformats.org/officeDocument/2006/relationships/image" Target="media/image1079.png"/><Relationship Id="rId1087" Type="http://schemas.openxmlformats.org/officeDocument/2006/relationships/image" Target="media/image1080.png"/><Relationship Id="rId1088" Type="http://schemas.openxmlformats.org/officeDocument/2006/relationships/image" Target="media/image1081.png"/><Relationship Id="rId1089" Type="http://schemas.openxmlformats.org/officeDocument/2006/relationships/image" Target="media/image1082.png"/><Relationship Id="rId1090" Type="http://schemas.openxmlformats.org/officeDocument/2006/relationships/image" Target="media/image1083.png"/><Relationship Id="rId1091" Type="http://schemas.openxmlformats.org/officeDocument/2006/relationships/image" Target="media/image1084.png"/><Relationship Id="rId1092" Type="http://schemas.openxmlformats.org/officeDocument/2006/relationships/image" Target="media/image1085.png"/><Relationship Id="rId1093" Type="http://schemas.openxmlformats.org/officeDocument/2006/relationships/image" Target="media/image1086.png"/><Relationship Id="rId1094" Type="http://schemas.openxmlformats.org/officeDocument/2006/relationships/image" Target="media/image1087.png"/><Relationship Id="rId1095" Type="http://schemas.openxmlformats.org/officeDocument/2006/relationships/image" Target="media/image1088.png"/><Relationship Id="rId1096" Type="http://schemas.openxmlformats.org/officeDocument/2006/relationships/image" Target="media/image1089.png"/><Relationship Id="rId1097" Type="http://schemas.openxmlformats.org/officeDocument/2006/relationships/image" Target="media/image1090.png"/><Relationship Id="rId1098" Type="http://schemas.openxmlformats.org/officeDocument/2006/relationships/image" Target="media/image1091.png"/><Relationship Id="rId1099" Type="http://schemas.openxmlformats.org/officeDocument/2006/relationships/image" Target="media/image1092.png"/><Relationship Id="rId1100" Type="http://schemas.openxmlformats.org/officeDocument/2006/relationships/image" Target="media/image1093.png"/><Relationship Id="rId1101" Type="http://schemas.openxmlformats.org/officeDocument/2006/relationships/image" Target="media/image1094.png"/><Relationship Id="rId1102" Type="http://schemas.openxmlformats.org/officeDocument/2006/relationships/image" Target="media/image1095.png"/><Relationship Id="rId1103" Type="http://schemas.openxmlformats.org/officeDocument/2006/relationships/image" Target="media/image1096.png"/><Relationship Id="rId1104" Type="http://schemas.openxmlformats.org/officeDocument/2006/relationships/image" Target="media/image1097.png"/><Relationship Id="rId1105" Type="http://schemas.openxmlformats.org/officeDocument/2006/relationships/image" Target="media/image1098.png"/><Relationship Id="rId1106" Type="http://schemas.openxmlformats.org/officeDocument/2006/relationships/image" Target="media/image1099.png"/><Relationship Id="rId1107" Type="http://schemas.openxmlformats.org/officeDocument/2006/relationships/image" Target="media/image1100.png"/><Relationship Id="rId1108" Type="http://schemas.openxmlformats.org/officeDocument/2006/relationships/image" Target="media/image1101.png"/><Relationship Id="rId1109" Type="http://schemas.openxmlformats.org/officeDocument/2006/relationships/image" Target="media/image1102.png"/><Relationship Id="rId1110" Type="http://schemas.openxmlformats.org/officeDocument/2006/relationships/image" Target="media/image1103.png"/><Relationship Id="rId1111" Type="http://schemas.openxmlformats.org/officeDocument/2006/relationships/image" Target="media/image1104.png"/><Relationship Id="rId1112" Type="http://schemas.openxmlformats.org/officeDocument/2006/relationships/image" Target="media/image1105.png"/><Relationship Id="rId1113" Type="http://schemas.openxmlformats.org/officeDocument/2006/relationships/image" Target="media/image1106.png"/><Relationship Id="rId1114" Type="http://schemas.openxmlformats.org/officeDocument/2006/relationships/image" Target="media/image1107.png"/><Relationship Id="rId1115" Type="http://schemas.openxmlformats.org/officeDocument/2006/relationships/image" Target="media/image1108.png"/><Relationship Id="rId1116" Type="http://schemas.openxmlformats.org/officeDocument/2006/relationships/image" Target="media/image1109.png"/><Relationship Id="rId1117" Type="http://schemas.openxmlformats.org/officeDocument/2006/relationships/image" Target="media/image1110.png"/><Relationship Id="rId1118" Type="http://schemas.openxmlformats.org/officeDocument/2006/relationships/image" Target="media/image1111.png"/><Relationship Id="rId1119" Type="http://schemas.openxmlformats.org/officeDocument/2006/relationships/image" Target="media/image1112.png"/><Relationship Id="rId1120" Type="http://schemas.openxmlformats.org/officeDocument/2006/relationships/image" Target="media/image1113.png"/><Relationship Id="rId1121" Type="http://schemas.openxmlformats.org/officeDocument/2006/relationships/image" Target="media/image1114.png"/><Relationship Id="rId1122" Type="http://schemas.openxmlformats.org/officeDocument/2006/relationships/image" Target="media/image1115.png"/><Relationship Id="rId1123" Type="http://schemas.openxmlformats.org/officeDocument/2006/relationships/image" Target="media/image1116.png"/><Relationship Id="rId1124" Type="http://schemas.openxmlformats.org/officeDocument/2006/relationships/image" Target="media/image1117.png"/><Relationship Id="rId1125" Type="http://schemas.openxmlformats.org/officeDocument/2006/relationships/image" Target="media/image1118.png"/><Relationship Id="rId1126" Type="http://schemas.openxmlformats.org/officeDocument/2006/relationships/image" Target="media/image1119.png"/><Relationship Id="rId1127" Type="http://schemas.openxmlformats.org/officeDocument/2006/relationships/image" Target="media/image1120.png"/><Relationship Id="rId1128" Type="http://schemas.openxmlformats.org/officeDocument/2006/relationships/image" Target="media/image1121.png"/><Relationship Id="rId1129" Type="http://schemas.openxmlformats.org/officeDocument/2006/relationships/image" Target="media/image1122.png"/><Relationship Id="rId1130" Type="http://schemas.openxmlformats.org/officeDocument/2006/relationships/image" Target="media/image1123.png"/><Relationship Id="rId1131" Type="http://schemas.openxmlformats.org/officeDocument/2006/relationships/image" Target="media/image1124.png"/><Relationship Id="rId1132" Type="http://schemas.openxmlformats.org/officeDocument/2006/relationships/image" Target="media/image1125.png"/><Relationship Id="rId1133" Type="http://schemas.openxmlformats.org/officeDocument/2006/relationships/image" Target="media/image1126.png"/><Relationship Id="rId1134" Type="http://schemas.openxmlformats.org/officeDocument/2006/relationships/image" Target="media/image1127.png"/><Relationship Id="rId1135" Type="http://schemas.openxmlformats.org/officeDocument/2006/relationships/image" Target="media/image1128.png"/><Relationship Id="rId1136" Type="http://schemas.openxmlformats.org/officeDocument/2006/relationships/image" Target="media/image1129.png"/><Relationship Id="rId1137" Type="http://schemas.openxmlformats.org/officeDocument/2006/relationships/image" Target="media/image1130.png"/><Relationship Id="rId1138" Type="http://schemas.openxmlformats.org/officeDocument/2006/relationships/image" Target="media/image1131.png"/><Relationship Id="rId1139" Type="http://schemas.openxmlformats.org/officeDocument/2006/relationships/image" Target="media/image1132.png"/><Relationship Id="rId1140" Type="http://schemas.openxmlformats.org/officeDocument/2006/relationships/image" Target="media/image1133.png"/><Relationship Id="rId1141" Type="http://schemas.openxmlformats.org/officeDocument/2006/relationships/image" Target="media/image1134.png"/><Relationship Id="rId1142" Type="http://schemas.openxmlformats.org/officeDocument/2006/relationships/image" Target="media/image1135.png"/><Relationship Id="rId1143" Type="http://schemas.openxmlformats.org/officeDocument/2006/relationships/image" Target="media/image1136.png"/><Relationship Id="rId1144" Type="http://schemas.openxmlformats.org/officeDocument/2006/relationships/image" Target="media/image1137.png"/><Relationship Id="rId1145" Type="http://schemas.openxmlformats.org/officeDocument/2006/relationships/image" Target="media/image1138.png"/><Relationship Id="rId1146" Type="http://schemas.openxmlformats.org/officeDocument/2006/relationships/image" Target="media/image1139.png"/><Relationship Id="rId1147" Type="http://schemas.openxmlformats.org/officeDocument/2006/relationships/image" Target="media/image1140.png"/><Relationship Id="rId1148" Type="http://schemas.openxmlformats.org/officeDocument/2006/relationships/image" Target="media/image1141.png"/><Relationship Id="rId1149" Type="http://schemas.openxmlformats.org/officeDocument/2006/relationships/image" Target="media/image1142.png"/><Relationship Id="rId1150" Type="http://schemas.openxmlformats.org/officeDocument/2006/relationships/image" Target="media/image1143.png"/><Relationship Id="rId1151" Type="http://schemas.openxmlformats.org/officeDocument/2006/relationships/image" Target="media/image1144.png"/><Relationship Id="rId1152" Type="http://schemas.openxmlformats.org/officeDocument/2006/relationships/image" Target="media/image1145.png"/><Relationship Id="rId1153" Type="http://schemas.openxmlformats.org/officeDocument/2006/relationships/image" Target="media/image1146.png"/><Relationship Id="rId1154" Type="http://schemas.openxmlformats.org/officeDocument/2006/relationships/image" Target="media/image1147.png"/><Relationship Id="rId1155" Type="http://schemas.openxmlformats.org/officeDocument/2006/relationships/image" Target="media/image1148.png"/><Relationship Id="rId1156" Type="http://schemas.openxmlformats.org/officeDocument/2006/relationships/image" Target="media/image1149.png"/><Relationship Id="rId1157" Type="http://schemas.openxmlformats.org/officeDocument/2006/relationships/image" Target="media/image1150.png"/><Relationship Id="rId1158" Type="http://schemas.openxmlformats.org/officeDocument/2006/relationships/image" Target="media/image1151.png"/><Relationship Id="rId1159" Type="http://schemas.openxmlformats.org/officeDocument/2006/relationships/image" Target="media/image1152.png"/><Relationship Id="rId1160" Type="http://schemas.openxmlformats.org/officeDocument/2006/relationships/image" Target="media/image1153.png"/><Relationship Id="rId1161" Type="http://schemas.openxmlformats.org/officeDocument/2006/relationships/image" Target="media/image1154.png"/><Relationship Id="rId1162" Type="http://schemas.openxmlformats.org/officeDocument/2006/relationships/image" Target="media/image1155.png"/><Relationship Id="rId1163" Type="http://schemas.openxmlformats.org/officeDocument/2006/relationships/image" Target="media/image1156.png"/><Relationship Id="rId1164" Type="http://schemas.openxmlformats.org/officeDocument/2006/relationships/image" Target="media/image1157.png"/><Relationship Id="rId1165" Type="http://schemas.openxmlformats.org/officeDocument/2006/relationships/image" Target="media/image1158.png"/><Relationship Id="rId1166" Type="http://schemas.openxmlformats.org/officeDocument/2006/relationships/image" Target="media/image1159.png"/><Relationship Id="rId1167" Type="http://schemas.openxmlformats.org/officeDocument/2006/relationships/image" Target="media/image1160.png"/><Relationship Id="rId1168" Type="http://schemas.openxmlformats.org/officeDocument/2006/relationships/image" Target="media/image1161.png"/><Relationship Id="rId1169" Type="http://schemas.openxmlformats.org/officeDocument/2006/relationships/image" Target="media/image1162.png"/><Relationship Id="rId1170" Type="http://schemas.openxmlformats.org/officeDocument/2006/relationships/image" Target="media/image1163.png"/><Relationship Id="rId1171" Type="http://schemas.openxmlformats.org/officeDocument/2006/relationships/image" Target="media/image1164.png"/><Relationship Id="rId1172" Type="http://schemas.openxmlformats.org/officeDocument/2006/relationships/image" Target="media/image1165.png"/><Relationship Id="rId1173" Type="http://schemas.openxmlformats.org/officeDocument/2006/relationships/image" Target="media/image1166.png"/><Relationship Id="rId1174" Type="http://schemas.openxmlformats.org/officeDocument/2006/relationships/image" Target="media/image1167.png"/><Relationship Id="rId1175" Type="http://schemas.openxmlformats.org/officeDocument/2006/relationships/image" Target="media/image1168.png"/><Relationship Id="rId1176" Type="http://schemas.openxmlformats.org/officeDocument/2006/relationships/image" Target="media/image1169.png"/><Relationship Id="rId1177" Type="http://schemas.openxmlformats.org/officeDocument/2006/relationships/image" Target="media/image1170.png"/><Relationship Id="rId1178" Type="http://schemas.openxmlformats.org/officeDocument/2006/relationships/image" Target="media/image1171.png"/><Relationship Id="rId1179" Type="http://schemas.openxmlformats.org/officeDocument/2006/relationships/image" Target="media/image1172.png"/><Relationship Id="rId1180" Type="http://schemas.openxmlformats.org/officeDocument/2006/relationships/image" Target="media/image1173.png"/><Relationship Id="rId1181" Type="http://schemas.openxmlformats.org/officeDocument/2006/relationships/image" Target="media/image1174.png"/><Relationship Id="rId1182" Type="http://schemas.openxmlformats.org/officeDocument/2006/relationships/image" Target="media/image1175.png"/><Relationship Id="rId1183" Type="http://schemas.openxmlformats.org/officeDocument/2006/relationships/image" Target="media/image1176.png"/><Relationship Id="rId1184" Type="http://schemas.openxmlformats.org/officeDocument/2006/relationships/image" Target="media/image1177.png"/><Relationship Id="rId1185" Type="http://schemas.openxmlformats.org/officeDocument/2006/relationships/image" Target="media/image1178.png"/><Relationship Id="rId1186" Type="http://schemas.openxmlformats.org/officeDocument/2006/relationships/image" Target="media/image1179.png"/><Relationship Id="rId1187" Type="http://schemas.openxmlformats.org/officeDocument/2006/relationships/image" Target="media/image1180.png"/><Relationship Id="rId1188" Type="http://schemas.openxmlformats.org/officeDocument/2006/relationships/image" Target="media/image1181.png"/><Relationship Id="rId1189" Type="http://schemas.openxmlformats.org/officeDocument/2006/relationships/image" Target="media/image1182.png"/><Relationship Id="rId1190" Type="http://schemas.openxmlformats.org/officeDocument/2006/relationships/image" Target="media/image1183.png"/><Relationship Id="rId1191" Type="http://schemas.openxmlformats.org/officeDocument/2006/relationships/image" Target="media/image1184.png"/><Relationship Id="rId1192" Type="http://schemas.openxmlformats.org/officeDocument/2006/relationships/image" Target="media/image1185.png"/><Relationship Id="rId1193" Type="http://schemas.openxmlformats.org/officeDocument/2006/relationships/image" Target="media/image1186.png"/><Relationship Id="rId1194" Type="http://schemas.openxmlformats.org/officeDocument/2006/relationships/image" Target="media/image1187.png"/><Relationship Id="rId1195" Type="http://schemas.openxmlformats.org/officeDocument/2006/relationships/image" Target="media/image1188.png"/><Relationship Id="rId1196" Type="http://schemas.openxmlformats.org/officeDocument/2006/relationships/image" Target="media/image1189.png"/><Relationship Id="rId1197" Type="http://schemas.openxmlformats.org/officeDocument/2006/relationships/image" Target="media/image1190.png"/><Relationship Id="rId1198" Type="http://schemas.openxmlformats.org/officeDocument/2006/relationships/image" Target="media/image1191.png"/><Relationship Id="rId1199" Type="http://schemas.openxmlformats.org/officeDocument/2006/relationships/image" Target="media/image1192.png"/><Relationship Id="rId1200" Type="http://schemas.openxmlformats.org/officeDocument/2006/relationships/image" Target="media/image1193.png"/><Relationship Id="rId1201" Type="http://schemas.openxmlformats.org/officeDocument/2006/relationships/image" Target="media/image1194.png"/><Relationship Id="rId1202" Type="http://schemas.openxmlformats.org/officeDocument/2006/relationships/image" Target="media/image1195.png"/><Relationship Id="rId1203" Type="http://schemas.openxmlformats.org/officeDocument/2006/relationships/image" Target="media/image1196.png"/><Relationship Id="rId1204" Type="http://schemas.openxmlformats.org/officeDocument/2006/relationships/image" Target="media/image1197.png"/><Relationship Id="rId1205" Type="http://schemas.openxmlformats.org/officeDocument/2006/relationships/image" Target="media/image1198.png"/><Relationship Id="rId1206" Type="http://schemas.openxmlformats.org/officeDocument/2006/relationships/image" Target="media/image1199.png"/><Relationship Id="rId1207" Type="http://schemas.openxmlformats.org/officeDocument/2006/relationships/image" Target="media/image1200.png"/><Relationship Id="rId1208" Type="http://schemas.openxmlformats.org/officeDocument/2006/relationships/image" Target="media/image1201.png"/><Relationship Id="rId1209" Type="http://schemas.openxmlformats.org/officeDocument/2006/relationships/image" Target="media/image1202.png"/><Relationship Id="rId1210" Type="http://schemas.openxmlformats.org/officeDocument/2006/relationships/image" Target="media/image1203.png"/><Relationship Id="rId1211" Type="http://schemas.openxmlformats.org/officeDocument/2006/relationships/image" Target="media/image1204.png"/><Relationship Id="rId1212" Type="http://schemas.openxmlformats.org/officeDocument/2006/relationships/image" Target="media/image1205.png"/><Relationship Id="rId1213" Type="http://schemas.openxmlformats.org/officeDocument/2006/relationships/image" Target="media/image1206.png"/><Relationship Id="rId1214" Type="http://schemas.openxmlformats.org/officeDocument/2006/relationships/image" Target="media/image1207.png"/><Relationship Id="rId1215" Type="http://schemas.openxmlformats.org/officeDocument/2006/relationships/image" Target="media/image1208.png"/><Relationship Id="rId1216" Type="http://schemas.openxmlformats.org/officeDocument/2006/relationships/image" Target="media/image1209.png"/><Relationship Id="rId1217" Type="http://schemas.openxmlformats.org/officeDocument/2006/relationships/image" Target="media/image1210.png"/><Relationship Id="rId1218" Type="http://schemas.openxmlformats.org/officeDocument/2006/relationships/image" Target="media/image1211.png"/><Relationship Id="rId1219" Type="http://schemas.openxmlformats.org/officeDocument/2006/relationships/image" Target="media/image1212.png"/><Relationship Id="rId1220" Type="http://schemas.openxmlformats.org/officeDocument/2006/relationships/image" Target="media/image1213.png"/><Relationship Id="rId1221" Type="http://schemas.openxmlformats.org/officeDocument/2006/relationships/image" Target="media/image1214.png"/><Relationship Id="rId1222" Type="http://schemas.openxmlformats.org/officeDocument/2006/relationships/image" Target="media/image1215.png"/><Relationship Id="rId1223" Type="http://schemas.openxmlformats.org/officeDocument/2006/relationships/image" Target="media/image1216.png"/><Relationship Id="rId1224" Type="http://schemas.openxmlformats.org/officeDocument/2006/relationships/image" Target="media/image1217.png"/><Relationship Id="rId1225" Type="http://schemas.openxmlformats.org/officeDocument/2006/relationships/image" Target="media/image1218.png"/><Relationship Id="rId1226" Type="http://schemas.openxmlformats.org/officeDocument/2006/relationships/image" Target="media/image1219.png"/><Relationship Id="rId1227" Type="http://schemas.openxmlformats.org/officeDocument/2006/relationships/image" Target="media/image1220.png"/><Relationship Id="rId1228" Type="http://schemas.openxmlformats.org/officeDocument/2006/relationships/image" Target="media/image1221.png"/><Relationship Id="rId1229" Type="http://schemas.openxmlformats.org/officeDocument/2006/relationships/image" Target="media/image1222.png"/><Relationship Id="rId1230" Type="http://schemas.openxmlformats.org/officeDocument/2006/relationships/image" Target="media/image1223.png"/><Relationship Id="rId1231" Type="http://schemas.openxmlformats.org/officeDocument/2006/relationships/image" Target="media/image1224.png"/><Relationship Id="rId1232" Type="http://schemas.openxmlformats.org/officeDocument/2006/relationships/image" Target="media/image1225.png"/><Relationship Id="rId1233" Type="http://schemas.openxmlformats.org/officeDocument/2006/relationships/image" Target="media/image1226.png"/><Relationship Id="rId1234" Type="http://schemas.openxmlformats.org/officeDocument/2006/relationships/image" Target="media/image1227.png"/><Relationship Id="rId1235" Type="http://schemas.openxmlformats.org/officeDocument/2006/relationships/image" Target="media/image1228.png"/><Relationship Id="rId1236" Type="http://schemas.openxmlformats.org/officeDocument/2006/relationships/image" Target="media/image1229.png"/><Relationship Id="rId1237" Type="http://schemas.openxmlformats.org/officeDocument/2006/relationships/image" Target="media/image1230.png"/><Relationship Id="rId1238" Type="http://schemas.openxmlformats.org/officeDocument/2006/relationships/image" Target="media/image1231.png"/><Relationship Id="rId1239" Type="http://schemas.openxmlformats.org/officeDocument/2006/relationships/image" Target="media/image1232.png"/><Relationship Id="rId1240" Type="http://schemas.openxmlformats.org/officeDocument/2006/relationships/image" Target="media/image1233.png"/><Relationship Id="rId1241" Type="http://schemas.openxmlformats.org/officeDocument/2006/relationships/image" Target="media/image1234.png"/><Relationship Id="rId1242" Type="http://schemas.openxmlformats.org/officeDocument/2006/relationships/image" Target="media/image1235.png"/><Relationship Id="rId1243" Type="http://schemas.openxmlformats.org/officeDocument/2006/relationships/image" Target="media/image1236.png"/><Relationship Id="rId1244" Type="http://schemas.openxmlformats.org/officeDocument/2006/relationships/image" Target="media/image1237.png"/><Relationship Id="rId1245" Type="http://schemas.openxmlformats.org/officeDocument/2006/relationships/image" Target="media/image1238.png"/><Relationship Id="rId1246" Type="http://schemas.openxmlformats.org/officeDocument/2006/relationships/image" Target="media/image1239.png"/><Relationship Id="rId1247" Type="http://schemas.openxmlformats.org/officeDocument/2006/relationships/image" Target="media/image1240.png"/><Relationship Id="rId1248" Type="http://schemas.openxmlformats.org/officeDocument/2006/relationships/image" Target="media/image1241.png"/><Relationship Id="rId1249" Type="http://schemas.openxmlformats.org/officeDocument/2006/relationships/image" Target="media/image1242.png"/><Relationship Id="rId1250" Type="http://schemas.openxmlformats.org/officeDocument/2006/relationships/image" Target="media/image1243.png"/><Relationship Id="rId1251" Type="http://schemas.openxmlformats.org/officeDocument/2006/relationships/image" Target="media/image1244.png"/><Relationship Id="rId1252" Type="http://schemas.openxmlformats.org/officeDocument/2006/relationships/image" Target="media/image1245.png"/><Relationship Id="rId1253" Type="http://schemas.openxmlformats.org/officeDocument/2006/relationships/image" Target="media/image1246.png"/><Relationship Id="rId1254" Type="http://schemas.openxmlformats.org/officeDocument/2006/relationships/image" Target="media/image1247.png"/><Relationship Id="rId1255" Type="http://schemas.openxmlformats.org/officeDocument/2006/relationships/image" Target="media/image1248.png"/><Relationship Id="rId1256" Type="http://schemas.openxmlformats.org/officeDocument/2006/relationships/image" Target="media/image1249.png"/><Relationship Id="rId1257" Type="http://schemas.openxmlformats.org/officeDocument/2006/relationships/image" Target="media/image1250.png"/><Relationship Id="rId1258" Type="http://schemas.openxmlformats.org/officeDocument/2006/relationships/image" Target="media/image1251.png"/><Relationship Id="rId1259" Type="http://schemas.openxmlformats.org/officeDocument/2006/relationships/image" Target="media/image1252.png"/><Relationship Id="rId1260" Type="http://schemas.openxmlformats.org/officeDocument/2006/relationships/image" Target="media/image1253.png"/><Relationship Id="rId1261" Type="http://schemas.openxmlformats.org/officeDocument/2006/relationships/image" Target="media/image1254.png"/><Relationship Id="rId1262" Type="http://schemas.openxmlformats.org/officeDocument/2006/relationships/image" Target="media/image1255.png"/><Relationship Id="rId1263" Type="http://schemas.openxmlformats.org/officeDocument/2006/relationships/image" Target="media/image1256.png"/><Relationship Id="rId1264" Type="http://schemas.openxmlformats.org/officeDocument/2006/relationships/image" Target="media/image1257.png"/><Relationship Id="rId1265" Type="http://schemas.openxmlformats.org/officeDocument/2006/relationships/image" Target="media/image1258.png"/><Relationship Id="rId1266" Type="http://schemas.openxmlformats.org/officeDocument/2006/relationships/image" Target="media/image1259.png"/><Relationship Id="rId1267" Type="http://schemas.openxmlformats.org/officeDocument/2006/relationships/image" Target="media/image1260.png"/><Relationship Id="rId1268" Type="http://schemas.openxmlformats.org/officeDocument/2006/relationships/image" Target="media/image1261.png"/><Relationship Id="rId1269" Type="http://schemas.openxmlformats.org/officeDocument/2006/relationships/image" Target="media/image1262.png"/><Relationship Id="rId1270" Type="http://schemas.openxmlformats.org/officeDocument/2006/relationships/image" Target="media/image1263.png"/><Relationship Id="rId1271" Type="http://schemas.openxmlformats.org/officeDocument/2006/relationships/image" Target="media/image1264.png"/><Relationship Id="rId1272" Type="http://schemas.openxmlformats.org/officeDocument/2006/relationships/image" Target="media/image1265.png"/><Relationship Id="rId1273" Type="http://schemas.openxmlformats.org/officeDocument/2006/relationships/image" Target="media/image1266.png"/><Relationship Id="rId1274" Type="http://schemas.openxmlformats.org/officeDocument/2006/relationships/image" Target="media/image1267.png"/><Relationship Id="rId1275" Type="http://schemas.openxmlformats.org/officeDocument/2006/relationships/image" Target="media/image1268.png"/><Relationship Id="rId1276" Type="http://schemas.openxmlformats.org/officeDocument/2006/relationships/image" Target="media/image1269.png"/><Relationship Id="rId1277" Type="http://schemas.openxmlformats.org/officeDocument/2006/relationships/image" Target="media/image1270.png"/><Relationship Id="rId1278" Type="http://schemas.openxmlformats.org/officeDocument/2006/relationships/image" Target="media/image1271.png"/><Relationship Id="rId1279" Type="http://schemas.openxmlformats.org/officeDocument/2006/relationships/image" Target="media/image1272.png"/><Relationship Id="rId1280" Type="http://schemas.openxmlformats.org/officeDocument/2006/relationships/image" Target="media/image1273.png"/><Relationship Id="rId1281" Type="http://schemas.openxmlformats.org/officeDocument/2006/relationships/image" Target="media/image1274.png"/><Relationship Id="rId1282" Type="http://schemas.openxmlformats.org/officeDocument/2006/relationships/image" Target="media/image1275.png"/><Relationship Id="rId1283" Type="http://schemas.openxmlformats.org/officeDocument/2006/relationships/image" Target="media/image1276.png"/><Relationship Id="rId1284" Type="http://schemas.openxmlformats.org/officeDocument/2006/relationships/image" Target="media/image1277.png"/><Relationship Id="rId1285" Type="http://schemas.openxmlformats.org/officeDocument/2006/relationships/image" Target="media/image1278.png"/><Relationship Id="rId1286" Type="http://schemas.openxmlformats.org/officeDocument/2006/relationships/image" Target="media/image1279.png"/><Relationship Id="rId1287" Type="http://schemas.openxmlformats.org/officeDocument/2006/relationships/image" Target="media/image1280.png"/><Relationship Id="rId1288" Type="http://schemas.openxmlformats.org/officeDocument/2006/relationships/image" Target="media/image1281.png"/><Relationship Id="rId1289" Type="http://schemas.openxmlformats.org/officeDocument/2006/relationships/image" Target="media/image1282.png"/><Relationship Id="rId1290" Type="http://schemas.openxmlformats.org/officeDocument/2006/relationships/image" Target="media/image1283.png"/><Relationship Id="rId1291" Type="http://schemas.openxmlformats.org/officeDocument/2006/relationships/image" Target="media/image1284.png"/><Relationship Id="rId1292" Type="http://schemas.openxmlformats.org/officeDocument/2006/relationships/image" Target="media/image1285.png"/><Relationship Id="rId1293" Type="http://schemas.openxmlformats.org/officeDocument/2006/relationships/image" Target="media/image1286.png"/><Relationship Id="rId1294" Type="http://schemas.openxmlformats.org/officeDocument/2006/relationships/image" Target="media/image1287.png"/><Relationship Id="rId1295" Type="http://schemas.openxmlformats.org/officeDocument/2006/relationships/image" Target="media/image1288.png"/><Relationship Id="rId1296" Type="http://schemas.openxmlformats.org/officeDocument/2006/relationships/image" Target="media/image1289.png"/><Relationship Id="rId1297" Type="http://schemas.openxmlformats.org/officeDocument/2006/relationships/image" Target="media/image1290.png"/><Relationship Id="rId1298" Type="http://schemas.openxmlformats.org/officeDocument/2006/relationships/image" Target="media/image1291.png"/><Relationship Id="rId1299" Type="http://schemas.openxmlformats.org/officeDocument/2006/relationships/image" Target="media/image1292.png"/><Relationship Id="rId1300" Type="http://schemas.openxmlformats.org/officeDocument/2006/relationships/image" Target="media/image1293.png"/><Relationship Id="rId1301" Type="http://schemas.openxmlformats.org/officeDocument/2006/relationships/image" Target="media/image1294.png"/><Relationship Id="rId1302" Type="http://schemas.openxmlformats.org/officeDocument/2006/relationships/image" Target="media/image1295.png"/><Relationship Id="rId1303" Type="http://schemas.openxmlformats.org/officeDocument/2006/relationships/image" Target="media/image1296.png"/><Relationship Id="rId1304" Type="http://schemas.openxmlformats.org/officeDocument/2006/relationships/image" Target="media/image1297.png"/><Relationship Id="rId1305" Type="http://schemas.openxmlformats.org/officeDocument/2006/relationships/image" Target="media/image1298.png"/><Relationship Id="rId1306" Type="http://schemas.openxmlformats.org/officeDocument/2006/relationships/image" Target="media/image1299.png"/><Relationship Id="rId1307" Type="http://schemas.openxmlformats.org/officeDocument/2006/relationships/image" Target="media/image1300.png"/><Relationship Id="rId1308" Type="http://schemas.openxmlformats.org/officeDocument/2006/relationships/image" Target="media/image1301.png"/><Relationship Id="rId1309" Type="http://schemas.openxmlformats.org/officeDocument/2006/relationships/image" Target="media/image1302.png"/><Relationship Id="rId1310" Type="http://schemas.openxmlformats.org/officeDocument/2006/relationships/image" Target="media/image1303.png"/><Relationship Id="rId1311" Type="http://schemas.openxmlformats.org/officeDocument/2006/relationships/image" Target="media/image1304.png"/><Relationship Id="rId1312" Type="http://schemas.openxmlformats.org/officeDocument/2006/relationships/image" Target="media/image1305.png"/><Relationship Id="rId1313" Type="http://schemas.openxmlformats.org/officeDocument/2006/relationships/image" Target="media/image1306.png"/><Relationship Id="rId1314" Type="http://schemas.openxmlformats.org/officeDocument/2006/relationships/image" Target="media/image1307.png"/><Relationship Id="rId1315" Type="http://schemas.openxmlformats.org/officeDocument/2006/relationships/image" Target="media/image1308.png"/><Relationship Id="rId1316" Type="http://schemas.openxmlformats.org/officeDocument/2006/relationships/image" Target="media/image1309.png"/><Relationship Id="rId1317" Type="http://schemas.openxmlformats.org/officeDocument/2006/relationships/image" Target="media/image1310.png"/><Relationship Id="rId1318" Type="http://schemas.openxmlformats.org/officeDocument/2006/relationships/image" Target="media/image1311.png"/><Relationship Id="rId1319" Type="http://schemas.openxmlformats.org/officeDocument/2006/relationships/image" Target="media/image1312.png"/><Relationship Id="rId1320" Type="http://schemas.openxmlformats.org/officeDocument/2006/relationships/image" Target="media/image1313.png"/><Relationship Id="rId1321" Type="http://schemas.openxmlformats.org/officeDocument/2006/relationships/image" Target="media/image1314.png"/><Relationship Id="rId1322" Type="http://schemas.openxmlformats.org/officeDocument/2006/relationships/image" Target="media/image1315.png"/><Relationship Id="rId1323" Type="http://schemas.openxmlformats.org/officeDocument/2006/relationships/image" Target="media/image1316.png"/><Relationship Id="rId1324" Type="http://schemas.openxmlformats.org/officeDocument/2006/relationships/image" Target="media/image1317.png"/><Relationship Id="rId1325" Type="http://schemas.openxmlformats.org/officeDocument/2006/relationships/image" Target="media/image1318.png"/><Relationship Id="rId1326" Type="http://schemas.openxmlformats.org/officeDocument/2006/relationships/image" Target="media/image1319.png"/><Relationship Id="rId1327" Type="http://schemas.openxmlformats.org/officeDocument/2006/relationships/image" Target="media/image1320.png"/><Relationship Id="rId1328" Type="http://schemas.openxmlformats.org/officeDocument/2006/relationships/image" Target="media/image1321.png"/><Relationship Id="rId1329" Type="http://schemas.openxmlformats.org/officeDocument/2006/relationships/image" Target="media/image1322.png"/><Relationship Id="rId1330" Type="http://schemas.openxmlformats.org/officeDocument/2006/relationships/image" Target="media/image1323.png"/><Relationship Id="rId1331" Type="http://schemas.openxmlformats.org/officeDocument/2006/relationships/image" Target="media/image1324.png"/><Relationship Id="rId1332" Type="http://schemas.openxmlformats.org/officeDocument/2006/relationships/image" Target="media/image1325.png"/><Relationship Id="rId1333" Type="http://schemas.openxmlformats.org/officeDocument/2006/relationships/image" Target="media/image1326.png"/><Relationship Id="rId1334" Type="http://schemas.openxmlformats.org/officeDocument/2006/relationships/image" Target="media/image1327.png"/><Relationship Id="rId1335" Type="http://schemas.openxmlformats.org/officeDocument/2006/relationships/image" Target="media/image1328.png"/><Relationship Id="rId1336" Type="http://schemas.openxmlformats.org/officeDocument/2006/relationships/image" Target="media/image1329.png"/><Relationship Id="rId1337" Type="http://schemas.openxmlformats.org/officeDocument/2006/relationships/image" Target="media/image1330.png"/><Relationship Id="rId1338" Type="http://schemas.openxmlformats.org/officeDocument/2006/relationships/image" Target="media/image1331.png"/><Relationship Id="rId1339" Type="http://schemas.openxmlformats.org/officeDocument/2006/relationships/image" Target="media/image1332.png"/><Relationship Id="rId1340" Type="http://schemas.openxmlformats.org/officeDocument/2006/relationships/image" Target="media/image1333.png"/><Relationship Id="rId1341" Type="http://schemas.openxmlformats.org/officeDocument/2006/relationships/image" Target="media/image1334.png"/><Relationship Id="rId1342" Type="http://schemas.openxmlformats.org/officeDocument/2006/relationships/image" Target="media/image1335.png"/><Relationship Id="rId1343" Type="http://schemas.openxmlformats.org/officeDocument/2006/relationships/image" Target="media/image1336.png"/><Relationship Id="rId1344" Type="http://schemas.openxmlformats.org/officeDocument/2006/relationships/image" Target="media/image1337.png"/><Relationship Id="rId1345" Type="http://schemas.openxmlformats.org/officeDocument/2006/relationships/image" Target="media/image1338.png"/><Relationship Id="rId1346" Type="http://schemas.openxmlformats.org/officeDocument/2006/relationships/image" Target="media/image1339.png"/><Relationship Id="rId1347" Type="http://schemas.openxmlformats.org/officeDocument/2006/relationships/image" Target="media/image1340.png"/><Relationship Id="rId1348" Type="http://schemas.openxmlformats.org/officeDocument/2006/relationships/image" Target="media/image1341.png"/><Relationship Id="rId1349" Type="http://schemas.openxmlformats.org/officeDocument/2006/relationships/image" Target="media/image1342.png"/><Relationship Id="rId1350" Type="http://schemas.openxmlformats.org/officeDocument/2006/relationships/image" Target="media/image1343.png"/><Relationship Id="rId1351" Type="http://schemas.openxmlformats.org/officeDocument/2006/relationships/image" Target="media/image1344.png"/><Relationship Id="rId1352" Type="http://schemas.openxmlformats.org/officeDocument/2006/relationships/image" Target="media/image1345.png"/><Relationship Id="rId1353" Type="http://schemas.openxmlformats.org/officeDocument/2006/relationships/image" Target="media/image1346.png"/><Relationship Id="rId1354" Type="http://schemas.openxmlformats.org/officeDocument/2006/relationships/image" Target="media/image1347.png"/><Relationship Id="rId1355" Type="http://schemas.openxmlformats.org/officeDocument/2006/relationships/image" Target="media/image1348.png"/><Relationship Id="rId1356" Type="http://schemas.openxmlformats.org/officeDocument/2006/relationships/image" Target="media/image1349.png"/><Relationship Id="rId1357" Type="http://schemas.openxmlformats.org/officeDocument/2006/relationships/image" Target="media/image1350.png"/><Relationship Id="rId1358" Type="http://schemas.openxmlformats.org/officeDocument/2006/relationships/image" Target="media/image1351.png"/><Relationship Id="rId1359" Type="http://schemas.openxmlformats.org/officeDocument/2006/relationships/image" Target="media/image1352.png"/><Relationship Id="rId1360" Type="http://schemas.openxmlformats.org/officeDocument/2006/relationships/image" Target="media/image1353.png"/><Relationship Id="rId1361" Type="http://schemas.openxmlformats.org/officeDocument/2006/relationships/image" Target="media/image1354.png"/><Relationship Id="rId1362" Type="http://schemas.openxmlformats.org/officeDocument/2006/relationships/image" Target="media/image1355.png"/><Relationship Id="rId1363" Type="http://schemas.openxmlformats.org/officeDocument/2006/relationships/image" Target="media/image1356.png"/><Relationship Id="rId1364" Type="http://schemas.openxmlformats.org/officeDocument/2006/relationships/image" Target="media/image1357.png"/><Relationship Id="rId1365" Type="http://schemas.openxmlformats.org/officeDocument/2006/relationships/image" Target="media/image1358.png"/><Relationship Id="rId1366" Type="http://schemas.openxmlformats.org/officeDocument/2006/relationships/image" Target="media/image1359.png"/><Relationship Id="rId1367" Type="http://schemas.openxmlformats.org/officeDocument/2006/relationships/image" Target="media/image1360.png"/><Relationship Id="rId1368" Type="http://schemas.openxmlformats.org/officeDocument/2006/relationships/image" Target="media/image1361.png"/><Relationship Id="rId1369" Type="http://schemas.openxmlformats.org/officeDocument/2006/relationships/image" Target="media/image1362.png"/><Relationship Id="rId1370" Type="http://schemas.openxmlformats.org/officeDocument/2006/relationships/image" Target="media/image1363.png"/><Relationship Id="rId1371" Type="http://schemas.openxmlformats.org/officeDocument/2006/relationships/image" Target="media/image1364.png"/><Relationship Id="rId1372" Type="http://schemas.openxmlformats.org/officeDocument/2006/relationships/image" Target="media/image1365.png"/><Relationship Id="rId1373" Type="http://schemas.openxmlformats.org/officeDocument/2006/relationships/image" Target="media/image1366.png"/><Relationship Id="rId1374" Type="http://schemas.openxmlformats.org/officeDocument/2006/relationships/image" Target="media/image1367.png"/><Relationship Id="rId1375" Type="http://schemas.openxmlformats.org/officeDocument/2006/relationships/image" Target="media/image1368.png"/><Relationship Id="rId1376" Type="http://schemas.openxmlformats.org/officeDocument/2006/relationships/image" Target="media/image1369.png"/><Relationship Id="rId1377" Type="http://schemas.openxmlformats.org/officeDocument/2006/relationships/image" Target="media/image1370.png"/><Relationship Id="rId1378" Type="http://schemas.openxmlformats.org/officeDocument/2006/relationships/image" Target="media/image1371.png"/><Relationship Id="rId1379" Type="http://schemas.openxmlformats.org/officeDocument/2006/relationships/image" Target="media/image1372.png"/><Relationship Id="rId1380" Type="http://schemas.openxmlformats.org/officeDocument/2006/relationships/image" Target="media/image1373.png"/><Relationship Id="rId1381" Type="http://schemas.openxmlformats.org/officeDocument/2006/relationships/image" Target="media/image1374.png"/><Relationship Id="rId1382" Type="http://schemas.openxmlformats.org/officeDocument/2006/relationships/image" Target="media/image1375.png"/><Relationship Id="rId1383" Type="http://schemas.openxmlformats.org/officeDocument/2006/relationships/image" Target="media/image1376.png"/><Relationship Id="rId1384" Type="http://schemas.openxmlformats.org/officeDocument/2006/relationships/image" Target="media/image1377.png"/><Relationship Id="rId1385" Type="http://schemas.openxmlformats.org/officeDocument/2006/relationships/image" Target="media/image1378.png"/><Relationship Id="rId1386" Type="http://schemas.openxmlformats.org/officeDocument/2006/relationships/image" Target="media/image1379.png"/><Relationship Id="rId1387" Type="http://schemas.openxmlformats.org/officeDocument/2006/relationships/image" Target="media/image1380.png"/><Relationship Id="rId1388" Type="http://schemas.openxmlformats.org/officeDocument/2006/relationships/image" Target="media/image1381.png"/><Relationship Id="rId1389" Type="http://schemas.openxmlformats.org/officeDocument/2006/relationships/image" Target="media/image1382.png"/><Relationship Id="rId1390" Type="http://schemas.openxmlformats.org/officeDocument/2006/relationships/image" Target="media/image1383.png"/><Relationship Id="rId1391" Type="http://schemas.openxmlformats.org/officeDocument/2006/relationships/image" Target="media/image1384.png"/><Relationship Id="rId1392" Type="http://schemas.openxmlformats.org/officeDocument/2006/relationships/image" Target="media/image1385.png"/><Relationship Id="rId1393" Type="http://schemas.openxmlformats.org/officeDocument/2006/relationships/image" Target="media/image1386.png"/><Relationship Id="rId1394" Type="http://schemas.openxmlformats.org/officeDocument/2006/relationships/image" Target="media/image1387.png"/><Relationship Id="rId1395" Type="http://schemas.openxmlformats.org/officeDocument/2006/relationships/image" Target="media/image1388.png"/><Relationship Id="rId1396" Type="http://schemas.openxmlformats.org/officeDocument/2006/relationships/image" Target="media/image1389.png"/><Relationship Id="rId1397" Type="http://schemas.openxmlformats.org/officeDocument/2006/relationships/image" Target="media/image1390.png"/><Relationship Id="rId1398" Type="http://schemas.openxmlformats.org/officeDocument/2006/relationships/image" Target="media/image1391.png"/><Relationship Id="rId1399" Type="http://schemas.openxmlformats.org/officeDocument/2006/relationships/image" Target="media/image1392.png"/><Relationship Id="rId1400" Type="http://schemas.openxmlformats.org/officeDocument/2006/relationships/image" Target="media/image1393.png"/><Relationship Id="rId1401" Type="http://schemas.openxmlformats.org/officeDocument/2006/relationships/image" Target="media/image1394.png"/><Relationship Id="rId1402" Type="http://schemas.openxmlformats.org/officeDocument/2006/relationships/image" Target="media/image1395.png"/><Relationship Id="rId1403" Type="http://schemas.openxmlformats.org/officeDocument/2006/relationships/image" Target="media/image1396.png"/><Relationship Id="rId1404" Type="http://schemas.openxmlformats.org/officeDocument/2006/relationships/image" Target="media/image1397.png"/><Relationship Id="rId1405" Type="http://schemas.openxmlformats.org/officeDocument/2006/relationships/image" Target="media/image1398.png"/><Relationship Id="rId1406" Type="http://schemas.openxmlformats.org/officeDocument/2006/relationships/image" Target="media/image1399.png"/><Relationship Id="rId1407" Type="http://schemas.openxmlformats.org/officeDocument/2006/relationships/image" Target="media/image1400.png"/><Relationship Id="rId1408" Type="http://schemas.openxmlformats.org/officeDocument/2006/relationships/image" Target="media/image1401.png"/><Relationship Id="rId1409" Type="http://schemas.openxmlformats.org/officeDocument/2006/relationships/image" Target="media/image1402.png"/><Relationship Id="rId1410" Type="http://schemas.openxmlformats.org/officeDocument/2006/relationships/image" Target="media/image1403.png"/><Relationship Id="rId1411" Type="http://schemas.openxmlformats.org/officeDocument/2006/relationships/image" Target="media/image1404.png"/><Relationship Id="rId1412" Type="http://schemas.openxmlformats.org/officeDocument/2006/relationships/image" Target="media/image1405.png"/><Relationship Id="rId1413" Type="http://schemas.openxmlformats.org/officeDocument/2006/relationships/image" Target="media/image1406.png"/><Relationship Id="rId1414" Type="http://schemas.openxmlformats.org/officeDocument/2006/relationships/image" Target="media/image1407.png"/><Relationship Id="rId1415" Type="http://schemas.openxmlformats.org/officeDocument/2006/relationships/image" Target="media/image1408.png"/><Relationship Id="rId1416" Type="http://schemas.openxmlformats.org/officeDocument/2006/relationships/image" Target="media/image1409.png"/><Relationship Id="rId1417" Type="http://schemas.openxmlformats.org/officeDocument/2006/relationships/image" Target="media/image1410.png"/><Relationship Id="rId1418" Type="http://schemas.openxmlformats.org/officeDocument/2006/relationships/image" Target="media/image1411.png"/><Relationship Id="rId1419" Type="http://schemas.openxmlformats.org/officeDocument/2006/relationships/image" Target="media/image1412.png"/><Relationship Id="rId1420" Type="http://schemas.openxmlformats.org/officeDocument/2006/relationships/image" Target="media/image1413.png"/><Relationship Id="rId1421" Type="http://schemas.openxmlformats.org/officeDocument/2006/relationships/image" Target="media/image1414.png"/><Relationship Id="rId1422" Type="http://schemas.openxmlformats.org/officeDocument/2006/relationships/image" Target="media/image1415.png"/><Relationship Id="rId1423" Type="http://schemas.openxmlformats.org/officeDocument/2006/relationships/image" Target="media/image1416.png"/><Relationship Id="rId1424" Type="http://schemas.openxmlformats.org/officeDocument/2006/relationships/image" Target="media/image1417.png"/><Relationship Id="rId1425" Type="http://schemas.openxmlformats.org/officeDocument/2006/relationships/image" Target="media/image1418.png"/><Relationship Id="rId1426" Type="http://schemas.openxmlformats.org/officeDocument/2006/relationships/image" Target="media/image1419.png"/><Relationship Id="rId1427" Type="http://schemas.openxmlformats.org/officeDocument/2006/relationships/image" Target="media/image1420.png"/><Relationship Id="rId1428" Type="http://schemas.openxmlformats.org/officeDocument/2006/relationships/image" Target="media/image1421.png"/><Relationship Id="rId1429" Type="http://schemas.openxmlformats.org/officeDocument/2006/relationships/image" Target="media/image1422.png"/><Relationship Id="rId1430" Type="http://schemas.openxmlformats.org/officeDocument/2006/relationships/image" Target="media/image1423.png"/><Relationship Id="rId1431" Type="http://schemas.openxmlformats.org/officeDocument/2006/relationships/image" Target="media/image1424.png"/><Relationship Id="rId1432" Type="http://schemas.openxmlformats.org/officeDocument/2006/relationships/image" Target="media/image1425.png"/><Relationship Id="rId1433" Type="http://schemas.openxmlformats.org/officeDocument/2006/relationships/image" Target="media/image1426.png"/><Relationship Id="rId1434" Type="http://schemas.openxmlformats.org/officeDocument/2006/relationships/image" Target="media/image1427.png"/><Relationship Id="rId1435" Type="http://schemas.openxmlformats.org/officeDocument/2006/relationships/image" Target="media/image1428.png"/><Relationship Id="rId1436" Type="http://schemas.openxmlformats.org/officeDocument/2006/relationships/image" Target="media/image1429.png"/><Relationship Id="rId1437" Type="http://schemas.openxmlformats.org/officeDocument/2006/relationships/image" Target="media/image1430.png"/><Relationship Id="rId1438" Type="http://schemas.openxmlformats.org/officeDocument/2006/relationships/image" Target="media/image1431.png"/><Relationship Id="rId1439" Type="http://schemas.openxmlformats.org/officeDocument/2006/relationships/image" Target="media/image1432.png"/><Relationship Id="rId1440" Type="http://schemas.openxmlformats.org/officeDocument/2006/relationships/image" Target="media/image1433.png"/><Relationship Id="rId1441" Type="http://schemas.openxmlformats.org/officeDocument/2006/relationships/image" Target="media/image1434.png"/><Relationship Id="rId1442" Type="http://schemas.openxmlformats.org/officeDocument/2006/relationships/image" Target="media/image1435.png"/><Relationship Id="rId1443" Type="http://schemas.openxmlformats.org/officeDocument/2006/relationships/image" Target="media/image1436.png"/><Relationship Id="rId1444" Type="http://schemas.openxmlformats.org/officeDocument/2006/relationships/image" Target="media/image1437.png"/><Relationship Id="rId1445" Type="http://schemas.openxmlformats.org/officeDocument/2006/relationships/image" Target="media/image1438.png"/><Relationship Id="rId1446" Type="http://schemas.openxmlformats.org/officeDocument/2006/relationships/image" Target="media/image1439.png"/><Relationship Id="rId1447" Type="http://schemas.openxmlformats.org/officeDocument/2006/relationships/image" Target="media/image1440.png"/><Relationship Id="rId1448" Type="http://schemas.openxmlformats.org/officeDocument/2006/relationships/image" Target="media/image1441.png"/><Relationship Id="rId1449" Type="http://schemas.openxmlformats.org/officeDocument/2006/relationships/image" Target="media/image1442.png"/><Relationship Id="rId1450" Type="http://schemas.openxmlformats.org/officeDocument/2006/relationships/image" Target="media/image1443.png"/><Relationship Id="rId1451" Type="http://schemas.openxmlformats.org/officeDocument/2006/relationships/image" Target="media/image1444.png"/><Relationship Id="rId1452" Type="http://schemas.openxmlformats.org/officeDocument/2006/relationships/image" Target="media/image1445.png"/><Relationship Id="rId1453" Type="http://schemas.openxmlformats.org/officeDocument/2006/relationships/image" Target="media/image1446.png"/><Relationship Id="rId1454" Type="http://schemas.openxmlformats.org/officeDocument/2006/relationships/image" Target="media/image1447.png"/><Relationship Id="rId1455" Type="http://schemas.openxmlformats.org/officeDocument/2006/relationships/image" Target="media/image1448.png"/><Relationship Id="rId1456" Type="http://schemas.openxmlformats.org/officeDocument/2006/relationships/image" Target="media/image1449.png"/><Relationship Id="rId1457" Type="http://schemas.openxmlformats.org/officeDocument/2006/relationships/image" Target="media/image1450.png"/><Relationship Id="rId1458" Type="http://schemas.openxmlformats.org/officeDocument/2006/relationships/image" Target="media/image1451.png"/><Relationship Id="rId1459" Type="http://schemas.openxmlformats.org/officeDocument/2006/relationships/image" Target="media/image1452.png"/><Relationship Id="rId1460" Type="http://schemas.openxmlformats.org/officeDocument/2006/relationships/image" Target="media/image1453.png"/><Relationship Id="rId1461" Type="http://schemas.openxmlformats.org/officeDocument/2006/relationships/image" Target="media/image1454.png"/><Relationship Id="rId1462" Type="http://schemas.openxmlformats.org/officeDocument/2006/relationships/image" Target="media/image1455.png"/><Relationship Id="rId1463" Type="http://schemas.openxmlformats.org/officeDocument/2006/relationships/image" Target="media/image1456.png"/><Relationship Id="rId1464" Type="http://schemas.openxmlformats.org/officeDocument/2006/relationships/image" Target="media/image1457.png"/><Relationship Id="rId1465" Type="http://schemas.openxmlformats.org/officeDocument/2006/relationships/image" Target="media/image1458.png"/><Relationship Id="rId1466" Type="http://schemas.openxmlformats.org/officeDocument/2006/relationships/image" Target="media/image1459.png"/><Relationship Id="rId1467" Type="http://schemas.openxmlformats.org/officeDocument/2006/relationships/image" Target="media/image1460.png"/><Relationship Id="rId1468" Type="http://schemas.openxmlformats.org/officeDocument/2006/relationships/image" Target="media/image1461.png"/><Relationship Id="rId1469" Type="http://schemas.openxmlformats.org/officeDocument/2006/relationships/image" Target="media/image1462.png"/><Relationship Id="rId1470" Type="http://schemas.openxmlformats.org/officeDocument/2006/relationships/image" Target="media/image1463.png"/><Relationship Id="rId1471" Type="http://schemas.openxmlformats.org/officeDocument/2006/relationships/image" Target="media/image1464.png"/><Relationship Id="rId1472" Type="http://schemas.openxmlformats.org/officeDocument/2006/relationships/image" Target="media/image1465.png"/><Relationship Id="rId1473" Type="http://schemas.openxmlformats.org/officeDocument/2006/relationships/image" Target="media/image1466.png"/><Relationship Id="rId1474" Type="http://schemas.openxmlformats.org/officeDocument/2006/relationships/image" Target="media/image1467.png"/><Relationship Id="rId1475" Type="http://schemas.openxmlformats.org/officeDocument/2006/relationships/image" Target="media/image1468.png"/><Relationship Id="rId1476" Type="http://schemas.openxmlformats.org/officeDocument/2006/relationships/image" Target="media/image1469.png"/><Relationship Id="rId1477" Type="http://schemas.openxmlformats.org/officeDocument/2006/relationships/image" Target="media/image1470.png"/><Relationship Id="rId1478" Type="http://schemas.openxmlformats.org/officeDocument/2006/relationships/image" Target="media/image1471.png"/><Relationship Id="rId1479" Type="http://schemas.openxmlformats.org/officeDocument/2006/relationships/image" Target="media/image1472.png"/><Relationship Id="rId1480" Type="http://schemas.openxmlformats.org/officeDocument/2006/relationships/image" Target="media/image1473.png"/><Relationship Id="rId1481" Type="http://schemas.openxmlformats.org/officeDocument/2006/relationships/image" Target="media/image1474.png"/><Relationship Id="rId1482" Type="http://schemas.openxmlformats.org/officeDocument/2006/relationships/image" Target="media/image1475.png"/><Relationship Id="rId1483" Type="http://schemas.openxmlformats.org/officeDocument/2006/relationships/image" Target="media/image1476.png"/><Relationship Id="rId1484" Type="http://schemas.openxmlformats.org/officeDocument/2006/relationships/image" Target="media/image1477.png"/><Relationship Id="rId1485" Type="http://schemas.openxmlformats.org/officeDocument/2006/relationships/image" Target="media/image1478.png"/><Relationship Id="rId1486" Type="http://schemas.openxmlformats.org/officeDocument/2006/relationships/image" Target="media/image1479.png"/><Relationship Id="rId1487" Type="http://schemas.openxmlformats.org/officeDocument/2006/relationships/image" Target="media/image1480.png"/><Relationship Id="rId1488" Type="http://schemas.openxmlformats.org/officeDocument/2006/relationships/image" Target="media/image1481.png"/><Relationship Id="rId1489" Type="http://schemas.openxmlformats.org/officeDocument/2006/relationships/image" Target="media/image1482.png"/><Relationship Id="rId1490" Type="http://schemas.openxmlformats.org/officeDocument/2006/relationships/image" Target="media/image1483.png"/><Relationship Id="rId1491" Type="http://schemas.openxmlformats.org/officeDocument/2006/relationships/image" Target="media/image1484.png"/><Relationship Id="rId1492" Type="http://schemas.openxmlformats.org/officeDocument/2006/relationships/image" Target="media/image1485.png"/><Relationship Id="rId1493" Type="http://schemas.openxmlformats.org/officeDocument/2006/relationships/image" Target="media/image1486.png"/><Relationship Id="rId1494" Type="http://schemas.openxmlformats.org/officeDocument/2006/relationships/image" Target="media/image1487.png"/><Relationship Id="rId1495" Type="http://schemas.openxmlformats.org/officeDocument/2006/relationships/image" Target="media/image1488.png"/><Relationship Id="rId1496" Type="http://schemas.openxmlformats.org/officeDocument/2006/relationships/image" Target="media/image1489.png"/><Relationship Id="rId1497" Type="http://schemas.openxmlformats.org/officeDocument/2006/relationships/image" Target="media/image1490.png"/><Relationship Id="rId1498" Type="http://schemas.openxmlformats.org/officeDocument/2006/relationships/image" Target="media/image1491.png"/><Relationship Id="rId1499" Type="http://schemas.openxmlformats.org/officeDocument/2006/relationships/image" Target="media/image1492.png"/><Relationship Id="rId1500" Type="http://schemas.openxmlformats.org/officeDocument/2006/relationships/image" Target="media/image1493.png"/><Relationship Id="rId1501" Type="http://schemas.openxmlformats.org/officeDocument/2006/relationships/image" Target="media/image1494.png"/><Relationship Id="rId1502" Type="http://schemas.openxmlformats.org/officeDocument/2006/relationships/image" Target="media/image1495.png"/><Relationship Id="rId1503" Type="http://schemas.openxmlformats.org/officeDocument/2006/relationships/image" Target="media/image1496.png"/><Relationship Id="rId1504" Type="http://schemas.openxmlformats.org/officeDocument/2006/relationships/image" Target="media/image1497.png"/><Relationship Id="rId1505" Type="http://schemas.openxmlformats.org/officeDocument/2006/relationships/image" Target="media/image1498.png"/><Relationship Id="rId1506" Type="http://schemas.openxmlformats.org/officeDocument/2006/relationships/image" Target="media/image1499.png"/><Relationship Id="rId1507" Type="http://schemas.openxmlformats.org/officeDocument/2006/relationships/image" Target="media/image1500.png"/><Relationship Id="rId1508" Type="http://schemas.openxmlformats.org/officeDocument/2006/relationships/image" Target="media/image1501.png"/><Relationship Id="rId1509" Type="http://schemas.openxmlformats.org/officeDocument/2006/relationships/image" Target="media/image1502.png"/><Relationship Id="rId1510" Type="http://schemas.openxmlformats.org/officeDocument/2006/relationships/image" Target="media/image1503.png"/><Relationship Id="rId1511" Type="http://schemas.openxmlformats.org/officeDocument/2006/relationships/image" Target="media/image1504.png"/><Relationship Id="rId1512" Type="http://schemas.openxmlformats.org/officeDocument/2006/relationships/image" Target="media/image1505.png"/><Relationship Id="rId1513" Type="http://schemas.openxmlformats.org/officeDocument/2006/relationships/image" Target="media/image1506.png"/><Relationship Id="rId1514" Type="http://schemas.openxmlformats.org/officeDocument/2006/relationships/image" Target="media/image1507.png"/><Relationship Id="rId1515" Type="http://schemas.openxmlformats.org/officeDocument/2006/relationships/image" Target="media/image1508.png"/><Relationship Id="rId1516" Type="http://schemas.openxmlformats.org/officeDocument/2006/relationships/image" Target="media/image1509.png"/><Relationship Id="rId1517" Type="http://schemas.openxmlformats.org/officeDocument/2006/relationships/image" Target="media/image1510.png"/><Relationship Id="rId1518" Type="http://schemas.openxmlformats.org/officeDocument/2006/relationships/image" Target="media/image1511.png"/><Relationship Id="rId1519" Type="http://schemas.openxmlformats.org/officeDocument/2006/relationships/image" Target="media/image1512.png"/><Relationship Id="rId1520" Type="http://schemas.openxmlformats.org/officeDocument/2006/relationships/image" Target="media/image1513.png"/><Relationship Id="rId1521" Type="http://schemas.openxmlformats.org/officeDocument/2006/relationships/image" Target="media/image1514.png"/><Relationship Id="rId1522" Type="http://schemas.openxmlformats.org/officeDocument/2006/relationships/image" Target="media/image1515.png"/><Relationship Id="rId1523" Type="http://schemas.openxmlformats.org/officeDocument/2006/relationships/image" Target="media/image1516.png"/><Relationship Id="rId1524" Type="http://schemas.openxmlformats.org/officeDocument/2006/relationships/image" Target="media/image1517.png"/><Relationship Id="rId1525" Type="http://schemas.openxmlformats.org/officeDocument/2006/relationships/image" Target="media/image1518.png"/><Relationship Id="rId1526" Type="http://schemas.openxmlformats.org/officeDocument/2006/relationships/image" Target="media/image1519.png"/><Relationship Id="rId1527" Type="http://schemas.openxmlformats.org/officeDocument/2006/relationships/image" Target="media/image1520.png"/><Relationship Id="rId1528" Type="http://schemas.openxmlformats.org/officeDocument/2006/relationships/image" Target="media/image1521.png"/><Relationship Id="rId1529" Type="http://schemas.openxmlformats.org/officeDocument/2006/relationships/image" Target="media/image1522.png"/><Relationship Id="rId1530" Type="http://schemas.openxmlformats.org/officeDocument/2006/relationships/image" Target="media/image1523.png"/><Relationship Id="rId1531" Type="http://schemas.openxmlformats.org/officeDocument/2006/relationships/image" Target="media/image1524.png"/><Relationship Id="rId1532" Type="http://schemas.openxmlformats.org/officeDocument/2006/relationships/image" Target="media/image1525.png"/><Relationship Id="rId1533" Type="http://schemas.openxmlformats.org/officeDocument/2006/relationships/image" Target="media/image1526.png"/><Relationship Id="rId1534" Type="http://schemas.openxmlformats.org/officeDocument/2006/relationships/image" Target="media/image1527.png"/><Relationship Id="rId1535" Type="http://schemas.openxmlformats.org/officeDocument/2006/relationships/image" Target="media/image1528.png"/><Relationship Id="rId1536" Type="http://schemas.openxmlformats.org/officeDocument/2006/relationships/image" Target="media/image1529.png"/><Relationship Id="rId1537" Type="http://schemas.openxmlformats.org/officeDocument/2006/relationships/image" Target="media/image1530.png"/><Relationship Id="rId1538" Type="http://schemas.openxmlformats.org/officeDocument/2006/relationships/image" Target="media/image1531.png"/><Relationship Id="rId1539" Type="http://schemas.openxmlformats.org/officeDocument/2006/relationships/image" Target="media/image1532.png"/><Relationship Id="rId1540" Type="http://schemas.openxmlformats.org/officeDocument/2006/relationships/image" Target="media/image1533.png"/><Relationship Id="rId1541" Type="http://schemas.openxmlformats.org/officeDocument/2006/relationships/image" Target="media/image1534.png"/><Relationship Id="rId1542" Type="http://schemas.openxmlformats.org/officeDocument/2006/relationships/image" Target="media/image1535.png"/><Relationship Id="rId1543" Type="http://schemas.openxmlformats.org/officeDocument/2006/relationships/image" Target="media/image1536.png"/><Relationship Id="rId1544" Type="http://schemas.openxmlformats.org/officeDocument/2006/relationships/image" Target="media/image1537.png"/><Relationship Id="rId1545" Type="http://schemas.openxmlformats.org/officeDocument/2006/relationships/image" Target="media/image1538.png"/><Relationship Id="rId1546" Type="http://schemas.openxmlformats.org/officeDocument/2006/relationships/image" Target="media/image1539.png"/><Relationship Id="rId1547" Type="http://schemas.openxmlformats.org/officeDocument/2006/relationships/image" Target="media/image1540.png"/><Relationship Id="rId1548" Type="http://schemas.openxmlformats.org/officeDocument/2006/relationships/image" Target="media/image1541.png"/><Relationship Id="rId1549" Type="http://schemas.openxmlformats.org/officeDocument/2006/relationships/image" Target="media/image1542.png"/><Relationship Id="rId1550" Type="http://schemas.openxmlformats.org/officeDocument/2006/relationships/image" Target="media/image1543.png"/><Relationship Id="rId1551" Type="http://schemas.openxmlformats.org/officeDocument/2006/relationships/image" Target="media/image1544.png"/><Relationship Id="rId1552" Type="http://schemas.openxmlformats.org/officeDocument/2006/relationships/image" Target="media/image1545.png"/><Relationship Id="rId1553" Type="http://schemas.openxmlformats.org/officeDocument/2006/relationships/image" Target="media/image1546.png"/><Relationship Id="rId1554" Type="http://schemas.openxmlformats.org/officeDocument/2006/relationships/image" Target="media/image1547.png"/><Relationship Id="rId1555" Type="http://schemas.openxmlformats.org/officeDocument/2006/relationships/image" Target="media/image1548.png"/><Relationship Id="rId1556" Type="http://schemas.openxmlformats.org/officeDocument/2006/relationships/image" Target="media/image1549.png"/><Relationship Id="rId1557" Type="http://schemas.openxmlformats.org/officeDocument/2006/relationships/image" Target="media/image1550.png"/><Relationship Id="rId1558" Type="http://schemas.openxmlformats.org/officeDocument/2006/relationships/image" Target="media/image1551.png"/><Relationship Id="rId1559" Type="http://schemas.openxmlformats.org/officeDocument/2006/relationships/image" Target="media/image1552.png"/><Relationship Id="rId1560" Type="http://schemas.openxmlformats.org/officeDocument/2006/relationships/image" Target="media/image1553.png"/><Relationship Id="rId1561" Type="http://schemas.openxmlformats.org/officeDocument/2006/relationships/image" Target="media/image1554.png"/><Relationship Id="rId1562" Type="http://schemas.openxmlformats.org/officeDocument/2006/relationships/image" Target="media/image1555.png"/><Relationship Id="rId1563" Type="http://schemas.openxmlformats.org/officeDocument/2006/relationships/image" Target="media/image1556.png"/><Relationship Id="rId1564" Type="http://schemas.openxmlformats.org/officeDocument/2006/relationships/image" Target="media/image1557.png"/><Relationship Id="rId1565" Type="http://schemas.openxmlformats.org/officeDocument/2006/relationships/image" Target="media/image1558.png"/><Relationship Id="rId1566" Type="http://schemas.openxmlformats.org/officeDocument/2006/relationships/image" Target="media/image1559.png"/><Relationship Id="rId1567" Type="http://schemas.openxmlformats.org/officeDocument/2006/relationships/image" Target="media/image1560.png"/><Relationship Id="rId1568" Type="http://schemas.openxmlformats.org/officeDocument/2006/relationships/image" Target="media/image1561.png"/><Relationship Id="rId1569" Type="http://schemas.openxmlformats.org/officeDocument/2006/relationships/image" Target="media/image1562.png"/><Relationship Id="rId1570" Type="http://schemas.openxmlformats.org/officeDocument/2006/relationships/image" Target="media/image1563.png"/><Relationship Id="rId1571" Type="http://schemas.openxmlformats.org/officeDocument/2006/relationships/image" Target="media/image1564.png"/><Relationship Id="rId1572" Type="http://schemas.openxmlformats.org/officeDocument/2006/relationships/image" Target="media/image1565.png"/><Relationship Id="rId1573" Type="http://schemas.openxmlformats.org/officeDocument/2006/relationships/image" Target="media/image1566.png"/><Relationship Id="rId1574" Type="http://schemas.openxmlformats.org/officeDocument/2006/relationships/image" Target="media/image1567.png"/><Relationship Id="rId1575" Type="http://schemas.openxmlformats.org/officeDocument/2006/relationships/image" Target="media/image1568.png"/><Relationship Id="rId1576" Type="http://schemas.openxmlformats.org/officeDocument/2006/relationships/image" Target="media/image1569.png"/><Relationship Id="rId1577" Type="http://schemas.openxmlformats.org/officeDocument/2006/relationships/image" Target="media/image1570.png"/><Relationship Id="rId1578" Type="http://schemas.openxmlformats.org/officeDocument/2006/relationships/image" Target="media/image1571.png"/><Relationship Id="rId1579" Type="http://schemas.openxmlformats.org/officeDocument/2006/relationships/image" Target="media/image1572.png"/><Relationship Id="rId1580" Type="http://schemas.openxmlformats.org/officeDocument/2006/relationships/image" Target="media/image1573.png"/><Relationship Id="rId1581" Type="http://schemas.openxmlformats.org/officeDocument/2006/relationships/image" Target="media/image1574.png"/><Relationship Id="rId1582" Type="http://schemas.openxmlformats.org/officeDocument/2006/relationships/image" Target="media/image1575.png"/><Relationship Id="rId1583" Type="http://schemas.openxmlformats.org/officeDocument/2006/relationships/image" Target="media/image1576.png"/><Relationship Id="rId1584" Type="http://schemas.openxmlformats.org/officeDocument/2006/relationships/image" Target="media/image1577.png"/><Relationship Id="rId1585" Type="http://schemas.openxmlformats.org/officeDocument/2006/relationships/image" Target="media/image1578.png"/><Relationship Id="rId1586" Type="http://schemas.openxmlformats.org/officeDocument/2006/relationships/image" Target="media/image1579.png"/><Relationship Id="rId1587" Type="http://schemas.openxmlformats.org/officeDocument/2006/relationships/image" Target="media/image1580.png"/><Relationship Id="rId1588" Type="http://schemas.openxmlformats.org/officeDocument/2006/relationships/image" Target="media/image1581.png"/><Relationship Id="rId1589" Type="http://schemas.openxmlformats.org/officeDocument/2006/relationships/image" Target="media/image1582.png"/><Relationship Id="rId1590" Type="http://schemas.openxmlformats.org/officeDocument/2006/relationships/image" Target="media/image1583.png"/><Relationship Id="rId1591" Type="http://schemas.openxmlformats.org/officeDocument/2006/relationships/image" Target="media/image1584.png"/><Relationship Id="rId1592" Type="http://schemas.openxmlformats.org/officeDocument/2006/relationships/image" Target="media/image1585.png"/><Relationship Id="rId1593" Type="http://schemas.openxmlformats.org/officeDocument/2006/relationships/image" Target="media/image1586.png"/><Relationship Id="rId1594" Type="http://schemas.openxmlformats.org/officeDocument/2006/relationships/image" Target="media/image1587.png"/><Relationship Id="rId1595" Type="http://schemas.openxmlformats.org/officeDocument/2006/relationships/image" Target="media/image1588.png"/><Relationship Id="rId1596" Type="http://schemas.openxmlformats.org/officeDocument/2006/relationships/image" Target="media/image1589.png"/><Relationship Id="rId1597" Type="http://schemas.openxmlformats.org/officeDocument/2006/relationships/image" Target="media/image1590.png"/><Relationship Id="rId1598" Type="http://schemas.openxmlformats.org/officeDocument/2006/relationships/image" Target="media/image1591.png"/><Relationship Id="rId1599" Type="http://schemas.openxmlformats.org/officeDocument/2006/relationships/image" Target="media/image1592.png"/><Relationship Id="rId1600" Type="http://schemas.openxmlformats.org/officeDocument/2006/relationships/image" Target="media/image1593.png"/><Relationship Id="rId1601" Type="http://schemas.openxmlformats.org/officeDocument/2006/relationships/image" Target="media/image1594.png"/><Relationship Id="rId1602" Type="http://schemas.openxmlformats.org/officeDocument/2006/relationships/image" Target="media/image1595.png"/><Relationship Id="rId1603" Type="http://schemas.openxmlformats.org/officeDocument/2006/relationships/image" Target="media/image1596.png"/><Relationship Id="rId1604" Type="http://schemas.openxmlformats.org/officeDocument/2006/relationships/image" Target="media/image1597.png"/><Relationship Id="rId1605" Type="http://schemas.openxmlformats.org/officeDocument/2006/relationships/image" Target="media/image1598.png"/><Relationship Id="rId1606" Type="http://schemas.openxmlformats.org/officeDocument/2006/relationships/image" Target="media/image1599.png"/><Relationship Id="rId1607" Type="http://schemas.openxmlformats.org/officeDocument/2006/relationships/image" Target="media/image1600.png"/><Relationship Id="rId1608" Type="http://schemas.openxmlformats.org/officeDocument/2006/relationships/image" Target="media/image1601.png"/><Relationship Id="rId1609" Type="http://schemas.openxmlformats.org/officeDocument/2006/relationships/image" Target="media/image1602.png"/><Relationship Id="rId1610" Type="http://schemas.openxmlformats.org/officeDocument/2006/relationships/image" Target="media/image1603.png"/><Relationship Id="rId1611" Type="http://schemas.openxmlformats.org/officeDocument/2006/relationships/image" Target="media/image1604.png"/><Relationship Id="rId1612" Type="http://schemas.openxmlformats.org/officeDocument/2006/relationships/image" Target="media/image1605.png"/><Relationship Id="rId1613" Type="http://schemas.openxmlformats.org/officeDocument/2006/relationships/image" Target="media/image1606.png"/><Relationship Id="rId1614" Type="http://schemas.openxmlformats.org/officeDocument/2006/relationships/image" Target="media/image1607.png"/><Relationship Id="rId1615" Type="http://schemas.openxmlformats.org/officeDocument/2006/relationships/image" Target="media/image1608.png"/><Relationship Id="rId1616" Type="http://schemas.openxmlformats.org/officeDocument/2006/relationships/image" Target="media/image1609.png"/><Relationship Id="rId1617" Type="http://schemas.openxmlformats.org/officeDocument/2006/relationships/image" Target="media/image1610.png"/><Relationship Id="rId1618" Type="http://schemas.openxmlformats.org/officeDocument/2006/relationships/image" Target="media/image1611.png"/><Relationship Id="rId1619" Type="http://schemas.openxmlformats.org/officeDocument/2006/relationships/image" Target="media/image1612.png"/><Relationship Id="rId1620" Type="http://schemas.openxmlformats.org/officeDocument/2006/relationships/image" Target="media/image1613.png"/><Relationship Id="rId1621" Type="http://schemas.openxmlformats.org/officeDocument/2006/relationships/image" Target="media/image1614.png"/><Relationship Id="rId1622" Type="http://schemas.openxmlformats.org/officeDocument/2006/relationships/image" Target="media/image1615.png"/><Relationship Id="rId1623" Type="http://schemas.openxmlformats.org/officeDocument/2006/relationships/image" Target="media/image1616.png"/><Relationship Id="rId1624" Type="http://schemas.openxmlformats.org/officeDocument/2006/relationships/image" Target="media/image1617.png"/><Relationship Id="rId1625" Type="http://schemas.openxmlformats.org/officeDocument/2006/relationships/image" Target="media/image1618.png"/><Relationship Id="rId1626" Type="http://schemas.openxmlformats.org/officeDocument/2006/relationships/image" Target="media/image1619.png"/><Relationship Id="rId1627" Type="http://schemas.openxmlformats.org/officeDocument/2006/relationships/image" Target="media/image1620.png"/><Relationship Id="rId1628" Type="http://schemas.openxmlformats.org/officeDocument/2006/relationships/image" Target="media/image1621.png"/><Relationship Id="rId1629" Type="http://schemas.openxmlformats.org/officeDocument/2006/relationships/image" Target="media/image1622.png"/><Relationship Id="rId1630" Type="http://schemas.openxmlformats.org/officeDocument/2006/relationships/image" Target="media/image1623.png"/><Relationship Id="rId1631" Type="http://schemas.openxmlformats.org/officeDocument/2006/relationships/image" Target="media/image1624.png"/><Relationship Id="rId1632" Type="http://schemas.openxmlformats.org/officeDocument/2006/relationships/image" Target="media/image1625.png"/><Relationship Id="rId1633" Type="http://schemas.openxmlformats.org/officeDocument/2006/relationships/image" Target="media/image1626.png"/><Relationship Id="rId1634" Type="http://schemas.openxmlformats.org/officeDocument/2006/relationships/image" Target="media/image1627.png"/><Relationship Id="rId1635" Type="http://schemas.openxmlformats.org/officeDocument/2006/relationships/image" Target="media/image1628.png"/><Relationship Id="rId1636" Type="http://schemas.openxmlformats.org/officeDocument/2006/relationships/image" Target="media/image1629.png"/><Relationship Id="rId1637" Type="http://schemas.openxmlformats.org/officeDocument/2006/relationships/image" Target="media/image1630.png"/><Relationship Id="rId1638" Type="http://schemas.openxmlformats.org/officeDocument/2006/relationships/image" Target="media/image1631.png"/><Relationship Id="rId1639" Type="http://schemas.openxmlformats.org/officeDocument/2006/relationships/image" Target="media/image1632.png"/><Relationship Id="rId1640" Type="http://schemas.openxmlformats.org/officeDocument/2006/relationships/image" Target="media/image1633.png"/><Relationship Id="rId1641" Type="http://schemas.openxmlformats.org/officeDocument/2006/relationships/image" Target="media/image1634.png"/><Relationship Id="rId1642" Type="http://schemas.openxmlformats.org/officeDocument/2006/relationships/image" Target="media/image1635.png"/><Relationship Id="rId1643" Type="http://schemas.openxmlformats.org/officeDocument/2006/relationships/image" Target="media/image1636.png"/><Relationship Id="rId1644" Type="http://schemas.openxmlformats.org/officeDocument/2006/relationships/image" Target="media/image1637.png"/><Relationship Id="rId1645" Type="http://schemas.openxmlformats.org/officeDocument/2006/relationships/image" Target="media/image1638.png"/><Relationship Id="rId1646" Type="http://schemas.openxmlformats.org/officeDocument/2006/relationships/image" Target="media/image1639.png"/><Relationship Id="rId1647" Type="http://schemas.openxmlformats.org/officeDocument/2006/relationships/image" Target="media/image1640.png"/><Relationship Id="rId1648" Type="http://schemas.openxmlformats.org/officeDocument/2006/relationships/image" Target="media/image1641.png"/><Relationship Id="rId1649" Type="http://schemas.openxmlformats.org/officeDocument/2006/relationships/image" Target="media/image1642.png"/><Relationship Id="rId1650" Type="http://schemas.openxmlformats.org/officeDocument/2006/relationships/image" Target="media/image1643.png"/><Relationship Id="rId1651" Type="http://schemas.openxmlformats.org/officeDocument/2006/relationships/image" Target="media/image1644.png"/><Relationship Id="rId1652" Type="http://schemas.openxmlformats.org/officeDocument/2006/relationships/image" Target="media/image1645.png"/><Relationship Id="rId1653" Type="http://schemas.openxmlformats.org/officeDocument/2006/relationships/image" Target="media/image1646.png"/><Relationship Id="rId1654" Type="http://schemas.openxmlformats.org/officeDocument/2006/relationships/image" Target="media/image1647.png"/><Relationship Id="rId1655" Type="http://schemas.openxmlformats.org/officeDocument/2006/relationships/image" Target="media/image1648.png"/><Relationship Id="rId1656" Type="http://schemas.openxmlformats.org/officeDocument/2006/relationships/image" Target="media/image1649.png"/><Relationship Id="rId1657" Type="http://schemas.openxmlformats.org/officeDocument/2006/relationships/image" Target="media/image1650.png"/><Relationship Id="rId1658" Type="http://schemas.openxmlformats.org/officeDocument/2006/relationships/image" Target="media/image1651.png"/><Relationship Id="rId1659" Type="http://schemas.openxmlformats.org/officeDocument/2006/relationships/image" Target="media/image1652.png"/><Relationship Id="rId1660" Type="http://schemas.openxmlformats.org/officeDocument/2006/relationships/image" Target="media/image1653.png"/><Relationship Id="rId1661" Type="http://schemas.openxmlformats.org/officeDocument/2006/relationships/image" Target="media/image1654.png"/><Relationship Id="rId1662" Type="http://schemas.openxmlformats.org/officeDocument/2006/relationships/image" Target="media/image1655.png"/><Relationship Id="rId1663" Type="http://schemas.openxmlformats.org/officeDocument/2006/relationships/image" Target="media/image1656.png"/><Relationship Id="rId1664" Type="http://schemas.openxmlformats.org/officeDocument/2006/relationships/image" Target="media/image1657.png"/><Relationship Id="rId1665" Type="http://schemas.openxmlformats.org/officeDocument/2006/relationships/image" Target="media/image1658.png"/><Relationship Id="rId1666" Type="http://schemas.openxmlformats.org/officeDocument/2006/relationships/image" Target="media/image1659.png"/><Relationship Id="rId1667" Type="http://schemas.openxmlformats.org/officeDocument/2006/relationships/image" Target="media/image1660.png"/><Relationship Id="rId1668" Type="http://schemas.openxmlformats.org/officeDocument/2006/relationships/image" Target="media/image1661.png"/><Relationship Id="rId1669" Type="http://schemas.openxmlformats.org/officeDocument/2006/relationships/image" Target="media/image1662.png"/><Relationship Id="rId1670" Type="http://schemas.openxmlformats.org/officeDocument/2006/relationships/image" Target="media/image1663.png"/><Relationship Id="rId1671" Type="http://schemas.openxmlformats.org/officeDocument/2006/relationships/image" Target="media/image1664.png"/><Relationship Id="rId1672" Type="http://schemas.openxmlformats.org/officeDocument/2006/relationships/image" Target="media/image1665.png"/><Relationship Id="rId1673" Type="http://schemas.openxmlformats.org/officeDocument/2006/relationships/image" Target="media/image1666.png"/><Relationship Id="rId1674" Type="http://schemas.openxmlformats.org/officeDocument/2006/relationships/image" Target="media/image1667.png"/><Relationship Id="rId1675" Type="http://schemas.openxmlformats.org/officeDocument/2006/relationships/image" Target="media/image1668.png"/><Relationship Id="rId1676" Type="http://schemas.openxmlformats.org/officeDocument/2006/relationships/image" Target="media/image1669.png"/><Relationship Id="rId1677" Type="http://schemas.openxmlformats.org/officeDocument/2006/relationships/image" Target="media/image1670.png"/><Relationship Id="rId1678" Type="http://schemas.openxmlformats.org/officeDocument/2006/relationships/image" Target="media/image1671.png"/><Relationship Id="rId1679" Type="http://schemas.openxmlformats.org/officeDocument/2006/relationships/image" Target="media/image1672.png"/><Relationship Id="rId1680" Type="http://schemas.openxmlformats.org/officeDocument/2006/relationships/image" Target="media/image1673.png"/><Relationship Id="rId1681" Type="http://schemas.openxmlformats.org/officeDocument/2006/relationships/image" Target="media/image1674.png"/><Relationship Id="rId1682" Type="http://schemas.openxmlformats.org/officeDocument/2006/relationships/image" Target="media/image1675.png"/><Relationship Id="rId1683" Type="http://schemas.openxmlformats.org/officeDocument/2006/relationships/image" Target="media/image1676.png"/><Relationship Id="rId1684" Type="http://schemas.openxmlformats.org/officeDocument/2006/relationships/image" Target="media/image1677.png"/><Relationship Id="rId1685" Type="http://schemas.openxmlformats.org/officeDocument/2006/relationships/image" Target="media/image1678.png"/><Relationship Id="rId1686" Type="http://schemas.openxmlformats.org/officeDocument/2006/relationships/image" Target="media/image1679.png"/><Relationship Id="rId1687" Type="http://schemas.openxmlformats.org/officeDocument/2006/relationships/image" Target="media/image1680.png"/><Relationship Id="rId1688" Type="http://schemas.openxmlformats.org/officeDocument/2006/relationships/image" Target="media/image1681.png"/><Relationship Id="rId1689" Type="http://schemas.openxmlformats.org/officeDocument/2006/relationships/image" Target="media/image1682.png"/><Relationship Id="rId1690" Type="http://schemas.openxmlformats.org/officeDocument/2006/relationships/image" Target="media/image1683.png"/><Relationship Id="rId1691" Type="http://schemas.openxmlformats.org/officeDocument/2006/relationships/image" Target="media/image1684.png"/><Relationship Id="rId1692" Type="http://schemas.openxmlformats.org/officeDocument/2006/relationships/image" Target="media/image1685.png"/><Relationship Id="rId1693" Type="http://schemas.openxmlformats.org/officeDocument/2006/relationships/image" Target="media/image1686.png"/><Relationship Id="rId1694" Type="http://schemas.openxmlformats.org/officeDocument/2006/relationships/image" Target="media/image1687.png"/><Relationship Id="rId1695" Type="http://schemas.openxmlformats.org/officeDocument/2006/relationships/image" Target="media/image1688.png"/><Relationship Id="rId1696" Type="http://schemas.openxmlformats.org/officeDocument/2006/relationships/image" Target="media/image1689.png"/><Relationship Id="rId1697" Type="http://schemas.openxmlformats.org/officeDocument/2006/relationships/image" Target="media/image1690.png"/><Relationship Id="rId1698" Type="http://schemas.openxmlformats.org/officeDocument/2006/relationships/image" Target="media/image1691.png"/><Relationship Id="rId1699" Type="http://schemas.openxmlformats.org/officeDocument/2006/relationships/image" Target="media/image1692.png"/><Relationship Id="rId1700" Type="http://schemas.openxmlformats.org/officeDocument/2006/relationships/image" Target="media/image1693.png"/><Relationship Id="rId1701" Type="http://schemas.openxmlformats.org/officeDocument/2006/relationships/image" Target="media/image1694.png"/><Relationship Id="rId1702" Type="http://schemas.openxmlformats.org/officeDocument/2006/relationships/image" Target="media/image1695.png"/><Relationship Id="rId1703" Type="http://schemas.openxmlformats.org/officeDocument/2006/relationships/image" Target="media/image1696.png"/><Relationship Id="rId1704" Type="http://schemas.openxmlformats.org/officeDocument/2006/relationships/image" Target="media/image1697.png"/><Relationship Id="rId1705" Type="http://schemas.openxmlformats.org/officeDocument/2006/relationships/image" Target="media/image1698.png"/><Relationship Id="rId1706" Type="http://schemas.openxmlformats.org/officeDocument/2006/relationships/image" Target="media/image1699.png"/><Relationship Id="rId1707" Type="http://schemas.openxmlformats.org/officeDocument/2006/relationships/image" Target="media/image1700.png"/><Relationship Id="rId1708" Type="http://schemas.openxmlformats.org/officeDocument/2006/relationships/image" Target="media/image1701.png"/><Relationship Id="rId1709" Type="http://schemas.openxmlformats.org/officeDocument/2006/relationships/image" Target="media/image1702.png"/><Relationship Id="rId1710" Type="http://schemas.openxmlformats.org/officeDocument/2006/relationships/image" Target="media/image1703.png"/><Relationship Id="rId1711" Type="http://schemas.openxmlformats.org/officeDocument/2006/relationships/image" Target="media/image1704.png"/><Relationship Id="rId1712" Type="http://schemas.openxmlformats.org/officeDocument/2006/relationships/image" Target="media/image1705.png"/><Relationship Id="rId1713" Type="http://schemas.openxmlformats.org/officeDocument/2006/relationships/image" Target="media/image1706.png"/><Relationship Id="rId1714" Type="http://schemas.openxmlformats.org/officeDocument/2006/relationships/image" Target="media/image1707.png"/><Relationship Id="rId1715" Type="http://schemas.openxmlformats.org/officeDocument/2006/relationships/image" Target="media/image1708.png"/><Relationship Id="rId1716" Type="http://schemas.openxmlformats.org/officeDocument/2006/relationships/image" Target="media/image1709.png"/><Relationship Id="rId1717" Type="http://schemas.openxmlformats.org/officeDocument/2006/relationships/image" Target="media/image1710.png"/><Relationship Id="rId1718" Type="http://schemas.openxmlformats.org/officeDocument/2006/relationships/image" Target="media/image1711.png"/><Relationship Id="rId1719" Type="http://schemas.openxmlformats.org/officeDocument/2006/relationships/image" Target="media/image1712.png"/><Relationship Id="rId1720" Type="http://schemas.openxmlformats.org/officeDocument/2006/relationships/image" Target="media/image1713.png"/><Relationship Id="rId1721" Type="http://schemas.openxmlformats.org/officeDocument/2006/relationships/image" Target="media/image1714.png"/><Relationship Id="rId1722" Type="http://schemas.openxmlformats.org/officeDocument/2006/relationships/image" Target="media/image1715.png"/><Relationship Id="rId1723" Type="http://schemas.openxmlformats.org/officeDocument/2006/relationships/image" Target="media/image1716.png"/><Relationship Id="rId1724" Type="http://schemas.openxmlformats.org/officeDocument/2006/relationships/image" Target="media/image1717.png"/><Relationship Id="rId1725" Type="http://schemas.openxmlformats.org/officeDocument/2006/relationships/image" Target="media/image1718.png"/><Relationship Id="rId1726" Type="http://schemas.openxmlformats.org/officeDocument/2006/relationships/image" Target="media/image1719.png"/><Relationship Id="rId1727" Type="http://schemas.openxmlformats.org/officeDocument/2006/relationships/image" Target="media/image1720.png"/><Relationship Id="rId1728" Type="http://schemas.openxmlformats.org/officeDocument/2006/relationships/image" Target="media/image1721.png"/><Relationship Id="rId1729" Type="http://schemas.openxmlformats.org/officeDocument/2006/relationships/image" Target="media/image1722.png"/><Relationship Id="rId1730" Type="http://schemas.openxmlformats.org/officeDocument/2006/relationships/image" Target="media/image1723.png"/><Relationship Id="rId1731" Type="http://schemas.openxmlformats.org/officeDocument/2006/relationships/image" Target="media/image1724.png"/><Relationship Id="rId1732" Type="http://schemas.openxmlformats.org/officeDocument/2006/relationships/image" Target="media/image1725.png"/><Relationship Id="rId1733" Type="http://schemas.openxmlformats.org/officeDocument/2006/relationships/image" Target="media/image1726.png"/><Relationship Id="rId1734" Type="http://schemas.openxmlformats.org/officeDocument/2006/relationships/image" Target="media/image1727.png"/><Relationship Id="rId1735" Type="http://schemas.openxmlformats.org/officeDocument/2006/relationships/image" Target="media/image1728.png"/><Relationship Id="rId1736" Type="http://schemas.openxmlformats.org/officeDocument/2006/relationships/image" Target="media/image1729.png"/><Relationship Id="rId1737" Type="http://schemas.openxmlformats.org/officeDocument/2006/relationships/image" Target="media/image1730.png"/><Relationship Id="rId1738" Type="http://schemas.openxmlformats.org/officeDocument/2006/relationships/image" Target="media/image1731.png"/><Relationship Id="rId1739" Type="http://schemas.openxmlformats.org/officeDocument/2006/relationships/image" Target="media/image1732.png"/><Relationship Id="rId1740" Type="http://schemas.openxmlformats.org/officeDocument/2006/relationships/image" Target="media/image1733.png"/><Relationship Id="rId1741" Type="http://schemas.openxmlformats.org/officeDocument/2006/relationships/image" Target="media/image1734.png"/><Relationship Id="rId1742" Type="http://schemas.openxmlformats.org/officeDocument/2006/relationships/image" Target="media/image1735.png"/><Relationship Id="rId1743" Type="http://schemas.openxmlformats.org/officeDocument/2006/relationships/image" Target="media/image1736.png"/><Relationship Id="rId1744" Type="http://schemas.openxmlformats.org/officeDocument/2006/relationships/image" Target="media/image1737.png"/><Relationship Id="rId1745" Type="http://schemas.openxmlformats.org/officeDocument/2006/relationships/image" Target="media/image1738.png"/><Relationship Id="rId1746" Type="http://schemas.openxmlformats.org/officeDocument/2006/relationships/image" Target="media/image1739.png"/><Relationship Id="rId1747" Type="http://schemas.openxmlformats.org/officeDocument/2006/relationships/image" Target="media/image1740.png"/><Relationship Id="rId1748" Type="http://schemas.openxmlformats.org/officeDocument/2006/relationships/image" Target="media/image1741.png"/><Relationship Id="rId1749" Type="http://schemas.openxmlformats.org/officeDocument/2006/relationships/image" Target="media/image1742.png"/><Relationship Id="rId1750" Type="http://schemas.openxmlformats.org/officeDocument/2006/relationships/image" Target="media/image1743.png"/><Relationship Id="rId1751" Type="http://schemas.openxmlformats.org/officeDocument/2006/relationships/image" Target="media/image1744.png"/><Relationship Id="rId1752" Type="http://schemas.openxmlformats.org/officeDocument/2006/relationships/image" Target="media/image1745.png"/><Relationship Id="rId1753" Type="http://schemas.openxmlformats.org/officeDocument/2006/relationships/image" Target="media/image1746.png"/><Relationship Id="rId1754" Type="http://schemas.openxmlformats.org/officeDocument/2006/relationships/image" Target="media/image1747.png"/><Relationship Id="rId1755" Type="http://schemas.openxmlformats.org/officeDocument/2006/relationships/image" Target="media/image1748.png"/><Relationship Id="rId1756" Type="http://schemas.openxmlformats.org/officeDocument/2006/relationships/image" Target="media/image1749.png"/><Relationship Id="rId1757" Type="http://schemas.openxmlformats.org/officeDocument/2006/relationships/image" Target="media/image1750.png"/><Relationship Id="rId1758" Type="http://schemas.openxmlformats.org/officeDocument/2006/relationships/image" Target="media/image1751.png"/><Relationship Id="rId1759" Type="http://schemas.openxmlformats.org/officeDocument/2006/relationships/image" Target="media/image1752.png"/><Relationship Id="rId1760" Type="http://schemas.openxmlformats.org/officeDocument/2006/relationships/image" Target="media/image1753.png"/><Relationship Id="rId1761" Type="http://schemas.openxmlformats.org/officeDocument/2006/relationships/image" Target="media/image1754.png"/><Relationship Id="rId1762" Type="http://schemas.openxmlformats.org/officeDocument/2006/relationships/image" Target="media/image1755.png"/><Relationship Id="rId1763" Type="http://schemas.openxmlformats.org/officeDocument/2006/relationships/image" Target="media/image1756.png"/><Relationship Id="rId1764" Type="http://schemas.openxmlformats.org/officeDocument/2006/relationships/image" Target="media/image1757.png"/><Relationship Id="rId1765" Type="http://schemas.openxmlformats.org/officeDocument/2006/relationships/image" Target="media/image1758.png"/><Relationship Id="rId1766" Type="http://schemas.openxmlformats.org/officeDocument/2006/relationships/image" Target="media/image1759.png"/><Relationship Id="rId1767" Type="http://schemas.openxmlformats.org/officeDocument/2006/relationships/image" Target="media/image1760.png"/><Relationship Id="rId1768" Type="http://schemas.openxmlformats.org/officeDocument/2006/relationships/image" Target="media/image1761.png"/><Relationship Id="rId1769" Type="http://schemas.openxmlformats.org/officeDocument/2006/relationships/image" Target="media/image1762.png"/><Relationship Id="rId1770" Type="http://schemas.openxmlformats.org/officeDocument/2006/relationships/image" Target="media/image1763.png"/><Relationship Id="rId1771" Type="http://schemas.openxmlformats.org/officeDocument/2006/relationships/image" Target="media/image1764.png"/><Relationship Id="rId1772" Type="http://schemas.openxmlformats.org/officeDocument/2006/relationships/image" Target="media/image1765.png"/><Relationship Id="rId1773" Type="http://schemas.openxmlformats.org/officeDocument/2006/relationships/image" Target="media/image1766.png"/><Relationship Id="rId1774" Type="http://schemas.openxmlformats.org/officeDocument/2006/relationships/image" Target="media/image1767.png"/><Relationship Id="rId1775" Type="http://schemas.openxmlformats.org/officeDocument/2006/relationships/image" Target="media/image1768.png"/><Relationship Id="rId1776" Type="http://schemas.openxmlformats.org/officeDocument/2006/relationships/image" Target="media/image1769.png"/><Relationship Id="rId1777" Type="http://schemas.openxmlformats.org/officeDocument/2006/relationships/image" Target="media/image1770.png"/><Relationship Id="rId1778" Type="http://schemas.openxmlformats.org/officeDocument/2006/relationships/image" Target="media/image1771.png"/><Relationship Id="rId1779" Type="http://schemas.openxmlformats.org/officeDocument/2006/relationships/image" Target="media/image1772.png"/><Relationship Id="rId1780" Type="http://schemas.openxmlformats.org/officeDocument/2006/relationships/image" Target="media/image1773.png"/><Relationship Id="rId1781" Type="http://schemas.openxmlformats.org/officeDocument/2006/relationships/image" Target="media/image1774.png"/><Relationship Id="rId1782" Type="http://schemas.openxmlformats.org/officeDocument/2006/relationships/image" Target="media/image1775.png"/><Relationship Id="rId1783" Type="http://schemas.openxmlformats.org/officeDocument/2006/relationships/image" Target="media/image1776.png"/><Relationship Id="rId1784" Type="http://schemas.openxmlformats.org/officeDocument/2006/relationships/image" Target="media/image1777.png"/><Relationship Id="rId1785" Type="http://schemas.openxmlformats.org/officeDocument/2006/relationships/image" Target="media/image1778.png"/><Relationship Id="rId1786" Type="http://schemas.openxmlformats.org/officeDocument/2006/relationships/image" Target="media/image1779.png"/><Relationship Id="rId1787" Type="http://schemas.openxmlformats.org/officeDocument/2006/relationships/image" Target="media/image1780.png"/><Relationship Id="rId1788" Type="http://schemas.openxmlformats.org/officeDocument/2006/relationships/image" Target="media/image1781.png"/><Relationship Id="rId1789" Type="http://schemas.openxmlformats.org/officeDocument/2006/relationships/image" Target="media/image1782.png"/><Relationship Id="rId1790" Type="http://schemas.openxmlformats.org/officeDocument/2006/relationships/image" Target="media/image1783.png"/><Relationship Id="rId1791" Type="http://schemas.openxmlformats.org/officeDocument/2006/relationships/image" Target="media/image1784.png"/><Relationship Id="rId1792" Type="http://schemas.openxmlformats.org/officeDocument/2006/relationships/image" Target="media/image1785.png"/><Relationship Id="rId1793" Type="http://schemas.openxmlformats.org/officeDocument/2006/relationships/image" Target="media/image1786.png"/><Relationship Id="rId1794" Type="http://schemas.openxmlformats.org/officeDocument/2006/relationships/image" Target="media/image1787.png"/><Relationship Id="rId1795" Type="http://schemas.openxmlformats.org/officeDocument/2006/relationships/image" Target="media/image1788.png"/><Relationship Id="rId1796" Type="http://schemas.openxmlformats.org/officeDocument/2006/relationships/image" Target="media/image1789.png"/><Relationship Id="rId1797" Type="http://schemas.openxmlformats.org/officeDocument/2006/relationships/image" Target="media/image1790.png"/><Relationship Id="rId1798" Type="http://schemas.openxmlformats.org/officeDocument/2006/relationships/image" Target="media/image1791.png"/><Relationship Id="rId1799" Type="http://schemas.openxmlformats.org/officeDocument/2006/relationships/image" Target="media/image1792.png"/><Relationship Id="rId1800" Type="http://schemas.openxmlformats.org/officeDocument/2006/relationships/image" Target="media/image1793.png"/><Relationship Id="rId1801" Type="http://schemas.openxmlformats.org/officeDocument/2006/relationships/image" Target="media/image1794.png"/><Relationship Id="rId1802" Type="http://schemas.openxmlformats.org/officeDocument/2006/relationships/image" Target="media/image1795.png"/><Relationship Id="rId1803" Type="http://schemas.openxmlformats.org/officeDocument/2006/relationships/image" Target="media/image1796.png"/><Relationship Id="rId1804" Type="http://schemas.openxmlformats.org/officeDocument/2006/relationships/image" Target="media/image1797.png"/><Relationship Id="rId1805" Type="http://schemas.openxmlformats.org/officeDocument/2006/relationships/image" Target="media/image1798.png"/><Relationship Id="rId1806" Type="http://schemas.openxmlformats.org/officeDocument/2006/relationships/image" Target="media/image1799.png"/><Relationship Id="rId1807" Type="http://schemas.openxmlformats.org/officeDocument/2006/relationships/image" Target="media/image1800.png"/><Relationship Id="rId1808" Type="http://schemas.openxmlformats.org/officeDocument/2006/relationships/image" Target="media/image1801.png"/><Relationship Id="rId1809" Type="http://schemas.openxmlformats.org/officeDocument/2006/relationships/image" Target="media/image1802.png"/><Relationship Id="rId1810" Type="http://schemas.openxmlformats.org/officeDocument/2006/relationships/image" Target="media/image1803.png"/><Relationship Id="rId1811" Type="http://schemas.openxmlformats.org/officeDocument/2006/relationships/image" Target="media/image1804.png"/><Relationship Id="rId1812" Type="http://schemas.openxmlformats.org/officeDocument/2006/relationships/image" Target="media/image1805.png"/><Relationship Id="rId1813" Type="http://schemas.openxmlformats.org/officeDocument/2006/relationships/image" Target="media/image1806.png"/><Relationship Id="rId1814" Type="http://schemas.openxmlformats.org/officeDocument/2006/relationships/image" Target="media/image1807.png"/><Relationship Id="rId1815" Type="http://schemas.openxmlformats.org/officeDocument/2006/relationships/image" Target="media/image1808.png"/><Relationship Id="rId1816" Type="http://schemas.openxmlformats.org/officeDocument/2006/relationships/image" Target="media/image1809.png"/><Relationship Id="rId1817" Type="http://schemas.openxmlformats.org/officeDocument/2006/relationships/image" Target="media/image1810.png"/><Relationship Id="rId1818" Type="http://schemas.openxmlformats.org/officeDocument/2006/relationships/image" Target="media/image1811.png"/><Relationship Id="rId1819" Type="http://schemas.openxmlformats.org/officeDocument/2006/relationships/image" Target="media/image1812.png"/><Relationship Id="rId1820" Type="http://schemas.openxmlformats.org/officeDocument/2006/relationships/image" Target="media/image1813.png"/><Relationship Id="rId1821" Type="http://schemas.openxmlformats.org/officeDocument/2006/relationships/image" Target="media/image1814.png"/><Relationship Id="rId1822" Type="http://schemas.openxmlformats.org/officeDocument/2006/relationships/image" Target="media/image1815.png"/><Relationship Id="rId1823" Type="http://schemas.openxmlformats.org/officeDocument/2006/relationships/image" Target="media/image1816.png"/><Relationship Id="rId1824" Type="http://schemas.openxmlformats.org/officeDocument/2006/relationships/image" Target="media/image1817.png"/><Relationship Id="rId1825" Type="http://schemas.openxmlformats.org/officeDocument/2006/relationships/image" Target="media/image1818.png"/><Relationship Id="rId1826" Type="http://schemas.openxmlformats.org/officeDocument/2006/relationships/image" Target="media/image1819.png"/><Relationship Id="rId1827" Type="http://schemas.openxmlformats.org/officeDocument/2006/relationships/image" Target="media/image1820.png"/><Relationship Id="rId1828" Type="http://schemas.openxmlformats.org/officeDocument/2006/relationships/image" Target="media/image1821.png"/><Relationship Id="rId1829" Type="http://schemas.openxmlformats.org/officeDocument/2006/relationships/image" Target="media/image1822.png"/><Relationship Id="rId1830" Type="http://schemas.openxmlformats.org/officeDocument/2006/relationships/image" Target="media/image1823.png"/><Relationship Id="rId1831" Type="http://schemas.openxmlformats.org/officeDocument/2006/relationships/image" Target="media/image1824.png"/><Relationship Id="rId1832" Type="http://schemas.openxmlformats.org/officeDocument/2006/relationships/image" Target="media/image1825.png"/><Relationship Id="rId1833" Type="http://schemas.openxmlformats.org/officeDocument/2006/relationships/image" Target="media/image1826.png"/><Relationship Id="rId1834" Type="http://schemas.openxmlformats.org/officeDocument/2006/relationships/image" Target="media/image1827.png"/><Relationship Id="rId1835" Type="http://schemas.openxmlformats.org/officeDocument/2006/relationships/image" Target="media/image1828.png"/><Relationship Id="rId1836" Type="http://schemas.openxmlformats.org/officeDocument/2006/relationships/image" Target="media/image1829.png"/><Relationship Id="rId1837" Type="http://schemas.openxmlformats.org/officeDocument/2006/relationships/image" Target="media/image1830.png"/><Relationship Id="rId1838" Type="http://schemas.openxmlformats.org/officeDocument/2006/relationships/image" Target="media/image1831.png"/><Relationship Id="rId1839" Type="http://schemas.openxmlformats.org/officeDocument/2006/relationships/image" Target="media/image1832.png"/><Relationship Id="rId1840" Type="http://schemas.openxmlformats.org/officeDocument/2006/relationships/image" Target="media/image1833.png"/><Relationship Id="rId1841" Type="http://schemas.openxmlformats.org/officeDocument/2006/relationships/image" Target="media/image1834.png"/><Relationship Id="rId1842" Type="http://schemas.openxmlformats.org/officeDocument/2006/relationships/image" Target="media/image1835.png"/><Relationship Id="rId1843" Type="http://schemas.openxmlformats.org/officeDocument/2006/relationships/image" Target="media/image1836.png"/><Relationship Id="rId1844" Type="http://schemas.openxmlformats.org/officeDocument/2006/relationships/image" Target="media/image1837.png"/><Relationship Id="rId1845" Type="http://schemas.openxmlformats.org/officeDocument/2006/relationships/image" Target="media/image1838.png"/><Relationship Id="rId1846" Type="http://schemas.openxmlformats.org/officeDocument/2006/relationships/image" Target="media/image1839.png"/><Relationship Id="rId1847" Type="http://schemas.openxmlformats.org/officeDocument/2006/relationships/image" Target="media/image1840.png"/><Relationship Id="rId1848" Type="http://schemas.openxmlformats.org/officeDocument/2006/relationships/image" Target="media/image1841.png"/><Relationship Id="rId1849" Type="http://schemas.openxmlformats.org/officeDocument/2006/relationships/image" Target="media/image1842.png"/><Relationship Id="rId1850" Type="http://schemas.openxmlformats.org/officeDocument/2006/relationships/image" Target="media/image1843.png"/><Relationship Id="rId1851" Type="http://schemas.openxmlformats.org/officeDocument/2006/relationships/image" Target="media/image1844.png"/><Relationship Id="rId1852" Type="http://schemas.openxmlformats.org/officeDocument/2006/relationships/image" Target="media/image1845.png"/><Relationship Id="rId1853" Type="http://schemas.openxmlformats.org/officeDocument/2006/relationships/image" Target="media/image1846.png"/><Relationship Id="rId1854" Type="http://schemas.openxmlformats.org/officeDocument/2006/relationships/image" Target="media/image1847.png"/><Relationship Id="rId1855" Type="http://schemas.openxmlformats.org/officeDocument/2006/relationships/image" Target="media/image1848.png"/><Relationship Id="rId1856" Type="http://schemas.openxmlformats.org/officeDocument/2006/relationships/image" Target="media/image1849.png"/><Relationship Id="rId1857" Type="http://schemas.openxmlformats.org/officeDocument/2006/relationships/image" Target="media/image1850.png"/><Relationship Id="rId1858" Type="http://schemas.openxmlformats.org/officeDocument/2006/relationships/image" Target="media/image1851.png"/><Relationship Id="rId1859" Type="http://schemas.openxmlformats.org/officeDocument/2006/relationships/image" Target="media/image1852.png"/><Relationship Id="rId1860" Type="http://schemas.openxmlformats.org/officeDocument/2006/relationships/image" Target="media/image1853.png"/><Relationship Id="rId1861" Type="http://schemas.openxmlformats.org/officeDocument/2006/relationships/image" Target="media/image1854.png"/><Relationship Id="rId1862" Type="http://schemas.openxmlformats.org/officeDocument/2006/relationships/image" Target="media/image1855.png"/><Relationship Id="rId1863" Type="http://schemas.openxmlformats.org/officeDocument/2006/relationships/image" Target="media/image1856.png"/><Relationship Id="rId1864" Type="http://schemas.openxmlformats.org/officeDocument/2006/relationships/image" Target="media/image1857.png"/><Relationship Id="rId1865" Type="http://schemas.openxmlformats.org/officeDocument/2006/relationships/image" Target="media/image1858.png"/><Relationship Id="rId1866" Type="http://schemas.openxmlformats.org/officeDocument/2006/relationships/image" Target="media/image1859.png"/><Relationship Id="rId1867" Type="http://schemas.openxmlformats.org/officeDocument/2006/relationships/image" Target="media/image1860.png"/><Relationship Id="rId1868" Type="http://schemas.openxmlformats.org/officeDocument/2006/relationships/image" Target="media/image1861.png"/><Relationship Id="rId1869" Type="http://schemas.openxmlformats.org/officeDocument/2006/relationships/image" Target="media/image1862.png"/><Relationship Id="rId1870" Type="http://schemas.openxmlformats.org/officeDocument/2006/relationships/image" Target="media/image1863.png"/><Relationship Id="rId1871" Type="http://schemas.openxmlformats.org/officeDocument/2006/relationships/image" Target="media/image1864.png"/><Relationship Id="rId1872" Type="http://schemas.openxmlformats.org/officeDocument/2006/relationships/image" Target="media/image1865.png"/><Relationship Id="rId1873" Type="http://schemas.openxmlformats.org/officeDocument/2006/relationships/image" Target="media/image1866.png"/><Relationship Id="rId1874" Type="http://schemas.openxmlformats.org/officeDocument/2006/relationships/image" Target="media/image1867.png"/><Relationship Id="rId1875" Type="http://schemas.openxmlformats.org/officeDocument/2006/relationships/image" Target="media/image1868.png"/><Relationship Id="rId1876" Type="http://schemas.openxmlformats.org/officeDocument/2006/relationships/image" Target="media/image1869.png"/><Relationship Id="rId1877" Type="http://schemas.openxmlformats.org/officeDocument/2006/relationships/image" Target="media/image1870.png"/><Relationship Id="rId1878" Type="http://schemas.openxmlformats.org/officeDocument/2006/relationships/image" Target="media/image1871.png"/><Relationship Id="rId1879" Type="http://schemas.openxmlformats.org/officeDocument/2006/relationships/image" Target="media/image1872.png"/><Relationship Id="rId1880" Type="http://schemas.openxmlformats.org/officeDocument/2006/relationships/image" Target="media/image1873.png"/><Relationship Id="rId1881" Type="http://schemas.openxmlformats.org/officeDocument/2006/relationships/image" Target="media/image1874.png"/><Relationship Id="rId1882" Type="http://schemas.openxmlformats.org/officeDocument/2006/relationships/image" Target="media/image1875.png"/><Relationship Id="rId1883" Type="http://schemas.openxmlformats.org/officeDocument/2006/relationships/image" Target="media/image1876.png"/><Relationship Id="rId1884" Type="http://schemas.openxmlformats.org/officeDocument/2006/relationships/image" Target="media/image1877.png"/><Relationship Id="rId1885" Type="http://schemas.openxmlformats.org/officeDocument/2006/relationships/image" Target="media/image1878.png"/><Relationship Id="rId1886" Type="http://schemas.openxmlformats.org/officeDocument/2006/relationships/image" Target="media/image1879.png"/><Relationship Id="rId1887" Type="http://schemas.openxmlformats.org/officeDocument/2006/relationships/image" Target="media/image1880.png"/><Relationship Id="rId1888" Type="http://schemas.openxmlformats.org/officeDocument/2006/relationships/image" Target="media/image1881.png"/><Relationship Id="rId1889" Type="http://schemas.openxmlformats.org/officeDocument/2006/relationships/image" Target="media/image1882.png"/><Relationship Id="rId1890" Type="http://schemas.openxmlformats.org/officeDocument/2006/relationships/image" Target="media/image1883.png"/><Relationship Id="rId1891" Type="http://schemas.openxmlformats.org/officeDocument/2006/relationships/image" Target="media/image1884.png"/><Relationship Id="rId1892" Type="http://schemas.openxmlformats.org/officeDocument/2006/relationships/image" Target="media/image1885.png"/><Relationship Id="rId1893" Type="http://schemas.openxmlformats.org/officeDocument/2006/relationships/image" Target="media/image1886.png"/><Relationship Id="rId1894" Type="http://schemas.openxmlformats.org/officeDocument/2006/relationships/image" Target="media/image1887.png"/><Relationship Id="rId1895" Type="http://schemas.openxmlformats.org/officeDocument/2006/relationships/image" Target="media/image1888.png"/><Relationship Id="rId1896" Type="http://schemas.openxmlformats.org/officeDocument/2006/relationships/image" Target="media/image1889.png"/><Relationship Id="rId1897" Type="http://schemas.openxmlformats.org/officeDocument/2006/relationships/image" Target="media/image1890.png"/><Relationship Id="rId1898" Type="http://schemas.openxmlformats.org/officeDocument/2006/relationships/image" Target="media/image1891.png"/><Relationship Id="rId1899" Type="http://schemas.openxmlformats.org/officeDocument/2006/relationships/image" Target="media/image1892.png"/><Relationship Id="rId1900" Type="http://schemas.openxmlformats.org/officeDocument/2006/relationships/image" Target="media/image1893.png"/><Relationship Id="rId1901" Type="http://schemas.openxmlformats.org/officeDocument/2006/relationships/image" Target="media/image1894.png"/><Relationship Id="rId1902" Type="http://schemas.openxmlformats.org/officeDocument/2006/relationships/image" Target="media/image1895.png"/><Relationship Id="rId1903" Type="http://schemas.openxmlformats.org/officeDocument/2006/relationships/image" Target="media/image1896.png"/><Relationship Id="rId1904" Type="http://schemas.openxmlformats.org/officeDocument/2006/relationships/image" Target="media/image1897.png"/><Relationship Id="rId1905" Type="http://schemas.openxmlformats.org/officeDocument/2006/relationships/image" Target="media/image1898.png"/><Relationship Id="rId1906" Type="http://schemas.openxmlformats.org/officeDocument/2006/relationships/image" Target="media/image1899.png"/><Relationship Id="rId1907" Type="http://schemas.openxmlformats.org/officeDocument/2006/relationships/image" Target="media/image1900.png"/><Relationship Id="rId1908" Type="http://schemas.openxmlformats.org/officeDocument/2006/relationships/image" Target="media/image1901.png"/><Relationship Id="rId1909" Type="http://schemas.openxmlformats.org/officeDocument/2006/relationships/image" Target="media/image1902.png"/><Relationship Id="rId1910" Type="http://schemas.openxmlformats.org/officeDocument/2006/relationships/image" Target="media/image1903.png"/><Relationship Id="rId1911" Type="http://schemas.openxmlformats.org/officeDocument/2006/relationships/image" Target="media/image1904.png"/><Relationship Id="rId1912" Type="http://schemas.openxmlformats.org/officeDocument/2006/relationships/image" Target="media/image1905.png"/><Relationship Id="rId1913" Type="http://schemas.openxmlformats.org/officeDocument/2006/relationships/image" Target="media/image1906.png"/><Relationship Id="rId1914" Type="http://schemas.openxmlformats.org/officeDocument/2006/relationships/image" Target="media/image1907.png"/><Relationship Id="rId1915" Type="http://schemas.openxmlformats.org/officeDocument/2006/relationships/image" Target="media/image1908.png"/><Relationship Id="rId1916" Type="http://schemas.openxmlformats.org/officeDocument/2006/relationships/image" Target="media/image1909.png"/><Relationship Id="rId1917" Type="http://schemas.openxmlformats.org/officeDocument/2006/relationships/image" Target="media/image1910.png"/><Relationship Id="rId1918" Type="http://schemas.openxmlformats.org/officeDocument/2006/relationships/image" Target="media/image1911.png"/><Relationship Id="rId1919" Type="http://schemas.openxmlformats.org/officeDocument/2006/relationships/image" Target="media/image1912.png"/><Relationship Id="rId1920" Type="http://schemas.openxmlformats.org/officeDocument/2006/relationships/image" Target="media/image1913.png"/><Relationship Id="rId1921" Type="http://schemas.openxmlformats.org/officeDocument/2006/relationships/image" Target="media/image1914.png"/><Relationship Id="rId1922" Type="http://schemas.openxmlformats.org/officeDocument/2006/relationships/image" Target="media/image1915.png"/><Relationship Id="rId1923" Type="http://schemas.openxmlformats.org/officeDocument/2006/relationships/image" Target="media/image1916.png"/><Relationship Id="rId1924" Type="http://schemas.openxmlformats.org/officeDocument/2006/relationships/image" Target="media/image1917.png"/><Relationship Id="rId1925" Type="http://schemas.openxmlformats.org/officeDocument/2006/relationships/image" Target="media/image1918.png"/><Relationship Id="rId1926" Type="http://schemas.openxmlformats.org/officeDocument/2006/relationships/image" Target="media/image1919.png"/><Relationship Id="rId1927" Type="http://schemas.openxmlformats.org/officeDocument/2006/relationships/image" Target="media/image1920.png"/><Relationship Id="rId1928" Type="http://schemas.openxmlformats.org/officeDocument/2006/relationships/image" Target="media/image1921.png"/><Relationship Id="rId1929" Type="http://schemas.openxmlformats.org/officeDocument/2006/relationships/image" Target="media/image1922.png"/><Relationship Id="rId1930" Type="http://schemas.openxmlformats.org/officeDocument/2006/relationships/image" Target="media/image1923.png"/><Relationship Id="rId1931" Type="http://schemas.openxmlformats.org/officeDocument/2006/relationships/image" Target="media/image1924.png"/><Relationship Id="rId1932" Type="http://schemas.openxmlformats.org/officeDocument/2006/relationships/image" Target="media/image1925.png"/><Relationship Id="rId1933" Type="http://schemas.openxmlformats.org/officeDocument/2006/relationships/image" Target="media/image1926.png"/><Relationship Id="rId1934" Type="http://schemas.openxmlformats.org/officeDocument/2006/relationships/image" Target="media/image1927.png"/><Relationship Id="rId1935" Type="http://schemas.openxmlformats.org/officeDocument/2006/relationships/image" Target="media/image1928.png"/><Relationship Id="rId1936" Type="http://schemas.openxmlformats.org/officeDocument/2006/relationships/image" Target="media/image1929.png"/><Relationship Id="rId1937" Type="http://schemas.openxmlformats.org/officeDocument/2006/relationships/image" Target="media/image1930.png"/><Relationship Id="rId1938" Type="http://schemas.openxmlformats.org/officeDocument/2006/relationships/image" Target="media/image1931.png"/><Relationship Id="rId1939" Type="http://schemas.openxmlformats.org/officeDocument/2006/relationships/image" Target="media/image1932.png"/><Relationship Id="rId1940" Type="http://schemas.openxmlformats.org/officeDocument/2006/relationships/image" Target="media/image1933.png"/><Relationship Id="rId1941" Type="http://schemas.openxmlformats.org/officeDocument/2006/relationships/image" Target="media/image1934.png"/><Relationship Id="rId1942" Type="http://schemas.openxmlformats.org/officeDocument/2006/relationships/image" Target="media/image1935.png"/><Relationship Id="rId1943" Type="http://schemas.openxmlformats.org/officeDocument/2006/relationships/image" Target="media/image1936.png"/><Relationship Id="rId1944" Type="http://schemas.openxmlformats.org/officeDocument/2006/relationships/image" Target="media/image1937.png"/><Relationship Id="rId1945" Type="http://schemas.openxmlformats.org/officeDocument/2006/relationships/image" Target="media/image1938.png"/><Relationship Id="rId1946" Type="http://schemas.openxmlformats.org/officeDocument/2006/relationships/image" Target="media/image1939.png"/><Relationship Id="rId1947" Type="http://schemas.openxmlformats.org/officeDocument/2006/relationships/image" Target="media/image1940.png"/><Relationship Id="rId1948" Type="http://schemas.openxmlformats.org/officeDocument/2006/relationships/image" Target="media/image1941.png"/><Relationship Id="rId1949" Type="http://schemas.openxmlformats.org/officeDocument/2006/relationships/image" Target="media/image1942.png"/><Relationship Id="rId1950" Type="http://schemas.openxmlformats.org/officeDocument/2006/relationships/image" Target="media/image1943.png"/><Relationship Id="rId1951" Type="http://schemas.openxmlformats.org/officeDocument/2006/relationships/image" Target="media/image1944.png"/><Relationship Id="rId1952" Type="http://schemas.openxmlformats.org/officeDocument/2006/relationships/image" Target="media/image1945.png"/><Relationship Id="rId1953" Type="http://schemas.openxmlformats.org/officeDocument/2006/relationships/image" Target="media/image1946.png"/><Relationship Id="rId1954" Type="http://schemas.openxmlformats.org/officeDocument/2006/relationships/image" Target="media/image1947.png"/><Relationship Id="rId1955" Type="http://schemas.openxmlformats.org/officeDocument/2006/relationships/image" Target="media/image1948.png"/><Relationship Id="rId1956" Type="http://schemas.openxmlformats.org/officeDocument/2006/relationships/image" Target="media/image1949.png"/><Relationship Id="rId1957" Type="http://schemas.openxmlformats.org/officeDocument/2006/relationships/image" Target="media/image1950.png"/><Relationship Id="rId1958" Type="http://schemas.openxmlformats.org/officeDocument/2006/relationships/image" Target="media/image1951.png"/><Relationship Id="rId1959" Type="http://schemas.openxmlformats.org/officeDocument/2006/relationships/image" Target="media/image1952.png"/><Relationship Id="rId1960" Type="http://schemas.openxmlformats.org/officeDocument/2006/relationships/image" Target="media/image1953.png"/><Relationship Id="rId1961" Type="http://schemas.openxmlformats.org/officeDocument/2006/relationships/image" Target="media/image1954.png"/><Relationship Id="rId1962" Type="http://schemas.openxmlformats.org/officeDocument/2006/relationships/image" Target="media/image1955.png"/><Relationship Id="rId1963" Type="http://schemas.openxmlformats.org/officeDocument/2006/relationships/image" Target="media/image1956.png"/><Relationship Id="rId1964" Type="http://schemas.openxmlformats.org/officeDocument/2006/relationships/image" Target="media/image1957.png"/><Relationship Id="rId1965" Type="http://schemas.openxmlformats.org/officeDocument/2006/relationships/image" Target="media/image1958.png"/><Relationship Id="rId1966" Type="http://schemas.openxmlformats.org/officeDocument/2006/relationships/image" Target="media/image1959.png"/><Relationship Id="rId1967" Type="http://schemas.openxmlformats.org/officeDocument/2006/relationships/image" Target="media/image1960.png"/><Relationship Id="rId1968" Type="http://schemas.openxmlformats.org/officeDocument/2006/relationships/image" Target="media/image1961.png"/><Relationship Id="rId1969" Type="http://schemas.openxmlformats.org/officeDocument/2006/relationships/image" Target="media/image1962.png"/><Relationship Id="rId1970" Type="http://schemas.openxmlformats.org/officeDocument/2006/relationships/image" Target="media/image1963.png"/><Relationship Id="rId1971" Type="http://schemas.openxmlformats.org/officeDocument/2006/relationships/image" Target="media/image1964.png"/><Relationship Id="rId1972" Type="http://schemas.openxmlformats.org/officeDocument/2006/relationships/image" Target="media/image1965.png"/><Relationship Id="rId1973" Type="http://schemas.openxmlformats.org/officeDocument/2006/relationships/image" Target="media/image1966.png"/><Relationship Id="rId1974" Type="http://schemas.openxmlformats.org/officeDocument/2006/relationships/image" Target="media/image1967.png"/><Relationship Id="rId1975" Type="http://schemas.openxmlformats.org/officeDocument/2006/relationships/image" Target="media/image1968.png"/><Relationship Id="rId1976" Type="http://schemas.openxmlformats.org/officeDocument/2006/relationships/image" Target="media/image1969.png"/><Relationship Id="rId1977" Type="http://schemas.openxmlformats.org/officeDocument/2006/relationships/image" Target="media/image1970.png"/><Relationship Id="rId1978" Type="http://schemas.openxmlformats.org/officeDocument/2006/relationships/image" Target="media/image1971.png"/><Relationship Id="rId1979" Type="http://schemas.openxmlformats.org/officeDocument/2006/relationships/image" Target="media/image1972.png"/><Relationship Id="rId1980" Type="http://schemas.openxmlformats.org/officeDocument/2006/relationships/image" Target="media/image1973.png"/><Relationship Id="rId1981" Type="http://schemas.openxmlformats.org/officeDocument/2006/relationships/image" Target="media/image1974.png"/><Relationship Id="rId1982" Type="http://schemas.openxmlformats.org/officeDocument/2006/relationships/image" Target="media/image1975.png"/><Relationship Id="rId1983" Type="http://schemas.openxmlformats.org/officeDocument/2006/relationships/image" Target="media/image1976.png"/><Relationship Id="rId1984" Type="http://schemas.openxmlformats.org/officeDocument/2006/relationships/image" Target="media/image1977.png"/><Relationship Id="rId1985" Type="http://schemas.openxmlformats.org/officeDocument/2006/relationships/image" Target="media/image1978.png"/><Relationship Id="rId1986" Type="http://schemas.openxmlformats.org/officeDocument/2006/relationships/image" Target="media/image1979.png"/><Relationship Id="rId1987" Type="http://schemas.openxmlformats.org/officeDocument/2006/relationships/image" Target="media/image1980.png"/><Relationship Id="rId1988" Type="http://schemas.openxmlformats.org/officeDocument/2006/relationships/image" Target="media/image1981.png"/><Relationship Id="rId1989" Type="http://schemas.openxmlformats.org/officeDocument/2006/relationships/image" Target="media/image1982.png"/><Relationship Id="rId1990" Type="http://schemas.openxmlformats.org/officeDocument/2006/relationships/image" Target="media/image1983.png"/><Relationship Id="rId1991" Type="http://schemas.openxmlformats.org/officeDocument/2006/relationships/image" Target="media/image1984.png"/><Relationship Id="rId1992" Type="http://schemas.openxmlformats.org/officeDocument/2006/relationships/image" Target="media/image1985.png"/><Relationship Id="rId1993" Type="http://schemas.openxmlformats.org/officeDocument/2006/relationships/image" Target="media/image1986.png"/><Relationship Id="rId1994" Type="http://schemas.openxmlformats.org/officeDocument/2006/relationships/image" Target="media/image1987.png"/><Relationship Id="rId1995" Type="http://schemas.openxmlformats.org/officeDocument/2006/relationships/image" Target="media/image1988.png"/><Relationship Id="rId1996" Type="http://schemas.openxmlformats.org/officeDocument/2006/relationships/image" Target="media/image1989.png"/><Relationship Id="rId1997" Type="http://schemas.openxmlformats.org/officeDocument/2006/relationships/image" Target="media/image1990.png"/><Relationship Id="rId1998" Type="http://schemas.openxmlformats.org/officeDocument/2006/relationships/image" Target="media/image1991.png"/><Relationship Id="rId1999" Type="http://schemas.openxmlformats.org/officeDocument/2006/relationships/image" Target="media/image1992.png"/><Relationship Id="rId2000" Type="http://schemas.openxmlformats.org/officeDocument/2006/relationships/image" Target="media/image1993.png"/><Relationship Id="rId2001" Type="http://schemas.openxmlformats.org/officeDocument/2006/relationships/image" Target="media/image1994.png"/><Relationship Id="rId2002" Type="http://schemas.openxmlformats.org/officeDocument/2006/relationships/image" Target="media/image1995.png"/><Relationship Id="rId2003" Type="http://schemas.openxmlformats.org/officeDocument/2006/relationships/image" Target="media/image1996.png"/><Relationship Id="rId2004" Type="http://schemas.openxmlformats.org/officeDocument/2006/relationships/image" Target="media/image1997.png"/><Relationship Id="rId2005" Type="http://schemas.openxmlformats.org/officeDocument/2006/relationships/image" Target="media/image1998.png"/><Relationship Id="rId2006" Type="http://schemas.openxmlformats.org/officeDocument/2006/relationships/image" Target="media/image1999.png"/><Relationship Id="rId2007" Type="http://schemas.openxmlformats.org/officeDocument/2006/relationships/image" Target="media/image2000.png"/><Relationship Id="rId2008" Type="http://schemas.openxmlformats.org/officeDocument/2006/relationships/image" Target="media/image2001.png"/><Relationship Id="rId2009" Type="http://schemas.openxmlformats.org/officeDocument/2006/relationships/image" Target="media/image2002.png"/><Relationship Id="rId2010" Type="http://schemas.openxmlformats.org/officeDocument/2006/relationships/image" Target="media/image2003.png"/><Relationship Id="rId2011" Type="http://schemas.openxmlformats.org/officeDocument/2006/relationships/image" Target="media/image2004.png"/><Relationship Id="rId2012" Type="http://schemas.openxmlformats.org/officeDocument/2006/relationships/image" Target="media/image2005.png"/><Relationship Id="rId2013" Type="http://schemas.openxmlformats.org/officeDocument/2006/relationships/image" Target="media/image2006.png"/><Relationship Id="rId2014" Type="http://schemas.openxmlformats.org/officeDocument/2006/relationships/image" Target="media/image2007.png"/><Relationship Id="rId2015" Type="http://schemas.openxmlformats.org/officeDocument/2006/relationships/image" Target="media/image2008.png"/><Relationship Id="rId2016" Type="http://schemas.openxmlformats.org/officeDocument/2006/relationships/image" Target="media/image2009.png"/><Relationship Id="rId2017" Type="http://schemas.openxmlformats.org/officeDocument/2006/relationships/image" Target="media/image2010.png"/><Relationship Id="rId2018" Type="http://schemas.openxmlformats.org/officeDocument/2006/relationships/image" Target="media/image2011.png"/><Relationship Id="rId2019" Type="http://schemas.openxmlformats.org/officeDocument/2006/relationships/image" Target="media/image2012.png"/><Relationship Id="rId2020" Type="http://schemas.openxmlformats.org/officeDocument/2006/relationships/image" Target="media/image2013.png"/><Relationship Id="rId2021" Type="http://schemas.openxmlformats.org/officeDocument/2006/relationships/image" Target="media/image2014.png"/><Relationship Id="rId2022" Type="http://schemas.openxmlformats.org/officeDocument/2006/relationships/image" Target="media/image2015.png"/><Relationship Id="rId2023" Type="http://schemas.openxmlformats.org/officeDocument/2006/relationships/image" Target="media/image2016.png"/><Relationship Id="rId2024" Type="http://schemas.openxmlformats.org/officeDocument/2006/relationships/image" Target="media/image2017.png"/><Relationship Id="rId2025" Type="http://schemas.openxmlformats.org/officeDocument/2006/relationships/image" Target="media/image2018.png"/><Relationship Id="rId2026" Type="http://schemas.openxmlformats.org/officeDocument/2006/relationships/image" Target="media/image2019.png"/><Relationship Id="rId2027" Type="http://schemas.openxmlformats.org/officeDocument/2006/relationships/image" Target="media/image2020.png"/><Relationship Id="rId2028" Type="http://schemas.openxmlformats.org/officeDocument/2006/relationships/image" Target="media/image2021.png"/><Relationship Id="rId2029" Type="http://schemas.openxmlformats.org/officeDocument/2006/relationships/image" Target="media/image2022.png"/><Relationship Id="rId2030" Type="http://schemas.openxmlformats.org/officeDocument/2006/relationships/image" Target="media/image2023.png"/><Relationship Id="rId2031" Type="http://schemas.openxmlformats.org/officeDocument/2006/relationships/image" Target="media/image2024.png"/><Relationship Id="rId2032" Type="http://schemas.openxmlformats.org/officeDocument/2006/relationships/image" Target="media/image2025.png"/><Relationship Id="rId2033" Type="http://schemas.openxmlformats.org/officeDocument/2006/relationships/image" Target="media/image2026.png"/><Relationship Id="rId2034" Type="http://schemas.openxmlformats.org/officeDocument/2006/relationships/image" Target="media/image2027.png"/><Relationship Id="rId2035" Type="http://schemas.openxmlformats.org/officeDocument/2006/relationships/image" Target="media/image2028.png"/><Relationship Id="rId2036" Type="http://schemas.openxmlformats.org/officeDocument/2006/relationships/image" Target="media/image2029.png"/><Relationship Id="rId2037" Type="http://schemas.openxmlformats.org/officeDocument/2006/relationships/image" Target="media/image2030.png"/><Relationship Id="rId2038" Type="http://schemas.openxmlformats.org/officeDocument/2006/relationships/image" Target="media/image2031.png"/><Relationship Id="rId2039" Type="http://schemas.openxmlformats.org/officeDocument/2006/relationships/image" Target="media/image2032.png"/><Relationship Id="rId2040" Type="http://schemas.openxmlformats.org/officeDocument/2006/relationships/image" Target="media/image2033.png"/><Relationship Id="rId2041" Type="http://schemas.openxmlformats.org/officeDocument/2006/relationships/image" Target="media/image2034.png"/><Relationship Id="rId2042" Type="http://schemas.openxmlformats.org/officeDocument/2006/relationships/image" Target="media/image2035.png"/><Relationship Id="rId2043" Type="http://schemas.openxmlformats.org/officeDocument/2006/relationships/image" Target="media/image2036.png"/><Relationship Id="rId2044" Type="http://schemas.openxmlformats.org/officeDocument/2006/relationships/image" Target="media/image2037.png"/><Relationship Id="rId2045" Type="http://schemas.openxmlformats.org/officeDocument/2006/relationships/image" Target="media/image2038.png"/><Relationship Id="rId2046" Type="http://schemas.openxmlformats.org/officeDocument/2006/relationships/image" Target="media/image2039.png"/><Relationship Id="rId2047" Type="http://schemas.openxmlformats.org/officeDocument/2006/relationships/image" Target="media/image2040.png"/><Relationship Id="rId2048" Type="http://schemas.openxmlformats.org/officeDocument/2006/relationships/image" Target="media/image2041.png"/><Relationship Id="rId2049" Type="http://schemas.openxmlformats.org/officeDocument/2006/relationships/image" Target="media/image2042.png"/><Relationship Id="rId2050" Type="http://schemas.openxmlformats.org/officeDocument/2006/relationships/image" Target="media/image2043.png"/><Relationship Id="rId2051" Type="http://schemas.openxmlformats.org/officeDocument/2006/relationships/image" Target="media/image2044.png"/><Relationship Id="rId2052" Type="http://schemas.openxmlformats.org/officeDocument/2006/relationships/image" Target="media/image2045.png"/><Relationship Id="rId2053" Type="http://schemas.openxmlformats.org/officeDocument/2006/relationships/image" Target="media/image2046.png"/><Relationship Id="rId2054" Type="http://schemas.openxmlformats.org/officeDocument/2006/relationships/image" Target="media/image2047.png"/><Relationship Id="rId2055" Type="http://schemas.openxmlformats.org/officeDocument/2006/relationships/image" Target="media/image2048.png"/><Relationship Id="rId2056" Type="http://schemas.openxmlformats.org/officeDocument/2006/relationships/image" Target="media/image2049.png"/><Relationship Id="rId2057" Type="http://schemas.openxmlformats.org/officeDocument/2006/relationships/image" Target="media/image2050.png"/><Relationship Id="rId2058" Type="http://schemas.openxmlformats.org/officeDocument/2006/relationships/image" Target="media/image2051.png"/><Relationship Id="rId2059" Type="http://schemas.openxmlformats.org/officeDocument/2006/relationships/image" Target="media/image2052.png"/><Relationship Id="rId2060" Type="http://schemas.openxmlformats.org/officeDocument/2006/relationships/image" Target="media/image2053.png"/><Relationship Id="rId2061" Type="http://schemas.openxmlformats.org/officeDocument/2006/relationships/image" Target="media/image2054.png"/><Relationship Id="rId2062" Type="http://schemas.openxmlformats.org/officeDocument/2006/relationships/image" Target="media/image2055.png"/><Relationship Id="rId2063" Type="http://schemas.openxmlformats.org/officeDocument/2006/relationships/image" Target="media/image2056.png"/><Relationship Id="rId2064" Type="http://schemas.openxmlformats.org/officeDocument/2006/relationships/image" Target="media/image2057.png"/><Relationship Id="rId2065" Type="http://schemas.openxmlformats.org/officeDocument/2006/relationships/image" Target="media/image2058.png"/><Relationship Id="rId2066" Type="http://schemas.openxmlformats.org/officeDocument/2006/relationships/image" Target="media/image2059.png"/><Relationship Id="rId2067" Type="http://schemas.openxmlformats.org/officeDocument/2006/relationships/image" Target="media/image2060.png"/><Relationship Id="rId2068" Type="http://schemas.openxmlformats.org/officeDocument/2006/relationships/image" Target="media/image2061.png"/><Relationship Id="rId2069" Type="http://schemas.openxmlformats.org/officeDocument/2006/relationships/image" Target="media/image2062.png"/><Relationship Id="rId2070" Type="http://schemas.openxmlformats.org/officeDocument/2006/relationships/image" Target="media/image2063.png"/><Relationship Id="rId2071" Type="http://schemas.openxmlformats.org/officeDocument/2006/relationships/image" Target="media/image2064.png"/><Relationship Id="rId2072" Type="http://schemas.openxmlformats.org/officeDocument/2006/relationships/image" Target="media/image2065.png"/><Relationship Id="rId2073" Type="http://schemas.openxmlformats.org/officeDocument/2006/relationships/image" Target="media/image2066.png"/><Relationship Id="rId2074" Type="http://schemas.openxmlformats.org/officeDocument/2006/relationships/image" Target="media/image2067.png"/><Relationship Id="rId2075" Type="http://schemas.openxmlformats.org/officeDocument/2006/relationships/image" Target="media/image2068.png"/><Relationship Id="rId2076" Type="http://schemas.openxmlformats.org/officeDocument/2006/relationships/image" Target="media/image2069.png"/><Relationship Id="rId2077" Type="http://schemas.openxmlformats.org/officeDocument/2006/relationships/image" Target="media/image2070.png"/><Relationship Id="rId2078" Type="http://schemas.openxmlformats.org/officeDocument/2006/relationships/image" Target="media/image2071.png"/><Relationship Id="rId2079" Type="http://schemas.openxmlformats.org/officeDocument/2006/relationships/image" Target="media/image2072.png"/><Relationship Id="rId2080" Type="http://schemas.openxmlformats.org/officeDocument/2006/relationships/image" Target="media/image2073.png"/><Relationship Id="rId2081" Type="http://schemas.openxmlformats.org/officeDocument/2006/relationships/image" Target="media/image2074.png"/><Relationship Id="rId2082" Type="http://schemas.openxmlformats.org/officeDocument/2006/relationships/image" Target="media/image2075.png"/><Relationship Id="rId2083" Type="http://schemas.openxmlformats.org/officeDocument/2006/relationships/image" Target="media/image2076.png"/><Relationship Id="rId2084" Type="http://schemas.openxmlformats.org/officeDocument/2006/relationships/image" Target="media/image2077.png"/><Relationship Id="rId2085" Type="http://schemas.openxmlformats.org/officeDocument/2006/relationships/image" Target="media/image2078.png"/><Relationship Id="rId2086" Type="http://schemas.openxmlformats.org/officeDocument/2006/relationships/image" Target="media/image2079.png"/><Relationship Id="rId2087" Type="http://schemas.openxmlformats.org/officeDocument/2006/relationships/image" Target="media/image2080.png"/><Relationship Id="rId2088" Type="http://schemas.openxmlformats.org/officeDocument/2006/relationships/image" Target="media/image2081.png"/><Relationship Id="rId2089" Type="http://schemas.openxmlformats.org/officeDocument/2006/relationships/image" Target="media/image2082.png"/><Relationship Id="rId2090" Type="http://schemas.openxmlformats.org/officeDocument/2006/relationships/image" Target="media/image2083.png"/><Relationship Id="rId2091" Type="http://schemas.openxmlformats.org/officeDocument/2006/relationships/image" Target="media/image2084.png"/><Relationship Id="rId2092" Type="http://schemas.openxmlformats.org/officeDocument/2006/relationships/image" Target="media/image2085.png"/><Relationship Id="rId2093" Type="http://schemas.openxmlformats.org/officeDocument/2006/relationships/image" Target="media/image2086.png"/><Relationship Id="rId2094" Type="http://schemas.openxmlformats.org/officeDocument/2006/relationships/image" Target="media/image2087.png"/><Relationship Id="rId2095" Type="http://schemas.openxmlformats.org/officeDocument/2006/relationships/image" Target="media/image2088.png"/><Relationship Id="rId2096" Type="http://schemas.openxmlformats.org/officeDocument/2006/relationships/image" Target="media/image2089.png"/><Relationship Id="rId2097" Type="http://schemas.openxmlformats.org/officeDocument/2006/relationships/image" Target="media/image2090.png"/><Relationship Id="rId2098" Type="http://schemas.openxmlformats.org/officeDocument/2006/relationships/image" Target="media/image2091.png"/><Relationship Id="rId2099" Type="http://schemas.openxmlformats.org/officeDocument/2006/relationships/image" Target="media/image2092.png"/><Relationship Id="rId2100" Type="http://schemas.openxmlformats.org/officeDocument/2006/relationships/image" Target="media/image2093.png"/><Relationship Id="rId2101" Type="http://schemas.openxmlformats.org/officeDocument/2006/relationships/image" Target="media/image2094.png"/><Relationship Id="rId2102" Type="http://schemas.openxmlformats.org/officeDocument/2006/relationships/image" Target="media/image2095.png"/><Relationship Id="rId2103" Type="http://schemas.openxmlformats.org/officeDocument/2006/relationships/image" Target="media/image2096.png"/><Relationship Id="rId2104" Type="http://schemas.openxmlformats.org/officeDocument/2006/relationships/image" Target="media/image2097.png"/><Relationship Id="rId2105" Type="http://schemas.openxmlformats.org/officeDocument/2006/relationships/image" Target="media/image2098.png"/><Relationship Id="rId2106" Type="http://schemas.openxmlformats.org/officeDocument/2006/relationships/image" Target="media/image2099.png"/><Relationship Id="rId2107" Type="http://schemas.openxmlformats.org/officeDocument/2006/relationships/image" Target="media/image2100.png"/><Relationship Id="rId2108" Type="http://schemas.openxmlformats.org/officeDocument/2006/relationships/image" Target="media/image2101.png"/><Relationship Id="rId2109" Type="http://schemas.openxmlformats.org/officeDocument/2006/relationships/image" Target="media/image2102.png"/><Relationship Id="rId2110" Type="http://schemas.openxmlformats.org/officeDocument/2006/relationships/image" Target="media/image2103.png"/><Relationship Id="rId2111" Type="http://schemas.openxmlformats.org/officeDocument/2006/relationships/image" Target="media/image2104.png"/><Relationship Id="rId2112" Type="http://schemas.openxmlformats.org/officeDocument/2006/relationships/image" Target="media/image2105.png"/><Relationship Id="rId2113" Type="http://schemas.openxmlformats.org/officeDocument/2006/relationships/image" Target="media/image2106.png"/><Relationship Id="rId2114" Type="http://schemas.openxmlformats.org/officeDocument/2006/relationships/image" Target="media/image2107.png"/><Relationship Id="rId2115" Type="http://schemas.openxmlformats.org/officeDocument/2006/relationships/image" Target="media/image2108.png"/><Relationship Id="rId2116" Type="http://schemas.openxmlformats.org/officeDocument/2006/relationships/image" Target="media/image2109.png"/><Relationship Id="rId2117" Type="http://schemas.openxmlformats.org/officeDocument/2006/relationships/image" Target="media/image2110.png"/><Relationship Id="rId2118" Type="http://schemas.openxmlformats.org/officeDocument/2006/relationships/image" Target="media/image2111.png"/><Relationship Id="rId2119" Type="http://schemas.openxmlformats.org/officeDocument/2006/relationships/image" Target="media/image2112.png"/><Relationship Id="rId2120" Type="http://schemas.openxmlformats.org/officeDocument/2006/relationships/image" Target="media/image2113.png"/><Relationship Id="rId2121" Type="http://schemas.openxmlformats.org/officeDocument/2006/relationships/image" Target="media/image2114.png"/><Relationship Id="rId2122" Type="http://schemas.openxmlformats.org/officeDocument/2006/relationships/image" Target="media/image2115.png"/><Relationship Id="rId2123" Type="http://schemas.openxmlformats.org/officeDocument/2006/relationships/image" Target="media/image2116.png"/><Relationship Id="rId2124" Type="http://schemas.openxmlformats.org/officeDocument/2006/relationships/image" Target="media/image2117.png"/><Relationship Id="rId2125" Type="http://schemas.openxmlformats.org/officeDocument/2006/relationships/image" Target="media/image2118.png"/><Relationship Id="rId2126" Type="http://schemas.openxmlformats.org/officeDocument/2006/relationships/image" Target="media/image2119.png"/><Relationship Id="rId2127" Type="http://schemas.openxmlformats.org/officeDocument/2006/relationships/image" Target="media/image2120.png"/><Relationship Id="rId2128" Type="http://schemas.openxmlformats.org/officeDocument/2006/relationships/image" Target="media/image2121.png"/><Relationship Id="rId2129" Type="http://schemas.openxmlformats.org/officeDocument/2006/relationships/image" Target="media/image2122.png"/><Relationship Id="rId2130" Type="http://schemas.openxmlformats.org/officeDocument/2006/relationships/image" Target="media/image2123.png"/><Relationship Id="rId2131" Type="http://schemas.openxmlformats.org/officeDocument/2006/relationships/image" Target="media/image2124.png"/><Relationship Id="rId2132" Type="http://schemas.openxmlformats.org/officeDocument/2006/relationships/image" Target="media/image2125.png"/><Relationship Id="rId2133" Type="http://schemas.openxmlformats.org/officeDocument/2006/relationships/image" Target="media/image2126.png"/><Relationship Id="rId2134" Type="http://schemas.openxmlformats.org/officeDocument/2006/relationships/image" Target="media/image2127.png"/><Relationship Id="rId2135" Type="http://schemas.openxmlformats.org/officeDocument/2006/relationships/image" Target="media/image2128.png"/><Relationship Id="rId2136" Type="http://schemas.openxmlformats.org/officeDocument/2006/relationships/image" Target="media/image2129.png"/><Relationship Id="rId2137" Type="http://schemas.openxmlformats.org/officeDocument/2006/relationships/image" Target="media/image2130.png"/><Relationship Id="rId2138" Type="http://schemas.openxmlformats.org/officeDocument/2006/relationships/image" Target="media/image2131.png"/><Relationship Id="rId2139" Type="http://schemas.openxmlformats.org/officeDocument/2006/relationships/image" Target="media/image2132.png"/><Relationship Id="rId2140" Type="http://schemas.openxmlformats.org/officeDocument/2006/relationships/image" Target="media/image2133.png"/><Relationship Id="rId2141" Type="http://schemas.openxmlformats.org/officeDocument/2006/relationships/image" Target="media/image2134.png"/><Relationship Id="rId2142" Type="http://schemas.openxmlformats.org/officeDocument/2006/relationships/image" Target="media/image2135.png"/><Relationship Id="rId2143" Type="http://schemas.openxmlformats.org/officeDocument/2006/relationships/image" Target="media/image2136.png"/><Relationship Id="rId2144" Type="http://schemas.openxmlformats.org/officeDocument/2006/relationships/image" Target="media/image2137.png"/><Relationship Id="rId2145" Type="http://schemas.openxmlformats.org/officeDocument/2006/relationships/image" Target="media/image2138.png"/><Relationship Id="rId2146" Type="http://schemas.openxmlformats.org/officeDocument/2006/relationships/image" Target="media/image2139.png"/><Relationship Id="rId2147" Type="http://schemas.openxmlformats.org/officeDocument/2006/relationships/image" Target="media/image2140.png"/><Relationship Id="rId2148" Type="http://schemas.openxmlformats.org/officeDocument/2006/relationships/image" Target="media/image2141.png"/><Relationship Id="rId2149" Type="http://schemas.openxmlformats.org/officeDocument/2006/relationships/image" Target="media/image2142.png"/><Relationship Id="rId2150" Type="http://schemas.openxmlformats.org/officeDocument/2006/relationships/image" Target="media/image2143.png"/><Relationship Id="rId2151" Type="http://schemas.openxmlformats.org/officeDocument/2006/relationships/image" Target="media/image2144.png"/><Relationship Id="rId2152" Type="http://schemas.openxmlformats.org/officeDocument/2006/relationships/image" Target="media/image2145.png"/><Relationship Id="rId2153" Type="http://schemas.openxmlformats.org/officeDocument/2006/relationships/image" Target="media/image2146.png"/><Relationship Id="rId2154" Type="http://schemas.openxmlformats.org/officeDocument/2006/relationships/image" Target="media/image2147.png"/><Relationship Id="rId2155" Type="http://schemas.openxmlformats.org/officeDocument/2006/relationships/image" Target="media/image2148.png"/><Relationship Id="rId2156" Type="http://schemas.openxmlformats.org/officeDocument/2006/relationships/image" Target="media/image2149.png"/><Relationship Id="rId2157" Type="http://schemas.openxmlformats.org/officeDocument/2006/relationships/image" Target="media/image2150.png"/><Relationship Id="rId2158" Type="http://schemas.openxmlformats.org/officeDocument/2006/relationships/image" Target="media/image2151.png"/><Relationship Id="rId2159" Type="http://schemas.openxmlformats.org/officeDocument/2006/relationships/image" Target="media/image2152.png"/><Relationship Id="rId2160" Type="http://schemas.openxmlformats.org/officeDocument/2006/relationships/image" Target="media/image2153.png"/><Relationship Id="rId2161" Type="http://schemas.openxmlformats.org/officeDocument/2006/relationships/image" Target="media/image2154.png"/><Relationship Id="rId2162" Type="http://schemas.openxmlformats.org/officeDocument/2006/relationships/image" Target="media/image2155.png"/><Relationship Id="rId2163" Type="http://schemas.openxmlformats.org/officeDocument/2006/relationships/image" Target="media/image2156.png"/><Relationship Id="rId2164" Type="http://schemas.openxmlformats.org/officeDocument/2006/relationships/image" Target="media/image2157.png"/><Relationship Id="rId2165" Type="http://schemas.openxmlformats.org/officeDocument/2006/relationships/image" Target="media/image2158.png"/><Relationship Id="rId2166" Type="http://schemas.openxmlformats.org/officeDocument/2006/relationships/image" Target="media/image2159.png"/><Relationship Id="rId2167" Type="http://schemas.openxmlformats.org/officeDocument/2006/relationships/image" Target="media/image2160.png"/><Relationship Id="rId2168" Type="http://schemas.openxmlformats.org/officeDocument/2006/relationships/image" Target="media/image2161.png"/><Relationship Id="rId2169" Type="http://schemas.openxmlformats.org/officeDocument/2006/relationships/image" Target="media/image2162.png"/><Relationship Id="rId2170" Type="http://schemas.openxmlformats.org/officeDocument/2006/relationships/image" Target="media/image2163.png"/><Relationship Id="rId2171" Type="http://schemas.openxmlformats.org/officeDocument/2006/relationships/image" Target="media/image2164.png"/><Relationship Id="rId2172" Type="http://schemas.openxmlformats.org/officeDocument/2006/relationships/image" Target="media/image2165.png"/><Relationship Id="rId2173" Type="http://schemas.openxmlformats.org/officeDocument/2006/relationships/image" Target="media/image2166.png"/><Relationship Id="rId2174" Type="http://schemas.openxmlformats.org/officeDocument/2006/relationships/image" Target="media/image2167.png"/><Relationship Id="rId2175" Type="http://schemas.openxmlformats.org/officeDocument/2006/relationships/image" Target="media/image2168.png"/><Relationship Id="rId2176" Type="http://schemas.openxmlformats.org/officeDocument/2006/relationships/image" Target="media/image2169.png"/><Relationship Id="rId2177" Type="http://schemas.openxmlformats.org/officeDocument/2006/relationships/image" Target="media/image2170.png"/><Relationship Id="rId2178" Type="http://schemas.openxmlformats.org/officeDocument/2006/relationships/image" Target="media/image2171.png"/><Relationship Id="rId2179" Type="http://schemas.openxmlformats.org/officeDocument/2006/relationships/image" Target="media/image2172.png"/><Relationship Id="rId2180" Type="http://schemas.openxmlformats.org/officeDocument/2006/relationships/image" Target="media/image2173.png"/><Relationship Id="rId2181" Type="http://schemas.openxmlformats.org/officeDocument/2006/relationships/image" Target="media/image2174.png"/><Relationship Id="rId2182" Type="http://schemas.openxmlformats.org/officeDocument/2006/relationships/image" Target="media/image2175.png"/><Relationship Id="rId2183" Type="http://schemas.openxmlformats.org/officeDocument/2006/relationships/image" Target="media/image2176.png"/><Relationship Id="rId2184" Type="http://schemas.openxmlformats.org/officeDocument/2006/relationships/image" Target="media/image2177.png"/><Relationship Id="rId2185" Type="http://schemas.openxmlformats.org/officeDocument/2006/relationships/image" Target="media/image2178.png"/><Relationship Id="rId2186" Type="http://schemas.openxmlformats.org/officeDocument/2006/relationships/image" Target="media/image2179.png"/><Relationship Id="rId2187" Type="http://schemas.openxmlformats.org/officeDocument/2006/relationships/image" Target="media/image2180.png"/><Relationship Id="rId2188" Type="http://schemas.openxmlformats.org/officeDocument/2006/relationships/image" Target="media/image2181.png"/><Relationship Id="rId2189" Type="http://schemas.openxmlformats.org/officeDocument/2006/relationships/image" Target="media/image2182.png"/><Relationship Id="rId2190" Type="http://schemas.openxmlformats.org/officeDocument/2006/relationships/image" Target="media/image2183.png"/><Relationship Id="rId2191" Type="http://schemas.openxmlformats.org/officeDocument/2006/relationships/image" Target="media/image2184.png"/><Relationship Id="rId2192" Type="http://schemas.openxmlformats.org/officeDocument/2006/relationships/image" Target="media/image2185.png"/><Relationship Id="rId2193" Type="http://schemas.openxmlformats.org/officeDocument/2006/relationships/image" Target="media/image2186.png"/><Relationship Id="rId2194" Type="http://schemas.openxmlformats.org/officeDocument/2006/relationships/image" Target="media/image2187.png"/><Relationship Id="rId2195" Type="http://schemas.openxmlformats.org/officeDocument/2006/relationships/image" Target="media/image2188.png"/><Relationship Id="rId2196" Type="http://schemas.openxmlformats.org/officeDocument/2006/relationships/image" Target="media/image2189.png"/><Relationship Id="rId2197" Type="http://schemas.openxmlformats.org/officeDocument/2006/relationships/image" Target="media/image2190.png"/><Relationship Id="rId2198" Type="http://schemas.openxmlformats.org/officeDocument/2006/relationships/image" Target="media/image2191.png"/><Relationship Id="rId2199" Type="http://schemas.openxmlformats.org/officeDocument/2006/relationships/image" Target="media/image2192.png"/><Relationship Id="rId2200" Type="http://schemas.openxmlformats.org/officeDocument/2006/relationships/image" Target="media/image2193.png"/><Relationship Id="rId2201" Type="http://schemas.openxmlformats.org/officeDocument/2006/relationships/image" Target="media/image2194.png"/><Relationship Id="rId2202" Type="http://schemas.openxmlformats.org/officeDocument/2006/relationships/image" Target="media/image2195.png"/><Relationship Id="rId2203" Type="http://schemas.openxmlformats.org/officeDocument/2006/relationships/image" Target="media/image2196.png"/><Relationship Id="rId2204" Type="http://schemas.openxmlformats.org/officeDocument/2006/relationships/image" Target="media/image2197.png"/><Relationship Id="rId2205" Type="http://schemas.openxmlformats.org/officeDocument/2006/relationships/image" Target="media/image2198.png"/><Relationship Id="rId2206" Type="http://schemas.openxmlformats.org/officeDocument/2006/relationships/image" Target="media/image2199.png"/><Relationship Id="rId2207" Type="http://schemas.openxmlformats.org/officeDocument/2006/relationships/image" Target="media/image2200.png"/><Relationship Id="rId2208" Type="http://schemas.openxmlformats.org/officeDocument/2006/relationships/image" Target="media/image2201.png"/><Relationship Id="rId2209" Type="http://schemas.openxmlformats.org/officeDocument/2006/relationships/image" Target="media/image2202.png"/><Relationship Id="rId2210" Type="http://schemas.openxmlformats.org/officeDocument/2006/relationships/image" Target="media/image2203.png"/><Relationship Id="rId2211" Type="http://schemas.openxmlformats.org/officeDocument/2006/relationships/image" Target="media/image2204.png"/><Relationship Id="rId2212" Type="http://schemas.openxmlformats.org/officeDocument/2006/relationships/image" Target="media/image2205.png"/><Relationship Id="rId2213" Type="http://schemas.openxmlformats.org/officeDocument/2006/relationships/image" Target="media/image2206.png"/><Relationship Id="rId2214" Type="http://schemas.openxmlformats.org/officeDocument/2006/relationships/image" Target="media/image2207.png"/><Relationship Id="rId2215" Type="http://schemas.openxmlformats.org/officeDocument/2006/relationships/image" Target="media/image2208.png"/><Relationship Id="rId2216" Type="http://schemas.openxmlformats.org/officeDocument/2006/relationships/image" Target="media/image2209.png"/><Relationship Id="rId2217" Type="http://schemas.openxmlformats.org/officeDocument/2006/relationships/image" Target="media/image2210.png"/><Relationship Id="rId2218" Type="http://schemas.openxmlformats.org/officeDocument/2006/relationships/image" Target="media/image2211.png"/><Relationship Id="rId2219" Type="http://schemas.openxmlformats.org/officeDocument/2006/relationships/image" Target="media/image2212.png"/><Relationship Id="rId2220" Type="http://schemas.openxmlformats.org/officeDocument/2006/relationships/image" Target="media/image2213.png"/><Relationship Id="rId2221" Type="http://schemas.openxmlformats.org/officeDocument/2006/relationships/image" Target="media/image2214.png"/><Relationship Id="rId2222" Type="http://schemas.openxmlformats.org/officeDocument/2006/relationships/image" Target="media/image2215.png"/><Relationship Id="rId2223" Type="http://schemas.openxmlformats.org/officeDocument/2006/relationships/image" Target="media/image2216.png"/><Relationship Id="rId2224" Type="http://schemas.openxmlformats.org/officeDocument/2006/relationships/image" Target="media/image2217.png"/><Relationship Id="rId2225" Type="http://schemas.openxmlformats.org/officeDocument/2006/relationships/image" Target="media/image2218.png"/><Relationship Id="rId2226" Type="http://schemas.openxmlformats.org/officeDocument/2006/relationships/image" Target="media/image2219.png"/><Relationship Id="rId2227" Type="http://schemas.openxmlformats.org/officeDocument/2006/relationships/image" Target="media/image2220.png"/><Relationship Id="rId2228" Type="http://schemas.openxmlformats.org/officeDocument/2006/relationships/image" Target="media/image2221.png"/><Relationship Id="rId2229" Type="http://schemas.openxmlformats.org/officeDocument/2006/relationships/image" Target="media/image2222.png"/><Relationship Id="rId2230" Type="http://schemas.openxmlformats.org/officeDocument/2006/relationships/image" Target="media/image2223.png"/><Relationship Id="rId2231" Type="http://schemas.openxmlformats.org/officeDocument/2006/relationships/image" Target="media/image2224.png"/><Relationship Id="rId2232" Type="http://schemas.openxmlformats.org/officeDocument/2006/relationships/image" Target="media/image2225.png"/><Relationship Id="rId2233" Type="http://schemas.openxmlformats.org/officeDocument/2006/relationships/image" Target="media/image2226.png"/><Relationship Id="rId2234" Type="http://schemas.openxmlformats.org/officeDocument/2006/relationships/image" Target="media/image2227.png"/><Relationship Id="rId2235" Type="http://schemas.openxmlformats.org/officeDocument/2006/relationships/image" Target="media/image2228.png"/><Relationship Id="rId2236" Type="http://schemas.openxmlformats.org/officeDocument/2006/relationships/image" Target="media/image2229.png"/><Relationship Id="rId2237" Type="http://schemas.openxmlformats.org/officeDocument/2006/relationships/image" Target="media/image2230.png"/><Relationship Id="rId2238" Type="http://schemas.openxmlformats.org/officeDocument/2006/relationships/image" Target="media/image2231.png"/><Relationship Id="rId2239" Type="http://schemas.openxmlformats.org/officeDocument/2006/relationships/image" Target="media/image2232.png"/><Relationship Id="rId2240" Type="http://schemas.openxmlformats.org/officeDocument/2006/relationships/image" Target="media/image2233.png"/><Relationship Id="rId2241" Type="http://schemas.openxmlformats.org/officeDocument/2006/relationships/image" Target="media/image2234.png"/><Relationship Id="rId2242" Type="http://schemas.openxmlformats.org/officeDocument/2006/relationships/image" Target="media/image2235.png"/><Relationship Id="rId2243" Type="http://schemas.openxmlformats.org/officeDocument/2006/relationships/image" Target="media/image2236.png"/><Relationship Id="rId2244" Type="http://schemas.openxmlformats.org/officeDocument/2006/relationships/image" Target="media/image2237.png"/><Relationship Id="rId2245" Type="http://schemas.openxmlformats.org/officeDocument/2006/relationships/image" Target="media/image2238.png"/><Relationship Id="rId2246" Type="http://schemas.openxmlformats.org/officeDocument/2006/relationships/image" Target="media/image2239.png"/><Relationship Id="rId2247" Type="http://schemas.openxmlformats.org/officeDocument/2006/relationships/image" Target="media/image2240.png"/><Relationship Id="rId2248" Type="http://schemas.openxmlformats.org/officeDocument/2006/relationships/image" Target="media/image2241.png"/><Relationship Id="rId2249" Type="http://schemas.openxmlformats.org/officeDocument/2006/relationships/image" Target="media/image2242.png"/><Relationship Id="rId2250" Type="http://schemas.openxmlformats.org/officeDocument/2006/relationships/image" Target="media/image2243.png"/><Relationship Id="rId2251" Type="http://schemas.openxmlformats.org/officeDocument/2006/relationships/image" Target="media/image2244.png"/><Relationship Id="rId2252" Type="http://schemas.openxmlformats.org/officeDocument/2006/relationships/image" Target="media/image2245.png"/><Relationship Id="rId2253" Type="http://schemas.openxmlformats.org/officeDocument/2006/relationships/image" Target="media/image2246.png"/><Relationship Id="rId2254" Type="http://schemas.openxmlformats.org/officeDocument/2006/relationships/image" Target="media/image2247.png"/><Relationship Id="rId2255" Type="http://schemas.openxmlformats.org/officeDocument/2006/relationships/image" Target="media/image2248.png"/><Relationship Id="rId2256" Type="http://schemas.openxmlformats.org/officeDocument/2006/relationships/image" Target="media/image2249.png"/><Relationship Id="rId2257" Type="http://schemas.openxmlformats.org/officeDocument/2006/relationships/image" Target="media/image2250.png"/><Relationship Id="rId2258" Type="http://schemas.openxmlformats.org/officeDocument/2006/relationships/image" Target="media/image2251.png"/><Relationship Id="rId2259" Type="http://schemas.openxmlformats.org/officeDocument/2006/relationships/image" Target="media/image2252.png"/><Relationship Id="rId2260" Type="http://schemas.openxmlformats.org/officeDocument/2006/relationships/image" Target="media/image2253.png"/><Relationship Id="rId2261" Type="http://schemas.openxmlformats.org/officeDocument/2006/relationships/image" Target="media/image2254.png"/><Relationship Id="rId2262" Type="http://schemas.openxmlformats.org/officeDocument/2006/relationships/image" Target="media/image2255.png"/><Relationship Id="rId2263" Type="http://schemas.openxmlformats.org/officeDocument/2006/relationships/image" Target="media/image2256.png"/><Relationship Id="rId2264" Type="http://schemas.openxmlformats.org/officeDocument/2006/relationships/image" Target="media/image2257.png"/><Relationship Id="rId2265" Type="http://schemas.openxmlformats.org/officeDocument/2006/relationships/image" Target="media/image2258.png"/><Relationship Id="rId2266" Type="http://schemas.openxmlformats.org/officeDocument/2006/relationships/image" Target="media/image2259.png"/><Relationship Id="rId2267" Type="http://schemas.openxmlformats.org/officeDocument/2006/relationships/image" Target="media/image2260.png"/><Relationship Id="rId2268" Type="http://schemas.openxmlformats.org/officeDocument/2006/relationships/image" Target="media/image2261.png"/><Relationship Id="rId2269" Type="http://schemas.openxmlformats.org/officeDocument/2006/relationships/image" Target="media/image2262.png"/><Relationship Id="rId2270" Type="http://schemas.openxmlformats.org/officeDocument/2006/relationships/image" Target="media/image2263.png"/><Relationship Id="rId2271" Type="http://schemas.openxmlformats.org/officeDocument/2006/relationships/image" Target="media/image2264.png"/><Relationship Id="rId2272" Type="http://schemas.openxmlformats.org/officeDocument/2006/relationships/image" Target="media/image2265.png"/><Relationship Id="rId2273" Type="http://schemas.openxmlformats.org/officeDocument/2006/relationships/image" Target="media/image2266.png"/><Relationship Id="rId2274" Type="http://schemas.openxmlformats.org/officeDocument/2006/relationships/image" Target="media/image2267.png"/><Relationship Id="rId2275" Type="http://schemas.openxmlformats.org/officeDocument/2006/relationships/image" Target="media/image2268.png"/><Relationship Id="rId2276" Type="http://schemas.openxmlformats.org/officeDocument/2006/relationships/image" Target="media/image2269.png"/><Relationship Id="rId2277" Type="http://schemas.openxmlformats.org/officeDocument/2006/relationships/image" Target="media/image2270.png"/><Relationship Id="rId2278" Type="http://schemas.openxmlformats.org/officeDocument/2006/relationships/image" Target="media/image2271.png"/><Relationship Id="rId2279" Type="http://schemas.openxmlformats.org/officeDocument/2006/relationships/image" Target="media/image2272.png"/><Relationship Id="rId2280" Type="http://schemas.openxmlformats.org/officeDocument/2006/relationships/image" Target="media/image2273.png"/><Relationship Id="rId2281" Type="http://schemas.openxmlformats.org/officeDocument/2006/relationships/image" Target="media/image2274.png"/><Relationship Id="rId2282" Type="http://schemas.openxmlformats.org/officeDocument/2006/relationships/image" Target="media/image2275.png"/><Relationship Id="rId2283" Type="http://schemas.openxmlformats.org/officeDocument/2006/relationships/image" Target="media/image2276.png"/><Relationship Id="rId2284" Type="http://schemas.openxmlformats.org/officeDocument/2006/relationships/image" Target="media/image2277.png"/><Relationship Id="rId2285" Type="http://schemas.openxmlformats.org/officeDocument/2006/relationships/image" Target="media/image2278.png"/><Relationship Id="rId2286" Type="http://schemas.openxmlformats.org/officeDocument/2006/relationships/image" Target="media/image2279.png"/><Relationship Id="rId2287" Type="http://schemas.openxmlformats.org/officeDocument/2006/relationships/image" Target="media/image2280.png"/><Relationship Id="rId2288" Type="http://schemas.openxmlformats.org/officeDocument/2006/relationships/image" Target="media/image2281.png"/><Relationship Id="rId2289" Type="http://schemas.openxmlformats.org/officeDocument/2006/relationships/image" Target="media/image2282.png"/><Relationship Id="rId2290" Type="http://schemas.openxmlformats.org/officeDocument/2006/relationships/image" Target="media/image2283.png"/><Relationship Id="rId2291" Type="http://schemas.openxmlformats.org/officeDocument/2006/relationships/image" Target="media/image2284.png"/><Relationship Id="rId2292" Type="http://schemas.openxmlformats.org/officeDocument/2006/relationships/image" Target="media/image2285.png"/><Relationship Id="rId2293" Type="http://schemas.openxmlformats.org/officeDocument/2006/relationships/image" Target="media/image2286.png"/><Relationship Id="rId2294" Type="http://schemas.openxmlformats.org/officeDocument/2006/relationships/image" Target="media/image2287.png"/><Relationship Id="rId2295" Type="http://schemas.openxmlformats.org/officeDocument/2006/relationships/image" Target="media/image2288.png"/><Relationship Id="rId2296" Type="http://schemas.openxmlformats.org/officeDocument/2006/relationships/image" Target="media/image2289.png"/><Relationship Id="rId2297" Type="http://schemas.openxmlformats.org/officeDocument/2006/relationships/image" Target="media/image2290.png"/><Relationship Id="rId2298" Type="http://schemas.openxmlformats.org/officeDocument/2006/relationships/image" Target="media/image2291.png"/><Relationship Id="rId2299" Type="http://schemas.openxmlformats.org/officeDocument/2006/relationships/image" Target="media/image2292.png"/><Relationship Id="rId2300" Type="http://schemas.openxmlformats.org/officeDocument/2006/relationships/image" Target="media/image2293.png"/><Relationship Id="rId2301" Type="http://schemas.openxmlformats.org/officeDocument/2006/relationships/image" Target="media/image2294.png"/><Relationship Id="rId2302" Type="http://schemas.openxmlformats.org/officeDocument/2006/relationships/image" Target="media/image2295.png"/><Relationship Id="rId2303" Type="http://schemas.openxmlformats.org/officeDocument/2006/relationships/image" Target="media/image2296.png"/><Relationship Id="rId2304" Type="http://schemas.openxmlformats.org/officeDocument/2006/relationships/image" Target="media/image2297.png"/><Relationship Id="rId2305" Type="http://schemas.openxmlformats.org/officeDocument/2006/relationships/image" Target="media/image2298.png"/><Relationship Id="rId2306" Type="http://schemas.openxmlformats.org/officeDocument/2006/relationships/image" Target="media/image2299.png"/><Relationship Id="rId2307" Type="http://schemas.openxmlformats.org/officeDocument/2006/relationships/image" Target="media/image2300.png"/><Relationship Id="rId2308" Type="http://schemas.openxmlformats.org/officeDocument/2006/relationships/image" Target="media/image2301.png"/><Relationship Id="rId2309" Type="http://schemas.openxmlformats.org/officeDocument/2006/relationships/image" Target="media/image2302.png"/><Relationship Id="rId2310" Type="http://schemas.openxmlformats.org/officeDocument/2006/relationships/image" Target="media/image2303.png"/><Relationship Id="rId2311" Type="http://schemas.openxmlformats.org/officeDocument/2006/relationships/image" Target="media/image2304.png"/><Relationship Id="rId2312" Type="http://schemas.openxmlformats.org/officeDocument/2006/relationships/image" Target="media/image2305.png"/><Relationship Id="rId2313" Type="http://schemas.openxmlformats.org/officeDocument/2006/relationships/image" Target="media/image2306.png"/><Relationship Id="rId2314" Type="http://schemas.openxmlformats.org/officeDocument/2006/relationships/image" Target="media/image2307.png"/><Relationship Id="rId2315" Type="http://schemas.openxmlformats.org/officeDocument/2006/relationships/image" Target="media/image2308.png"/><Relationship Id="rId2316" Type="http://schemas.openxmlformats.org/officeDocument/2006/relationships/image" Target="media/image2309.png"/><Relationship Id="rId2317" Type="http://schemas.openxmlformats.org/officeDocument/2006/relationships/image" Target="media/image2310.png"/><Relationship Id="rId2318" Type="http://schemas.openxmlformats.org/officeDocument/2006/relationships/image" Target="media/image2311.png"/><Relationship Id="rId2319" Type="http://schemas.openxmlformats.org/officeDocument/2006/relationships/image" Target="media/image2312.png"/><Relationship Id="rId2320" Type="http://schemas.openxmlformats.org/officeDocument/2006/relationships/image" Target="media/image2313.png"/><Relationship Id="rId2321" Type="http://schemas.openxmlformats.org/officeDocument/2006/relationships/image" Target="media/image2314.png"/><Relationship Id="rId2322" Type="http://schemas.openxmlformats.org/officeDocument/2006/relationships/image" Target="media/image2315.png"/><Relationship Id="rId2323" Type="http://schemas.openxmlformats.org/officeDocument/2006/relationships/image" Target="media/image2316.png"/><Relationship Id="rId2324" Type="http://schemas.openxmlformats.org/officeDocument/2006/relationships/image" Target="media/image2317.png"/><Relationship Id="rId2325" Type="http://schemas.openxmlformats.org/officeDocument/2006/relationships/image" Target="media/image2318.png"/><Relationship Id="rId2326" Type="http://schemas.openxmlformats.org/officeDocument/2006/relationships/image" Target="media/image2319.png"/><Relationship Id="rId2327" Type="http://schemas.openxmlformats.org/officeDocument/2006/relationships/image" Target="media/image2320.png"/><Relationship Id="rId2328" Type="http://schemas.openxmlformats.org/officeDocument/2006/relationships/image" Target="media/image2321.png"/><Relationship Id="rId2329" Type="http://schemas.openxmlformats.org/officeDocument/2006/relationships/image" Target="media/image2322.png"/><Relationship Id="rId2330" Type="http://schemas.openxmlformats.org/officeDocument/2006/relationships/image" Target="media/image2323.png"/><Relationship Id="rId2331" Type="http://schemas.openxmlformats.org/officeDocument/2006/relationships/image" Target="media/image2324.png"/><Relationship Id="rId2332" Type="http://schemas.openxmlformats.org/officeDocument/2006/relationships/image" Target="media/image2325.png"/><Relationship Id="rId2333" Type="http://schemas.openxmlformats.org/officeDocument/2006/relationships/image" Target="media/image2326.png"/><Relationship Id="rId2334" Type="http://schemas.openxmlformats.org/officeDocument/2006/relationships/image" Target="media/image2327.png"/><Relationship Id="rId2335" Type="http://schemas.openxmlformats.org/officeDocument/2006/relationships/image" Target="media/image2328.png"/><Relationship Id="rId2336" Type="http://schemas.openxmlformats.org/officeDocument/2006/relationships/image" Target="media/image2329.png"/><Relationship Id="rId2337" Type="http://schemas.openxmlformats.org/officeDocument/2006/relationships/image" Target="media/image2330.png"/><Relationship Id="rId2338" Type="http://schemas.openxmlformats.org/officeDocument/2006/relationships/image" Target="media/image2331.png"/><Relationship Id="rId2339" Type="http://schemas.openxmlformats.org/officeDocument/2006/relationships/image" Target="media/image2332.png"/><Relationship Id="rId2340" Type="http://schemas.openxmlformats.org/officeDocument/2006/relationships/image" Target="media/image2333.png"/><Relationship Id="rId2341" Type="http://schemas.openxmlformats.org/officeDocument/2006/relationships/image" Target="media/image2334.png"/><Relationship Id="rId2342" Type="http://schemas.openxmlformats.org/officeDocument/2006/relationships/image" Target="media/image2335.png"/><Relationship Id="rId2343" Type="http://schemas.openxmlformats.org/officeDocument/2006/relationships/image" Target="media/image2336.png"/><Relationship Id="rId2344" Type="http://schemas.openxmlformats.org/officeDocument/2006/relationships/image" Target="media/image2337.png"/><Relationship Id="rId2345" Type="http://schemas.openxmlformats.org/officeDocument/2006/relationships/image" Target="media/image2338.png"/><Relationship Id="rId2346" Type="http://schemas.openxmlformats.org/officeDocument/2006/relationships/image" Target="media/image2339.png"/><Relationship Id="rId2347" Type="http://schemas.openxmlformats.org/officeDocument/2006/relationships/image" Target="media/image2340.png"/><Relationship Id="rId2348" Type="http://schemas.openxmlformats.org/officeDocument/2006/relationships/image" Target="media/image2341.png"/><Relationship Id="rId2349" Type="http://schemas.openxmlformats.org/officeDocument/2006/relationships/image" Target="media/image2342.png"/><Relationship Id="rId2350" Type="http://schemas.openxmlformats.org/officeDocument/2006/relationships/image" Target="media/image2343.png"/><Relationship Id="rId2351" Type="http://schemas.openxmlformats.org/officeDocument/2006/relationships/image" Target="media/image2344.png"/><Relationship Id="rId2352" Type="http://schemas.openxmlformats.org/officeDocument/2006/relationships/image" Target="media/image2345.png"/><Relationship Id="rId2353" Type="http://schemas.openxmlformats.org/officeDocument/2006/relationships/image" Target="media/image2346.png"/><Relationship Id="rId2354" Type="http://schemas.openxmlformats.org/officeDocument/2006/relationships/image" Target="media/image2347.png"/><Relationship Id="rId2355" Type="http://schemas.openxmlformats.org/officeDocument/2006/relationships/image" Target="media/image2348.png"/><Relationship Id="rId2356" Type="http://schemas.openxmlformats.org/officeDocument/2006/relationships/image" Target="media/image2349.png"/><Relationship Id="rId2357" Type="http://schemas.openxmlformats.org/officeDocument/2006/relationships/image" Target="media/image2350.png"/><Relationship Id="rId2358" Type="http://schemas.openxmlformats.org/officeDocument/2006/relationships/image" Target="media/image2351.png"/><Relationship Id="rId2359" Type="http://schemas.openxmlformats.org/officeDocument/2006/relationships/image" Target="media/image2352.png"/><Relationship Id="rId2360" Type="http://schemas.openxmlformats.org/officeDocument/2006/relationships/image" Target="media/image2353.png"/><Relationship Id="rId2361" Type="http://schemas.openxmlformats.org/officeDocument/2006/relationships/image" Target="media/image2354.png"/><Relationship Id="rId2362" Type="http://schemas.openxmlformats.org/officeDocument/2006/relationships/image" Target="media/image2355.png"/><Relationship Id="rId2363" Type="http://schemas.openxmlformats.org/officeDocument/2006/relationships/image" Target="media/image2356.png"/><Relationship Id="rId2364" Type="http://schemas.openxmlformats.org/officeDocument/2006/relationships/image" Target="media/image2357.png"/><Relationship Id="rId2365" Type="http://schemas.openxmlformats.org/officeDocument/2006/relationships/image" Target="media/image2358.png"/><Relationship Id="rId2366" Type="http://schemas.openxmlformats.org/officeDocument/2006/relationships/image" Target="media/image2359.png"/><Relationship Id="rId2367" Type="http://schemas.openxmlformats.org/officeDocument/2006/relationships/image" Target="media/image2360.png"/><Relationship Id="rId2368" Type="http://schemas.openxmlformats.org/officeDocument/2006/relationships/image" Target="media/image2361.png"/><Relationship Id="rId2369" Type="http://schemas.openxmlformats.org/officeDocument/2006/relationships/image" Target="media/image2362.png"/><Relationship Id="rId2370" Type="http://schemas.openxmlformats.org/officeDocument/2006/relationships/image" Target="media/image2363.png"/><Relationship Id="rId2371" Type="http://schemas.openxmlformats.org/officeDocument/2006/relationships/image" Target="media/image2364.png"/><Relationship Id="rId2372" Type="http://schemas.openxmlformats.org/officeDocument/2006/relationships/image" Target="media/image2365.png"/><Relationship Id="rId2373" Type="http://schemas.openxmlformats.org/officeDocument/2006/relationships/image" Target="media/image2366.png"/><Relationship Id="rId2374" Type="http://schemas.openxmlformats.org/officeDocument/2006/relationships/image" Target="media/image2367.png"/><Relationship Id="rId2375" Type="http://schemas.openxmlformats.org/officeDocument/2006/relationships/image" Target="media/image2368.png"/><Relationship Id="rId2376" Type="http://schemas.openxmlformats.org/officeDocument/2006/relationships/image" Target="media/image2369.png"/><Relationship Id="rId2377" Type="http://schemas.openxmlformats.org/officeDocument/2006/relationships/image" Target="media/image2370.png"/><Relationship Id="rId2378" Type="http://schemas.openxmlformats.org/officeDocument/2006/relationships/image" Target="media/image2371.png"/><Relationship Id="rId2379" Type="http://schemas.openxmlformats.org/officeDocument/2006/relationships/image" Target="media/image2372.png"/><Relationship Id="rId2380" Type="http://schemas.openxmlformats.org/officeDocument/2006/relationships/image" Target="media/image2373.png"/><Relationship Id="rId2381" Type="http://schemas.openxmlformats.org/officeDocument/2006/relationships/image" Target="media/image2374.png"/><Relationship Id="rId2382" Type="http://schemas.openxmlformats.org/officeDocument/2006/relationships/image" Target="media/image2375.png"/><Relationship Id="rId2383" Type="http://schemas.openxmlformats.org/officeDocument/2006/relationships/image" Target="media/image2376.png"/><Relationship Id="rId2384" Type="http://schemas.openxmlformats.org/officeDocument/2006/relationships/image" Target="media/image2377.png"/><Relationship Id="rId2385" Type="http://schemas.openxmlformats.org/officeDocument/2006/relationships/image" Target="media/image2378.png"/><Relationship Id="rId2386" Type="http://schemas.openxmlformats.org/officeDocument/2006/relationships/image" Target="media/image2379.png"/><Relationship Id="rId2387" Type="http://schemas.openxmlformats.org/officeDocument/2006/relationships/image" Target="media/image2380.png"/><Relationship Id="rId2388" Type="http://schemas.openxmlformats.org/officeDocument/2006/relationships/image" Target="media/image2381.png"/><Relationship Id="rId2389" Type="http://schemas.openxmlformats.org/officeDocument/2006/relationships/image" Target="media/image2382.png"/><Relationship Id="rId2390" Type="http://schemas.openxmlformats.org/officeDocument/2006/relationships/image" Target="media/image2383.png"/><Relationship Id="rId2391" Type="http://schemas.openxmlformats.org/officeDocument/2006/relationships/image" Target="media/image2384.png"/><Relationship Id="rId2392" Type="http://schemas.openxmlformats.org/officeDocument/2006/relationships/image" Target="media/image2385.png"/><Relationship Id="rId2393" Type="http://schemas.openxmlformats.org/officeDocument/2006/relationships/image" Target="media/image2386.png"/><Relationship Id="rId2394" Type="http://schemas.openxmlformats.org/officeDocument/2006/relationships/image" Target="media/image2387.png"/><Relationship Id="rId2395" Type="http://schemas.openxmlformats.org/officeDocument/2006/relationships/image" Target="media/image2388.png"/><Relationship Id="rId2396" Type="http://schemas.openxmlformats.org/officeDocument/2006/relationships/image" Target="media/image2389.png"/><Relationship Id="rId2397" Type="http://schemas.openxmlformats.org/officeDocument/2006/relationships/image" Target="media/image2390.png"/><Relationship Id="rId2398" Type="http://schemas.openxmlformats.org/officeDocument/2006/relationships/image" Target="media/image2391.png"/><Relationship Id="rId2399" Type="http://schemas.openxmlformats.org/officeDocument/2006/relationships/image" Target="media/image2392.png"/><Relationship Id="rId2400" Type="http://schemas.openxmlformats.org/officeDocument/2006/relationships/image" Target="media/image2393.png"/><Relationship Id="rId2401" Type="http://schemas.openxmlformats.org/officeDocument/2006/relationships/image" Target="media/image2394.png"/><Relationship Id="rId2402" Type="http://schemas.openxmlformats.org/officeDocument/2006/relationships/image" Target="media/image2395.png"/><Relationship Id="rId2403" Type="http://schemas.openxmlformats.org/officeDocument/2006/relationships/image" Target="media/image2396.png"/><Relationship Id="rId2404" Type="http://schemas.openxmlformats.org/officeDocument/2006/relationships/image" Target="media/image2397.png"/><Relationship Id="rId2405" Type="http://schemas.openxmlformats.org/officeDocument/2006/relationships/image" Target="media/image2398.png"/><Relationship Id="rId2406" Type="http://schemas.openxmlformats.org/officeDocument/2006/relationships/image" Target="media/image2399.png"/><Relationship Id="rId2407" Type="http://schemas.openxmlformats.org/officeDocument/2006/relationships/image" Target="media/image2400.png"/><Relationship Id="rId2408" Type="http://schemas.openxmlformats.org/officeDocument/2006/relationships/image" Target="media/image2401.png"/><Relationship Id="rId2409" Type="http://schemas.openxmlformats.org/officeDocument/2006/relationships/image" Target="media/image2402.png"/><Relationship Id="rId2410" Type="http://schemas.openxmlformats.org/officeDocument/2006/relationships/image" Target="media/image2403.png"/><Relationship Id="rId2411" Type="http://schemas.openxmlformats.org/officeDocument/2006/relationships/image" Target="media/image2404.png"/><Relationship Id="rId2412" Type="http://schemas.openxmlformats.org/officeDocument/2006/relationships/image" Target="media/image2405.png"/><Relationship Id="rId2413" Type="http://schemas.openxmlformats.org/officeDocument/2006/relationships/image" Target="media/image2406.png"/><Relationship Id="rId2414" Type="http://schemas.openxmlformats.org/officeDocument/2006/relationships/image" Target="media/image2407.png"/><Relationship Id="rId2415" Type="http://schemas.openxmlformats.org/officeDocument/2006/relationships/image" Target="media/image2408.png"/><Relationship Id="rId2416" Type="http://schemas.openxmlformats.org/officeDocument/2006/relationships/image" Target="media/image2409.png"/><Relationship Id="rId2417" Type="http://schemas.openxmlformats.org/officeDocument/2006/relationships/image" Target="media/image2410.png"/><Relationship Id="rId2418" Type="http://schemas.openxmlformats.org/officeDocument/2006/relationships/image" Target="media/image2411.png"/><Relationship Id="rId2419" Type="http://schemas.openxmlformats.org/officeDocument/2006/relationships/image" Target="media/image2412.png"/><Relationship Id="rId2420" Type="http://schemas.openxmlformats.org/officeDocument/2006/relationships/image" Target="media/image2413.png"/><Relationship Id="rId2421" Type="http://schemas.openxmlformats.org/officeDocument/2006/relationships/image" Target="media/image2414.png"/><Relationship Id="rId2422" Type="http://schemas.openxmlformats.org/officeDocument/2006/relationships/image" Target="media/image2415.png"/><Relationship Id="rId2423" Type="http://schemas.openxmlformats.org/officeDocument/2006/relationships/image" Target="media/image2416.png"/><Relationship Id="rId2424" Type="http://schemas.openxmlformats.org/officeDocument/2006/relationships/image" Target="media/image2417.png"/><Relationship Id="rId2425" Type="http://schemas.openxmlformats.org/officeDocument/2006/relationships/image" Target="media/image2418.png"/><Relationship Id="rId2426" Type="http://schemas.openxmlformats.org/officeDocument/2006/relationships/image" Target="media/image2419.png"/><Relationship Id="rId2427" Type="http://schemas.openxmlformats.org/officeDocument/2006/relationships/image" Target="media/image2420.png"/><Relationship Id="rId2428" Type="http://schemas.openxmlformats.org/officeDocument/2006/relationships/image" Target="media/image2421.png"/><Relationship Id="rId2429" Type="http://schemas.openxmlformats.org/officeDocument/2006/relationships/image" Target="media/image2422.png"/><Relationship Id="rId2430" Type="http://schemas.openxmlformats.org/officeDocument/2006/relationships/image" Target="media/image2423.png"/><Relationship Id="rId2431" Type="http://schemas.openxmlformats.org/officeDocument/2006/relationships/image" Target="media/image2424.png"/><Relationship Id="rId2432" Type="http://schemas.openxmlformats.org/officeDocument/2006/relationships/image" Target="media/image2425.png"/><Relationship Id="rId2433" Type="http://schemas.openxmlformats.org/officeDocument/2006/relationships/image" Target="media/image2426.png"/><Relationship Id="rId2434" Type="http://schemas.openxmlformats.org/officeDocument/2006/relationships/image" Target="media/image2427.png"/><Relationship Id="rId2435" Type="http://schemas.openxmlformats.org/officeDocument/2006/relationships/image" Target="media/image2428.png"/><Relationship Id="rId2436" Type="http://schemas.openxmlformats.org/officeDocument/2006/relationships/image" Target="media/image2429.png"/><Relationship Id="rId2437" Type="http://schemas.openxmlformats.org/officeDocument/2006/relationships/image" Target="media/image2430.png"/><Relationship Id="rId2438" Type="http://schemas.openxmlformats.org/officeDocument/2006/relationships/image" Target="media/image2431.png"/><Relationship Id="rId2439" Type="http://schemas.openxmlformats.org/officeDocument/2006/relationships/image" Target="media/image2432.png"/><Relationship Id="rId2440" Type="http://schemas.openxmlformats.org/officeDocument/2006/relationships/image" Target="media/image2433.png"/><Relationship Id="rId2441" Type="http://schemas.openxmlformats.org/officeDocument/2006/relationships/image" Target="media/image2434.png"/><Relationship Id="rId2442" Type="http://schemas.openxmlformats.org/officeDocument/2006/relationships/image" Target="media/image2435.png"/><Relationship Id="rId2443" Type="http://schemas.openxmlformats.org/officeDocument/2006/relationships/image" Target="media/image2436.png"/><Relationship Id="rId2444" Type="http://schemas.openxmlformats.org/officeDocument/2006/relationships/image" Target="media/image2437.png"/><Relationship Id="rId2445" Type="http://schemas.openxmlformats.org/officeDocument/2006/relationships/image" Target="media/image2438.png"/><Relationship Id="rId2446" Type="http://schemas.openxmlformats.org/officeDocument/2006/relationships/image" Target="media/image2439.png"/><Relationship Id="rId2447" Type="http://schemas.openxmlformats.org/officeDocument/2006/relationships/image" Target="media/image2440.png"/><Relationship Id="rId2448" Type="http://schemas.openxmlformats.org/officeDocument/2006/relationships/image" Target="media/image2441.png"/><Relationship Id="rId2449" Type="http://schemas.openxmlformats.org/officeDocument/2006/relationships/image" Target="media/image2442.png"/><Relationship Id="rId2450" Type="http://schemas.openxmlformats.org/officeDocument/2006/relationships/image" Target="media/image2443.png"/><Relationship Id="rId2451" Type="http://schemas.openxmlformats.org/officeDocument/2006/relationships/image" Target="media/image2444.png"/><Relationship Id="rId2452" Type="http://schemas.openxmlformats.org/officeDocument/2006/relationships/image" Target="media/image2445.png"/><Relationship Id="rId2453" Type="http://schemas.openxmlformats.org/officeDocument/2006/relationships/image" Target="media/image2446.png"/><Relationship Id="rId2454" Type="http://schemas.openxmlformats.org/officeDocument/2006/relationships/image" Target="media/image2447.png"/><Relationship Id="rId2455" Type="http://schemas.openxmlformats.org/officeDocument/2006/relationships/image" Target="media/image2448.png"/><Relationship Id="rId2456" Type="http://schemas.openxmlformats.org/officeDocument/2006/relationships/image" Target="media/image2449.png"/><Relationship Id="rId2457" Type="http://schemas.openxmlformats.org/officeDocument/2006/relationships/image" Target="media/image2450.png"/><Relationship Id="rId2458" Type="http://schemas.openxmlformats.org/officeDocument/2006/relationships/image" Target="media/image2451.png"/><Relationship Id="rId2459" Type="http://schemas.openxmlformats.org/officeDocument/2006/relationships/image" Target="media/image2452.png"/><Relationship Id="rId2460" Type="http://schemas.openxmlformats.org/officeDocument/2006/relationships/image" Target="media/image2453.png"/><Relationship Id="rId2461" Type="http://schemas.openxmlformats.org/officeDocument/2006/relationships/image" Target="media/image2454.png"/><Relationship Id="rId2462" Type="http://schemas.openxmlformats.org/officeDocument/2006/relationships/image" Target="media/image2455.png"/><Relationship Id="rId2463" Type="http://schemas.openxmlformats.org/officeDocument/2006/relationships/image" Target="media/image2456.png"/><Relationship Id="rId2464" Type="http://schemas.openxmlformats.org/officeDocument/2006/relationships/image" Target="media/image2457.png"/><Relationship Id="rId2465" Type="http://schemas.openxmlformats.org/officeDocument/2006/relationships/image" Target="media/image2458.png"/><Relationship Id="rId2466" Type="http://schemas.openxmlformats.org/officeDocument/2006/relationships/image" Target="media/image2459.png"/><Relationship Id="rId2467" Type="http://schemas.openxmlformats.org/officeDocument/2006/relationships/image" Target="media/image2460.png"/><Relationship Id="rId2468" Type="http://schemas.openxmlformats.org/officeDocument/2006/relationships/image" Target="media/image2461.png"/><Relationship Id="rId2469" Type="http://schemas.openxmlformats.org/officeDocument/2006/relationships/image" Target="media/image2462.png"/><Relationship Id="rId2470" Type="http://schemas.openxmlformats.org/officeDocument/2006/relationships/image" Target="media/image2463.png"/><Relationship Id="rId2471" Type="http://schemas.openxmlformats.org/officeDocument/2006/relationships/image" Target="media/image2464.png"/><Relationship Id="rId2472" Type="http://schemas.openxmlformats.org/officeDocument/2006/relationships/image" Target="media/image2465.png"/><Relationship Id="rId2473" Type="http://schemas.openxmlformats.org/officeDocument/2006/relationships/image" Target="media/image2466.png"/><Relationship Id="rId2474" Type="http://schemas.openxmlformats.org/officeDocument/2006/relationships/image" Target="media/image2467.png"/><Relationship Id="rId2475" Type="http://schemas.openxmlformats.org/officeDocument/2006/relationships/image" Target="media/image2468.png"/><Relationship Id="rId2476" Type="http://schemas.openxmlformats.org/officeDocument/2006/relationships/image" Target="media/image2469.png"/><Relationship Id="rId2477" Type="http://schemas.openxmlformats.org/officeDocument/2006/relationships/image" Target="media/image2470.png"/><Relationship Id="rId2478" Type="http://schemas.openxmlformats.org/officeDocument/2006/relationships/image" Target="media/image2471.png"/><Relationship Id="rId2479" Type="http://schemas.openxmlformats.org/officeDocument/2006/relationships/image" Target="media/image2472.png"/><Relationship Id="rId2480" Type="http://schemas.openxmlformats.org/officeDocument/2006/relationships/image" Target="media/image2473.png"/><Relationship Id="rId2481" Type="http://schemas.openxmlformats.org/officeDocument/2006/relationships/image" Target="media/image2474.png"/><Relationship Id="rId2482" Type="http://schemas.openxmlformats.org/officeDocument/2006/relationships/image" Target="media/image2475.png"/><Relationship Id="rId2483" Type="http://schemas.openxmlformats.org/officeDocument/2006/relationships/image" Target="media/image2476.png"/><Relationship Id="rId2484" Type="http://schemas.openxmlformats.org/officeDocument/2006/relationships/image" Target="media/image2477.png"/><Relationship Id="rId2485" Type="http://schemas.openxmlformats.org/officeDocument/2006/relationships/image" Target="media/image2478.png"/><Relationship Id="rId2486" Type="http://schemas.openxmlformats.org/officeDocument/2006/relationships/image" Target="media/image2479.png"/><Relationship Id="rId2487" Type="http://schemas.openxmlformats.org/officeDocument/2006/relationships/image" Target="media/image2480.png"/><Relationship Id="rId2488" Type="http://schemas.openxmlformats.org/officeDocument/2006/relationships/image" Target="media/image2481.png"/><Relationship Id="rId2489" Type="http://schemas.openxmlformats.org/officeDocument/2006/relationships/image" Target="media/image2482.png"/><Relationship Id="rId2490" Type="http://schemas.openxmlformats.org/officeDocument/2006/relationships/image" Target="media/image2483.png"/><Relationship Id="rId2491" Type="http://schemas.openxmlformats.org/officeDocument/2006/relationships/image" Target="media/image2484.png"/><Relationship Id="rId2492" Type="http://schemas.openxmlformats.org/officeDocument/2006/relationships/image" Target="media/image2485.png"/><Relationship Id="rId2493" Type="http://schemas.openxmlformats.org/officeDocument/2006/relationships/image" Target="media/image2486.png"/><Relationship Id="rId2494" Type="http://schemas.openxmlformats.org/officeDocument/2006/relationships/image" Target="media/image2487.png"/><Relationship Id="rId2495" Type="http://schemas.openxmlformats.org/officeDocument/2006/relationships/image" Target="media/image2488.png"/><Relationship Id="rId2496" Type="http://schemas.openxmlformats.org/officeDocument/2006/relationships/image" Target="media/image2489.png"/><Relationship Id="rId2497" Type="http://schemas.openxmlformats.org/officeDocument/2006/relationships/image" Target="media/image2490.png"/><Relationship Id="rId2498" Type="http://schemas.openxmlformats.org/officeDocument/2006/relationships/image" Target="media/image2491.png"/><Relationship Id="rId2499" Type="http://schemas.openxmlformats.org/officeDocument/2006/relationships/image" Target="media/image2492.png"/><Relationship Id="rId2500" Type="http://schemas.openxmlformats.org/officeDocument/2006/relationships/image" Target="media/image2493.png"/><Relationship Id="rId2501" Type="http://schemas.openxmlformats.org/officeDocument/2006/relationships/image" Target="media/image2494.png"/><Relationship Id="rId2502" Type="http://schemas.openxmlformats.org/officeDocument/2006/relationships/image" Target="media/image2495.png"/><Relationship Id="rId2503" Type="http://schemas.openxmlformats.org/officeDocument/2006/relationships/image" Target="media/image2496.png"/><Relationship Id="rId2504" Type="http://schemas.openxmlformats.org/officeDocument/2006/relationships/image" Target="media/image2497.png"/><Relationship Id="rId2505" Type="http://schemas.openxmlformats.org/officeDocument/2006/relationships/image" Target="media/image2498.png"/><Relationship Id="rId2506" Type="http://schemas.openxmlformats.org/officeDocument/2006/relationships/image" Target="media/image2499.png"/><Relationship Id="rId2507" Type="http://schemas.openxmlformats.org/officeDocument/2006/relationships/image" Target="media/image2500.png"/><Relationship Id="rId2508" Type="http://schemas.openxmlformats.org/officeDocument/2006/relationships/image" Target="media/image2501.png"/><Relationship Id="rId2509" Type="http://schemas.openxmlformats.org/officeDocument/2006/relationships/image" Target="media/image2502.png"/><Relationship Id="rId2510" Type="http://schemas.openxmlformats.org/officeDocument/2006/relationships/image" Target="media/image2503.png"/><Relationship Id="rId2511" Type="http://schemas.openxmlformats.org/officeDocument/2006/relationships/image" Target="media/image2504.png"/><Relationship Id="rId2512" Type="http://schemas.openxmlformats.org/officeDocument/2006/relationships/image" Target="media/image2505.png"/><Relationship Id="rId2513" Type="http://schemas.openxmlformats.org/officeDocument/2006/relationships/image" Target="media/image2506.png"/><Relationship Id="rId2514" Type="http://schemas.openxmlformats.org/officeDocument/2006/relationships/image" Target="media/image2507.png"/><Relationship Id="rId2515" Type="http://schemas.openxmlformats.org/officeDocument/2006/relationships/image" Target="media/image2508.png"/><Relationship Id="rId2516" Type="http://schemas.openxmlformats.org/officeDocument/2006/relationships/image" Target="media/image2509.png"/><Relationship Id="rId2517" Type="http://schemas.openxmlformats.org/officeDocument/2006/relationships/image" Target="media/image2510.png"/><Relationship Id="rId2518" Type="http://schemas.openxmlformats.org/officeDocument/2006/relationships/image" Target="media/image2511.png"/><Relationship Id="rId2519" Type="http://schemas.openxmlformats.org/officeDocument/2006/relationships/image" Target="media/image2512.png"/><Relationship Id="rId2520" Type="http://schemas.openxmlformats.org/officeDocument/2006/relationships/image" Target="media/image2513.png"/><Relationship Id="rId2521" Type="http://schemas.openxmlformats.org/officeDocument/2006/relationships/image" Target="media/image2514.png"/><Relationship Id="rId2522" Type="http://schemas.openxmlformats.org/officeDocument/2006/relationships/image" Target="media/image2515.png"/><Relationship Id="rId2523" Type="http://schemas.openxmlformats.org/officeDocument/2006/relationships/image" Target="media/image2516.png"/><Relationship Id="rId2524" Type="http://schemas.openxmlformats.org/officeDocument/2006/relationships/image" Target="media/image2517.png"/><Relationship Id="rId2525" Type="http://schemas.openxmlformats.org/officeDocument/2006/relationships/image" Target="media/image2518.png"/><Relationship Id="rId2526" Type="http://schemas.openxmlformats.org/officeDocument/2006/relationships/image" Target="media/image2519.png"/><Relationship Id="rId2527" Type="http://schemas.openxmlformats.org/officeDocument/2006/relationships/image" Target="media/image2520.png"/><Relationship Id="rId2528" Type="http://schemas.openxmlformats.org/officeDocument/2006/relationships/image" Target="media/image2521.png"/><Relationship Id="rId2529" Type="http://schemas.openxmlformats.org/officeDocument/2006/relationships/image" Target="media/image2522.png"/><Relationship Id="rId2530" Type="http://schemas.openxmlformats.org/officeDocument/2006/relationships/image" Target="media/image2523.png"/><Relationship Id="rId2531" Type="http://schemas.openxmlformats.org/officeDocument/2006/relationships/image" Target="media/image2524.png"/><Relationship Id="rId2532" Type="http://schemas.openxmlformats.org/officeDocument/2006/relationships/image" Target="media/image2525.png"/><Relationship Id="rId2533" Type="http://schemas.openxmlformats.org/officeDocument/2006/relationships/image" Target="media/image2526.png"/><Relationship Id="rId2534" Type="http://schemas.openxmlformats.org/officeDocument/2006/relationships/image" Target="media/image2527.png"/><Relationship Id="rId2535" Type="http://schemas.openxmlformats.org/officeDocument/2006/relationships/image" Target="media/image2528.png"/><Relationship Id="rId2536" Type="http://schemas.openxmlformats.org/officeDocument/2006/relationships/image" Target="media/image2529.png"/><Relationship Id="rId2537" Type="http://schemas.openxmlformats.org/officeDocument/2006/relationships/image" Target="media/image2530.png"/><Relationship Id="rId2538" Type="http://schemas.openxmlformats.org/officeDocument/2006/relationships/image" Target="media/image2531.png"/><Relationship Id="rId2539" Type="http://schemas.openxmlformats.org/officeDocument/2006/relationships/image" Target="media/image2532.png"/><Relationship Id="rId2540" Type="http://schemas.openxmlformats.org/officeDocument/2006/relationships/image" Target="media/image2533.png"/><Relationship Id="rId2541" Type="http://schemas.openxmlformats.org/officeDocument/2006/relationships/image" Target="media/image2534.png"/><Relationship Id="rId2542" Type="http://schemas.openxmlformats.org/officeDocument/2006/relationships/image" Target="media/image2535.png"/><Relationship Id="rId2543" Type="http://schemas.openxmlformats.org/officeDocument/2006/relationships/image" Target="media/image2536.png"/><Relationship Id="rId2544" Type="http://schemas.openxmlformats.org/officeDocument/2006/relationships/image" Target="media/image2537.png"/><Relationship Id="rId2545" Type="http://schemas.openxmlformats.org/officeDocument/2006/relationships/image" Target="media/image2538.png"/><Relationship Id="rId2546" Type="http://schemas.openxmlformats.org/officeDocument/2006/relationships/image" Target="media/image2539.png"/><Relationship Id="rId2547" Type="http://schemas.openxmlformats.org/officeDocument/2006/relationships/image" Target="media/image2540.png"/><Relationship Id="rId2548" Type="http://schemas.openxmlformats.org/officeDocument/2006/relationships/image" Target="media/image2541.png"/><Relationship Id="rId2549" Type="http://schemas.openxmlformats.org/officeDocument/2006/relationships/image" Target="media/image2542.png"/><Relationship Id="rId2550" Type="http://schemas.openxmlformats.org/officeDocument/2006/relationships/image" Target="media/image2543.png"/><Relationship Id="rId2551" Type="http://schemas.openxmlformats.org/officeDocument/2006/relationships/image" Target="media/image2544.png"/><Relationship Id="rId2552" Type="http://schemas.openxmlformats.org/officeDocument/2006/relationships/image" Target="media/image2545.png"/><Relationship Id="rId2553" Type="http://schemas.openxmlformats.org/officeDocument/2006/relationships/image" Target="media/image2546.png"/><Relationship Id="rId2554" Type="http://schemas.openxmlformats.org/officeDocument/2006/relationships/image" Target="media/image2547.png"/><Relationship Id="rId2555" Type="http://schemas.openxmlformats.org/officeDocument/2006/relationships/image" Target="media/image2548.png"/><Relationship Id="rId2556" Type="http://schemas.openxmlformats.org/officeDocument/2006/relationships/image" Target="media/image2549.png"/><Relationship Id="rId2557" Type="http://schemas.openxmlformats.org/officeDocument/2006/relationships/image" Target="media/image2550.png"/><Relationship Id="rId2558" Type="http://schemas.openxmlformats.org/officeDocument/2006/relationships/image" Target="media/image2551.png"/><Relationship Id="rId2559" Type="http://schemas.openxmlformats.org/officeDocument/2006/relationships/image" Target="media/image2552.jpeg"/><Relationship Id="rId2560" Type="http://schemas.openxmlformats.org/officeDocument/2006/relationships/image" Target="media/image2553.jpeg"/><Relationship Id="rId2561" Type="http://schemas.openxmlformats.org/officeDocument/2006/relationships/image" Target="media/image2554.png"/><Relationship Id="rId2562" Type="http://schemas.openxmlformats.org/officeDocument/2006/relationships/image" Target="media/image2555.jpeg"/><Relationship Id="rId2563" Type="http://schemas.openxmlformats.org/officeDocument/2006/relationships/image" Target="media/image2556.png"/><Relationship Id="rId2564" Type="http://schemas.openxmlformats.org/officeDocument/2006/relationships/image" Target="media/image2557.jpeg"/><Relationship Id="rId2565" Type="http://schemas.openxmlformats.org/officeDocument/2006/relationships/image" Target="media/image2558.png"/><Relationship Id="rId2566" Type="http://schemas.openxmlformats.org/officeDocument/2006/relationships/image" Target="media/image2559.png"/><Relationship Id="rId2567" Type="http://schemas.openxmlformats.org/officeDocument/2006/relationships/image" Target="media/image2560.png"/><Relationship Id="rId2568" Type="http://schemas.openxmlformats.org/officeDocument/2006/relationships/image" Target="media/image2561.png"/><Relationship Id="rId2569" Type="http://schemas.openxmlformats.org/officeDocument/2006/relationships/image" Target="media/image2562.png"/><Relationship Id="rId2570" Type="http://schemas.openxmlformats.org/officeDocument/2006/relationships/image" Target="media/image2563.png"/><Relationship Id="rId2571" Type="http://schemas.openxmlformats.org/officeDocument/2006/relationships/image" Target="media/image2564.png"/><Relationship Id="rId2572" Type="http://schemas.openxmlformats.org/officeDocument/2006/relationships/image" Target="media/image2565.png"/><Relationship Id="rId2573" Type="http://schemas.openxmlformats.org/officeDocument/2006/relationships/image" Target="media/image2566.png"/><Relationship Id="rId2574" Type="http://schemas.openxmlformats.org/officeDocument/2006/relationships/image" Target="media/image2567.png"/><Relationship Id="rId2575" Type="http://schemas.openxmlformats.org/officeDocument/2006/relationships/image" Target="media/image2568.png"/><Relationship Id="rId2576" Type="http://schemas.openxmlformats.org/officeDocument/2006/relationships/image" Target="media/image2569.png"/><Relationship Id="rId2577" Type="http://schemas.openxmlformats.org/officeDocument/2006/relationships/image" Target="media/image2570.png"/><Relationship Id="rId2578" Type="http://schemas.openxmlformats.org/officeDocument/2006/relationships/image" Target="media/image2571.jpeg"/><Relationship Id="rId2579" Type="http://schemas.openxmlformats.org/officeDocument/2006/relationships/image" Target="media/image2572.jpeg"/><Relationship Id="rId2580" Type="http://schemas.openxmlformats.org/officeDocument/2006/relationships/image" Target="media/image2573.jpeg"/><Relationship Id="rId2581" Type="http://schemas.openxmlformats.org/officeDocument/2006/relationships/image" Target="media/image2574.jpeg"/><Relationship Id="rId2582" Type="http://schemas.openxmlformats.org/officeDocument/2006/relationships/image" Target="media/image2575.png"/><Relationship Id="rId2583" Type="http://schemas.openxmlformats.org/officeDocument/2006/relationships/image" Target="media/image2576.png"/><Relationship Id="rId2584" Type="http://schemas.openxmlformats.org/officeDocument/2006/relationships/image" Target="media/image2577.png"/><Relationship Id="rId2585" Type="http://schemas.openxmlformats.org/officeDocument/2006/relationships/image" Target="media/image2578.png"/><Relationship Id="rId2586" Type="http://schemas.openxmlformats.org/officeDocument/2006/relationships/image" Target="media/image2579.png"/><Relationship Id="rId2587" Type="http://schemas.openxmlformats.org/officeDocument/2006/relationships/image" Target="media/image2580.png"/><Relationship Id="rId2588" Type="http://schemas.openxmlformats.org/officeDocument/2006/relationships/image" Target="media/image2581.png"/><Relationship Id="rId2589" Type="http://schemas.openxmlformats.org/officeDocument/2006/relationships/image" Target="media/image2582.png"/><Relationship Id="rId2590" Type="http://schemas.openxmlformats.org/officeDocument/2006/relationships/image" Target="media/image2583.png"/><Relationship Id="rId2591" Type="http://schemas.openxmlformats.org/officeDocument/2006/relationships/image" Target="media/image2584.png"/><Relationship Id="rId2592" Type="http://schemas.openxmlformats.org/officeDocument/2006/relationships/image" Target="media/image2585.png"/><Relationship Id="rId2593" Type="http://schemas.openxmlformats.org/officeDocument/2006/relationships/image" Target="media/image2586.png"/><Relationship Id="rId2594" Type="http://schemas.openxmlformats.org/officeDocument/2006/relationships/image" Target="media/image2587.png"/><Relationship Id="rId2595" Type="http://schemas.openxmlformats.org/officeDocument/2006/relationships/image" Target="media/image2588.png"/><Relationship Id="rId2596" Type="http://schemas.openxmlformats.org/officeDocument/2006/relationships/image" Target="media/image2589.png"/><Relationship Id="rId2597" Type="http://schemas.openxmlformats.org/officeDocument/2006/relationships/image" Target="media/image2590.png"/><Relationship Id="rId2598" Type="http://schemas.openxmlformats.org/officeDocument/2006/relationships/image" Target="media/image2591.jpeg"/><Relationship Id="rId2599" Type="http://schemas.openxmlformats.org/officeDocument/2006/relationships/image" Target="media/image2592.png"/><Relationship Id="rId2600" Type="http://schemas.openxmlformats.org/officeDocument/2006/relationships/image" Target="media/image2593.jpeg"/><Relationship Id="rId2601" Type="http://schemas.openxmlformats.org/officeDocument/2006/relationships/image" Target="media/image2594.png"/><Relationship Id="rId2602" Type="http://schemas.openxmlformats.org/officeDocument/2006/relationships/image" Target="media/image2595.jpeg"/><Relationship Id="rId2603" Type="http://schemas.openxmlformats.org/officeDocument/2006/relationships/image" Target="media/image2596.png"/><Relationship Id="rId2604" Type="http://schemas.openxmlformats.org/officeDocument/2006/relationships/image" Target="media/image259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2025-03-21T15:42:19Z</dcterms:created>
  <dcterms:modified xsi:type="dcterms:W3CDTF">2025-03-21T15:42:19Z</dcterms:modified>
</cp:coreProperties>
</file>