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April 27, 2026:</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941,741,406</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6"/>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314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8"/>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2"/>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0"/>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0"/>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19"/>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5"/>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180" w:type="dxa"/>
            <w:vAlign w:val="bottom"/>
            <w:tcBorders>
              <w:bottom w:val="single" w:sz="8" w:color="0000FF"/>
            </w:tcBorders>
          </w:tcPr>
          <w:p>
            <w:pPr>
              <w:spacing w:after="0"/>
              <w:rPr>
                <w:sz w:val="18"/>
                <w:szCs w:val="18"/>
                <w:color w:val="auto"/>
              </w:rPr>
            </w:pPr>
          </w:p>
        </w:tc>
        <w:tc>
          <w:tcPr>
            <w:tcW w:w="2260" w:type="dxa"/>
            <w:vAlign w:val="bottom"/>
            <w:gridSpan w:val="3"/>
          </w:tcPr>
          <w:p>
            <w:pPr>
              <w:spacing w:after="0"/>
              <w:rPr>
                <w:sz w:val="18"/>
                <w:szCs w:val="18"/>
                <w:color w:val="auto"/>
              </w:rPr>
            </w:pP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6"/>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24"/>
                <w:szCs w:val="24"/>
                <w:color w:val="auto"/>
              </w:rPr>
            </w:pPr>
          </w:p>
        </w:tc>
      </w:tr>
      <w:tr>
        <w:trPr>
          <w:trHeight w:val="888"/>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 and the ability of the company's clinical trials to meet expectations;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49" w:lineRule="exact"/>
        <w:rPr>
          <w:rFonts w:ascii="Arial" w:cs="Arial" w:eastAsia="Arial" w:hAnsi="Arial"/>
          <w:sz w:val="18"/>
          <w:szCs w:val="18"/>
          <w:color w:val="auto"/>
        </w:rPr>
      </w:pPr>
    </w:p>
    <w:p>
      <w:pPr>
        <w:ind w:left="340" w:right="380" w:hanging="332"/>
        <w:spacing w:after="0" w:line="273"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our voluntary agreement with the U.S. government related to drug pricing and access;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or uncertainties related to our or competitive products, including as may relate to safety or efficacy concerns;</w:t>
      </w:r>
    </w:p>
    <w:p>
      <w:pPr>
        <w:spacing w:after="0" w:line="49" w:lineRule="exact"/>
        <w:rPr>
          <w:rFonts w:ascii="Arial" w:cs="Arial" w:eastAsia="Arial" w:hAnsi="Arial"/>
          <w:sz w:val="18"/>
          <w:szCs w:val="18"/>
          <w:color w:val="auto"/>
        </w:rPr>
      </w:pPr>
    </w:p>
    <w:p>
      <w:pPr>
        <w:ind w:left="340" w:right="400" w:hanging="332"/>
        <w:spacing w:after="0" w:line="273"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32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activities, or intellectual property;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developments, and uncertainty;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17" w:lineRule="exact"/>
        <w:rPr>
          <w:sz w:val="20"/>
          <w:szCs w:val="20"/>
          <w:color w:val="auto"/>
        </w:rPr>
      </w:pPr>
    </w:p>
    <w:p>
      <w:pPr>
        <w:ind w:right="80"/>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particularly under Part I, Item 1A,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be a complete statement of all potential risks and uncertainties.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2025</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19,799</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3,577</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3,510</w:t>
            </w:r>
          </w:p>
        </w:tc>
        <w:tc>
          <w:tcPr>
            <w:tcW w:w="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2,734</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2,934</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50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584</w:t>
            </w:r>
          </w:p>
        </w:tc>
        <w:tc>
          <w:tcPr>
            <w:tcW w:w="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279</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65</w:t>
            </w:r>
          </w:p>
        </w:tc>
        <w:tc>
          <w:tcPr>
            <w:tcW w:w="6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69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10,949</w:t>
            </w:r>
          </w:p>
        </w:tc>
        <w:tc>
          <w:tcPr>
            <w:tcW w:w="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8,850</w:t>
            </w:r>
          </w:p>
        </w:tc>
        <w:tc>
          <w:tcPr>
            <w:tcW w:w="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3,456</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1,454</w:t>
            </w:r>
          </w:p>
        </w:tc>
        <w:tc>
          <w:tcPr>
            <w:tcW w:w="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1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7,396</w:t>
            </w: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r>
      <w:tr>
        <w:trPr>
          <w:trHeight w:val="256"/>
        </w:trPr>
        <w:tc>
          <w:tcPr>
            <w:tcW w:w="69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6"/>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8.27</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10"/>
        </w:trPr>
        <w:tc>
          <w:tcPr>
            <w:tcW w:w="694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112"/>
              <w:spacing w:after="0" w:line="203" w:lineRule="exact"/>
              <w:rPr>
                <w:sz w:val="20"/>
                <w:szCs w:val="20"/>
                <w:color w:val="auto"/>
              </w:rPr>
            </w:pPr>
            <w:r>
              <w:rPr>
                <w:rFonts w:ascii="Arial" w:cs="Arial" w:eastAsia="Arial" w:hAnsi="Arial"/>
                <w:sz w:val="18"/>
                <w:szCs w:val="18"/>
                <w:b w:val="1"/>
                <w:bCs w:val="1"/>
                <w:color w:val="auto"/>
              </w:rPr>
              <w:t>8.26</w:t>
            </w:r>
          </w:p>
        </w:tc>
        <w:tc>
          <w:tcPr>
            <w:tcW w:w="6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w:t>
            </w:r>
          </w:p>
        </w:tc>
      </w:tr>
      <w:tr>
        <w:trPr>
          <w:trHeight w:val="256"/>
        </w:trPr>
        <w:tc>
          <w:tcPr>
            <w:tcW w:w="69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894.5</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r>
      <w:tr>
        <w:trPr>
          <w:trHeight w:val="247"/>
        </w:trPr>
        <w:tc>
          <w:tcPr>
            <w:tcW w:w="6940" w:type="dxa"/>
            <w:vAlign w:val="bottom"/>
          </w:tcPr>
          <w:p>
            <w:pPr>
              <w:ind w:left="14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b w:val="1"/>
                <w:bCs w:val="1"/>
                <w:color w:val="auto"/>
              </w:rPr>
              <w:t>895.9</w:t>
            </w:r>
          </w:p>
        </w:tc>
        <w:tc>
          <w:tcPr>
            <w:tcW w:w="6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900.6</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36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r>
      <w:tr>
        <w:trPr>
          <w:trHeight w:val="196"/>
        </w:trPr>
        <w:tc>
          <w:tcPr>
            <w:tcW w:w="6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7,396</w:t>
            </w:r>
          </w:p>
        </w:tc>
        <w:tc>
          <w:tcPr>
            <w:tcW w:w="148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47</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7,443</w:t>
            </w:r>
          </w:p>
        </w:tc>
        <w:tc>
          <w:tcPr>
            <w:tcW w:w="148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5,282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7,268</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18,429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17,760</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2,748</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14,529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13,744</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13,633</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w:t>
            </w:r>
          </w:p>
        </w:tc>
      </w:tr>
      <w:tr>
        <w:trPr>
          <w:trHeight w:val="216"/>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214</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54,835</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55,629</w:t>
            </w:r>
          </w:p>
        </w:tc>
      </w:tr>
      <w:tr>
        <w:trPr>
          <w:trHeight w:val="215"/>
        </w:trPr>
        <w:tc>
          <w:tcPr>
            <w:tcW w:w="7540" w:type="dxa"/>
            <w:vAlign w:val="bottom"/>
          </w:tcPr>
          <w:p>
            <w:pPr>
              <w:spacing w:after="0"/>
              <w:rPr>
                <w:sz w:val="20"/>
                <w:szCs w:val="20"/>
                <w:color w:val="auto"/>
              </w:rPr>
            </w:pPr>
            <w:r>
              <w:rPr>
                <w:rFonts w:ascii="Arial" w:cs="Arial" w:eastAsia="Arial" w:hAnsi="Arial"/>
                <w:sz w:val="16"/>
                <w:szCs w:val="16"/>
                <w:i w:val="1"/>
                <w:iCs w:val="1"/>
                <w:color w:val="auto"/>
              </w:rPr>
              <w:t>Noncurrent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3,116</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6,130</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5,898</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 net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7,374</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w:t>
            </w: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11,350</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9,959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26,540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24,675</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7,231</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w:t>
            </w: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116,576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112,476</w:t>
            </w:r>
          </w:p>
        </w:tc>
      </w:tr>
      <w:tr>
        <w:trPr>
          <w:trHeight w:val="189"/>
        </w:trPr>
        <w:tc>
          <w:tcPr>
            <w:tcW w:w="754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4,000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5,029</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Employee compensation</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1,359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2,375</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rebates and discounts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17,547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17,382</w:t>
            </w:r>
          </w:p>
        </w:tc>
      </w:tr>
      <w:tr>
        <w:trPr>
          <w:trHeight w:val="216"/>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8,699</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8,457</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36,634</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35,228</w:t>
            </w:r>
          </w:p>
        </w:tc>
      </w:tr>
      <w:tr>
        <w:trPr>
          <w:trHeight w:val="215"/>
        </w:trPr>
        <w:tc>
          <w:tcPr>
            <w:tcW w:w="7540" w:type="dxa"/>
            <w:vAlign w:val="bottom"/>
          </w:tcPr>
          <w:p>
            <w:pPr>
              <w:spacing w:after="0"/>
              <w:rPr>
                <w:sz w:val="20"/>
                <w:szCs w:val="20"/>
                <w:color w:val="auto"/>
              </w:rPr>
            </w:pPr>
            <w:r>
              <w:rPr>
                <w:rFonts w:ascii="Arial" w:cs="Arial" w:eastAsia="Arial" w:hAnsi="Arial"/>
                <w:sz w:val="16"/>
                <w:szCs w:val="16"/>
                <w:i w:val="1"/>
                <w:iCs w:val="1"/>
                <w:color w:val="auto"/>
              </w:rPr>
              <w:t>Noncurrent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39,370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40,868</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Long-term income taxes payable</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5,289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5,875</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4,085</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r>
      <w:tr>
        <w:trPr>
          <w:trHeight w:val="209"/>
        </w:trPr>
        <w:tc>
          <w:tcPr>
            <w:tcW w:w="7540" w:type="dxa"/>
            <w:vAlign w:val="bottom"/>
          </w:tcPr>
          <w:p>
            <w:pPr>
              <w:spacing w:after="0"/>
              <w:rPr>
                <w:sz w:val="20"/>
                <w:szCs w:val="20"/>
                <w:color w:val="auto"/>
              </w:rPr>
            </w:pPr>
            <w:r>
              <w:rPr>
                <w:rFonts w:ascii="Arial" w:cs="Arial" w:eastAsia="Arial" w:hAnsi="Arial"/>
                <w:sz w:val="16"/>
                <w:szCs w:val="16"/>
                <w:color w:val="auto"/>
              </w:rPr>
              <w:t>Total noncurrent liabilities</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48,744</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50,713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Commitments and Contingencies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6"/>
                <w:szCs w:val="16"/>
                <w:i w:val="1"/>
                <w:iCs w:val="1"/>
                <w:color w:val="auto"/>
              </w:rPr>
              <w:t>Equity</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590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6,921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7,346</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29,514</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24,470</w:t>
            </w: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Employee benefit trust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(3,013)</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(3,013)</w:t>
            </w: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(2,833)</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r>
      <w:tr>
        <w:trPr>
          <w:trHeight w:val="216"/>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equity</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31,198</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26,535</w:t>
            </w:r>
          </w:p>
        </w:tc>
      </w:tr>
      <w:tr>
        <w:trPr>
          <w:trHeight w:val="217"/>
        </w:trPr>
        <w:tc>
          <w:tcPr>
            <w:tcW w:w="754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116,576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112,476</w:t>
            </w: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7,396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509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161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584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(1,664)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(3,364)</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5,333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(2,326)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(204)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(3,916)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1,775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(750)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(2,356)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(591)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(3,470)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7,268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5,282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(Tables present dollars and shares in millions, except per-share data, and numbers may not add due to rounding)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10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Accounting Standards Update 2024-03, </w:t>
      </w:r>
      <w:r>
        <w:rPr>
          <w:rFonts w:ascii="Arial" w:cs="Arial" w:eastAsia="Arial" w:hAnsi="Arial"/>
          <w:sz w:val="18"/>
          <w:szCs w:val="18"/>
          <w:i w:val="1"/>
          <w:iCs w:val="1"/>
          <w:color w:val="auto"/>
        </w:rPr>
        <w:t>Income Statement—Reporting Comprehensive Income—Expense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220-40): Disaggregation of Income Statement Expenses</w:t>
      </w:r>
      <w:r>
        <w:rPr>
          <w:rFonts w:ascii="Arial" w:cs="Arial" w:eastAsia="Arial" w:hAnsi="Arial"/>
          <w:sz w:val="18"/>
          <w:szCs w:val="18"/>
          <w:color w:val="auto"/>
        </w:rPr>
        <w:t>, requires disaggregation of specific expense categories 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7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18,453</w:t>
            </w:r>
          </w:p>
        </w:tc>
        <w:tc>
          <w:tcPr>
            <w:tcW w:w="12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1,346</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19,799</w:t>
            </w:r>
          </w:p>
        </w:tc>
        <w:tc>
          <w:tcPr>
            <w:tcW w:w="12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r>
    </w:tbl>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3 for additional information related to our collaborations and other arrangements. Collaboration and other revenue disclosed above includes the revenue resulting from our collaboration with Boehringer Ingelheim, as well as the sale of product rights. Substantially all of the remainder of collaboration and other revenue is related to contracts accounted for as contracts with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Adjustments to Revenue</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less than 3 percent and 1 percent of U.S. revenue during the three months ended March 31, 2026 and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March 31, 2026 and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4,232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8,662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3,842</w:t>
            </w:r>
          </w:p>
        </w:tc>
      </w:tr>
      <w:tr>
        <w:trPr>
          <w:trHeight w:val="230"/>
        </w:trPr>
        <w:tc>
          <w:tcPr>
            <w:tcW w:w="390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r>
      <w:tr>
        <w:trPr>
          <w:trHeight w:val="229"/>
        </w:trPr>
        <w:tc>
          <w:tcPr>
            <w:tcW w:w="390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r>
        <w:trPr>
          <w:trHeight w:val="223"/>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w:t>
            </w:r>
          </w:p>
        </w:tc>
      </w:tr>
      <w:tr>
        <w:trPr>
          <w:trHeight w:val="257"/>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706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29"/>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256"/>
        </w:trPr>
        <w:tc>
          <w:tcPr>
            <w:tcW w:w="3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3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56"/>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56"/>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57"/>
        </w:trPr>
        <w:tc>
          <w:tcPr>
            <w:tcW w:w="3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19,799</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r>
    </w:tbl>
    <w:p>
      <w:pPr>
        <w:spacing w:after="0" w:line="6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12,119</w:t>
            </w:r>
          </w:p>
        </w:tc>
        <w:tc>
          <w:tcPr>
            <w:tcW w:w="120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8,489</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3,646</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China</w:t>
            </w:r>
          </w:p>
        </w:tc>
        <w:tc>
          <w:tcPr>
            <w:tcW w:w="10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693</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571</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 of world</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2,771</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19,799</w:t>
            </w:r>
          </w:p>
        </w:tc>
        <w:tc>
          <w:tcPr>
            <w:tcW w:w="12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r>
    </w:tbl>
    <w:p>
      <w:pPr>
        <w:spacing w:after="0" w:line="8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which includes Glyxambi, Synjardy, and Trijardy XR, is the significant product family included in the collaboration.</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Jardiance product family in the most significant markets, which remains in the collaboration through December 31, 2028, we receive a share of net sales depending on performance of the product, which we recognize as collaboration and other revenue. The following table summarizes our revenue recognized:</w:t>
      </w:r>
    </w:p>
    <w:p>
      <w:pPr>
        <w:spacing w:after="0" w:line="11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23495</wp:posOffset>
            </wp:positionV>
            <wp:extent cx="2339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p>
      <w:pPr>
        <w:ind w:left="8280"/>
        <w:spacing w:after="0"/>
        <w:tabs>
          <w:tab w:leader="none" w:pos="101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560" w:val="left"/>
          <w:tab w:leader="none" w:pos="8780" w:val="left"/>
          <w:tab w:leader="none" w:pos="9460" w:val="left"/>
          <w:tab w:leader="none" w:pos="10700" w:val="left"/>
        </w:tabs>
        <w:rPr>
          <w:sz w:val="20"/>
          <w:szCs w:val="20"/>
          <w:color w:val="auto"/>
        </w:rPr>
      </w:pPr>
      <w:r>
        <w:rPr>
          <w:rFonts w:ascii="Arial" w:cs="Arial" w:eastAsia="Arial" w:hAnsi="Arial"/>
          <w:sz w:val="18"/>
          <w:szCs w:val="18"/>
          <w:color w:val="auto"/>
        </w:rPr>
        <w:t>Jardiance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1,114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1,014</w:t>
      </w:r>
    </w:p>
    <w:p>
      <w:pPr>
        <w:spacing w:after="0" w:line="2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three months ended March 31, 2026 and 2025, we recognized $ 250 million and $370 million of one-time benefits for Jardiance, respectively. As of March 31, 2026, we have the right to receive up to $660 million in potential sales-based milestones related to the Jardiance product family in certain markets in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March 31, 2026, Roche is eligible to receive additional payments from us, including up to $975 million in potential sales-based milestones.</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As of March 31, 2026, we are eligible to receive additional payments up to $1.2 billion in a series of sales-based milestones.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Foundayo</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have a license agreement with Chugai Pharmaceutical Co., Ltd (Chugai), which provides us the worldwide development and commercialization rights to orforglipron, which is branded and trademarked as Foundayo. In addition to milestone payment rights which are not material, Chugai receives tiered royalty payments on worldwide net sales ranging in percentages from mid single digits to low teens, which we recognize as cost of sales.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Ventyx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March 2026, we acquired all shares of Ventyx Biosciences, Inc. (Ventyx) for a purchase price of $14.00 per share in cash (or an aggregate of $1.1 billion, net of cash acquired). Ventyx is developing oral therapies for patients with inflammatory-mediated diseases.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March 4,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Acquired in-process research and development (IPR&amp;D)</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bl>
    <w:p>
      <w:pPr>
        <w:spacing w:after="0" w:line="19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VTX3232.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Verve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July 2025, we acquired all shares of Verve Therapeutics, Inc. (Verve) for a purchase price of $10.50 per share in cash (or an aggregate of $549 million, net of cash acquired), plus one non-tradeable contingent value right (CVR) per share that entitles the holder to receive up to an additional $3.00 per share (or an aggregate of up to approximately $300 million) payable, subject to certain terms and conditions, upon the achievement of a certain specified milestone. Verve is developing genetic medicines for cardiovascular disease.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July 25,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980" w:type="dxa"/>
            <w:vAlign w:val="bottom"/>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CVR liability</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Fair value of equity interest in Verve held before the business combination</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bl>
    <w:p>
      <w:pPr>
        <w:spacing w:after="0" w:line="8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VERVE-102 (PCSK9 Editor).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$584 million and $1.6 billion for the three months ended March 31, 2026 and 2025, respectively. Acquired IPR&amp;D charges for the three months ended March 31, 2025 were primarily related to the acquisition of Scorpion Therapeutics, Inc.'s PI3Kα inhibitor program STX-478.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Income Taxes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 tax rate was 16.4 percent for the three months ended March 31, 2026, compared to 20.2 percent for the three months ended March 31, 2025, primarily driven by the unfavorable tax impact of a non-deductible acquired IPR&amp;D charge in 2025. The 2026 and 2025 effective tax rates were impacted by net discrete tax benefits in each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and December 31, 2025, prepaid expenses included prepaid taxes of $11.8 billion and $12.9 billion, respectively.</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U.S. examination of tax years 2019-2021 remains ongoing. For tax years 2016-2018, we are pursuing competent authority assistance through the Mutual Agreement Procedure (MAP) process for the pricing of certain intercompany transactions. The resolution of both audit periods will likely extend beyond the next 12 months.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 2026</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8,456</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8,183</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3,763</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14,492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13,701</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cost</w:t>
            </w:r>
          </w:p>
        </w:tc>
        <w:tc>
          <w:tcPr>
            <w:tcW w:w="3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14,529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w:t>
            </w:r>
          </w:p>
        </w:tc>
      </w:tr>
      <w:tr>
        <w:trPr>
          <w:trHeight w:val="868"/>
        </w:trPr>
        <w:tc>
          <w:tcPr>
            <w:tcW w:w="4300" w:type="dxa"/>
            <w:vAlign w:val="bottom"/>
          </w:tcPr>
          <w:p>
            <w:pPr>
              <w:spacing w:after="0"/>
              <w:rPr>
                <w:sz w:val="24"/>
                <w:szCs w:val="24"/>
                <w:color w:val="auto"/>
              </w:rPr>
            </w:pPr>
          </w:p>
        </w:tc>
        <w:tc>
          <w:tcPr>
            <w:tcW w:w="3060" w:type="dxa"/>
            <w:vAlign w:val="bottom"/>
          </w:tcPr>
          <w:p>
            <w:pPr>
              <w:jc w:val="right"/>
              <w:ind w:right="155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summarizes certain fair value information at March 31, 2026 and December 31, 2025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2,383</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rPr>
              <w:t>2,383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b w:val="1"/>
                <w:bCs w:val="1"/>
                <w:color w:val="auto"/>
              </w:rPr>
              <w:t>2,383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2,383</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11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360</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371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72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288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3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445</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448</w:t>
            </w:r>
          </w:p>
        </w:tc>
        <w:tc>
          <w:tcPr>
            <w:tcW w:w="2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912</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w:t>
            </w: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3,116</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4,392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4,392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368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38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c>
          <w:tcPr>
            <w:tcW w:w="3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investments without readily determinable</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880" w:hanging="172"/>
        <w:spacing w:after="0" w:line="229"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14" w:lineRule="exact"/>
        <w:rPr>
          <w:rFonts w:ascii="Arial" w:cs="Arial" w:eastAsia="Arial" w:hAnsi="Arial"/>
          <w:sz w:val="9"/>
          <w:szCs w:val="9"/>
          <w:color w:val="auto"/>
        </w:rPr>
      </w:pP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 and fair value using Level 2 inputs for our short-term and long-term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2026</w:t>
            </w:r>
          </w:p>
        </w:tc>
        <w:tc>
          <w:tcPr>
            <w:tcW w:w="1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ind w:right="481"/>
              <w:spacing w:after="0" w:line="147"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2"/>
                <w:szCs w:val="12"/>
                <w:color w:val="auto"/>
              </w:rPr>
            </w:pPr>
          </w:p>
        </w:tc>
        <w:tc>
          <w:tcPr>
            <w:tcW w:w="12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740" w:type="dxa"/>
            <w:vAlign w:val="bottom"/>
          </w:tcPr>
          <w:p>
            <w:pPr>
              <w:jc w:val="center"/>
              <w:ind w:right="621"/>
              <w:spacing w:after="0" w:line="147" w:lineRule="exact"/>
              <w:rPr>
                <w:sz w:val="20"/>
                <w:szCs w:val="20"/>
                <w:color w:val="auto"/>
              </w:rPr>
            </w:pPr>
            <w:r>
              <w:rPr>
                <w:rFonts w:ascii="Arial" w:cs="Arial" w:eastAsia="Arial" w:hAnsi="Arial"/>
                <w:sz w:val="14"/>
                <w:szCs w:val="14"/>
                <w:b w:val="1"/>
                <w:bCs w:val="1"/>
                <w:color w:val="auto"/>
              </w:rPr>
              <w:t>Carrying</w:t>
            </w:r>
          </w:p>
        </w:tc>
        <w:tc>
          <w:tcPr>
            <w:tcW w:w="14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21"/>
              <w:spacing w:after="0"/>
              <w:rPr>
                <w:sz w:val="20"/>
                <w:szCs w:val="20"/>
                <w:color w:val="auto"/>
              </w:rPr>
            </w:pPr>
            <w:r>
              <w:rPr>
                <w:rFonts w:ascii="Arial" w:cs="Arial" w:eastAsia="Arial" w:hAnsi="Arial"/>
                <w:sz w:val="14"/>
                <w:szCs w:val="14"/>
                <w:b w:val="1"/>
                <w:bCs w:val="1"/>
                <w:color w:val="auto"/>
              </w:rPr>
              <w:t>Amount</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1,775</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1,771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41,595</w:t>
            </w: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38,233</w:t>
            </w:r>
          </w:p>
        </w:tc>
        <w:tc>
          <w:tcPr>
            <w:tcW w:w="440" w:type="dxa"/>
            <w:vAlign w:val="bottom"/>
          </w:tcPr>
          <w:p>
            <w:pPr>
              <w:spacing w:after="0"/>
              <w:rPr>
                <w:sz w:val="21"/>
                <w:szCs w:val="21"/>
                <w:color w:val="auto"/>
              </w:rPr>
            </w:pPr>
          </w:p>
        </w:tc>
        <w:tc>
          <w:tcPr>
            <w:tcW w:w="1740" w:type="dxa"/>
            <w:vAlign w:val="bottom"/>
          </w:tcPr>
          <w:p>
            <w:pPr>
              <w:ind w:left="780"/>
              <w:spacing w:after="0"/>
              <w:rPr>
                <w:sz w:val="20"/>
                <w:szCs w:val="20"/>
                <w:color w:val="auto"/>
              </w:rPr>
            </w:pPr>
            <w:r>
              <w:rPr>
                <w:rFonts w:ascii="Arial" w:cs="Arial" w:eastAsia="Arial" w:hAnsi="Arial"/>
                <w:sz w:val="18"/>
                <w:szCs w:val="18"/>
                <w:color w:val="auto"/>
              </w:rPr>
              <w:t>42,503</w:t>
            </w:r>
          </w:p>
        </w:tc>
        <w:tc>
          <w:tcPr>
            <w:tcW w:w="1440" w:type="dxa"/>
            <w:vAlign w:val="bottom"/>
          </w:tcPr>
          <w:p>
            <w:pPr>
              <w:jc w:val="right"/>
              <w:spacing w:after="0"/>
              <w:rPr>
                <w:sz w:val="20"/>
                <w:szCs w:val="20"/>
                <w:color w:val="auto"/>
              </w:rPr>
            </w:pPr>
            <w:r>
              <w:rPr>
                <w:rFonts w:ascii="Arial" w:cs="Arial" w:eastAsia="Arial" w:hAnsi="Arial"/>
                <w:sz w:val="18"/>
                <w:szCs w:val="18"/>
                <w:color w:val="auto"/>
              </w:rPr>
              <w:t>39,799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manage foreign currency and interest rate risk, we may enter into derivative instruments intended to offset losses and gains on the assets, liabilities, and transactions being hedged. Such instruments are entered into in accordance with documented corporate risk-management policies.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Risk</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We manage foreign currency risk primarily through the use of foreign currency debt and foreign currency forward contracts. Our foreign currency-denominated notes designated as accounting hedges had carrying amounts of $3.6 billion and $6.0 billion as of March 31, 2026 and December 31, 2025, respectively. The following table summarizes the aggregate outstanding notional amounts of our foreign currency forward contracts in U.S. dollar equivalent: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 2026</w:t>
            </w:r>
          </w:p>
        </w:tc>
        <w:tc>
          <w:tcPr>
            <w:tcW w:w="1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80" w:type="dxa"/>
            <w:vAlign w:val="bottom"/>
            <w:tcBorders>
              <w:bottom w:val="single" w:sz="8" w:color="auto"/>
            </w:tcBorders>
          </w:tcPr>
          <w:p>
            <w:pPr>
              <w:spacing w:after="0"/>
              <w:rPr>
                <w:sz w:val="17"/>
                <w:szCs w:val="17"/>
                <w:color w:val="auto"/>
              </w:rPr>
            </w:pPr>
          </w:p>
        </w:tc>
      </w:tr>
      <w:tr>
        <w:trPr>
          <w:trHeight w:val="196"/>
        </w:trPr>
        <w:tc>
          <w:tcPr>
            <w:tcW w:w="4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Purchase</w:t>
            </w:r>
          </w:p>
        </w:tc>
        <w:tc>
          <w:tcPr>
            <w:tcW w:w="6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36"/>
              <w:spacing w:after="0"/>
              <w:rPr>
                <w:sz w:val="20"/>
                <w:szCs w:val="20"/>
                <w:color w:val="auto"/>
              </w:rPr>
            </w:pPr>
            <w:r>
              <w:rPr>
                <w:rFonts w:ascii="Arial" w:cs="Arial" w:eastAsia="Arial" w:hAnsi="Arial"/>
                <w:sz w:val="14"/>
                <w:szCs w:val="14"/>
                <w:b w:val="1"/>
                <w:bCs w:val="1"/>
                <w:color w:val="auto"/>
              </w:rPr>
              <w:t>Sell</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Purchase</w:t>
            </w: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Sell</w:t>
            </w: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as accounting hedges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Not designated as accounting hedges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13,297</w:t>
            </w:r>
          </w:p>
        </w:tc>
        <w:tc>
          <w:tcPr>
            <w:tcW w:w="660" w:type="dxa"/>
            <w:vAlign w:val="bottom"/>
          </w:tcPr>
          <w:p>
            <w:pPr>
              <w:spacing w:after="0"/>
              <w:rPr>
                <w:sz w:val="21"/>
                <w:szCs w:val="21"/>
                <w:color w:val="auto"/>
              </w:rPr>
            </w:pPr>
          </w:p>
        </w:tc>
        <w:tc>
          <w:tcPr>
            <w:tcW w:w="1580" w:type="dxa"/>
            <w:vAlign w:val="bottom"/>
          </w:tcPr>
          <w:p>
            <w:pPr>
              <w:jc w:val="right"/>
              <w:ind w:right="456"/>
              <w:spacing w:after="0"/>
              <w:rPr>
                <w:sz w:val="20"/>
                <w:szCs w:val="20"/>
                <w:color w:val="auto"/>
              </w:rPr>
            </w:pPr>
            <w:r>
              <w:rPr>
                <w:rFonts w:ascii="Arial" w:cs="Arial" w:eastAsia="Arial" w:hAnsi="Arial"/>
                <w:sz w:val="18"/>
                <w:szCs w:val="18"/>
                <w:b w:val="1"/>
                <w:bCs w:val="1"/>
                <w:color w:val="auto"/>
              </w:rPr>
              <w:t>5,520</w:t>
            </w:r>
          </w:p>
        </w:tc>
        <w:tc>
          <w:tcPr>
            <w:tcW w:w="1400" w:type="dxa"/>
            <w:vAlign w:val="bottom"/>
          </w:tcPr>
          <w:p>
            <w:pPr>
              <w:jc w:val="right"/>
              <w:spacing w:after="0"/>
              <w:rPr>
                <w:sz w:val="20"/>
                <w:szCs w:val="20"/>
                <w:color w:val="auto"/>
              </w:rPr>
            </w:pPr>
            <w:r>
              <w:rPr>
                <w:rFonts w:ascii="Arial" w:cs="Arial" w:eastAsia="Arial" w:hAnsi="Arial"/>
                <w:sz w:val="18"/>
                <w:szCs w:val="18"/>
                <w:color w:val="auto"/>
              </w:rPr>
              <w:t>14,281</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Forward contracts generally have maturities not exceeding 12 months.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Our primary interest-rate risk exposure results from changes in short-term U.S. dollar interest rates. In an effort to manage interest-rate exposures, we may enter into derivative contracts to achieve an acceptable balance between fixed- and floating-rate debt or to reduce cash flow variability from changes in interest rates as part of anticipated debt issuances. The impact of our interest rate contracts on our consolidated condensed financial statements was not material for all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Significant Risk Management Programs on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significant risk-management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in other–net, (income) expense:</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Foreign currency forward contracts not designated as accounting hedges</w:t>
            </w:r>
          </w:p>
        </w:tc>
        <w:tc>
          <w:tcPr>
            <w:tcW w:w="1220" w:type="dxa"/>
            <w:vAlign w:val="bottom"/>
          </w:tcPr>
          <w:p>
            <w:pPr>
              <w:jc w:val="right"/>
              <w:ind w:right="1022"/>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ind w:left="200"/>
              <w:spacing w:after="0"/>
              <w:rPr>
                <w:sz w:val="20"/>
                <w:szCs w:val="20"/>
                <w:color w:val="auto"/>
              </w:rPr>
            </w:pPr>
            <w:r>
              <w:rPr>
                <w:rFonts w:ascii="Arial" w:cs="Arial" w:eastAsia="Arial" w:hAnsi="Arial"/>
                <w:sz w:val="18"/>
                <w:szCs w:val="18"/>
                <w:b w:val="1"/>
                <w:bCs w:val="1"/>
                <w:color w:val="auto"/>
              </w:rPr>
              <w:t>(97)</w:t>
            </w:r>
          </w:p>
        </w:tc>
        <w:tc>
          <w:tcPr>
            <w:tcW w:w="1280" w:type="dxa"/>
            <w:vAlign w:val="bottom"/>
          </w:tcPr>
          <w:p>
            <w:pPr>
              <w:jc w:val="right"/>
              <w:ind w:right="9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in other comprehensive income (loss):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Foreign currency-denominated notes:</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Designated as accounting hedges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115</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Foreign currency forward contracts:</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Designated as accounting hedges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(30)</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868"/>
        </w:trPr>
        <w:tc>
          <w:tcPr>
            <w:tcW w:w="7560" w:type="dxa"/>
            <w:vAlign w:val="bottom"/>
          </w:tcPr>
          <w:p>
            <w:pPr>
              <w:ind w:left="5520"/>
              <w:spacing w:after="0"/>
              <w:rPr>
                <w:sz w:val="20"/>
                <w:szCs w:val="20"/>
                <w:color w:val="auto"/>
              </w:rPr>
            </w:pPr>
            <w:r>
              <w:rPr>
                <w:rFonts w:ascii="Arial" w:cs="Arial" w:eastAsia="Arial" w:hAnsi="Arial"/>
                <w:sz w:val="18"/>
                <w:szCs w:val="18"/>
                <w:color w:val="auto"/>
              </w:rPr>
              <w:t>16</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1"/>
        </w:trPr>
        <w:tc>
          <w:tcPr>
            <w:tcW w:w="7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ind w:right="100"/>
        <w:spacing w:after="0" w:line="287" w:lineRule="auto"/>
        <w:rPr>
          <w:sz w:val="20"/>
          <w:szCs w:val="20"/>
          <w:color w:val="auto"/>
        </w:rPr>
      </w:pPr>
      <w:r>
        <w:rPr>
          <w:rFonts w:ascii="Arial" w:cs="Arial" w:eastAsia="Arial" w:hAnsi="Arial"/>
          <w:sz w:val="18"/>
          <w:szCs w:val="18"/>
          <w:color w:val="auto"/>
        </w:rPr>
        <w:t>The following table summarizes the fair value of assets and liabilities on a gross basis for significant risk-management programs using Level 2 inputs: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Designated as accounting hedges: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580" w:type="dxa"/>
            <w:vAlign w:val="bottom"/>
            <w:shd w:val="clear" w:color="auto" w:fill="CCEEFF"/>
          </w:tcPr>
          <w:p>
            <w:pPr>
              <w:jc w:val="right"/>
              <w:ind w:right="1199"/>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designated as accounting hedges:</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5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protection,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predominantly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Patent Matters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the course of our business, we are subject to actions and proceedings by third parties that seek to challenge, invalidate, or circumvent our patents and patent applications relating to our products, product candidates, and technologies, including the matter described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April 2026, the U.S. Court of Appeals for the Federal Circuit issued an opinion reversing the trial court's finding that the patents are invalid and remanding to the district court, and we recognized a charge related to the matter during the three months ended March 31, 2026. We are assessing next steps.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several remedial and compensatory actions, including health coverage for a class of individuals and certain of their children, and imposing a liquidated award. In December 2025, the superior labor court (TST) significantly reduced the liquidated award. Further appeals are possible.</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July 2019, at the LPA's request, the trial court ordered a freeze of certain of Lilly Brasil's immovable property, which amount was reduced on Lilly's appeal. Both parties have appealed to the TST.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trial court is continuing to assess the status of Lilly Brasil's compliance with the obligations as to the 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Health and Human Services (HHS), the Secretary of HHS, the Health Resources and Service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declaratory, injunctive, and other related relief. In March 2021, the court preliminarily enjoined the government's use of the ADR process as to us. In May 2021, we amended the complaint to add claims related to a May 2021 letter from HRSA asserting that Lilly's contract pharmacy policy violated the</w:t>
      </w:r>
    </w:p>
    <w:p>
      <w:pPr>
        <w:spacing w:after="0" w:line="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340B statute. In October 2021, the court granted in part and denied in part the parties' cross-motions for summary judgment. Both parties appealed to the U.S. Court of Appeals for the Seventh Circuit. The appeal remains pending.</w:t>
      </w:r>
    </w:p>
    <w:p>
      <w:pPr>
        <w:spacing w:after="0" w:line="63"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have been named in various ADR petitions, filed between 2021 and 2024, seeking declaratory, injunctive, and/or monetary relief related to the 340B program. In light of the preliminary injunction order described above, these petitions are being held in abeyance as to us.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Novo Nordisk Inc., and AstraZeneca Pharmaceuticals LP, alleging antitrust and unjust enrichment claims related to the defendants' 340B programs. In October 2021, an amended complaint added Central Virginia Health Services, Inc. as a plaintiff. After the district court dismissed the case for failure to state a claim, the U.S. Court of Appeals for the Second Circuit reversed. We filed a petition seeking U.S. Supreme Court review in March 2026. This matter is ongoing.</w:t>
      </w:r>
    </w:p>
    <w:p>
      <w:pPr>
        <w:spacing w:after="0" w:line="71" w:lineRule="exact"/>
        <w:rPr>
          <w:sz w:val="20"/>
          <w:szCs w:val="20"/>
          <w:color w:val="auto"/>
        </w:rPr>
      </w:pPr>
    </w:p>
    <w:p>
      <w:pPr>
        <w:ind w:right="840"/>
        <w:spacing w:after="0" w:line="375" w:lineRule="auto"/>
        <w:rPr>
          <w:sz w:val="20"/>
          <w:szCs w:val="20"/>
          <w:color w:val="auto"/>
        </w:rPr>
      </w:pPr>
      <w:r>
        <w:rPr>
          <w:rFonts w:ascii="Arial" w:cs="Arial" w:eastAsia="Arial" w:hAnsi="Arial"/>
          <w:sz w:val="18"/>
          <w:szCs w:val="18"/>
          <w:color w:val="auto"/>
        </w:rPr>
        <w:t xml:space="preserve">We have multiple other challenges against HHS and related parties related to interpretations and actions under the 340B program. </w:t>
      </w:r>
      <w:r>
        <w:rPr>
          <w:rFonts w:ascii="Arial" w:cs="Arial" w:eastAsia="Arial" w:hAnsi="Arial"/>
          <w:sz w:val="18"/>
          <w:szCs w:val="18"/>
          <w:i w:val="1"/>
          <w:iCs w:val="1"/>
          <w:u w:val="single" w:color="auto"/>
          <w:color w:val="auto"/>
        </w:rPr>
        <w:t>Insulin Pricing Litigation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7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MDL court has issued various case management and other orders, including but not limited to orders establishing separate tracks for state attorney general claims, putative class actions, and non-class suits by self-funded payers; orders dismissing certain claims; and an order setting a constructive notice date of January 14, 2021 for statute of limitations purposes.</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The state's appeal to the Michigan Supreme Court remains pending.</w:t>
      </w:r>
    </w:p>
    <w:p>
      <w:pPr>
        <w:spacing w:after="0" w:line="7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Lilly entered into settlement agreements with New York and Minnesota to resolve allegations relating to insulin pricing in 2023 and 2024, respectively. These agreements involved no monetary payments and no admission of wrongdoing or liability.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civil investigative demands, or information requests from the U.S. Department of Justice, the U.S. Federal Trade Commission, and attorneys general from various states and the District of Columbia.</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November 2014,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U.S. District Court for the Northern District of Illinois against us and Takeda Pharmaceuticals America, Inc. The relator's complaint alleged that the defendants should have treated certain credits from distributors as retroactive price increases and included such increases in calculating average manufacturer prices. In August 2022, following a trial, the jury returned a verdict in favor of the relator. In September 2025, the U.S. Court of Appeals for the Seventh Circuit affirmed, and we recognized a charge related to the matter. In December 2025, the Seventh Circuit denied our petition for rehearing en banc. In March 2026, we filed a petition seeking U.S. Supreme Court review.</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The U.S. Court of Appeals for the Ninth Circuit subsequently affirmed, and the U.S. Supreme Court denied our petition for certiorari. The matter is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Trulicity, and Zepbound Product Liability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August 2023, various plaintiffs have filed lawsuits against us, Novo Nordisk A/S, and other related entities, alleging various injuries following purported use of incretin medicines, including Mounjaro, Trulicity, and Zepbound. The complaints assert a variety of claims and generally seek damages and/or other relief. Most of these lawsuits in the United States have been coordinated or consolidated for pretrial proceedings in two federal MDLs: one focused on alleged gastrointestinal injuries, and the other relating to claims of non-arteritic anterior ischemic optic neuropathy (NAION). Both MDLs are pending in the U.S. District Court for the Eastern District of Pennsylvania. There are also similar proceedings pending in Delaware, Indiana, and New Jersey state courts. In addition to the cases in the United States, there are two class action petitions in Israel and two class action petitions in Canada alleging various injuries and claims.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In October 2019, a relator filed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against us in Texas state court asserting claims under the Texas Medicaid Fraud Prevention Act (TMFPA) based on allegations about certain patient support programs related to three of our products. The relator sought to recover the value of payments by the Texas Medicaid Program for these products, as well as civil penalties and other relief. In August 2025, the relator purported to dismiss the first lawsuit and filed a second lawsuit in a different Texas state court adding the State of Texas as a party and expanding claims under the TMFPA to fifteen of our products. We are opposing the relator's purported dismissal of the first lawsuit.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providing for different payments based on various litigation outcomes as determined on appeal. The settlement agreement was not an admission of liability or fault and was subject to conditions. Pursuant to the agreement, the court entered final judgment, Lilly filed a notice of appeal to the U.S. Court of Appeals for the Ninth Circuit, and Lilly made an initial payment under the agreement. In February 2026, the Ninth Circuit reversed and remanded the case with instructions to enter summary judgment for Lilly. Under the settlement agreement, Lilly owes no further payments to RCT.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9: Equity</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months ended March 31, 2026, we repurchased $2.3 billion of shares associated with our share repurchase program. As of March 31, 2026, we had $8.6 billion remaining under our $15.0 billion share repurchase program authorized in December 2024. We retire shares once we repurchase them.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equity with significant changes during the three months ended March 31, 2026 and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8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restart"/>
          </w:tcPr>
          <w:p>
            <w:pPr>
              <w:jc w:val="right"/>
              <w:ind w:right="375"/>
              <w:spacing w:after="0" w:line="122"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4"/>
                <w:szCs w:val="4"/>
                <w:color w:val="auto"/>
              </w:rPr>
            </w:pPr>
          </w:p>
        </w:tc>
        <w:tc>
          <w:tcPr>
            <w:tcW w:w="1120" w:type="dxa"/>
            <w:vAlign w:val="bottom"/>
            <w:vMerge w:val="restart"/>
          </w:tcPr>
          <w:p>
            <w:pPr>
              <w:jc w:val="right"/>
              <w:ind w:right="313"/>
              <w:spacing w:after="0" w:line="122"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2"/>
            <w:vMerge w:val="restart"/>
          </w:tcPr>
          <w:p>
            <w:pPr>
              <w:jc w:val="right"/>
              <w:ind w:right="10"/>
              <w:spacing w:after="0" w:line="122" w:lineRule="exact"/>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4"/>
                <w:szCs w:val="4"/>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Capital</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Earnings</w:t>
            </w: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944.8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7,346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24,470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7,396</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(2,356)</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2026</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943.5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6,921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29,514</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(2,833)</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947.9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7,439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13,545</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2,759</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common stock</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line="176" w:lineRule="exact"/>
              <w:rPr>
                <w:sz w:val="20"/>
                <w:szCs w:val="20"/>
                <w:color w:val="auto"/>
              </w:rPr>
            </w:pPr>
            <w:r>
              <w:rPr>
                <w:rFonts w:ascii="Arial" w:cs="Arial" w:eastAsia="Arial" w:hAnsi="Arial"/>
                <w:sz w:val="18"/>
                <w:szCs w:val="18"/>
                <w:color w:val="auto"/>
              </w:rPr>
              <w:t>Issuance of stock under employee stock plans,</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w:t>
            </w:r>
          </w:p>
        </w:tc>
        <w:tc>
          <w:tcPr>
            <w:tcW w:w="1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948.1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6,910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15,100</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the activity related to each component of accumulated other comprehensive income (loss) during the three months ended March 31, 2026 and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220" w:type="dxa"/>
            <w:vAlign w:val="bottom"/>
          </w:tcPr>
          <w:p>
            <w:pPr>
              <w:jc w:val="right"/>
              <w:ind w:right="257"/>
              <w:spacing w:after="0"/>
              <w:rPr>
                <w:sz w:val="20"/>
                <w:szCs w:val="20"/>
                <w:color w:val="auto"/>
              </w:rPr>
            </w:pPr>
            <w:r>
              <w:rPr>
                <w:rFonts w:ascii="Arial" w:cs="Arial" w:eastAsia="Arial" w:hAnsi="Arial"/>
                <w:sz w:val="14"/>
                <w:szCs w:val="14"/>
                <w:b w:val="1"/>
                <w:bCs w:val="1"/>
                <w:color w:val="auto"/>
              </w:rPr>
              <w:t>Retirement</w:t>
            </w:r>
          </w:p>
        </w:tc>
        <w:tc>
          <w:tcPr>
            <w:tcW w:w="340" w:type="dxa"/>
            <w:vAlign w:val="bottom"/>
          </w:tcPr>
          <w:p>
            <w:pPr>
              <w:spacing w:after="0"/>
              <w:rPr>
                <w:sz w:val="14"/>
                <w:szCs w:val="14"/>
                <w:color w:val="auto"/>
              </w:rPr>
            </w:pPr>
          </w:p>
        </w:tc>
        <w:tc>
          <w:tcPr>
            <w:tcW w:w="10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Other</w:t>
            </w: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Translation</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255</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254</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8" w:right="339" w:bottom="1440" w:gutter="0" w:footer="0" w:header="0"/>
        </w:sectPr>
      </w:pPr>
    </w:p>
    <w:p>
      <w:pPr>
        <w:spacing w:after="0" w:line="38" w:lineRule="exact"/>
        <w:rPr>
          <w:sz w:val="20"/>
          <w:szCs w:val="20"/>
          <w:color w:val="auto"/>
        </w:rPr>
      </w:pPr>
    </w:p>
    <w:p>
      <w:pPr>
        <w:ind w:left="20" w:right="1860"/>
        <w:spacing w:after="0" w:line="300" w:lineRule="auto"/>
        <w:rPr>
          <w:sz w:val="20"/>
          <w:szCs w:val="20"/>
          <w:color w:val="auto"/>
        </w:rPr>
      </w:pPr>
      <w:r>
        <w:rPr>
          <w:rFonts w:ascii="Arial" w:cs="Arial" w:eastAsia="Arial" w:hAnsi="Arial"/>
          <w:sz w:val="18"/>
          <w:szCs w:val="18"/>
          <w:color w:val="auto"/>
        </w:rPr>
        <w:t>Balance at December 31, 2024 Other comprehensive income (loss) Balance at March 31, 2025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(4,322)</w:t>
            </w:r>
          </w:p>
        </w:tc>
      </w:tr>
      <w:tr>
        <w:trPr>
          <w:trHeight w:val="235"/>
        </w:trPr>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-462280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-170815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4720" w:space="720"/>
            <w:col w:w="5800"/>
          </w:cols>
          <w:pgMar w:left="320" w:top="998" w:right="339" w:bottom="1440" w:gutter="0" w:footer="0" w:header="0"/>
          <w:type w:val="continuous"/>
        </w:sect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the impact of foreign currency transactions designated as net investment hedges. See Note 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our single reportable segment, including significant segment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19,799</w:t>
            </w:r>
          </w:p>
        </w:tc>
        <w:tc>
          <w:tcPr>
            <w:tcW w:w="12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Less:</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3,577</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9"/>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1,266</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29"/>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2,244</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10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2,934</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584</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30"/>
        </w:trPr>
        <w:tc>
          <w:tcPr>
            <w:tcW w:w="75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7,396</w:t>
            </w:r>
          </w:p>
        </w:tc>
        <w:tc>
          <w:tcPr>
            <w:tcW w:w="12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43"/>
        </w:trPr>
        <w:tc>
          <w:tcPr>
            <w:tcW w:w="7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2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311"/>
        </w:trPr>
        <w:tc>
          <w:tcPr>
            <w:tcW w:w="7560" w:type="dxa"/>
            <w:vAlign w:val="bottom"/>
          </w:tcPr>
          <w:p>
            <w:pPr>
              <w:ind w:left="20"/>
              <w:spacing w:after="0"/>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(3)</w:t>
            </w:r>
          </w:p>
        </w:tc>
        <w:tc>
          <w:tcPr>
            <w:tcW w:w="10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2,438</w:t>
            </w:r>
          </w:p>
        </w:tc>
        <w:tc>
          <w:tcPr>
            <w:tcW w:w="1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1,517</w:t>
            </w:r>
          </w:p>
        </w:tc>
      </w:tr>
    </w:tbl>
    <w:p>
      <w:pPr>
        <w:spacing w:after="0" w:line="18" w:lineRule="exact"/>
        <w:rPr>
          <w:sz w:val="20"/>
          <w:szCs w:val="20"/>
          <w:color w:val="auto"/>
        </w:rPr>
      </w:pPr>
    </w:p>
    <w:p>
      <w:pPr>
        <w:ind w:left="180" w:right="560" w:hanging="172"/>
        <w:spacing w:after="0" w:line="238"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line="211"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w:t>
      </w: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expenditures for property and equipment and computer software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(Tables present dollars in millions, except per-share data, and numbers may not add due to rounding)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This section provides an overview of our financial results, updates to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2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622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Pr>
          <w:p>
            <w:pPr>
              <w:spacing w:after="0"/>
              <w:rPr>
                <w:sz w:val="4"/>
                <w:szCs w:val="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19,799</w:t>
            </w:r>
          </w:p>
        </w:tc>
        <w:tc>
          <w:tcPr>
            <w:tcW w:w="12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1360" w:type="dxa"/>
            <w:vAlign w:val="bottom"/>
            <w:shd w:val="clear" w:color="auto" w:fill="CCEEFF"/>
          </w:tcPr>
          <w:p>
            <w:pPr>
              <w:jc w:val="center"/>
              <w:ind w:left="157"/>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7,396</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2,759</w:t>
            </w:r>
          </w:p>
        </w:tc>
        <w:tc>
          <w:tcPr>
            <w:tcW w:w="1360" w:type="dxa"/>
            <w:vAlign w:val="bottom"/>
          </w:tcPr>
          <w:p>
            <w:pPr>
              <w:jc w:val="center"/>
              <w:ind w:left="177"/>
              <w:spacing w:after="0"/>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8.26</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36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Revenue increased for the three months ended March 31, 2026, driven primarily by increased volume, partially offset by lower realized prices. The increased volume and lower realized prices during the three months ended March 31, 2026 were primarily driven by Mounjaro and Zepbound.</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Net income and earnings per share for the three months ended March 31, 2026 increased primarily due to higher gross margin and lower acquired IPR&amp;D charges, partially offset by higher research and development expenses and marketing, selling, and administrative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Clinical Development Pipeline Updates</w:t>
      </w:r>
    </w:p>
    <w:p>
      <w:pPr>
        <w:spacing w:after="0" w:line="117" w:lineRule="exact"/>
        <w:rPr>
          <w:sz w:val="20"/>
          <w:szCs w:val="20"/>
          <w:color w:val="auto"/>
        </w:rPr>
      </w:pPr>
    </w:p>
    <w:p>
      <w:pPr>
        <w:ind w:right="400"/>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Our long-term success depends on our ability to continually discover or acquire, develop, and commercialize innovative medicines. See “Management’s Discussion and Analysis of Results of Operations and Financial Condition—Executive Overview—Clinical Development Pipeline”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for select new molecular entities (NMEs) and new indication line extension (NILEX) products in clinical trials or that were submitted for regulatory review or received regulatory approval in the U.S., European Union (EU), or Japan. The following reflects certain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76200</wp:posOffset>
            </wp:positionV>
            <wp:extent cx="8890" cy="1868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890" cy="1868805"/>
                    </a:xfrm>
                    <a:prstGeom prst="rect">
                      <a:avLst/>
                    </a:prstGeom>
                    <a:noFill/>
                  </pic:spPr>
                </pic:pic>
              </a:graphicData>
            </a:graphic>
          </wp:anchor>
        </w:drawing>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Compound</w:t>
            </w:r>
          </w:p>
        </w:tc>
        <w:tc>
          <w:tcPr>
            <w:tcW w:w="8160" w:type="dxa"/>
            <w:vAlign w:val="bottom"/>
            <w:tcBorders>
              <w:top w:val="single" w:sz="8" w:color="auto"/>
              <w:bottom w:val="single" w:sz="8" w:color="auto"/>
            </w:tcBorders>
          </w:tcPr>
          <w:p>
            <w:pPr>
              <w:ind w:left="3520"/>
              <w:spacing w:after="0"/>
              <w:rPr>
                <w:sz w:val="20"/>
                <w:szCs w:val="20"/>
                <w:color w:val="auto"/>
              </w:rPr>
            </w:pPr>
            <w:r>
              <w:rPr>
                <w:rFonts w:ascii="Arial" w:cs="Arial" w:eastAsia="Arial" w:hAnsi="Arial"/>
                <w:sz w:val="18"/>
                <w:szCs w:val="18"/>
                <w:b w:val="1"/>
                <w:bCs w:val="1"/>
                <w:color w:val="auto"/>
              </w:rPr>
              <w:t>Development</w:t>
            </w: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Orforglipron (Foundayo)</w:t>
            </w:r>
          </w:p>
        </w:tc>
        <w:tc>
          <w:tcPr>
            <w:tcW w:w="8160" w:type="dxa"/>
            <w:vAlign w:val="bottom"/>
          </w:tcPr>
          <w:p>
            <w:pPr>
              <w:spacing w:after="0"/>
              <w:rPr>
                <w:sz w:val="20"/>
                <w:szCs w:val="20"/>
                <w:color w:val="auto"/>
              </w:rPr>
            </w:pPr>
            <w:r>
              <w:rPr>
                <w:rFonts w:ascii="Arial" w:cs="Arial" w:eastAsia="Arial" w:hAnsi="Arial"/>
                <w:sz w:val="18"/>
                <w:szCs w:val="18"/>
                <w:color w:val="auto"/>
              </w:rPr>
              <w:t>The FDA approved orforglipron for treatment of obesity.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980" w:type="dxa"/>
            <w:vAlign w:val="bottom"/>
            <w:tcBorders>
              <w:left w:val="single" w:sz="8" w:color="auto"/>
              <w:right w:val="single" w:sz="8" w:color="auto"/>
            </w:tcBorders>
            <w:vMerge w:val="continue"/>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980" w:type="dxa"/>
            <w:vAlign w:val="bottom"/>
            <w:tcBorders>
              <w:left w:val="single" w:sz="8" w:color="auto"/>
              <w:right w:val="single" w:sz="8" w:color="auto"/>
            </w:tcBorders>
            <w:vMerge w:val="continue"/>
          </w:tcPr>
          <w:p>
            <w:pPr>
              <w:spacing w:after="0"/>
              <w:rPr>
                <w:sz w:val="9"/>
                <w:szCs w:val="9"/>
                <w:color w:val="auto"/>
              </w:rPr>
            </w:pPr>
          </w:p>
        </w:tc>
        <w:tc>
          <w:tcPr>
            <w:tcW w:w="8160" w:type="dxa"/>
            <w:vAlign w:val="bottom"/>
            <w:vMerge w:val="restart"/>
          </w:tcPr>
          <w:p>
            <w:pPr>
              <w:spacing w:after="0"/>
              <w:rPr>
                <w:sz w:val="20"/>
                <w:szCs w:val="20"/>
                <w:color w:val="auto"/>
              </w:rPr>
            </w:pPr>
            <w:r>
              <w:rPr>
                <w:rFonts w:ascii="Arial" w:cs="Arial" w:eastAsia="Arial" w:hAnsi="Arial"/>
                <w:sz w:val="18"/>
                <w:szCs w:val="18"/>
                <w:color w:val="auto"/>
              </w:rPr>
              <w:t>Announced that a Phase 3 trial for orforglipron for type 2 diabetes met the primary endpoint.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right w:val="single" w:sz="8" w:color="auto"/>
            </w:tcBorders>
          </w:tcPr>
          <w:p>
            <w:pPr>
              <w:spacing w:after="0"/>
              <w:rPr>
                <w:sz w:val="19"/>
                <w:szCs w:val="19"/>
                <w:color w:val="auto"/>
              </w:rPr>
            </w:pPr>
          </w:p>
        </w:tc>
        <w:tc>
          <w:tcPr>
            <w:tcW w:w="8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8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Baricitinib</w:t>
            </w: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baricitinib for type 1 diabetes.</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80" w:type="dxa"/>
            <w:vAlign w:val="bottom"/>
            <w:tcBorders>
              <w:left w:val="single" w:sz="8" w:color="auto"/>
              <w:right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incretin add-on for obesity.</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Eloralintide</w:t>
            </w: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for obstructive sleep apnea (OSA).</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eloralintide for osteoarthritis (OA) pain.</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Retatrutide</w:t>
            </w: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Announced that a Phase 3 trial for retatrutide for type 2 diabetes met the primary endpoint.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Brenipatide</w:t>
            </w: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brenipatide for major depressive disorder.</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18"/>
                <w:szCs w:val="18"/>
                <w:b w:val="1"/>
                <w:bCs w:val="1"/>
                <w:color w:val="auto"/>
                <w:w w:val="97"/>
              </w:rPr>
              <w:t>Sofetabart mipitecan</w:t>
            </w:r>
            <w:r>
              <w:rPr>
                <w:rFonts w:ascii="Arial" w:cs="Arial" w:eastAsia="Arial" w:hAnsi="Arial"/>
                <w:sz w:val="23"/>
                <w:szCs w:val="23"/>
                <w:b w:val="1"/>
                <w:bCs w:val="1"/>
                <w:color w:val="auto"/>
                <w:w w:val="97"/>
                <w:vertAlign w:val="superscript"/>
              </w:rPr>
              <w:t>(1)</w:t>
            </w: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Phase 3 trial was initiated for sofetabart mipitecan for platinum-sensitive ovarian cancer.</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80" w:right="540" w:hanging="172"/>
        <w:spacing w:after="0" w:line="248"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FDA granted Breakthrough Therapy designation for sofetabart mipitecan for the treatment of certain patients with platinum-resistant ovarian cancer. Breakthrough Therapy designation is designed to expedite the development and review of potential medicines that are intended to treat a serious condition when preliminary clinical evidence indicates that the treatment may demonstrate substantial improvement on a clinically significant endpoint(s) over already available therapies.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Global concern over access to, and affordability of, pharmaceutical products continues to drive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2026, we finalized voluntary agreements with the U.S. government in which, among other arrangements, we agreed to lower Medicaid and certain other drug prices for U.S. patients and to launch new medicines with a more balanced pricing approach across developed nations. Under the Medicare GLP-1 Bridge program (Bridge Program), Medicare beneficiaries will have access to discounted Lilly obesity medicines by July 1, 2026 through December 31, 2027, and individual state Medicaid programs will have the option to expand access to these medicines. We continue to engage with the Centers for Medicare &amp; Medicaid Services on long-term Medicare access to obesity medicines. The uptake from this expanded access is unknown. Moreover, the outcome of these arrangements and broader U.S. policy efforts to align domestic pharmaceutical pricing with international benchmarks from countries with competing healthcare cost containment priorities is uncertain and could negatively impact our pricing strategies, product demand or access, or competitive positioning across global markets, and may result in reduced revenue in certain markets.</w:t>
      </w:r>
    </w:p>
    <w:p>
      <w:pPr>
        <w:spacing w:after="0" w:line="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ind w:right="60"/>
        <w:spacing w:after="0" w:line="255" w:lineRule="auto"/>
        <w:rPr>
          <w:sz w:val="20"/>
          <w:szCs w:val="20"/>
          <w:color w:val="auto"/>
        </w:rPr>
      </w:pPr>
      <w:r>
        <w:rPr>
          <w:rFonts w:ascii="Arial" w:cs="Arial" w:eastAsia="Arial" w:hAnsi="Arial"/>
          <w:sz w:val="18"/>
          <w:szCs w:val="18"/>
          <w:color w:val="auto"/>
        </w:rPr>
        <w:t>The Inflation Reduction Act of 2022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In August 2023, HHS selected Jardiance, which is part of our collaboration with Boehringer Ingelheim, as one of the first ten medicines subject to government-set prices effective in 2026. In January 2026, HHS selected Trulicity and Verzenio as additional medicines subject to government-set prices to be effective in 2028. Given our product portfolio, we expect other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U.S. and other countries have imposed or reached alignment on tariffs. In some cases, imposed tariffs have been paused but may come into effect quickly and unpredictably. While pharmaceuticals are exempt from certain of these tariffs, such exemptions may be terminated or may not apply to any future tariffs. The precise impact of tariffs, trade protection measures, and other restrictions depend on their ultimate scope, timing, and other factors. If enacted, additional restrictions could result in supply disruptions or delays, further increase costs, or otherwise have a negative impact on our business. Given the nature of pharmaceutical regulation and commercialization, we may not be able to share the burden of increased costs from tariffs and related impacts to any meaningful degree.</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and investigations related to the 340B program, access to insulin, pricing, product safety, and other matters that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Mounjaro and Zepbound accounted for 65 percent of our total revenue for the three months ended March 31, 2026, and we expect cardiometabolic health products will continue to represent a significant and growing portion of our business, revenue, and prospects. In the first quarter of 2026, we finalized drug pricing agreements with the U.S. government, including Medicare access to discounted Lilly obesity medicines under the Bridge Program.</w:t>
      </w:r>
    </w:p>
    <w:p>
      <w:pPr>
        <w:spacing w:after="0" w:line="7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 April 2026, we received U.S. FDA approval for Foundayo (orforglipron) for the treatment of obesity. Internationally, we have submitted orforglipron for the treatment of obesity and launched Mounjaro in all major markets. To support anticipated demand for our current and prospective products, we have undertaken significant manufacturing expansion initiatives. Additional capacity is expected to become operational over the next several years.</w:t>
      </w:r>
    </w:p>
    <w:p>
      <w:pPr>
        <w:spacing w:after="0" w:line="6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expect our near-term financial performance will be impacted by, among other factors, the timing of additional potential regulatory approvals for orforglipron, as well as the demand and pace of uptake in new incretin channels and markets, including in U.S. Medicare for Zepbound and Foundayo. More generally, incretin volume fluctuations due to channel dynamics or demand can have a disproportionate impact on our results of operations in any given period. Longer term, the durability of our cardiometabolic health product offerings and sustainability of our growth and prospects will depend on our ability to maintain or strengthen our competitive position as the therapeutic landscape evolves and to deliver further innovations that provide sufficient value to sustain our growth momentum.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right="80"/>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mass-compounded incretins. These practices may impact patient safety and undermine regulatory drug approval processes. While the FDA confirmed in late 2024 that the previous shortage of tirzepatide had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OECD and the European Commission could influence tax laws in countries in which we operate. Tax authorities in the U.S. and other jurisdictions in which we do business routinely examine our tax returns and are expected to increase their scrutiny of cross-border tax issues. Additionally, we are subject to increasing tax disclosure obligations globally that could heighten our audit risk. Changes to existing U.S. and foreign tax laws and increased scrutiny by tax authorities in the U.S. and other jurisdictions could have a material adverse impact on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1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Other factors have had, and may continue to have, an impact on our consolidated results of operations. See "Business"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and Notes 4 and 9 to the consolidated condensed financial statements for additional information and risks and uncertainties that could impact our business and operations, including the matters described within this Executive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c>
          <w:tcPr>
            <w:tcW w:w="1260" w:type="dxa"/>
            <w:vAlign w:val="bottom"/>
          </w:tcPr>
          <w:p>
            <w:pPr>
              <w:jc w:val="center"/>
              <w:ind w:left="19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rPr>
              <w:t>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12,119</w:t>
            </w:r>
          </w:p>
        </w:tc>
        <w:tc>
          <w:tcPr>
            <w:tcW w:w="11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26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99"/>
              </w:rPr>
              <w:t>43</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7,680</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60" w:type="dxa"/>
            <w:vAlign w:val="bottom"/>
            <w:tcBorders>
              <w:bottom w:val="single" w:sz="8" w:color="CCEEFF"/>
            </w:tcBorders>
          </w:tcPr>
          <w:p>
            <w:pPr>
              <w:jc w:val="center"/>
              <w:ind w:left="177"/>
              <w:spacing w:after="0"/>
              <w:rPr>
                <w:sz w:val="20"/>
                <w:szCs w:val="20"/>
                <w:color w:val="auto"/>
              </w:rPr>
            </w:pPr>
            <w:r>
              <w:rPr>
                <w:rFonts w:ascii="Arial" w:cs="Arial" w:eastAsia="Arial" w:hAnsi="Arial"/>
                <w:sz w:val="18"/>
                <w:szCs w:val="18"/>
                <w:color w:val="auto"/>
                <w:w w:val="99"/>
              </w:rPr>
              <w:t>81</w:t>
            </w: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19,799</w:t>
            </w:r>
          </w:p>
        </w:tc>
        <w:tc>
          <w:tcPr>
            <w:tcW w:w="11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1260" w:type="dxa"/>
            <w:vAlign w:val="bottom"/>
            <w:tcBorders>
              <w:bottom w:val="single" w:sz="8" w:color="CCEEFF"/>
            </w:tcBorders>
            <w:shd w:val="clear" w:color="auto" w:fill="CCEEFF"/>
          </w:tcPr>
          <w:p>
            <w:pPr>
              <w:jc w:val="center"/>
              <w:ind w:left="177"/>
              <w:spacing w:after="0"/>
              <w:rPr>
                <w:sz w:val="20"/>
                <w:szCs w:val="20"/>
                <w:color w:val="auto"/>
              </w:rPr>
            </w:pPr>
            <w:r>
              <w:rPr>
                <w:rFonts w:ascii="Arial" w:cs="Arial" w:eastAsia="Arial" w:hAnsi="Arial"/>
                <w:sz w:val="18"/>
                <w:szCs w:val="18"/>
                <w:color w:val="auto"/>
                <w:w w:val="99"/>
              </w:rPr>
              <w:t>56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tcPr>
          <w:p>
            <w:pPr>
              <w:spacing w:after="0"/>
              <w:rPr>
                <w:sz w:val="17"/>
                <w:szCs w:val="17"/>
                <w:color w:val="auto"/>
              </w:rPr>
            </w:pPr>
          </w:p>
        </w:tc>
      </w:tr>
      <w:tr>
        <w:trPr>
          <w:trHeight w:val="204"/>
        </w:trPr>
        <w:tc>
          <w:tcPr>
            <w:tcW w:w="56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2026 vs. 2025</w:t>
            </w:r>
          </w:p>
        </w:tc>
        <w:tc>
          <w:tcPr>
            <w:tcW w:w="156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U.S.</w:t>
            </w:r>
          </w:p>
        </w:tc>
        <w:tc>
          <w:tcPr>
            <w:tcW w:w="8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Outside U.S.</w:t>
            </w:r>
          </w:p>
        </w:tc>
        <w:tc>
          <w:tcPr>
            <w:tcW w:w="15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49 %</w:t>
            </w:r>
          </w:p>
        </w:tc>
        <w:tc>
          <w:tcPr>
            <w:tcW w:w="1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95 %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840" w:type="dxa"/>
            <w:vAlign w:val="bottom"/>
          </w:tcPr>
          <w:p>
            <w:pPr>
              <w:jc w:val="right"/>
              <w:ind w:right="334"/>
              <w:spacing w:after="0"/>
              <w:rPr>
                <w:sz w:val="20"/>
                <w:szCs w:val="20"/>
                <w:color w:val="auto"/>
              </w:rPr>
            </w:pPr>
            <w:r>
              <w:rPr>
                <w:rFonts w:ascii="Arial" w:cs="Arial" w:eastAsia="Arial" w:hAnsi="Arial"/>
                <w:sz w:val="18"/>
                <w:szCs w:val="18"/>
                <w:color w:val="auto"/>
              </w:rPr>
              <w:t>(7)</w:t>
            </w:r>
          </w:p>
        </w:tc>
        <w:tc>
          <w:tcPr>
            <w:tcW w:w="1960" w:type="dxa"/>
            <w:vAlign w:val="bottom"/>
          </w:tcPr>
          <w:p>
            <w:pPr>
              <w:jc w:val="right"/>
              <w:ind w:right="436"/>
              <w:spacing w:after="0"/>
              <w:rPr>
                <w:sz w:val="20"/>
                <w:szCs w:val="20"/>
                <w:color w:val="auto"/>
              </w:rPr>
            </w:pPr>
            <w:r>
              <w:rPr>
                <w:rFonts w:ascii="Arial" w:cs="Arial" w:eastAsia="Arial" w:hAnsi="Arial"/>
                <w:sz w:val="18"/>
                <w:szCs w:val="18"/>
                <w:color w:val="auto"/>
              </w:rPr>
              <w:t>(25)</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(13)</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43 %</w:t>
            </w:r>
          </w:p>
        </w:tc>
        <w:tc>
          <w:tcPr>
            <w:tcW w:w="19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81 %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r>
    </w:tbl>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the U.S. for the three months ended March 31, 2026, the volume increase was primarily driven by Zepbound and Mounjaro, and the lower realized prices were primarily driven by Zepbound and Taltz.</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Outside the U.S. for the three months ended March 31, 2026, the volume increase was driven by Mounjaro, and the lower realized prices were primarily driven by the addition of Mounjaro to the National Reimbursed Drug List (NRDL) in China.</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spacing w:after="0"/>
              <w:rPr>
                <w:sz w:val="16"/>
                <w:szCs w:val="16"/>
                <w:color w:val="auto"/>
              </w:rPr>
            </w:pPr>
          </w:p>
        </w:tc>
      </w:tr>
      <w:tr>
        <w:trPr>
          <w:trHeight w:val="197"/>
        </w:trPr>
        <w:tc>
          <w:tcPr>
            <w:tcW w:w="4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4,430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125</w:t>
            </w: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Zepbound</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4,134</w:t>
            </w:r>
          </w:p>
        </w:tc>
        <w:tc>
          <w:tcPr>
            <w:tcW w:w="2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26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80</w:t>
            </w: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706</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596</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12</w:t>
            </w: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512</w:t>
            </w:r>
          </w:p>
        </w:tc>
        <w:tc>
          <w:tcPr>
            <w:tcW w:w="2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602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10</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318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(16)</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417</w:t>
            </w:r>
          </w:p>
        </w:tc>
        <w:tc>
          <w:tcPr>
            <w:tcW w:w="2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315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99"/>
              </w:rPr>
              <w:t>(4)</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1,393</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14</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12,119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7,680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12,729</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9"/>
              </w:rPr>
              <w:t>56</w:t>
            </w:r>
          </w:p>
        </w:tc>
      </w:tr>
    </w:tbl>
    <w:p>
      <w:pPr>
        <w:spacing w:after="0" w:line="180"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spacing w:after="0" w:line="5"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of Mounjaro increased 59 percent in the U.S. during the three months ended March 31, 2026, reflecting strong demand, partially offset by lower realized prices. Lower realized prices in the U.S. were partially offset by a favorable one-time adjustment to estimates for rebates and discounts during the three months ended March 31, 2026. Revenue outside the U.S. during the three months ended March 31, 2026 was $4.4 billion compared to $1.2 billion during the three months ended March 31, 2025, primarily driven by volume growth, partially offset by lower realized prices driven by the addition of Mounjaro to the NRDL in China.</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Zepbound increased 79 percent in the U.S. during the three months ended March 31, 2026, primarily driven by strong demand, partially offset by lower realized prices, including previously announced reductions in cash pay prices. Lower realized prices were partially offset by a favorable one-time adjustment to estimates for rebates and discounts during the three months ended March 31, 2026.</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Pr>
          <w:p>
            <w:pPr>
              <w:ind w:left="480"/>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2025</w:t>
            </w: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16,222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10,504</w:t>
            </w:r>
          </w:p>
        </w:tc>
        <w:tc>
          <w:tcPr>
            <w:tcW w:w="12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54</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81.9 %</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82.5 %</w:t>
            </w:r>
          </w:p>
        </w:tc>
        <w:tc>
          <w:tcPr>
            <w:tcW w:w="1220" w:type="dxa"/>
            <w:vAlign w:val="bottom"/>
          </w:tcPr>
          <w:p>
            <w:pPr>
              <w:spacing w:after="0"/>
              <w:rPr>
                <w:sz w:val="19"/>
                <w:szCs w:val="19"/>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3,510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2,734</w:t>
            </w:r>
          </w:p>
        </w:tc>
        <w:tc>
          <w:tcPr>
            <w:tcW w:w="12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28</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tcPr>
          <w:p>
            <w:pPr>
              <w:spacing w:after="0"/>
              <w:rPr>
                <w:sz w:val="19"/>
                <w:szCs w:val="19"/>
                <w:color w:val="auto"/>
              </w:rPr>
            </w:pPr>
          </w:p>
        </w:tc>
        <w:tc>
          <w:tcPr>
            <w:tcW w:w="1500" w:type="dxa"/>
            <w:vAlign w:val="bottom"/>
          </w:tcPr>
          <w:p>
            <w:pPr>
              <w:jc w:val="right"/>
              <w:ind w:right="214"/>
              <w:spacing w:after="0"/>
              <w:rPr>
                <w:sz w:val="20"/>
                <w:szCs w:val="20"/>
                <w:color w:val="auto"/>
              </w:rPr>
            </w:pPr>
            <w:r>
              <w:rPr>
                <w:rFonts w:ascii="Arial" w:cs="Arial" w:eastAsia="Arial" w:hAnsi="Arial"/>
                <w:sz w:val="18"/>
                <w:szCs w:val="18"/>
                <w:b w:val="1"/>
                <w:bCs w:val="1"/>
                <w:color w:val="auto"/>
              </w:rPr>
              <w:t>2,934</w:t>
            </w:r>
          </w:p>
        </w:tc>
        <w:tc>
          <w:tcPr>
            <w:tcW w:w="52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2,468</w:t>
            </w:r>
          </w:p>
        </w:tc>
        <w:tc>
          <w:tcPr>
            <w:tcW w:w="1220" w:type="dxa"/>
            <w:vAlign w:val="bottom"/>
          </w:tcPr>
          <w:p>
            <w:pPr>
              <w:jc w:val="center"/>
              <w:ind w:left="175"/>
              <w:spacing w:after="0"/>
              <w:rPr>
                <w:sz w:val="20"/>
                <w:szCs w:val="20"/>
                <w:color w:val="auto"/>
              </w:rPr>
            </w:pPr>
            <w:r>
              <w:rPr>
                <w:rFonts w:ascii="Arial" w:cs="Arial" w:eastAsia="Arial" w:hAnsi="Arial"/>
                <w:sz w:val="18"/>
                <w:szCs w:val="18"/>
                <w:color w:val="auto"/>
                <w:w w:val="99"/>
              </w:rPr>
              <w:t>19</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584</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1,572</w:t>
            </w:r>
          </w:p>
        </w:tc>
        <w:tc>
          <w:tcPr>
            <w:tcW w:w="12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(63)</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9"/>
                <w:szCs w:val="19"/>
                <w:color w:val="auto"/>
              </w:rPr>
            </w:pPr>
          </w:p>
        </w:tc>
        <w:tc>
          <w:tcPr>
            <w:tcW w:w="1500" w:type="dxa"/>
            <w:vAlign w:val="bottom"/>
          </w:tcPr>
          <w:p>
            <w:pPr>
              <w:jc w:val="right"/>
              <w:ind w:right="214"/>
              <w:spacing w:after="0"/>
              <w:rPr>
                <w:sz w:val="20"/>
                <w:szCs w:val="20"/>
                <w:color w:val="auto"/>
              </w:rPr>
            </w:pPr>
            <w:r>
              <w:rPr>
                <w:rFonts w:ascii="Arial" w:cs="Arial" w:eastAsia="Arial" w:hAnsi="Arial"/>
                <w:sz w:val="18"/>
                <w:szCs w:val="18"/>
                <w:b w:val="1"/>
                <w:bCs w:val="1"/>
                <w:color w:val="auto"/>
              </w:rPr>
              <w:t>1,454</w:t>
            </w:r>
          </w:p>
        </w:tc>
        <w:tc>
          <w:tcPr>
            <w:tcW w:w="52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697</w:t>
            </w:r>
          </w:p>
        </w:tc>
        <w:tc>
          <w:tcPr>
            <w:tcW w:w="1220" w:type="dxa"/>
            <w:vAlign w:val="bottom"/>
          </w:tcPr>
          <w:p>
            <w:pPr>
              <w:jc w:val="center"/>
              <w:ind w:left="155"/>
              <w:spacing w:after="0"/>
              <w:rPr>
                <w:sz w:val="20"/>
                <w:szCs w:val="20"/>
                <w:color w:val="auto"/>
              </w:rPr>
            </w:pPr>
            <w:r>
              <w:rPr>
                <w:rFonts w:ascii="Arial" w:cs="Arial" w:eastAsia="Arial" w:hAnsi="Arial"/>
                <w:sz w:val="18"/>
                <w:szCs w:val="18"/>
                <w:color w:val="auto"/>
                <w:w w:val="99"/>
              </w:rPr>
              <w:t>109</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16.4 %</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2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Gross margin as a percent of revenue decreased 0.6 percentage points for the three months ended March 31, 2026, primarily driven by lower realized prices.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Research and development expenses increased 28 percent for the three months ended March 31, 2026, driven by continued investments in our early and late-stage portfolio.</w:t>
      </w:r>
    </w:p>
    <w:p>
      <w:pPr>
        <w:spacing w:after="0" w:line="4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Marketing, selling, and administrative expenses increased 19 percent for the three months ended March 31, 2026, primarily driven by promotional efforts supporting ongoing and planned launches.</w:t>
      </w:r>
    </w:p>
    <w:p>
      <w:pPr>
        <w:spacing w:after="0" w:line="45"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Acquired IPR&amp;D charges for the three months ended March 31, 2025 were primarily related to the acquisition of Scorpion Therapeutics, Inc.'s PI3Kα inhibitor program STX-478. See Note 4 to the consolidated condensed financial statements for additional information.</w:t>
      </w:r>
    </w:p>
    <w:p>
      <w:pPr>
        <w:spacing w:after="0" w:line="2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 tax rate was 16.4 percent for the three months ended March 31, 2026, compared to 20.2 percent for the three months ended March 31, 2025, primarily driven by the unfavorable tax impact of a non-deductible acquired IPR&amp;D charge in 2025. The 2026 and 2025 effective tax rates were impacted by net discrete tax benefits in each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6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2025.</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meaningfully higher capital expenditures in the near term.</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Cash and cash equivalents decreased to $5.3 billion as of March 31, 2026, compared with $7.3 billion as of December 31, 2025. Refer to the consolidated condensed statements of cash flows for additional information on the significant sources and uses of cash for the three months ended March 31, 2026 and 2025.</w:t>
      </w:r>
    </w:p>
    <w:p>
      <w:pPr>
        <w:spacing w:after="0" w:line="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$3.3 billion and $2.9 billion as of March 31, 2026 and December 31, 2025, respectively. As of March 31, 2026, we had approximately $850 million of unfunded commitments to invest in venture capital funds, which we anticipate will be paid over a period of up to 10 years. See Note 7 to the consolidated condensed financial statements for additional information.</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part of our business development activities in 2026, we have entered into acquisition agreements, subject to closing conditions. Potential amounts payable at closing for these pending acquisitions would be up to approximately $12 billion.</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2026, total debt was $43.4 billion, an increase of $0.9 billion compared with $42.5 billion as of December 31, 2025. See Note 7 to the consolidated condensed financial statements for additional information.</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March 31, 2026, we had a total of $10.1 billion of unused committed bank credit facilities, $10.0 billion of which is available to support our commercial paper program. See Note 7 to the consolidated condensed financial statements for additional information. We believe that amounts accessible through existing commercial paper markets or other sources should be adequate to fund short-term borrowing needs.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300"/>
        <w:spacing w:after="0" w:line="287" w:lineRule="auto"/>
        <w:rPr>
          <w:sz w:val="20"/>
          <w:szCs w:val="20"/>
          <w:color w:val="auto"/>
        </w:rPr>
      </w:pPr>
      <w:r>
        <w:rPr>
          <w:rFonts w:ascii="Arial" w:cs="Arial" w:eastAsia="Arial" w:hAnsi="Arial"/>
          <w:sz w:val="18"/>
          <w:szCs w:val="18"/>
          <w:color w:val="auto"/>
        </w:rPr>
        <w:t>During the three months ended March 31, 2026, we repurchased $2.3 billion of shares under our $15.0 billion share repurchase program authorized in December 2024. As of March 31, 2026, we had $8.6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paid dividends of $1.5 billion, or $1.73 per share, to our shareholders.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2025.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20" w:hanging="652"/>
        <w:spacing w:after="0" w:line="259"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1"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2025) as of March 31, 2026, and concluded that they were effective.</w:t>
      </w:r>
    </w:p>
    <w:p>
      <w:pPr>
        <w:spacing w:after="0" w:line="44" w:lineRule="exact"/>
        <w:rPr>
          <w:rFonts w:ascii="Arial" w:cs="Arial" w:eastAsia="Arial" w:hAnsi="Arial"/>
          <w:sz w:val="17"/>
          <w:szCs w:val="17"/>
          <w:color w:val="auto"/>
        </w:rPr>
      </w:pPr>
    </w:p>
    <w:p>
      <w:pPr>
        <w:ind w:left="660" w:right="180" w:hanging="652"/>
        <w:spacing w:after="0" w:line="287"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first quarter of 2026,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9" w:name="page30"/>
    <w:bookmarkEnd w:id="29"/>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8 to the consolidated condensed financial statements for information on various legal proceedings.</w:t>
      </w:r>
    </w:p>
    <w:p>
      <w:pPr>
        <w:spacing w:after="0" w:line="99" w:lineRule="exact"/>
        <w:rPr>
          <w:sz w:val="20"/>
          <w:szCs w:val="20"/>
          <w:color w:val="auto"/>
        </w:rPr>
      </w:pPr>
    </w:p>
    <w:p>
      <w:pPr>
        <w:ind w:right="42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1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2025.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2026:</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2"/>
                <w:szCs w:val="12"/>
                <w:color w:val="auto"/>
              </w:rPr>
            </w:pPr>
          </w:p>
        </w:tc>
        <w:tc>
          <w:tcPr>
            <w:tcW w:w="2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Average Price Paid</w:t>
            </w: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2"/>
                <w:szCs w:val="12"/>
                <w:color w:val="auto"/>
              </w:rPr>
            </w:pPr>
          </w:p>
        </w:tc>
        <w:tc>
          <w:tcPr>
            <w:tcW w:w="22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2"/>
                <w:szCs w:val="12"/>
                <w:color w:val="auto"/>
              </w:rPr>
            </w:pP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1,024.22</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February 2026</w:t>
            </w:r>
          </w:p>
        </w:tc>
        <w:tc>
          <w:tcPr>
            <w:tcW w:w="174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1,029.80</w:t>
            </w:r>
          </w:p>
        </w:tc>
        <w:tc>
          <w:tcPr>
            <w:tcW w:w="228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947.93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6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80" w:type="dxa"/>
            <w:vAlign w:val="bottom"/>
          </w:tcPr>
          <w:p>
            <w:pPr>
              <w:spacing w:after="0"/>
              <w:rPr>
                <w:sz w:val="20"/>
                <w:szCs w:val="20"/>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987.15</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March 31, 2026, we repurchased $2.3 billion of shares under our $15.0 billion share repurchase program that our board authorized in December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February 10, 2026, a sales plan was entered into with respect to shares of company common stock indirectly reported by Anat Hakim, executive vice president, general counsel and secretary (Hakim Plan). The Hakim Plan calls for the sale of up to 10,000 shares between August 7, 2026 and November 30, 2026 subject to the terms and conditions of the Hakim Plan.</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February 13, 2026, Ilya Yuffa, executive vice president and president Lilly USA and Global Customer Capabilities, adopted a sales plan (Yuffa Plan). The Yuffa Plan calls for the sale of up to 2,500 shares of company common stock between June 10, 2026 and October 9, 2026 subject to the terms and conditions of the Yuffa Plan.</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February 17, 2026, Patrik Jonsson, executive vice president and president, Lilly International, adopted a sales plan (Jonsson Plan). The Jonsson Plan calls for the sale of up to 6,500 shares of company common stock between August 17, 2026 and February 16, 2027 subject to the terms and conditions of the Jonsson Plan.</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Each of the above -described plans were entered into during an open trading window and are intended to satisfy the affirmative defense conditions of Rule 10b5-1(c) of the Exchange Act of 1934 and our policies regarding trading in our securities.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51">
              <w:r>
                <w:rPr>
                  <w:rFonts w:ascii="Arial" w:cs="Arial" w:eastAsia="Arial" w:hAnsi="Arial"/>
                  <w:sz w:val="18"/>
                  <w:szCs w:val="18"/>
                  <w:color w:val="0000FF"/>
                </w:rPr>
                <w:t>Bylaws, as amended, incorporated by reference to Exhibit 3.2 to the Company's Current Report on Form 8-K filed on</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9"/>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April 30, 2026</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Lucas Montarce</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Lucas Montarce</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April 30, 2026</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10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00" w:hanging="332"/>
        <w:spacing w:after="0" w:line="31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2026</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00" w:hanging="332"/>
        <w:spacing w:after="0" w:line="318"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2026</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Lucas Montarce</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Lucas Montarce</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March 31,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30, 2026</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30, 2026</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Lucas Montarce</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Lucas Montarce</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15" Type="http://schemas.openxmlformats.org/officeDocument/2006/relationships/hyperlink" Target="https://www.sec.gov/Archives/edgar/data/59478/000005947826000013/lly-20251231.htm" TargetMode="External"/><Relationship Id="rId50" Type="http://schemas.openxmlformats.org/officeDocument/2006/relationships/hyperlink" Target="https://www.sec.gov/Archives/edgar/data/59478/000005947822000138/articlesofincorporationlly.htm" TargetMode="External"/><Relationship Id="rId51"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2026-04-30T10:31:09Z</dcterms:created>
  <dcterms:modified xsi:type="dcterms:W3CDTF">2026-04-30T10:31:09Z</dcterms:modified>
</cp:coreProperties>
</file>